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E45953" w14:textId="7BD8696C" w:rsidR="00726AC8" w:rsidRPr="00726490" w:rsidRDefault="00387395" w:rsidP="00726490">
      <w:pPr>
        <w:pStyle w:val="Title"/>
      </w:pPr>
      <w:r w:rsidRPr="00726490">
        <w:t xml:space="preserve">A multi-country study of the violence-related risk factors for </w:t>
      </w:r>
      <w:r w:rsidR="007A104B" w:rsidRPr="00726490">
        <w:t xml:space="preserve">early sexual debut and </w:t>
      </w:r>
      <w:r w:rsidRPr="00726490">
        <w:t xml:space="preserve">risky sexual </w:t>
      </w:r>
      <w:proofErr w:type="spellStart"/>
      <w:r w:rsidRPr="00726490">
        <w:t>behavior</w:t>
      </w:r>
      <w:proofErr w:type="spellEnd"/>
      <w:r w:rsidRPr="00726490">
        <w:t xml:space="preserve"> in adolescents</w:t>
      </w:r>
    </w:p>
    <w:p w14:paraId="385143E1" w14:textId="20A5DB18" w:rsidR="00D24342" w:rsidRPr="00D24342" w:rsidRDefault="00D24342">
      <w:pPr>
        <w:spacing w:line="480" w:lineRule="auto"/>
        <w:rPr>
          <w:rFonts w:eastAsia="Times New Roman" w:cs="Times New Roman"/>
          <w:color w:val="auto"/>
          <w:lang w:val="en-GB"/>
        </w:rPr>
      </w:pPr>
    </w:p>
    <w:p w14:paraId="1C570362" w14:textId="7A7EE6A6" w:rsidR="00D24342" w:rsidRPr="00D24342" w:rsidRDefault="00D24342" w:rsidP="00D24342">
      <w:pPr>
        <w:spacing w:line="480" w:lineRule="auto"/>
        <w:rPr>
          <w:rFonts w:eastAsia="Times New Roman" w:cs="Times New Roman"/>
          <w:color w:val="auto"/>
          <w:lang w:val="en-GB"/>
        </w:rPr>
      </w:pPr>
      <w:r w:rsidRPr="00D24342">
        <w:rPr>
          <w:rFonts w:eastAsia="Times New Roman" w:cs="Times New Roman"/>
          <w:color w:val="auto"/>
          <w:lang w:val="en-GB"/>
        </w:rPr>
        <w:t>Lee Smith, PhD1*, Louis Jacob, MD2,3, Guillermo F. López-Sánchez, PhD4, Igor Grabovac, MD5, Lin Yang, PhD6, Damiano Pizzol, PhD7, Aric Sigman, PhD8, Daragh McDermott, PhD9, Ai Koyanagi, PhD3,10</w:t>
      </w:r>
    </w:p>
    <w:p w14:paraId="7163601E" w14:textId="77777777" w:rsidR="00D24342" w:rsidRPr="00D24342" w:rsidRDefault="00D24342" w:rsidP="00D24342">
      <w:pPr>
        <w:spacing w:line="480" w:lineRule="auto"/>
        <w:rPr>
          <w:rFonts w:eastAsia="Times New Roman" w:cs="Times New Roman"/>
          <w:color w:val="auto"/>
          <w:lang w:val="en-GB"/>
        </w:rPr>
      </w:pPr>
    </w:p>
    <w:p w14:paraId="5129817F" w14:textId="77777777" w:rsidR="00D24342" w:rsidRPr="00D24342" w:rsidRDefault="00D24342" w:rsidP="00D24342">
      <w:pPr>
        <w:spacing w:line="480" w:lineRule="auto"/>
        <w:rPr>
          <w:rFonts w:eastAsia="Times New Roman" w:cs="Times New Roman"/>
          <w:color w:val="auto"/>
          <w:lang w:val="en-GB"/>
        </w:rPr>
      </w:pPr>
      <w:r w:rsidRPr="00D24342">
        <w:rPr>
          <w:rFonts w:eastAsia="Times New Roman" w:cs="Times New Roman"/>
          <w:color w:val="auto"/>
          <w:lang w:val="en-GB"/>
        </w:rPr>
        <w:t>1.</w:t>
      </w:r>
      <w:r w:rsidRPr="00D24342">
        <w:rPr>
          <w:rFonts w:eastAsia="Times New Roman" w:cs="Times New Roman"/>
          <w:color w:val="auto"/>
          <w:lang w:val="en-GB"/>
        </w:rPr>
        <w:tab/>
        <w:t>The Cambridge Centre for Sport and Exercise Sciences, Anglia Ruskin University, Cambridge, CB1 1PT, UK</w:t>
      </w:r>
    </w:p>
    <w:p w14:paraId="4059B622" w14:textId="77777777" w:rsidR="00D24342" w:rsidRPr="00D24342" w:rsidRDefault="00D24342" w:rsidP="00D24342">
      <w:pPr>
        <w:spacing w:line="480" w:lineRule="auto"/>
        <w:rPr>
          <w:rFonts w:eastAsia="Times New Roman" w:cs="Times New Roman"/>
          <w:color w:val="auto"/>
          <w:lang w:val="en-GB"/>
        </w:rPr>
      </w:pPr>
      <w:r w:rsidRPr="00D24342">
        <w:rPr>
          <w:rFonts w:eastAsia="Times New Roman" w:cs="Times New Roman"/>
          <w:color w:val="auto"/>
          <w:lang w:val="en-GB"/>
        </w:rPr>
        <w:t>2.</w:t>
      </w:r>
      <w:r w:rsidRPr="00D24342">
        <w:rPr>
          <w:rFonts w:eastAsia="Times New Roman" w:cs="Times New Roman"/>
          <w:color w:val="auto"/>
          <w:lang w:val="en-GB"/>
        </w:rPr>
        <w:tab/>
        <w:t>Faculty of Medicine, University of Versailles Saint-Quentin-</w:t>
      </w:r>
      <w:proofErr w:type="spellStart"/>
      <w:r w:rsidRPr="00D24342">
        <w:rPr>
          <w:rFonts w:eastAsia="Times New Roman" w:cs="Times New Roman"/>
          <w:color w:val="auto"/>
          <w:lang w:val="en-GB"/>
        </w:rPr>
        <w:t>en</w:t>
      </w:r>
      <w:proofErr w:type="spellEnd"/>
      <w:r w:rsidRPr="00D24342">
        <w:rPr>
          <w:rFonts w:eastAsia="Times New Roman" w:cs="Times New Roman"/>
          <w:color w:val="auto"/>
          <w:lang w:val="en-GB"/>
        </w:rPr>
        <w:t xml:space="preserve">-Yvelines, </w:t>
      </w:r>
      <w:proofErr w:type="spellStart"/>
      <w:r w:rsidRPr="00D24342">
        <w:rPr>
          <w:rFonts w:eastAsia="Times New Roman" w:cs="Times New Roman"/>
          <w:color w:val="auto"/>
          <w:lang w:val="en-GB"/>
        </w:rPr>
        <w:t>Montigny</w:t>
      </w:r>
      <w:proofErr w:type="spellEnd"/>
      <w:r w:rsidRPr="00D24342">
        <w:rPr>
          <w:rFonts w:eastAsia="Times New Roman" w:cs="Times New Roman"/>
          <w:color w:val="auto"/>
          <w:lang w:val="en-GB"/>
        </w:rPr>
        <w:t>-le-Bretonneux 78180, France</w:t>
      </w:r>
    </w:p>
    <w:p w14:paraId="4CAD1DC1" w14:textId="77777777" w:rsidR="00D24342" w:rsidRPr="00D24342" w:rsidRDefault="00D24342" w:rsidP="00D24342">
      <w:pPr>
        <w:spacing w:line="480" w:lineRule="auto"/>
        <w:rPr>
          <w:rFonts w:eastAsia="Times New Roman" w:cs="Times New Roman"/>
          <w:color w:val="auto"/>
          <w:lang w:val="en-GB"/>
        </w:rPr>
      </w:pPr>
      <w:r w:rsidRPr="00D24342">
        <w:rPr>
          <w:rFonts w:eastAsia="Times New Roman" w:cs="Times New Roman"/>
          <w:color w:val="auto"/>
          <w:lang w:val="en-GB"/>
        </w:rPr>
        <w:t>3.</w:t>
      </w:r>
      <w:r w:rsidRPr="00D24342">
        <w:rPr>
          <w:rFonts w:eastAsia="Times New Roman" w:cs="Times New Roman"/>
          <w:color w:val="auto"/>
          <w:lang w:val="en-GB"/>
        </w:rPr>
        <w:tab/>
        <w:t xml:space="preserve">Research and Development Unit, Parc </w:t>
      </w:r>
      <w:proofErr w:type="spellStart"/>
      <w:r w:rsidRPr="00D24342">
        <w:rPr>
          <w:rFonts w:eastAsia="Times New Roman" w:cs="Times New Roman"/>
          <w:color w:val="auto"/>
          <w:lang w:val="en-GB"/>
        </w:rPr>
        <w:t>Sanitari</w:t>
      </w:r>
      <w:proofErr w:type="spellEnd"/>
      <w:r w:rsidRPr="00D24342">
        <w:rPr>
          <w:rFonts w:eastAsia="Times New Roman" w:cs="Times New Roman"/>
          <w:color w:val="auto"/>
          <w:lang w:val="en-GB"/>
        </w:rPr>
        <w:t xml:space="preserve"> Sant Joan de </w:t>
      </w:r>
      <w:proofErr w:type="spellStart"/>
      <w:r w:rsidRPr="00D24342">
        <w:rPr>
          <w:rFonts w:eastAsia="Times New Roman" w:cs="Times New Roman"/>
          <w:color w:val="auto"/>
          <w:lang w:val="en-GB"/>
        </w:rPr>
        <w:t>Déu</w:t>
      </w:r>
      <w:proofErr w:type="spellEnd"/>
      <w:r w:rsidRPr="00D24342">
        <w:rPr>
          <w:rFonts w:eastAsia="Times New Roman" w:cs="Times New Roman"/>
          <w:color w:val="auto"/>
          <w:lang w:val="en-GB"/>
        </w:rPr>
        <w:t xml:space="preserve">, CIBERSAM, </w:t>
      </w:r>
      <w:proofErr w:type="spellStart"/>
      <w:r w:rsidRPr="00D24342">
        <w:rPr>
          <w:rFonts w:eastAsia="Times New Roman" w:cs="Times New Roman"/>
          <w:color w:val="auto"/>
          <w:lang w:val="en-GB"/>
        </w:rPr>
        <w:t>Dr.</w:t>
      </w:r>
      <w:proofErr w:type="spellEnd"/>
      <w:r w:rsidRPr="00D24342">
        <w:rPr>
          <w:rFonts w:eastAsia="Times New Roman" w:cs="Times New Roman"/>
          <w:color w:val="auto"/>
          <w:lang w:val="en-GB"/>
        </w:rPr>
        <w:t xml:space="preserve"> Antoni Pujadas, 42, Sant </w:t>
      </w:r>
      <w:proofErr w:type="spellStart"/>
      <w:r w:rsidRPr="00D24342">
        <w:rPr>
          <w:rFonts w:eastAsia="Times New Roman" w:cs="Times New Roman"/>
          <w:color w:val="auto"/>
          <w:lang w:val="en-GB"/>
        </w:rPr>
        <w:t>Boi</w:t>
      </w:r>
      <w:proofErr w:type="spellEnd"/>
      <w:r w:rsidRPr="00D24342">
        <w:rPr>
          <w:rFonts w:eastAsia="Times New Roman" w:cs="Times New Roman"/>
          <w:color w:val="auto"/>
          <w:lang w:val="en-GB"/>
        </w:rPr>
        <w:t xml:space="preserve"> de </w:t>
      </w:r>
      <w:proofErr w:type="spellStart"/>
      <w:r w:rsidRPr="00D24342">
        <w:rPr>
          <w:rFonts w:eastAsia="Times New Roman" w:cs="Times New Roman"/>
          <w:color w:val="auto"/>
          <w:lang w:val="en-GB"/>
        </w:rPr>
        <w:t>Llobregat</w:t>
      </w:r>
      <w:proofErr w:type="spellEnd"/>
      <w:r w:rsidRPr="00D24342">
        <w:rPr>
          <w:rFonts w:eastAsia="Times New Roman" w:cs="Times New Roman"/>
          <w:color w:val="auto"/>
          <w:lang w:val="en-GB"/>
        </w:rPr>
        <w:t>, Barcelona 08830, Spain</w:t>
      </w:r>
    </w:p>
    <w:p w14:paraId="285B4211" w14:textId="77777777" w:rsidR="00D24342" w:rsidRPr="00D24342" w:rsidRDefault="00D24342" w:rsidP="00D24342">
      <w:pPr>
        <w:spacing w:line="480" w:lineRule="auto"/>
        <w:rPr>
          <w:rFonts w:eastAsia="Times New Roman" w:cs="Times New Roman"/>
          <w:color w:val="auto"/>
          <w:lang w:val="en-GB"/>
        </w:rPr>
      </w:pPr>
      <w:r w:rsidRPr="00D24342">
        <w:rPr>
          <w:rFonts w:eastAsia="Times New Roman" w:cs="Times New Roman"/>
          <w:color w:val="auto"/>
          <w:lang w:val="en-GB"/>
        </w:rPr>
        <w:t>4.</w:t>
      </w:r>
      <w:r w:rsidRPr="00D24342">
        <w:rPr>
          <w:rFonts w:eastAsia="Times New Roman" w:cs="Times New Roman"/>
          <w:color w:val="auto"/>
          <w:lang w:val="en-GB"/>
        </w:rPr>
        <w:tab/>
        <w:t xml:space="preserve">Faculty of Sport Sciences, University of Murcia, Spain </w:t>
      </w:r>
    </w:p>
    <w:p w14:paraId="50024E8E" w14:textId="77777777" w:rsidR="00D24342" w:rsidRPr="00D24342" w:rsidRDefault="00D24342" w:rsidP="00D24342">
      <w:pPr>
        <w:spacing w:line="480" w:lineRule="auto"/>
        <w:rPr>
          <w:rFonts w:eastAsia="Times New Roman" w:cs="Times New Roman"/>
          <w:color w:val="auto"/>
          <w:lang w:val="en-GB"/>
        </w:rPr>
      </w:pPr>
      <w:r w:rsidRPr="00D24342">
        <w:rPr>
          <w:rFonts w:eastAsia="Times New Roman" w:cs="Times New Roman"/>
          <w:color w:val="auto"/>
          <w:lang w:val="en-GB"/>
        </w:rPr>
        <w:t>5.</w:t>
      </w:r>
      <w:r w:rsidRPr="00D24342">
        <w:rPr>
          <w:rFonts w:eastAsia="Times New Roman" w:cs="Times New Roman"/>
          <w:color w:val="auto"/>
          <w:lang w:val="en-GB"/>
        </w:rPr>
        <w:tab/>
        <w:t>Department of Social and Preventive Medicine, Centre of Public Health, Medical University of Vienna, Vienna, Austria</w:t>
      </w:r>
    </w:p>
    <w:p w14:paraId="038C8943" w14:textId="77777777" w:rsidR="00D24342" w:rsidRPr="00D24342" w:rsidRDefault="00D24342" w:rsidP="00D24342">
      <w:pPr>
        <w:spacing w:line="480" w:lineRule="auto"/>
        <w:rPr>
          <w:rFonts w:eastAsia="Times New Roman" w:cs="Times New Roman"/>
          <w:color w:val="auto"/>
          <w:lang w:val="en-GB"/>
        </w:rPr>
      </w:pPr>
      <w:r w:rsidRPr="00D24342">
        <w:rPr>
          <w:rFonts w:eastAsia="Times New Roman" w:cs="Times New Roman"/>
          <w:color w:val="auto"/>
          <w:lang w:val="en-GB"/>
        </w:rPr>
        <w:t>6.</w:t>
      </w:r>
      <w:r w:rsidRPr="00D24342">
        <w:rPr>
          <w:rFonts w:eastAsia="Times New Roman" w:cs="Times New Roman"/>
          <w:color w:val="auto"/>
          <w:lang w:val="en-GB"/>
        </w:rPr>
        <w:tab/>
        <w:t xml:space="preserve">Department of Cancer Epidemiology and Prevention Research, </w:t>
      </w:r>
      <w:proofErr w:type="spellStart"/>
      <w:r w:rsidRPr="00D24342">
        <w:rPr>
          <w:rFonts w:eastAsia="Times New Roman" w:cs="Times New Roman"/>
          <w:color w:val="auto"/>
          <w:lang w:val="en-GB"/>
        </w:rPr>
        <w:t>CancerControl</w:t>
      </w:r>
      <w:proofErr w:type="spellEnd"/>
      <w:r w:rsidRPr="00D24342">
        <w:rPr>
          <w:rFonts w:eastAsia="Times New Roman" w:cs="Times New Roman"/>
          <w:color w:val="auto"/>
          <w:lang w:val="en-GB"/>
        </w:rPr>
        <w:t xml:space="preserve"> Alberta, Alberta Health Services, Calgary, Canada; Departments of Oncology and Community Health Sciences, University of Calgary, Calgary, Canada</w:t>
      </w:r>
    </w:p>
    <w:p w14:paraId="417A837D" w14:textId="77777777" w:rsidR="00D24342" w:rsidRPr="00D24342" w:rsidRDefault="00D24342" w:rsidP="00D24342">
      <w:pPr>
        <w:spacing w:line="480" w:lineRule="auto"/>
        <w:rPr>
          <w:rFonts w:eastAsia="Times New Roman" w:cs="Times New Roman"/>
          <w:color w:val="auto"/>
          <w:lang w:val="en-GB"/>
        </w:rPr>
      </w:pPr>
      <w:r w:rsidRPr="00D24342">
        <w:rPr>
          <w:rFonts w:eastAsia="Times New Roman" w:cs="Times New Roman"/>
          <w:color w:val="auto"/>
          <w:lang w:val="en-GB"/>
        </w:rPr>
        <w:t>7.</w:t>
      </w:r>
      <w:r w:rsidRPr="00D24342">
        <w:rPr>
          <w:rFonts w:eastAsia="Times New Roman" w:cs="Times New Roman"/>
          <w:color w:val="auto"/>
          <w:lang w:val="en-GB"/>
        </w:rPr>
        <w:tab/>
        <w:t>Italian Agency for Development Cooperation - Jerusalem, Israel</w:t>
      </w:r>
    </w:p>
    <w:p w14:paraId="14133C70" w14:textId="77777777" w:rsidR="00D24342" w:rsidRPr="00D24342" w:rsidRDefault="00D24342" w:rsidP="00D24342">
      <w:pPr>
        <w:spacing w:line="480" w:lineRule="auto"/>
        <w:rPr>
          <w:rFonts w:eastAsia="Times New Roman" w:cs="Times New Roman"/>
          <w:color w:val="auto"/>
          <w:lang w:val="en-GB"/>
        </w:rPr>
      </w:pPr>
      <w:r w:rsidRPr="00D24342">
        <w:rPr>
          <w:rFonts w:eastAsia="Times New Roman" w:cs="Times New Roman"/>
          <w:color w:val="auto"/>
          <w:lang w:val="en-GB"/>
        </w:rPr>
        <w:t>8.</w:t>
      </w:r>
      <w:r w:rsidRPr="00D24342">
        <w:rPr>
          <w:rFonts w:eastAsia="Times New Roman" w:cs="Times New Roman"/>
          <w:color w:val="auto"/>
          <w:lang w:val="en-GB"/>
        </w:rPr>
        <w:tab/>
        <w:t>All-Party Parliamentary Group on a Fit and Healthy Childhood, London, UK</w:t>
      </w:r>
    </w:p>
    <w:p w14:paraId="410248FD" w14:textId="77777777" w:rsidR="00D24342" w:rsidRPr="00D24342" w:rsidRDefault="00D24342" w:rsidP="00D24342">
      <w:pPr>
        <w:spacing w:line="480" w:lineRule="auto"/>
        <w:rPr>
          <w:rFonts w:eastAsia="Times New Roman" w:cs="Times New Roman"/>
          <w:color w:val="auto"/>
          <w:lang w:val="en-GB"/>
        </w:rPr>
      </w:pPr>
      <w:r w:rsidRPr="00D24342">
        <w:rPr>
          <w:rFonts w:eastAsia="Times New Roman" w:cs="Times New Roman"/>
          <w:color w:val="auto"/>
          <w:lang w:val="en-GB"/>
        </w:rPr>
        <w:t>9.</w:t>
      </w:r>
      <w:r w:rsidRPr="00D24342">
        <w:rPr>
          <w:rFonts w:eastAsia="Times New Roman" w:cs="Times New Roman"/>
          <w:color w:val="auto"/>
          <w:lang w:val="en-GB"/>
        </w:rPr>
        <w:tab/>
        <w:t>School of Psychology and Sport Science, Anglia Ruskin University, Cambridge, CB1 1PT, UK</w:t>
      </w:r>
    </w:p>
    <w:p w14:paraId="0FB6E383" w14:textId="77777777" w:rsidR="00D24342" w:rsidRPr="00D24342" w:rsidRDefault="00D24342" w:rsidP="00D24342">
      <w:pPr>
        <w:spacing w:line="480" w:lineRule="auto"/>
        <w:rPr>
          <w:rFonts w:eastAsia="Times New Roman" w:cs="Times New Roman"/>
          <w:color w:val="auto"/>
          <w:lang w:val="en-GB"/>
        </w:rPr>
      </w:pPr>
      <w:r w:rsidRPr="00D24342">
        <w:rPr>
          <w:rFonts w:eastAsia="Times New Roman" w:cs="Times New Roman"/>
          <w:color w:val="auto"/>
          <w:lang w:val="en-GB"/>
        </w:rPr>
        <w:t>10.</w:t>
      </w:r>
      <w:r w:rsidRPr="00D24342">
        <w:rPr>
          <w:rFonts w:eastAsia="Times New Roman" w:cs="Times New Roman"/>
          <w:color w:val="auto"/>
          <w:lang w:val="en-GB"/>
        </w:rPr>
        <w:tab/>
        <w:t xml:space="preserve">ICREA, Pg. </w:t>
      </w:r>
      <w:proofErr w:type="spellStart"/>
      <w:r w:rsidRPr="00D24342">
        <w:rPr>
          <w:rFonts w:eastAsia="Times New Roman" w:cs="Times New Roman"/>
          <w:color w:val="auto"/>
          <w:lang w:val="en-GB"/>
        </w:rPr>
        <w:t>Lluis</w:t>
      </w:r>
      <w:proofErr w:type="spellEnd"/>
      <w:r w:rsidRPr="00D24342">
        <w:rPr>
          <w:rFonts w:eastAsia="Times New Roman" w:cs="Times New Roman"/>
          <w:color w:val="auto"/>
          <w:lang w:val="en-GB"/>
        </w:rPr>
        <w:t xml:space="preserve"> </w:t>
      </w:r>
      <w:proofErr w:type="spellStart"/>
      <w:r w:rsidRPr="00D24342">
        <w:rPr>
          <w:rFonts w:eastAsia="Times New Roman" w:cs="Times New Roman"/>
          <w:color w:val="auto"/>
          <w:lang w:val="en-GB"/>
        </w:rPr>
        <w:t>Companys</w:t>
      </w:r>
      <w:proofErr w:type="spellEnd"/>
      <w:r w:rsidRPr="00D24342">
        <w:rPr>
          <w:rFonts w:eastAsia="Times New Roman" w:cs="Times New Roman"/>
          <w:color w:val="auto"/>
          <w:lang w:val="en-GB"/>
        </w:rPr>
        <w:t xml:space="preserve"> 23, Barcelona, Spain</w:t>
      </w:r>
    </w:p>
    <w:p w14:paraId="15D2DEB8" w14:textId="7642C4A5" w:rsidR="00D24342" w:rsidRPr="00D24342" w:rsidRDefault="00D24342" w:rsidP="00D24342">
      <w:pPr>
        <w:spacing w:line="480" w:lineRule="auto"/>
        <w:rPr>
          <w:rFonts w:eastAsia="Times New Roman" w:cs="Times New Roman"/>
          <w:color w:val="auto"/>
          <w:lang w:val="en-GB"/>
        </w:rPr>
      </w:pPr>
      <w:r w:rsidRPr="00D24342">
        <w:rPr>
          <w:rFonts w:eastAsia="Times New Roman" w:cs="Times New Roman"/>
          <w:color w:val="auto"/>
          <w:lang w:val="en-GB"/>
        </w:rPr>
        <w:lastRenderedPageBreak/>
        <w:t xml:space="preserve">* Corresponding author: </w:t>
      </w:r>
      <w:proofErr w:type="spellStart"/>
      <w:r w:rsidRPr="00D24342">
        <w:rPr>
          <w:rFonts w:eastAsia="Times New Roman" w:cs="Times New Roman"/>
          <w:color w:val="auto"/>
          <w:lang w:val="en-GB"/>
        </w:rPr>
        <w:t>Dr.</w:t>
      </w:r>
      <w:proofErr w:type="spellEnd"/>
      <w:r w:rsidRPr="00D24342">
        <w:rPr>
          <w:rFonts w:eastAsia="Times New Roman" w:cs="Times New Roman"/>
          <w:color w:val="auto"/>
          <w:lang w:val="en-GB"/>
        </w:rPr>
        <w:t xml:space="preserve"> Lee Smith. The Cambridge Centre for Sport and Exercise Sciences, Anglia Ruskin University, Cambridge, CB1 1PT, UK. Lee.Smith@anglia.ac.uk</w:t>
      </w:r>
    </w:p>
    <w:p w14:paraId="677201FE" w14:textId="1BC34D1C" w:rsidR="00D24342" w:rsidRPr="00D24342" w:rsidRDefault="00D24342">
      <w:pPr>
        <w:spacing w:line="480" w:lineRule="auto"/>
        <w:rPr>
          <w:rFonts w:eastAsia="Times New Roman" w:cs="Times New Roman"/>
          <w:color w:val="auto"/>
          <w:lang w:val="en-GB"/>
        </w:rPr>
      </w:pPr>
    </w:p>
    <w:p w14:paraId="2E71EADD" w14:textId="634BE2E5" w:rsidR="00D24342" w:rsidRPr="00D24342" w:rsidRDefault="00D24342">
      <w:pPr>
        <w:spacing w:line="480" w:lineRule="auto"/>
        <w:rPr>
          <w:rFonts w:eastAsia="Times New Roman" w:cs="Times New Roman"/>
          <w:color w:val="auto"/>
          <w:lang w:val="en-GB"/>
        </w:rPr>
      </w:pPr>
    </w:p>
    <w:p w14:paraId="714C5763" w14:textId="0C6B5BCF" w:rsidR="00D24342" w:rsidRPr="00D24342" w:rsidRDefault="00D24342">
      <w:pPr>
        <w:spacing w:line="480" w:lineRule="auto"/>
        <w:rPr>
          <w:b/>
          <w:bCs/>
          <w:color w:val="auto"/>
        </w:rPr>
      </w:pPr>
    </w:p>
    <w:p w14:paraId="0DADBFE3" w14:textId="5DA716F8" w:rsidR="00D24342" w:rsidRPr="00D24342" w:rsidRDefault="00D24342">
      <w:pPr>
        <w:spacing w:line="480" w:lineRule="auto"/>
        <w:rPr>
          <w:b/>
          <w:bCs/>
          <w:color w:val="auto"/>
        </w:rPr>
      </w:pPr>
    </w:p>
    <w:p w14:paraId="6E290813" w14:textId="3727B4E4" w:rsidR="00D24342" w:rsidRPr="00D24342" w:rsidRDefault="00D24342">
      <w:pPr>
        <w:spacing w:line="480" w:lineRule="auto"/>
        <w:rPr>
          <w:b/>
          <w:bCs/>
          <w:color w:val="auto"/>
        </w:rPr>
      </w:pPr>
    </w:p>
    <w:p w14:paraId="09536F90" w14:textId="60EBADE5" w:rsidR="00D24342" w:rsidRPr="00D24342" w:rsidRDefault="00D24342">
      <w:pPr>
        <w:spacing w:line="480" w:lineRule="auto"/>
        <w:rPr>
          <w:b/>
          <w:bCs/>
          <w:color w:val="auto"/>
        </w:rPr>
      </w:pPr>
    </w:p>
    <w:p w14:paraId="4C7B0813" w14:textId="26F1B199" w:rsidR="00D24342" w:rsidRPr="00D24342" w:rsidRDefault="00D24342">
      <w:pPr>
        <w:spacing w:line="480" w:lineRule="auto"/>
        <w:rPr>
          <w:b/>
          <w:bCs/>
          <w:color w:val="auto"/>
        </w:rPr>
      </w:pPr>
    </w:p>
    <w:p w14:paraId="2136F541" w14:textId="546B7AB4" w:rsidR="00D24342" w:rsidRPr="00D24342" w:rsidRDefault="00D24342">
      <w:pPr>
        <w:spacing w:line="480" w:lineRule="auto"/>
        <w:rPr>
          <w:b/>
          <w:bCs/>
          <w:color w:val="auto"/>
        </w:rPr>
      </w:pPr>
    </w:p>
    <w:p w14:paraId="3A4F3F28" w14:textId="0D36AD5D" w:rsidR="00D24342" w:rsidRPr="00D24342" w:rsidRDefault="00D24342">
      <w:pPr>
        <w:spacing w:line="480" w:lineRule="auto"/>
        <w:rPr>
          <w:b/>
          <w:bCs/>
          <w:color w:val="auto"/>
        </w:rPr>
      </w:pPr>
    </w:p>
    <w:p w14:paraId="05A5755F" w14:textId="379473E9" w:rsidR="00D24342" w:rsidRPr="00D24342" w:rsidRDefault="00D24342">
      <w:pPr>
        <w:spacing w:line="480" w:lineRule="auto"/>
        <w:rPr>
          <w:b/>
          <w:bCs/>
          <w:color w:val="auto"/>
        </w:rPr>
      </w:pPr>
    </w:p>
    <w:p w14:paraId="552F868A" w14:textId="1B492E42" w:rsidR="00D24342" w:rsidRPr="00D24342" w:rsidRDefault="00D24342">
      <w:pPr>
        <w:spacing w:line="480" w:lineRule="auto"/>
        <w:rPr>
          <w:b/>
          <w:bCs/>
          <w:color w:val="auto"/>
        </w:rPr>
      </w:pPr>
    </w:p>
    <w:p w14:paraId="61805073" w14:textId="129B27A4" w:rsidR="00D24342" w:rsidRPr="00D24342" w:rsidRDefault="00D24342">
      <w:pPr>
        <w:spacing w:line="480" w:lineRule="auto"/>
        <w:rPr>
          <w:b/>
          <w:bCs/>
          <w:color w:val="auto"/>
        </w:rPr>
      </w:pPr>
    </w:p>
    <w:p w14:paraId="654C8C94" w14:textId="44B9E6FA" w:rsidR="00D24342" w:rsidRPr="00D24342" w:rsidRDefault="00D24342">
      <w:pPr>
        <w:spacing w:line="480" w:lineRule="auto"/>
        <w:rPr>
          <w:b/>
          <w:bCs/>
          <w:color w:val="auto"/>
        </w:rPr>
      </w:pPr>
    </w:p>
    <w:p w14:paraId="2ADEDD2A" w14:textId="42D74DA7" w:rsidR="00D24342" w:rsidRPr="00D24342" w:rsidRDefault="00D24342">
      <w:pPr>
        <w:spacing w:line="480" w:lineRule="auto"/>
        <w:rPr>
          <w:b/>
          <w:bCs/>
          <w:color w:val="auto"/>
        </w:rPr>
      </w:pPr>
    </w:p>
    <w:p w14:paraId="58CADEC0" w14:textId="79D058D8" w:rsidR="00D24342" w:rsidRPr="00D24342" w:rsidRDefault="00D24342">
      <w:pPr>
        <w:spacing w:line="480" w:lineRule="auto"/>
        <w:rPr>
          <w:b/>
          <w:bCs/>
          <w:color w:val="auto"/>
        </w:rPr>
      </w:pPr>
    </w:p>
    <w:p w14:paraId="48ED424A" w14:textId="5114F968" w:rsidR="00D24342" w:rsidRPr="00D24342" w:rsidRDefault="00D24342">
      <w:pPr>
        <w:spacing w:line="480" w:lineRule="auto"/>
        <w:rPr>
          <w:b/>
          <w:bCs/>
          <w:color w:val="auto"/>
        </w:rPr>
      </w:pPr>
    </w:p>
    <w:p w14:paraId="2CB0F388" w14:textId="1B7B7FB3" w:rsidR="00D24342" w:rsidRPr="00D24342" w:rsidRDefault="00D24342">
      <w:pPr>
        <w:spacing w:line="480" w:lineRule="auto"/>
        <w:rPr>
          <w:b/>
          <w:bCs/>
          <w:color w:val="auto"/>
        </w:rPr>
      </w:pPr>
    </w:p>
    <w:p w14:paraId="6BDEC0F4" w14:textId="5B9D430E" w:rsidR="00D24342" w:rsidRPr="00D24342" w:rsidRDefault="00D24342">
      <w:pPr>
        <w:spacing w:line="480" w:lineRule="auto"/>
        <w:rPr>
          <w:b/>
          <w:bCs/>
          <w:color w:val="auto"/>
        </w:rPr>
      </w:pPr>
    </w:p>
    <w:p w14:paraId="3B225803" w14:textId="2F974275" w:rsidR="00D24342" w:rsidRPr="00D24342" w:rsidRDefault="00D24342">
      <w:pPr>
        <w:spacing w:line="480" w:lineRule="auto"/>
        <w:rPr>
          <w:b/>
          <w:bCs/>
          <w:color w:val="auto"/>
        </w:rPr>
      </w:pPr>
    </w:p>
    <w:p w14:paraId="58DD5466" w14:textId="3DFBBB59" w:rsidR="00D24342" w:rsidRPr="00D24342" w:rsidRDefault="00D24342">
      <w:pPr>
        <w:spacing w:line="480" w:lineRule="auto"/>
        <w:rPr>
          <w:b/>
          <w:bCs/>
          <w:color w:val="auto"/>
        </w:rPr>
      </w:pPr>
    </w:p>
    <w:p w14:paraId="7D4F2D8E" w14:textId="619393D3" w:rsidR="00D24342" w:rsidRPr="00D24342" w:rsidRDefault="00D24342">
      <w:pPr>
        <w:spacing w:line="480" w:lineRule="auto"/>
        <w:rPr>
          <w:b/>
          <w:bCs/>
          <w:color w:val="auto"/>
        </w:rPr>
      </w:pPr>
    </w:p>
    <w:p w14:paraId="759AED93" w14:textId="53991E22" w:rsidR="00D24342" w:rsidRPr="00D24342" w:rsidRDefault="00D24342">
      <w:pPr>
        <w:spacing w:line="480" w:lineRule="auto"/>
        <w:rPr>
          <w:b/>
          <w:bCs/>
          <w:color w:val="auto"/>
        </w:rPr>
      </w:pPr>
    </w:p>
    <w:p w14:paraId="3425D066" w14:textId="77777777" w:rsidR="00D24342" w:rsidRPr="00D24342" w:rsidRDefault="00D24342">
      <w:pPr>
        <w:spacing w:line="480" w:lineRule="auto"/>
        <w:rPr>
          <w:b/>
          <w:bCs/>
          <w:color w:val="auto"/>
        </w:rPr>
      </w:pPr>
    </w:p>
    <w:p w14:paraId="5C7040B9" w14:textId="4DA2AEAC" w:rsidR="004F228C" w:rsidRPr="00726490" w:rsidRDefault="008348DF" w:rsidP="00726490">
      <w:pPr>
        <w:pStyle w:val="Heading1"/>
      </w:pPr>
      <w:r w:rsidRPr="00726490">
        <w:lastRenderedPageBreak/>
        <w:t>Abstract</w:t>
      </w:r>
    </w:p>
    <w:p w14:paraId="0A2C0BDF" w14:textId="2EF4B0C4" w:rsidR="004F228C" w:rsidRPr="00D24342" w:rsidRDefault="008E17F2">
      <w:pPr>
        <w:spacing w:line="480" w:lineRule="auto"/>
        <w:rPr>
          <w:color w:val="auto"/>
        </w:rPr>
      </w:pPr>
      <w:r w:rsidRPr="00D24342">
        <w:rPr>
          <w:color w:val="auto"/>
        </w:rPr>
        <w:t xml:space="preserve">Globally, the prevalence of adolescent sexual intercourse and violence is high. </w:t>
      </w:r>
      <w:r w:rsidR="006D4D85" w:rsidRPr="00D24342">
        <w:rPr>
          <w:color w:val="auto"/>
        </w:rPr>
        <w:t>However, t</w:t>
      </w:r>
      <w:r w:rsidR="0073054F" w:rsidRPr="00D24342">
        <w:rPr>
          <w:color w:val="auto"/>
        </w:rPr>
        <w:t xml:space="preserve">o date, no study has investigated the association between violence and sexual behavior in a large representative sample of adolescents, while </w:t>
      </w:r>
      <w:proofErr w:type="spellStart"/>
      <w:r w:rsidR="0073054F" w:rsidRPr="00D24342">
        <w:rPr>
          <w:color w:val="auto"/>
        </w:rPr>
        <w:t>multicountry</w:t>
      </w:r>
      <w:proofErr w:type="spellEnd"/>
      <w:r w:rsidR="0073054F" w:rsidRPr="00D24342">
        <w:rPr>
          <w:color w:val="auto"/>
        </w:rPr>
        <w:t xml:space="preserve"> studies are also lacking</w:t>
      </w:r>
      <w:r w:rsidR="00726AC8" w:rsidRPr="00D24342">
        <w:rPr>
          <w:color w:val="auto"/>
        </w:rPr>
        <w:t xml:space="preserve">. The objective was </w:t>
      </w:r>
      <w:r w:rsidR="00A72969" w:rsidRPr="00D24342">
        <w:rPr>
          <w:color w:val="auto"/>
        </w:rPr>
        <w:t xml:space="preserve">thus </w:t>
      </w:r>
      <w:r w:rsidR="00726AC8" w:rsidRPr="00D24342">
        <w:rPr>
          <w:color w:val="auto"/>
        </w:rPr>
        <w:t>t</w:t>
      </w:r>
      <w:r w:rsidR="00D73302" w:rsidRPr="00D24342">
        <w:rPr>
          <w:color w:val="auto"/>
        </w:rPr>
        <w:t xml:space="preserve">o examine the relationship between </w:t>
      </w:r>
      <w:r w:rsidR="009723E9" w:rsidRPr="00D24342">
        <w:rPr>
          <w:color w:val="auto"/>
        </w:rPr>
        <w:t xml:space="preserve">being </w:t>
      </w:r>
      <w:r w:rsidR="00D73302" w:rsidRPr="00D24342">
        <w:rPr>
          <w:color w:val="auto"/>
        </w:rPr>
        <w:t>physical</w:t>
      </w:r>
      <w:r w:rsidR="000612FA" w:rsidRPr="00D24342">
        <w:rPr>
          <w:color w:val="auto"/>
        </w:rPr>
        <w:t>ly</w:t>
      </w:r>
      <w:r w:rsidR="00D73302" w:rsidRPr="00D24342">
        <w:rPr>
          <w:color w:val="auto"/>
        </w:rPr>
        <w:t xml:space="preserve"> attack</w:t>
      </w:r>
      <w:r w:rsidR="009723E9" w:rsidRPr="00D24342">
        <w:rPr>
          <w:color w:val="auto"/>
        </w:rPr>
        <w:t>ed</w:t>
      </w:r>
      <w:r w:rsidR="00D73302" w:rsidRPr="00D24342">
        <w:rPr>
          <w:color w:val="auto"/>
        </w:rPr>
        <w:t xml:space="preserve"> and physical fight</w:t>
      </w:r>
      <w:r w:rsidR="000612FA" w:rsidRPr="00D24342">
        <w:rPr>
          <w:color w:val="auto"/>
        </w:rPr>
        <w:t>ing</w:t>
      </w:r>
      <w:r w:rsidR="00D73302" w:rsidRPr="00D24342">
        <w:rPr>
          <w:color w:val="auto"/>
        </w:rPr>
        <w:t xml:space="preserve"> with sexual intercourse, multiple sexual partners and non-condom use among adolescents age</w:t>
      </w:r>
      <w:r w:rsidR="0025643F" w:rsidRPr="00D24342">
        <w:rPr>
          <w:color w:val="auto"/>
        </w:rPr>
        <w:t>d</w:t>
      </w:r>
      <w:r w:rsidR="00D73302" w:rsidRPr="00D24342">
        <w:rPr>
          <w:color w:val="auto"/>
        </w:rPr>
        <w:t xml:space="preserve"> 12-15 years from </w:t>
      </w:r>
      <w:r w:rsidR="003976CB" w:rsidRPr="00D24342">
        <w:rPr>
          <w:color w:val="auto"/>
        </w:rPr>
        <w:t>4</w:t>
      </w:r>
      <w:r w:rsidR="00D73302" w:rsidRPr="00D24342">
        <w:rPr>
          <w:color w:val="auto"/>
        </w:rPr>
        <w:t xml:space="preserve">3 </w:t>
      </w:r>
      <w:r w:rsidR="003976CB" w:rsidRPr="00D24342">
        <w:rPr>
          <w:color w:val="auto"/>
        </w:rPr>
        <w:t>low- and middle-income countries</w:t>
      </w:r>
      <w:r w:rsidR="00D73302" w:rsidRPr="00D24342">
        <w:rPr>
          <w:color w:val="auto"/>
        </w:rPr>
        <w:t xml:space="preserve">. Cross-sectional data from </w:t>
      </w:r>
      <w:r w:rsidR="00EE689E" w:rsidRPr="00D24342">
        <w:rPr>
          <w:color w:val="auto"/>
        </w:rPr>
        <w:t xml:space="preserve">127,513 </w:t>
      </w:r>
      <w:r w:rsidR="00D73302" w:rsidRPr="00D24342">
        <w:rPr>
          <w:color w:val="auto"/>
        </w:rPr>
        <w:t>adolescents participating in the Global School-based Student Health Survey 200</w:t>
      </w:r>
      <w:r w:rsidR="000A4605" w:rsidRPr="00D24342">
        <w:rPr>
          <w:color w:val="auto"/>
        </w:rPr>
        <w:t>3</w:t>
      </w:r>
      <w:r w:rsidR="00726AC8" w:rsidRPr="00D24342">
        <w:rPr>
          <w:color w:val="auto"/>
        </w:rPr>
        <w:t xml:space="preserve">-2016 were analyzed. </w:t>
      </w:r>
      <w:r w:rsidR="00D73302" w:rsidRPr="00D24342">
        <w:rPr>
          <w:color w:val="auto"/>
        </w:rPr>
        <w:t xml:space="preserve">Data on </w:t>
      </w:r>
      <w:r w:rsidR="000612FA" w:rsidRPr="00D24342">
        <w:rPr>
          <w:color w:val="auto"/>
        </w:rPr>
        <w:t xml:space="preserve">being </w:t>
      </w:r>
      <w:r w:rsidR="00D73302" w:rsidRPr="00D24342">
        <w:rPr>
          <w:color w:val="auto"/>
        </w:rPr>
        <w:t>physical</w:t>
      </w:r>
      <w:r w:rsidR="000612FA" w:rsidRPr="00D24342">
        <w:rPr>
          <w:color w:val="auto"/>
        </w:rPr>
        <w:t>ly</w:t>
      </w:r>
      <w:r w:rsidR="00D73302" w:rsidRPr="00D24342">
        <w:rPr>
          <w:color w:val="auto"/>
        </w:rPr>
        <w:t xml:space="preserve"> attack</w:t>
      </w:r>
      <w:r w:rsidR="000612FA" w:rsidRPr="00D24342">
        <w:rPr>
          <w:color w:val="auto"/>
        </w:rPr>
        <w:t>ed</w:t>
      </w:r>
      <w:r w:rsidR="00D73302" w:rsidRPr="00D24342">
        <w:rPr>
          <w:color w:val="auto"/>
        </w:rPr>
        <w:t xml:space="preserve"> and physical fight</w:t>
      </w:r>
      <w:r w:rsidR="000612FA" w:rsidRPr="00D24342">
        <w:rPr>
          <w:color w:val="auto"/>
        </w:rPr>
        <w:t>ing</w:t>
      </w:r>
      <w:r w:rsidR="00D73302" w:rsidRPr="00D24342">
        <w:rPr>
          <w:color w:val="auto"/>
        </w:rPr>
        <w:t xml:space="preserve"> wer</w:t>
      </w:r>
      <w:r w:rsidR="00726AC8" w:rsidRPr="00D24342">
        <w:rPr>
          <w:color w:val="auto"/>
        </w:rPr>
        <w:t xml:space="preserve">e assessed through self-report. </w:t>
      </w:r>
      <w:r w:rsidR="00D73302" w:rsidRPr="00D24342">
        <w:rPr>
          <w:color w:val="auto"/>
        </w:rPr>
        <w:t>Data on sexual behavior were collected: (</w:t>
      </w:r>
      <w:proofErr w:type="spellStart"/>
      <w:r w:rsidR="00D73302" w:rsidRPr="00D24342">
        <w:rPr>
          <w:color w:val="auto"/>
        </w:rPr>
        <w:t>i</w:t>
      </w:r>
      <w:proofErr w:type="spellEnd"/>
      <w:r w:rsidR="00D73302" w:rsidRPr="00D24342">
        <w:rPr>
          <w:color w:val="auto"/>
        </w:rPr>
        <w:t>) ever having had intercourse; among those who reported having had intercourse, (ii) multiple (≥2) lifetime sexual partners and (iii) condom use in last sexual intercourse. Data were analyzed using multivariable logistic regression analysis</w:t>
      </w:r>
      <w:r w:rsidR="00A61DAE" w:rsidRPr="00D24342">
        <w:rPr>
          <w:color w:val="auto"/>
        </w:rPr>
        <w:t xml:space="preserve"> </w:t>
      </w:r>
      <w:r w:rsidR="00FB63F2" w:rsidRPr="00D24342">
        <w:rPr>
          <w:color w:val="auto"/>
        </w:rPr>
        <w:t>with violence as the exposure and sexual behavior as the outcome, with odds ratios being</w:t>
      </w:r>
      <w:r w:rsidR="00A61DAE" w:rsidRPr="00D24342">
        <w:rPr>
          <w:color w:val="auto"/>
        </w:rPr>
        <w:t xml:space="preserve"> estimated</w:t>
      </w:r>
      <w:r w:rsidR="00D73302" w:rsidRPr="00D24342">
        <w:rPr>
          <w:color w:val="auto"/>
        </w:rPr>
        <w:t>.</w:t>
      </w:r>
      <w:r w:rsidR="00726AC8" w:rsidRPr="00D24342">
        <w:rPr>
          <w:color w:val="auto"/>
        </w:rPr>
        <w:t xml:space="preserve"> </w:t>
      </w:r>
      <w:r w:rsidR="00D73302" w:rsidRPr="00D24342">
        <w:rPr>
          <w:color w:val="auto"/>
        </w:rPr>
        <w:t>Physical attack was dose-dependently and significantly associated with all three sexual behavior outcomes with it being associated with 1.4</w:t>
      </w:r>
      <w:r w:rsidR="00E64BF6" w:rsidRPr="00D24342">
        <w:rPr>
          <w:color w:val="auto"/>
        </w:rPr>
        <w:t>2</w:t>
      </w:r>
      <w:r w:rsidR="00D73302" w:rsidRPr="00D24342">
        <w:rPr>
          <w:color w:val="auto"/>
        </w:rPr>
        <w:t xml:space="preserve"> (95%CI=1.1</w:t>
      </w:r>
      <w:r w:rsidR="00E64BF6" w:rsidRPr="00D24342">
        <w:rPr>
          <w:color w:val="auto"/>
        </w:rPr>
        <w:t>6</w:t>
      </w:r>
      <w:r w:rsidR="00D73302" w:rsidRPr="00D24342">
        <w:rPr>
          <w:color w:val="auto"/>
        </w:rPr>
        <w:t>-1.7</w:t>
      </w:r>
      <w:r w:rsidR="00E64BF6" w:rsidRPr="00D24342">
        <w:rPr>
          <w:color w:val="auto"/>
        </w:rPr>
        <w:t>4</w:t>
      </w:r>
      <w:r w:rsidR="00D73302" w:rsidRPr="00D24342">
        <w:rPr>
          <w:color w:val="auto"/>
        </w:rPr>
        <w:t xml:space="preserve">), </w:t>
      </w:r>
      <w:r w:rsidR="00E64BF6" w:rsidRPr="00D24342">
        <w:rPr>
          <w:color w:val="auto"/>
        </w:rPr>
        <w:t>2.13</w:t>
      </w:r>
      <w:r w:rsidR="00D73302" w:rsidRPr="00D24342">
        <w:rPr>
          <w:color w:val="auto"/>
        </w:rPr>
        <w:t xml:space="preserve"> (95%CI=1.3</w:t>
      </w:r>
      <w:r w:rsidR="00E64BF6" w:rsidRPr="00D24342">
        <w:rPr>
          <w:color w:val="auto"/>
        </w:rPr>
        <w:t>9-3.27</w:t>
      </w:r>
      <w:r w:rsidR="00D73302" w:rsidRPr="00D24342">
        <w:rPr>
          <w:color w:val="auto"/>
        </w:rPr>
        <w:t>), and 1.</w:t>
      </w:r>
      <w:r w:rsidR="00E64BF6" w:rsidRPr="00D24342">
        <w:rPr>
          <w:color w:val="auto"/>
        </w:rPr>
        <w:t>48</w:t>
      </w:r>
      <w:r w:rsidR="00D73302" w:rsidRPr="00D24342">
        <w:rPr>
          <w:color w:val="auto"/>
        </w:rPr>
        <w:t xml:space="preserve"> (95%CI=1.1</w:t>
      </w:r>
      <w:r w:rsidR="00E64BF6" w:rsidRPr="00D24342">
        <w:rPr>
          <w:color w:val="auto"/>
        </w:rPr>
        <w:t>0</w:t>
      </w:r>
      <w:r w:rsidR="00D73302" w:rsidRPr="00D24342">
        <w:rPr>
          <w:color w:val="auto"/>
        </w:rPr>
        <w:t>-</w:t>
      </w:r>
      <w:r w:rsidR="00E64BF6" w:rsidRPr="00D24342">
        <w:rPr>
          <w:color w:val="auto"/>
        </w:rPr>
        <w:t>2.00</w:t>
      </w:r>
      <w:r w:rsidR="00D73302" w:rsidRPr="00D24342">
        <w:rPr>
          <w:color w:val="auto"/>
        </w:rPr>
        <w:t>) times higher odds for sexual intercourse, condom non-use, and multiple sex partners, respectively</w:t>
      </w:r>
      <w:r w:rsidR="006F490F" w:rsidRPr="00D24342">
        <w:rPr>
          <w:color w:val="auto"/>
        </w:rPr>
        <w:t>,</w:t>
      </w:r>
      <w:r w:rsidR="00D73302" w:rsidRPr="00D24342">
        <w:rPr>
          <w:color w:val="auto"/>
        </w:rPr>
        <w:t xml:space="preserve"> when the highest category was compared with the lowest (i.e., ≥4 times vs. 0 times). As for physical fights, </w:t>
      </w:r>
      <w:r w:rsidR="0007368B" w:rsidRPr="00D24342">
        <w:rPr>
          <w:color w:val="auto"/>
        </w:rPr>
        <w:t>c</w:t>
      </w:r>
      <w:r w:rsidR="00D73302" w:rsidRPr="00D24342">
        <w:rPr>
          <w:color w:val="auto"/>
        </w:rPr>
        <w:t>ompared to not being in a fight in the past 12 months, being in a fight ≥4 times was associated with 2.</w:t>
      </w:r>
      <w:r w:rsidR="008A127F" w:rsidRPr="00D24342">
        <w:rPr>
          <w:color w:val="auto"/>
        </w:rPr>
        <w:t>34</w:t>
      </w:r>
      <w:r w:rsidR="00D73302" w:rsidRPr="00D24342">
        <w:rPr>
          <w:color w:val="auto"/>
        </w:rPr>
        <w:t xml:space="preserve"> (95%CI=2.</w:t>
      </w:r>
      <w:r w:rsidR="008A127F" w:rsidRPr="00D24342">
        <w:rPr>
          <w:color w:val="auto"/>
        </w:rPr>
        <w:t>03-2.70</w:t>
      </w:r>
      <w:r w:rsidR="00D73302" w:rsidRPr="00D24342">
        <w:rPr>
          <w:color w:val="auto"/>
        </w:rPr>
        <w:t xml:space="preserve">) and </w:t>
      </w:r>
      <w:r w:rsidR="008A127F" w:rsidRPr="00D24342">
        <w:rPr>
          <w:color w:val="auto"/>
        </w:rPr>
        <w:t>1.98</w:t>
      </w:r>
      <w:r w:rsidR="00D73302" w:rsidRPr="00D24342">
        <w:rPr>
          <w:color w:val="auto"/>
        </w:rPr>
        <w:t xml:space="preserve"> (95%CI=1.</w:t>
      </w:r>
      <w:r w:rsidR="008A127F" w:rsidRPr="00D24342">
        <w:rPr>
          <w:color w:val="auto"/>
        </w:rPr>
        <w:t>5</w:t>
      </w:r>
      <w:r w:rsidR="00D73302" w:rsidRPr="00D24342">
        <w:rPr>
          <w:color w:val="auto"/>
        </w:rPr>
        <w:t>6-2.</w:t>
      </w:r>
      <w:r w:rsidR="008A127F" w:rsidRPr="00D24342">
        <w:rPr>
          <w:color w:val="auto"/>
        </w:rPr>
        <w:t>52</w:t>
      </w:r>
      <w:r w:rsidR="00D73302" w:rsidRPr="00D24342">
        <w:rPr>
          <w:color w:val="auto"/>
        </w:rPr>
        <w:t>) times higher odds for sexual intercourse and multiple sex partners, respectively.</w:t>
      </w:r>
      <w:r w:rsidR="00726AC8" w:rsidRPr="00D24342">
        <w:rPr>
          <w:color w:val="auto"/>
        </w:rPr>
        <w:t xml:space="preserve"> </w:t>
      </w:r>
      <w:r w:rsidR="00D1424D" w:rsidRPr="00D24342">
        <w:rPr>
          <w:color w:val="auto"/>
        </w:rPr>
        <w:t>In conclusion, in a large global sample of adolescents, physical attack and physical fight were associated with greater risk of engaging in sexual behavior. Multidimensional government programs and policies addressing violence in young adolescents may lead to reduction in</w:t>
      </w:r>
      <w:r w:rsidR="00797BCF" w:rsidRPr="00D24342">
        <w:rPr>
          <w:color w:val="auto"/>
        </w:rPr>
        <w:t xml:space="preserve"> early sexual debut</w:t>
      </w:r>
      <w:r w:rsidR="00391E43" w:rsidRPr="00D24342">
        <w:rPr>
          <w:color w:val="auto"/>
        </w:rPr>
        <w:t xml:space="preserve"> and other risky sexual behavior</w:t>
      </w:r>
      <w:r w:rsidR="00D1424D" w:rsidRPr="00D24342">
        <w:rPr>
          <w:color w:val="auto"/>
        </w:rPr>
        <w:t>.</w:t>
      </w:r>
    </w:p>
    <w:p w14:paraId="39A8EB7A" w14:textId="77777777" w:rsidR="00433F5D" w:rsidRPr="00D24342" w:rsidRDefault="00433F5D">
      <w:pPr>
        <w:spacing w:line="480" w:lineRule="auto"/>
        <w:rPr>
          <w:b/>
          <w:bCs/>
          <w:color w:val="auto"/>
        </w:rPr>
      </w:pPr>
    </w:p>
    <w:p w14:paraId="08951B42" w14:textId="75EB3CC0" w:rsidR="004F228C" w:rsidRPr="00D24342" w:rsidRDefault="00D73302">
      <w:pPr>
        <w:spacing w:line="480" w:lineRule="auto"/>
        <w:rPr>
          <w:color w:val="auto"/>
        </w:rPr>
      </w:pPr>
      <w:r w:rsidRPr="00D24342">
        <w:rPr>
          <w:b/>
          <w:bCs/>
          <w:color w:val="auto"/>
        </w:rPr>
        <w:t xml:space="preserve">Key Words: </w:t>
      </w:r>
      <w:r w:rsidRPr="00D24342">
        <w:rPr>
          <w:color w:val="auto"/>
        </w:rPr>
        <w:t>Violence, sexual behavior, multi-country, adolescents, epidemiology</w:t>
      </w:r>
      <w:r w:rsidR="008A127F" w:rsidRPr="00D24342">
        <w:rPr>
          <w:color w:val="auto"/>
        </w:rPr>
        <w:t>, low- and middle-income countries</w:t>
      </w:r>
    </w:p>
    <w:p w14:paraId="5B437164" w14:textId="77777777" w:rsidR="004F228C" w:rsidRPr="00D24342" w:rsidRDefault="004F228C">
      <w:pPr>
        <w:spacing w:line="480" w:lineRule="auto"/>
        <w:rPr>
          <w:b/>
          <w:bCs/>
          <w:color w:val="auto"/>
        </w:rPr>
      </w:pPr>
    </w:p>
    <w:p w14:paraId="58FC36F5" w14:textId="77777777" w:rsidR="008A127F" w:rsidRPr="00D24342" w:rsidRDefault="008A127F">
      <w:pPr>
        <w:spacing w:line="480" w:lineRule="auto"/>
        <w:rPr>
          <w:b/>
          <w:bCs/>
          <w:color w:val="auto"/>
        </w:rPr>
        <w:sectPr w:rsidR="008A127F" w:rsidRPr="00D24342">
          <w:footerReference w:type="default" r:id="rId10"/>
          <w:pgSz w:w="11900" w:h="16840"/>
          <w:pgMar w:top="1440" w:right="1440" w:bottom="1440" w:left="1440" w:header="720" w:footer="720" w:gutter="0"/>
          <w:cols w:space="720"/>
        </w:sectPr>
      </w:pPr>
    </w:p>
    <w:p w14:paraId="38AC8133" w14:textId="351B14D9" w:rsidR="004F228C" w:rsidRPr="00D24342" w:rsidRDefault="006F4194" w:rsidP="00726490">
      <w:pPr>
        <w:pStyle w:val="Heading1"/>
      </w:pPr>
      <w:r w:rsidRPr="00D24342">
        <w:lastRenderedPageBreak/>
        <w:t>Introduction</w:t>
      </w:r>
    </w:p>
    <w:p w14:paraId="4CE54A35" w14:textId="28460567" w:rsidR="004F228C" w:rsidRPr="00D24342" w:rsidRDefault="00797BCF">
      <w:pPr>
        <w:spacing w:line="480" w:lineRule="auto"/>
        <w:rPr>
          <w:color w:val="auto"/>
        </w:rPr>
      </w:pPr>
      <w:r w:rsidRPr="00D24342">
        <w:rPr>
          <w:color w:val="auto"/>
        </w:rPr>
        <w:t xml:space="preserve">Early sexual debut </w:t>
      </w:r>
      <w:r w:rsidR="00D73302" w:rsidRPr="00D24342">
        <w:rPr>
          <w:color w:val="auto"/>
        </w:rPr>
        <w:t>in adolescence, particularly young adolescence, is known to be associated with several negative outcomes including increased risk of suicide attempts</w:t>
      </w:r>
      <w:r w:rsidR="007F50A8" w:rsidRPr="00D24342">
        <w:rPr>
          <w:color w:val="auto"/>
        </w:rPr>
        <w:t xml:space="preserve"> </w:t>
      </w:r>
      <w:r w:rsidR="007F50A8" w:rsidRPr="00D24342">
        <w:rPr>
          <w:bCs/>
          <w:color w:val="auto"/>
        </w:rPr>
        <w:t>(</w:t>
      </w:r>
      <w:r w:rsidR="007F50A8" w:rsidRPr="00D24342">
        <w:rPr>
          <w:color w:val="auto"/>
        </w:rPr>
        <w:t>Smith et al., 2019</w:t>
      </w:r>
      <w:r w:rsidR="00927198" w:rsidRPr="00D24342">
        <w:rPr>
          <w:color w:val="auto"/>
        </w:rPr>
        <w:t>c</w:t>
      </w:r>
      <w:r w:rsidR="007F50A8" w:rsidRPr="00D24342">
        <w:rPr>
          <w:color w:val="auto"/>
        </w:rPr>
        <w:t>)</w:t>
      </w:r>
      <w:r w:rsidR="00D73302" w:rsidRPr="00D24342">
        <w:rPr>
          <w:color w:val="auto"/>
        </w:rPr>
        <w:t>,</w:t>
      </w:r>
      <w:r w:rsidR="007F50A8" w:rsidRPr="00D24342">
        <w:rPr>
          <w:color w:val="auto"/>
          <w:vertAlign w:val="superscript"/>
        </w:rPr>
        <w:t xml:space="preserve"> </w:t>
      </w:r>
      <w:r w:rsidR="00D73302" w:rsidRPr="00D24342">
        <w:rPr>
          <w:color w:val="auto"/>
        </w:rPr>
        <w:t>a high prevalence of sexually transmitted infections - particularly Chlamydia</w:t>
      </w:r>
      <w:r w:rsidR="007F50A8" w:rsidRPr="00D24342">
        <w:rPr>
          <w:color w:val="auto"/>
        </w:rPr>
        <w:t xml:space="preserve"> </w:t>
      </w:r>
      <w:r w:rsidR="007F50A8" w:rsidRPr="00D24342">
        <w:rPr>
          <w:bCs/>
          <w:color w:val="auto"/>
        </w:rPr>
        <w:t>(Centers for Disease Control and Prevention, 2018)</w:t>
      </w:r>
      <w:r w:rsidR="00D73302" w:rsidRPr="00D24342">
        <w:rPr>
          <w:color w:val="auto"/>
        </w:rPr>
        <w:t>, poor mental health in adulthood</w:t>
      </w:r>
      <w:r w:rsidR="007F50A8" w:rsidRPr="00D24342">
        <w:rPr>
          <w:color w:val="auto"/>
        </w:rPr>
        <w:t xml:space="preserve"> </w:t>
      </w:r>
      <w:r w:rsidR="007F50A8" w:rsidRPr="00D24342">
        <w:rPr>
          <w:bCs/>
          <w:color w:val="auto"/>
        </w:rPr>
        <w:t>(</w:t>
      </w:r>
      <w:proofErr w:type="spellStart"/>
      <w:r w:rsidR="007F50A8" w:rsidRPr="00D24342">
        <w:rPr>
          <w:bCs/>
          <w:color w:val="auto"/>
        </w:rPr>
        <w:t>Mota</w:t>
      </w:r>
      <w:proofErr w:type="spellEnd"/>
      <w:r w:rsidR="007F50A8" w:rsidRPr="00D24342">
        <w:rPr>
          <w:bCs/>
          <w:color w:val="auto"/>
        </w:rPr>
        <w:t>, Cox, Katz, Sareen, 2010)</w:t>
      </w:r>
      <w:r w:rsidR="00D73302" w:rsidRPr="00D24342">
        <w:rPr>
          <w:color w:val="auto"/>
        </w:rPr>
        <w:t>, and adolescent pregnancy. Importantly, adolescent pregnancy may lead to interruptions in education that may have long lasting negative effects on life trajectories</w:t>
      </w:r>
      <w:r w:rsidR="007F50A8" w:rsidRPr="00D24342">
        <w:rPr>
          <w:color w:val="auto"/>
        </w:rPr>
        <w:t xml:space="preserve"> (Klein, 2005)</w:t>
      </w:r>
      <w:r w:rsidR="008470D3" w:rsidRPr="00D24342">
        <w:rPr>
          <w:color w:val="auto"/>
        </w:rPr>
        <w:t>,</w:t>
      </w:r>
      <w:r w:rsidR="00D73302" w:rsidRPr="00D24342">
        <w:rPr>
          <w:color w:val="auto"/>
        </w:rPr>
        <w:t xml:space="preserve"> while complications during pregnancy and childbirth are the leading cause of death for 15 to 19-year-old girls especially in low- and middle-income countries (LMICs)</w:t>
      </w:r>
      <w:r w:rsidR="007F50A8" w:rsidRPr="00D24342">
        <w:rPr>
          <w:bCs/>
          <w:color w:val="auto"/>
        </w:rPr>
        <w:t xml:space="preserve"> (World Health Organization, 2018).</w:t>
      </w:r>
    </w:p>
    <w:p w14:paraId="135CB470" w14:textId="77777777" w:rsidR="004F228C" w:rsidRPr="00D24342" w:rsidRDefault="004F228C">
      <w:pPr>
        <w:spacing w:line="480" w:lineRule="auto"/>
        <w:rPr>
          <w:color w:val="auto"/>
        </w:rPr>
      </w:pPr>
    </w:p>
    <w:p w14:paraId="6682F6B7" w14:textId="2621FC2F" w:rsidR="004F228C" w:rsidRPr="00D24342" w:rsidRDefault="00D73302">
      <w:pPr>
        <w:spacing w:line="480" w:lineRule="auto"/>
        <w:rPr>
          <w:color w:val="auto"/>
        </w:rPr>
      </w:pPr>
      <w:r w:rsidRPr="00D24342">
        <w:rPr>
          <w:color w:val="auto"/>
        </w:rPr>
        <w:t>However, despite such negative effects, the prevalence of sexual intercourse among young adolescents is particularly high. Indeed, in a previous multi-country study in 34,674 adolescents aged 12-15 years, it was found that the prevalence of past 12-month sexual intercourse was 11.9%</w:t>
      </w:r>
      <w:r w:rsidR="007F50A8" w:rsidRPr="00D24342">
        <w:rPr>
          <w:color w:val="auto"/>
        </w:rPr>
        <w:t xml:space="preserve"> (Smith et al., 2019</w:t>
      </w:r>
      <w:r w:rsidR="00927198" w:rsidRPr="00D24342">
        <w:rPr>
          <w:color w:val="auto"/>
        </w:rPr>
        <w:t>b</w:t>
      </w:r>
      <w:r w:rsidR="007F50A8" w:rsidRPr="00D24342">
        <w:rPr>
          <w:color w:val="auto"/>
        </w:rPr>
        <w:t>)</w:t>
      </w:r>
      <w:r w:rsidRPr="00D24342">
        <w:rPr>
          <w:color w:val="auto"/>
        </w:rPr>
        <w:t xml:space="preserve">. This high prevalence and the discussed literature suggest that </w:t>
      </w:r>
      <w:r w:rsidR="0050762E" w:rsidRPr="00D24342">
        <w:rPr>
          <w:color w:val="auto"/>
        </w:rPr>
        <w:t>early sexual debut</w:t>
      </w:r>
      <w:r w:rsidR="005F42DF" w:rsidRPr="00D24342">
        <w:rPr>
          <w:color w:val="auto"/>
        </w:rPr>
        <w:t xml:space="preserve"> </w:t>
      </w:r>
      <w:r w:rsidRPr="00D24342">
        <w:rPr>
          <w:color w:val="auto"/>
        </w:rPr>
        <w:t xml:space="preserve">in adolescents should be discouraged on a global scale. In order to achieve this goal, correlates of </w:t>
      </w:r>
      <w:r w:rsidR="0050762E" w:rsidRPr="00D24342">
        <w:rPr>
          <w:color w:val="auto"/>
        </w:rPr>
        <w:t xml:space="preserve">early sexual debut </w:t>
      </w:r>
      <w:r w:rsidR="008F3B00" w:rsidRPr="00D24342">
        <w:rPr>
          <w:color w:val="auto"/>
        </w:rPr>
        <w:t xml:space="preserve">and other risky sexual behavior </w:t>
      </w:r>
      <w:r w:rsidRPr="00D24342">
        <w:rPr>
          <w:color w:val="auto"/>
        </w:rPr>
        <w:t>among the adolescent population should be identified to inform targeted interventions.</w:t>
      </w:r>
    </w:p>
    <w:p w14:paraId="493FB601" w14:textId="77777777" w:rsidR="004F228C" w:rsidRPr="00D24342" w:rsidRDefault="004F228C">
      <w:pPr>
        <w:spacing w:line="480" w:lineRule="auto"/>
        <w:rPr>
          <w:color w:val="auto"/>
        </w:rPr>
      </w:pPr>
    </w:p>
    <w:p w14:paraId="2C3610F1" w14:textId="00D4514C" w:rsidR="004F228C" w:rsidRPr="00D24342" w:rsidRDefault="00D73302">
      <w:pPr>
        <w:spacing w:line="480" w:lineRule="auto"/>
        <w:rPr>
          <w:color w:val="auto"/>
        </w:rPr>
      </w:pPr>
      <w:r w:rsidRPr="00D24342">
        <w:rPr>
          <w:color w:val="auto"/>
        </w:rPr>
        <w:t xml:space="preserve">One understudied potential correlate is physical violence, </w:t>
      </w:r>
      <w:bookmarkStart w:id="0" w:name="_Hlk36802629"/>
      <w:r w:rsidRPr="00D24342">
        <w:rPr>
          <w:color w:val="auto"/>
        </w:rPr>
        <w:t>defined here as the application of immediate and unlawful physical force</w:t>
      </w:r>
      <w:r w:rsidR="0050762E" w:rsidRPr="00D24342">
        <w:rPr>
          <w:color w:val="auto"/>
        </w:rPr>
        <w:t>; or the act of engaging in physical fight</w:t>
      </w:r>
      <w:r w:rsidR="00012DFB" w:rsidRPr="00D24342">
        <w:rPr>
          <w:color w:val="auto"/>
        </w:rPr>
        <w:t>s</w:t>
      </w:r>
      <w:r w:rsidRPr="00D24342">
        <w:rPr>
          <w:color w:val="auto"/>
        </w:rPr>
        <w:t xml:space="preserve">. </w:t>
      </w:r>
      <w:bookmarkEnd w:id="0"/>
      <w:r w:rsidRPr="00D24342">
        <w:rPr>
          <w:color w:val="auto"/>
        </w:rPr>
        <w:t>The prevalence of youth violence is high. For example, globally</w:t>
      </w:r>
      <w:r w:rsidR="00BE4C9C" w:rsidRPr="00D24342">
        <w:rPr>
          <w:color w:val="auto"/>
        </w:rPr>
        <w:t>,</w:t>
      </w:r>
      <w:r w:rsidRPr="00D24342">
        <w:rPr>
          <w:color w:val="auto"/>
        </w:rPr>
        <w:t xml:space="preserve"> the fourth leading cause of death in young people is homicide (10–29 years old)</w:t>
      </w:r>
      <w:r w:rsidR="007F50A8" w:rsidRPr="00D24342">
        <w:rPr>
          <w:color w:val="auto"/>
        </w:rPr>
        <w:t xml:space="preserve"> </w:t>
      </w:r>
      <w:r w:rsidR="007F50A8" w:rsidRPr="00D24342">
        <w:rPr>
          <w:bCs/>
          <w:color w:val="auto"/>
        </w:rPr>
        <w:t>(World Health Organization, 2014)</w:t>
      </w:r>
      <w:r w:rsidR="001C0810" w:rsidRPr="00D24342">
        <w:rPr>
          <w:color w:val="auto"/>
        </w:rPr>
        <w:t xml:space="preserve">, </w:t>
      </w:r>
      <w:r w:rsidR="00BE4C9C" w:rsidRPr="00D24342">
        <w:rPr>
          <w:color w:val="auto"/>
        </w:rPr>
        <w:t xml:space="preserve">and </w:t>
      </w:r>
      <w:r w:rsidR="001C0810" w:rsidRPr="00D24342">
        <w:rPr>
          <w:bCs/>
          <w:color w:val="auto"/>
        </w:rPr>
        <w:t xml:space="preserve">other country specific data support this statement </w:t>
      </w:r>
      <w:r w:rsidR="008C102E" w:rsidRPr="00D24342">
        <w:rPr>
          <w:bCs/>
          <w:color w:val="auto"/>
        </w:rPr>
        <w:t xml:space="preserve">(Australian Institute of Health and Welfare, 2019; </w:t>
      </w:r>
      <w:proofErr w:type="spellStart"/>
      <w:r w:rsidR="008C102E" w:rsidRPr="00D24342">
        <w:rPr>
          <w:bCs/>
          <w:color w:val="auto"/>
        </w:rPr>
        <w:t>Miniño</w:t>
      </w:r>
      <w:proofErr w:type="spellEnd"/>
      <w:r w:rsidR="008C102E" w:rsidRPr="00D24342">
        <w:rPr>
          <w:bCs/>
          <w:color w:val="auto"/>
        </w:rPr>
        <w:t xml:space="preserve">, 2010; </w:t>
      </w:r>
      <w:r w:rsidR="008C102E" w:rsidRPr="00D24342">
        <w:rPr>
          <w:color w:val="auto"/>
        </w:rPr>
        <w:t>Patton et al., 2009)</w:t>
      </w:r>
      <w:r w:rsidR="001C0810" w:rsidRPr="00D24342">
        <w:rPr>
          <w:color w:val="auto"/>
        </w:rPr>
        <w:t>.</w:t>
      </w:r>
      <w:r w:rsidR="0013359C" w:rsidRPr="00D24342">
        <w:rPr>
          <w:color w:val="auto"/>
        </w:rPr>
        <w:t xml:space="preserve"> </w:t>
      </w:r>
      <w:r w:rsidRPr="00D24342">
        <w:rPr>
          <w:color w:val="auto"/>
        </w:rPr>
        <w:t xml:space="preserve">Importantly, there are differences in prevalence between </w:t>
      </w:r>
      <w:r w:rsidRPr="00D24342">
        <w:rPr>
          <w:color w:val="auto"/>
        </w:rPr>
        <w:lastRenderedPageBreak/>
        <w:t>countries with the majority of deaths due to homicide occurring in LMICs</w:t>
      </w:r>
      <w:r w:rsidR="007F50A8" w:rsidRPr="00D24342">
        <w:rPr>
          <w:color w:val="auto"/>
        </w:rPr>
        <w:t xml:space="preserve"> </w:t>
      </w:r>
      <w:r w:rsidR="007F50A8" w:rsidRPr="00D24342">
        <w:rPr>
          <w:bCs/>
          <w:color w:val="auto"/>
        </w:rPr>
        <w:t>(World Health Organization, 2014)</w:t>
      </w:r>
      <w:r w:rsidRPr="00D24342">
        <w:rPr>
          <w:color w:val="auto"/>
        </w:rPr>
        <w:t>.</w:t>
      </w:r>
      <w:r w:rsidR="007F50A8" w:rsidRPr="00D24342">
        <w:rPr>
          <w:color w:val="auto"/>
        </w:rPr>
        <w:t xml:space="preserve"> </w:t>
      </w:r>
      <w:r w:rsidRPr="00D24342">
        <w:rPr>
          <w:color w:val="auto"/>
        </w:rPr>
        <w:t>Moreover, through violence, many more young people are hospitalized owing to injuries. It has also been suggested that in addition to death and injuries, mental and/or emotional health problems, disability, and increased health-risk behaviors are key consequences of violence in young people</w:t>
      </w:r>
      <w:r w:rsidR="007F50A8" w:rsidRPr="00D24342">
        <w:rPr>
          <w:color w:val="auto"/>
        </w:rPr>
        <w:t xml:space="preserve"> </w:t>
      </w:r>
      <w:r w:rsidR="007F50A8" w:rsidRPr="00D24342">
        <w:rPr>
          <w:bCs/>
          <w:color w:val="auto"/>
        </w:rPr>
        <w:t>(World Health Organization</w:t>
      </w:r>
      <w:r w:rsidR="007F50A8" w:rsidRPr="00D24342">
        <w:rPr>
          <w:rStyle w:val="Hyperlink0"/>
          <w:bCs/>
          <w:color w:val="auto"/>
          <w:u w:val="none"/>
        </w:rPr>
        <w:t>, 2019)</w:t>
      </w:r>
      <w:r w:rsidR="007F50A8" w:rsidRPr="00D24342">
        <w:rPr>
          <w:color w:val="auto"/>
        </w:rPr>
        <w:t>.</w:t>
      </w:r>
      <w:r w:rsidRPr="00D24342">
        <w:rPr>
          <w:color w:val="auto"/>
        </w:rPr>
        <w:t xml:space="preserve"> </w:t>
      </w:r>
    </w:p>
    <w:p w14:paraId="3134B974" w14:textId="77777777" w:rsidR="004F228C" w:rsidRPr="00D24342" w:rsidRDefault="004F228C">
      <w:pPr>
        <w:spacing w:line="480" w:lineRule="auto"/>
        <w:rPr>
          <w:color w:val="auto"/>
        </w:rPr>
      </w:pPr>
    </w:p>
    <w:p w14:paraId="57C9E51E" w14:textId="4CBADEB0" w:rsidR="00D20CA1" w:rsidRPr="00D24342" w:rsidRDefault="00E052A9" w:rsidP="00D20CA1">
      <w:pPr>
        <w:spacing w:line="480" w:lineRule="auto"/>
        <w:rPr>
          <w:rFonts w:cs="Times New Roman"/>
          <w:color w:val="auto"/>
        </w:rPr>
      </w:pPr>
      <w:r w:rsidRPr="00D24342">
        <w:rPr>
          <w:rFonts w:cs="Times New Roman"/>
          <w:color w:val="auto"/>
        </w:rPr>
        <w:t xml:space="preserve">A series of studies from </w:t>
      </w:r>
      <w:r w:rsidR="00D7281A" w:rsidRPr="00D24342">
        <w:rPr>
          <w:rFonts w:cs="Times New Roman"/>
          <w:color w:val="auto"/>
        </w:rPr>
        <w:t xml:space="preserve">the National Longitudinal Study of Adolescent to Adult Health (Add Health) </w:t>
      </w:r>
      <w:r w:rsidRPr="00D24342">
        <w:rPr>
          <w:rFonts w:cs="Times New Roman"/>
          <w:color w:val="auto"/>
        </w:rPr>
        <w:t xml:space="preserve">have </w:t>
      </w:r>
      <w:r w:rsidR="0008639E" w:rsidRPr="00D24342">
        <w:rPr>
          <w:rFonts w:cs="Times New Roman"/>
          <w:color w:val="auto"/>
        </w:rPr>
        <w:t xml:space="preserve">shown how violence in general may be associated with sexual behavior longitudinally. Specifically, in this </w:t>
      </w:r>
      <w:r w:rsidRPr="00D24342">
        <w:rPr>
          <w:rFonts w:cs="Times New Roman"/>
          <w:color w:val="auto"/>
        </w:rPr>
        <w:t>nationally representative sample of U.S. ado</w:t>
      </w:r>
      <w:r w:rsidR="0008639E" w:rsidRPr="00D24342">
        <w:rPr>
          <w:rFonts w:cs="Times New Roman"/>
          <w:color w:val="auto"/>
        </w:rPr>
        <w:t>lescents in grades 7 through 12</w:t>
      </w:r>
      <w:r w:rsidR="00112C7E" w:rsidRPr="00D24342">
        <w:rPr>
          <w:rFonts w:cs="Times New Roman"/>
          <w:color w:val="auto"/>
        </w:rPr>
        <w:t xml:space="preserve"> at baseline</w:t>
      </w:r>
      <w:r w:rsidR="0008639E" w:rsidRPr="00D24342">
        <w:rPr>
          <w:rFonts w:cs="Times New Roman"/>
          <w:color w:val="auto"/>
        </w:rPr>
        <w:t>, t</w:t>
      </w:r>
      <w:r w:rsidRPr="00D24342">
        <w:rPr>
          <w:rFonts w:cs="Times New Roman"/>
          <w:color w:val="auto"/>
        </w:rPr>
        <w:t xml:space="preserve">he cohort was followed into young adulthood </w:t>
      </w:r>
      <w:r w:rsidR="00CB1614" w:rsidRPr="00D24342">
        <w:rPr>
          <w:rFonts w:cs="Times New Roman"/>
          <w:color w:val="auto"/>
        </w:rPr>
        <w:t xml:space="preserve">(Harris, &amp; </w:t>
      </w:r>
      <w:proofErr w:type="spellStart"/>
      <w:r w:rsidR="00CB1614" w:rsidRPr="00D24342">
        <w:rPr>
          <w:rFonts w:cs="Times New Roman"/>
          <w:color w:val="auto"/>
        </w:rPr>
        <w:t>Udry</w:t>
      </w:r>
      <w:proofErr w:type="spellEnd"/>
      <w:r w:rsidR="00CB1614" w:rsidRPr="00D24342">
        <w:rPr>
          <w:rFonts w:cs="Times New Roman"/>
          <w:color w:val="auto"/>
        </w:rPr>
        <w:t>, 2014).</w:t>
      </w:r>
      <w:r w:rsidR="008D409F" w:rsidRPr="00D24342">
        <w:rPr>
          <w:rFonts w:cs="Times New Roman"/>
          <w:color w:val="auto"/>
        </w:rPr>
        <w:t xml:space="preserve"> </w:t>
      </w:r>
      <w:r w:rsidRPr="00D24342">
        <w:rPr>
          <w:rFonts w:cs="Times New Roman"/>
          <w:color w:val="auto"/>
        </w:rPr>
        <w:t>Findings from this study support an association between violence/victimization and early sexual debut. For example, the study found that youth victimized in late adolescence displayed an accelerated trajectory of sexual activity</w:t>
      </w:r>
      <w:r w:rsidR="008D409F" w:rsidRPr="00D24342">
        <w:rPr>
          <w:rFonts w:cs="Times New Roman"/>
          <w:color w:val="auto"/>
        </w:rPr>
        <w:t xml:space="preserve"> (Warner, &amp; Warner, 2019)</w:t>
      </w:r>
      <w:r w:rsidR="0008639E" w:rsidRPr="00D24342">
        <w:rPr>
          <w:rFonts w:cs="Times New Roman"/>
          <w:color w:val="auto"/>
        </w:rPr>
        <w:t>,</w:t>
      </w:r>
      <w:r w:rsidR="008D409F" w:rsidRPr="00D24342">
        <w:rPr>
          <w:rFonts w:cs="Times New Roman"/>
          <w:color w:val="auto"/>
        </w:rPr>
        <w:t xml:space="preserve"> </w:t>
      </w:r>
      <w:r w:rsidR="0008639E" w:rsidRPr="00D24342">
        <w:rPr>
          <w:rFonts w:cs="Times New Roman"/>
          <w:color w:val="auto"/>
        </w:rPr>
        <w:t>while exposure to community violence was</w:t>
      </w:r>
      <w:r w:rsidRPr="00D24342">
        <w:rPr>
          <w:rFonts w:cs="Times New Roman"/>
          <w:color w:val="auto"/>
        </w:rPr>
        <w:t xml:space="preserve"> associated with earlier sexual debu</w:t>
      </w:r>
      <w:r w:rsidR="00112C7E" w:rsidRPr="00D24342">
        <w:rPr>
          <w:rFonts w:cs="Times New Roman"/>
          <w:color w:val="auto"/>
        </w:rPr>
        <w:t xml:space="preserve">t history, </w:t>
      </w:r>
      <w:r w:rsidRPr="00D24342">
        <w:rPr>
          <w:rFonts w:cs="Times New Roman"/>
          <w:color w:val="auto"/>
        </w:rPr>
        <w:t>higher number of sexual partners withi</w:t>
      </w:r>
      <w:r w:rsidR="00112C7E" w:rsidRPr="00D24342">
        <w:rPr>
          <w:rFonts w:cs="Times New Roman"/>
          <w:color w:val="auto"/>
        </w:rPr>
        <w:t xml:space="preserve">n the previous 12 months, and </w:t>
      </w:r>
      <w:r w:rsidRPr="00D24342">
        <w:rPr>
          <w:rFonts w:cs="Times New Roman"/>
          <w:color w:val="auto"/>
        </w:rPr>
        <w:t xml:space="preserve">higher </w:t>
      </w:r>
      <w:r w:rsidR="00E02308" w:rsidRPr="00D24342">
        <w:rPr>
          <w:rFonts w:cs="Times New Roman"/>
          <w:color w:val="auto"/>
        </w:rPr>
        <w:t>number of total sexual partners (</w:t>
      </w:r>
      <w:proofErr w:type="spellStart"/>
      <w:r w:rsidR="00E02308" w:rsidRPr="00D24342">
        <w:rPr>
          <w:rFonts w:cs="Times New Roman"/>
          <w:color w:val="auto"/>
        </w:rPr>
        <w:t>Voisin</w:t>
      </w:r>
      <w:proofErr w:type="spellEnd"/>
      <w:r w:rsidR="00E02308" w:rsidRPr="00D24342">
        <w:rPr>
          <w:rFonts w:cs="Times New Roman"/>
          <w:color w:val="auto"/>
        </w:rPr>
        <w:t xml:space="preserve">, Chen, Fullilove, &amp; Jacobson, </w:t>
      </w:r>
      <w:r w:rsidR="00D20CA1" w:rsidRPr="00D24342">
        <w:rPr>
          <w:rFonts w:cs="Times New Roman"/>
          <w:color w:val="auto"/>
        </w:rPr>
        <w:t>2015).</w:t>
      </w:r>
    </w:p>
    <w:p w14:paraId="3353DDEA" w14:textId="56F1E464" w:rsidR="00E12948" w:rsidRPr="00D24342" w:rsidRDefault="00185CC3" w:rsidP="00E12948">
      <w:pPr>
        <w:spacing w:line="480" w:lineRule="auto"/>
        <w:rPr>
          <w:color w:val="auto"/>
        </w:rPr>
      </w:pPr>
      <w:r w:rsidRPr="00D24342">
        <w:rPr>
          <w:color w:val="auto"/>
        </w:rPr>
        <w:t xml:space="preserve">Other studies, all from </w:t>
      </w:r>
      <w:r w:rsidR="00022D25" w:rsidRPr="00D24342">
        <w:rPr>
          <w:color w:val="auto"/>
        </w:rPr>
        <w:t>high income-countries</w:t>
      </w:r>
      <w:r w:rsidRPr="00D24342">
        <w:rPr>
          <w:color w:val="auto"/>
        </w:rPr>
        <w:t xml:space="preserve">, have found that </w:t>
      </w:r>
      <w:r w:rsidR="00D73302" w:rsidRPr="00D24342">
        <w:rPr>
          <w:color w:val="auto"/>
        </w:rPr>
        <w:t>more extensive violence exposure and cumulative exposure to different kinds of violence were associated with overall unsafe sex, more partners, and inconsistent condom use</w:t>
      </w:r>
      <w:r w:rsidR="007F50A8" w:rsidRPr="00D24342">
        <w:rPr>
          <w:color w:val="auto"/>
        </w:rPr>
        <w:t xml:space="preserve"> </w:t>
      </w:r>
      <w:r w:rsidR="007F50A8" w:rsidRPr="00D24342">
        <w:rPr>
          <w:bCs/>
          <w:color w:val="auto"/>
        </w:rPr>
        <w:t xml:space="preserve">(Wilson, Woods, Emerson, &amp; </w:t>
      </w:r>
      <w:proofErr w:type="spellStart"/>
      <w:r w:rsidR="007F50A8" w:rsidRPr="00D24342">
        <w:rPr>
          <w:bCs/>
          <w:color w:val="auto"/>
        </w:rPr>
        <w:t>Donenberg</w:t>
      </w:r>
      <w:proofErr w:type="spellEnd"/>
      <w:r w:rsidR="007F50A8" w:rsidRPr="00D24342">
        <w:rPr>
          <w:bCs/>
          <w:color w:val="auto"/>
        </w:rPr>
        <w:t>, 2012)</w:t>
      </w:r>
      <w:r w:rsidRPr="00D24342">
        <w:rPr>
          <w:color w:val="auto"/>
        </w:rPr>
        <w:t xml:space="preserve">, or that </w:t>
      </w:r>
      <w:r w:rsidR="00D73302" w:rsidRPr="00D24342">
        <w:rPr>
          <w:color w:val="auto"/>
        </w:rPr>
        <w:t>adolescent girls who had witnessed or experienced violence were much more likely to engage in risky sexual behavior</w:t>
      </w:r>
      <w:r w:rsidR="007F50A8" w:rsidRPr="00D24342">
        <w:rPr>
          <w:color w:val="auto"/>
        </w:rPr>
        <w:t xml:space="preserve"> (</w:t>
      </w:r>
      <w:r w:rsidR="007F50A8" w:rsidRPr="00D24342">
        <w:rPr>
          <w:bCs/>
          <w:color w:val="auto"/>
        </w:rPr>
        <w:t xml:space="preserve">Berenson, </w:t>
      </w:r>
      <w:proofErr w:type="spellStart"/>
      <w:r w:rsidR="007F50A8" w:rsidRPr="00D24342">
        <w:rPr>
          <w:bCs/>
          <w:color w:val="auto"/>
        </w:rPr>
        <w:t>Wiemann</w:t>
      </w:r>
      <w:proofErr w:type="spellEnd"/>
      <w:r w:rsidR="007F50A8" w:rsidRPr="00D24342">
        <w:rPr>
          <w:bCs/>
          <w:color w:val="auto"/>
        </w:rPr>
        <w:t>, &amp; McCombs, 2001)</w:t>
      </w:r>
      <w:r w:rsidR="0059107D" w:rsidRPr="00D24342">
        <w:rPr>
          <w:color w:val="auto"/>
        </w:rPr>
        <w:t>.</w:t>
      </w:r>
      <w:r w:rsidR="007F50A8" w:rsidRPr="00D24342">
        <w:rPr>
          <w:color w:val="auto"/>
        </w:rPr>
        <w:t xml:space="preserve"> </w:t>
      </w:r>
      <w:r w:rsidRPr="00D24342">
        <w:rPr>
          <w:color w:val="auto"/>
        </w:rPr>
        <w:t>It has also previously been suggested that aggression (a potential proxy for physical fighting) is associated with general and sexual risk-taking (Zuckerman, &amp; Kuhlman, 2000).</w:t>
      </w:r>
      <w:r w:rsidR="00E12948" w:rsidRPr="00D24342">
        <w:rPr>
          <w:color w:val="auto"/>
        </w:rPr>
        <w:t xml:space="preserve"> It is possible that violence may be associated with a decline in self-efficacy or self-esteem </w:t>
      </w:r>
      <w:r w:rsidR="00E12948" w:rsidRPr="00D24342">
        <w:rPr>
          <w:bCs/>
          <w:color w:val="auto"/>
        </w:rPr>
        <w:lastRenderedPageBreak/>
        <w:t xml:space="preserve">(Nygaard, Johansen, </w:t>
      </w:r>
      <w:proofErr w:type="spellStart"/>
      <w:r w:rsidR="00E12948" w:rsidRPr="00D24342">
        <w:rPr>
          <w:bCs/>
          <w:color w:val="auto"/>
        </w:rPr>
        <w:t>Siqveland</w:t>
      </w:r>
      <w:proofErr w:type="spellEnd"/>
      <w:r w:rsidR="00E12948" w:rsidRPr="00D24342">
        <w:rPr>
          <w:bCs/>
          <w:color w:val="auto"/>
        </w:rPr>
        <w:t>, Hussain, &amp; Heir, 2017)</w:t>
      </w:r>
      <w:r w:rsidR="00E12948" w:rsidRPr="00D24342">
        <w:rPr>
          <w:color w:val="auto"/>
          <w:vertAlign w:val="superscript"/>
        </w:rPr>
        <w:t xml:space="preserve"> </w:t>
      </w:r>
      <w:r w:rsidR="00E12948" w:rsidRPr="00D24342">
        <w:rPr>
          <w:color w:val="auto"/>
        </w:rPr>
        <w:t xml:space="preserve">and this may be associated with a higher risk of risky sexual behavior (Longmore, Manning, Giordano, </w:t>
      </w:r>
      <w:r w:rsidR="00E12948" w:rsidRPr="00D24342">
        <w:rPr>
          <w:bCs/>
          <w:color w:val="auto"/>
        </w:rPr>
        <w:t xml:space="preserve">&amp; </w:t>
      </w:r>
      <w:r w:rsidR="00E12948" w:rsidRPr="00D24342">
        <w:rPr>
          <w:color w:val="auto"/>
        </w:rPr>
        <w:t xml:space="preserve">Rudolph, 2003). </w:t>
      </w:r>
    </w:p>
    <w:p w14:paraId="07B4ED69" w14:textId="756CECDA" w:rsidR="00185CC3" w:rsidRPr="00D24342" w:rsidRDefault="00185CC3">
      <w:pPr>
        <w:spacing w:line="480" w:lineRule="auto"/>
        <w:rPr>
          <w:color w:val="auto"/>
        </w:rPr>
      </w:pPr>
    </w:p>
    <w:p w14:paraId="29F4FAD7" w14:textId="3E6229FF" w:rsidR="004F228C" w:rsidRPr="00D24342" w:rsidRDefault="00A22732" w:rsidP="00A22732">
      <w:pPr>
        <w:spacing w:line="480" w:lineRule="auto"/>
        <w:rPr>
          <w:color w:val="auto"/>
        </w:rPr>
      </w:pPr>
      <w:r w:rsidRPr="00D24342">
        <w:rPr>
          <w:color w:val="auto"/>
        </w:rPr>
        <w:t>Although these previous studies have advance</w:t>
      </w:r>
      <w:r w:rsidR="009723E9" w:rsidRPr="00D24342">
        <w:rPr>
          <w:color w:val="auto"/>
        </w:rPr>
        <w:t>d</w:t>
      </w:r>
      <w:r w:rsidRPr="00D24342">
        <w:rPr>
          <w:color w:val="auto"/>
        </w:rPr>
        <w:t xml:space="preserve"> the field, to </w:t>
      </w:r>
      <w:r w:rsidR="00D73302" w:rsidRPr="00D24342">
        <w:rPr>
          <w:color w:val="auto"/>
        </w:rPr>
        <w:t>date, no study has investigated the association between violence and sexual behavior in a large representative sample of adolescents</w:t>
      </w:r>
      <w:r w:rsidR="00DA0DA6" w:rsidRPr="00D24342">
        <w:rPr>
          <w:color w:val="auto"/>
        </w:rPr>
        <w:t xml:space="preserve"> outside the U.S.</w:t>
      </w:r>
      <w:r w:rsidR="00D73302" w:rsidRPr="00D24342">
        <w:rPr>
          <w:color w:val="auto"/>
        </w:rPr>
        <w:t xml:space="preserve">, while </w:t>
      </w:r>
      <w:proofErr w:type="spellStart"/>
      <w:r w:rsidR="00D73302" w:rsidRPr="00D24342">
        <w:rPr>
          <w:color w:val="auto"/>
        </w:rPr>
        <w:t>multicountry</w:t>
      </w:r>
      <w:proofErr w:type="spellEnd"/>
      <w:r w:rsidR="00D73302" w:rsidRPr="00D24342">
        <w:rPr>
          <w:color w:val="auto"/>
        </w:rPr>
        <w:t xml:space="preserve"> studies are also lacking. Thus, the present study aimed to examine the relationship between physical attack and physical fight </w:t>
      </w:r>
      <w:r w:rsidR="00D44AC3" w:rsidRPr="00D24342">
        <w:rPr>
          <w:color w:val="auto"/>
        </w:rPr>
        <w:t xml:space="preserve">(exposures) </w:t>
      </w:r>
      <w:r w:rsidR="00D73302" w:rsidRPr="00D24342">
        <w:rPr>
          <w:color w:val="auto"/>
        </w:rPr>
        <w:t xml:space="preserve">with sexual intercourse, multiple sexual partners and non-condom use </w:t>
      </w:r>
      <w:r w:rsidR="00D44AC3" w:rsidRPr="00D24342">
        <w:rPr>
          <w:color w:val="auto"/>
        </w:rPr>
        <w:t xml:space="preserve">(outcome) </w:t>
      </w:r>
      <w:r w:rsidR="00D73302" w:rsidRPr="00D24342">
        <w:rPr>
          <w:color w:val="auto"/>
        </w:rPr>
        <w:t xml:space="preserve">among </w:t>
      </w:r>
      <w:r w:rsidR="00594CC5" w:rsidRPr="00D24342">
        <w:rPr>
          <w:color w:val="auto"/>
        </w:rPr>
        <w:t xml:space="preserve">127,513 </w:t>
      </w:r>
      <w:r w:rsidR="00D73302" w:rsidRPr="00D24342">
        <w:rPr>
          <w:color w:val="auto"/>
        </w:rPr>
        <w:t xml:space="preserve">boys and girls aged 12-15 years from </w:t>
      </w:r>
      <w:r w:rsidR="00CE7C6F" w:rsidRPr="00D24342">
        <w:rPr>
          <w:color w:val="auto"/>
        </w:rPr>
        <w:t>4</w:t>
      </w:r>
      <w:r w:rsidR="00D73302" w:rsidRPr="00D24342">
        <w:rPr>
          <w:color w:val="auto"/>
        </w:rPr>
        <w:t xml:space="preserve">3 LMICs. Examining the association between violence and </w:t>
      </w:r>
      <w:r w:rsidR="0050762E" w:rsidRPr="00D24342">
        <w:rPr>
          <w:color w:val="auto"/>
        </w:rPr>
        <w:t xml:space="preserve">early sexual debut </w:t>
      </w:r>
      <w:r w:rsidR="00B83F18" w:rsidRPr="00D24342">
        <w:rPr>
          <w:color w:val="auto"/>
        </w:rPr>
        <w:t xml:space="preserve">and other risky sexual behaviors </w:t>
      </w:r>
      <w:r w:rsidR="002F2D11" w:rsidRPr="00D24342">
        <w:rPr>
          <w:color w:val="auto"/>
        </w:rPr>
        <w:t>in</w:t>
      </w:r>
      <w:r w:rsidR="00D73302" w:rsidRPr="00D24342">
        <w:rPr>
          <w:color w:val="auto"/>
        </w:rPr>
        <w:t xml:space="preserve"> adolescents is important to identify whether violence is a potentially modifiable risk factor for</w:t>
      </w:r>
      <w:r w:rsidR="00B83F18" w:rsidRPr="00D24342">
        <w:rPr>
          <w:color w:val="auto"/>
        </w:rPr>
        <w:t xml:space="preserve"> these behaviors</w:t>
      </w:r>
      <w:r w:rsidR="00D73302" w:rsidRPr="00D24342">
        <w:rPr>
          <w:color w:val="auto"/>
        </w:rPr>
        <w:t>, as well as the consequent potentially detrimental impacts on health and wellbeing.</w:t>
      </w:r>
    </w:p>
    <w:p w14:paraId="3647D8B5" w14:textId="77777777" w:rsidR="004F228C" w:rsidRPr="00D24342" w:rsidRDefault="004F228C">
      <w:pPr>
        <w:spacing w:line="480" w:lineRule="auto"/>
        <w:rPr>
          <w:color w:val="auto"/>
        </w:rPr>
      </w:pPr>
    </w:p>
    <w:p w14:paraId="7D515FFB" w14:textId="0E6F1771" w:rsidR="004F228C" w:rsidRPr="00D24342" w:rsidRDefault="006F4194" w:rsidP="00592824">
      <w:pPr>
        <w:pStyle w:val="Heading1"/>
      </w:pPr>
      <w:r w:rsidRPr="00D24342">
        <w:t>Methods</w:t>
      </w:r>
    </w:p>
    <w:p w14:paraId="35DC2448" w14:textId="44BFC6E8" w:rsidR="004F228C" w:rsidRPr="00D24342" w:rsidRDefault="00D73302">
      <w:pPr>
        <w:spacing w:line="480" w:lineRule="auto"/>
        <w:rPr>
          <w:color w:val="auto"/>
        </w:rPr>
      </w:pPr>
      <w:r w:rsidRPr="00D24342">
        <w:rPr>
          <w:color w:val="auto"/>
        </w:rPr>
        <w:t xml:space="preserve">Publicly available data from the </w:t>
      </w:r>
      <w:r w:rsidR="004766D8" w:rsidRPr="00D24342">
        <w:rPr>
          <w:color w:val="auto"/>
        </w:rPr>
        <w:t>Global School-based Student Health Survey 200</w:t>
      </w:r>
      <w:r w:rsidR="0028536E" w:rsidRPr="00D24342">
        <w:rPr>
          <w:color w:val="auto"/>
        </w:rPr>
        <w:t>3</w:t>
      </w:r>
      <w:r w:rsidR="004766D8" w:rsidRPr="00D24342">
        <w:rPr>
          <w:color w:val="auto"/>
        </w:rPr>
        <w:t>-2016 (</w:t>
      </w:r>
      <w:r w:rsidRPr="00D24342">
        <w:rPr>
          <w:color w:val="auto"/>
        </w:rPr>
        <w:t>GSHS</w:t>
      </w:r>
      <w:r w:rsidR="004766D8" w:rsidRPr="00D24342">
        <w:rPr>
          <w:color w:val="auto"/>
        </w:rPr>
        <w:t>)</w:t>
      </w:r>
      <w:r w:rsidRPr="00D24342">
        <w:rPr>
          <w:color w:val="auto"/>
        </w:rPr>
        <w:t xml:space="preserve"> were analyzed. Details on this survey can be found at </w:t>
      </w:r>
      <w:hyperlink r:id="rId11" w:history="1">
        <w:r w:rsidR="0013359C" w:rsidRPr="00D24342">
          <w:rPr>
            <w:rStyle w:val="Hyperlink"/>
            <w:color w:val="auto"/>
            <w:u w:color="141413"/>
          </w:rPr>
          <w:t>http://www.who.int/chp/gshs</w:t>
        </w:r>
      </w:hyperlink>
      <w:r w:rsidR="0013359C" w:rsidRPr="00D24342">
        <w:rPr>
          <w:color w:val="auto"/>
          <w:u w:color="141413"/>
        </w:rPr>
        <w:t xml:space="preserve"> </w:t>
      </w:r>
      <w:r w:rsidRPr="00D24342">
        <w:rPr>
          <w:color w:val="auto"/>
          <w:u w:color="141413"/>
        </w:rPr>
        <w:t xml:space="preserve"> and </w:t>
      </w:r>
      <w:hyperlink r:id="rId12" w:history="1">
        <w:r w:rsidR="0013359C" w:rsidRPr="00D24342">
          <w:rPr>
            <w:rStyle w:val="Hyperlink"/>
            <w:color w:val="auto"/>
            <w:u w:color="141413"/>
          </w:rPr>
          <w:t>http://www.cdc.gov/gshs</w:t>
        </w:r>
      </w:hyperlink>
      <w:r w:rsidRPr="00D24342">
        <w:rPr>
          <w:color w:val="auto"/>
          <w:u w:color="141413"/>
        </w:rPr>
        <w:t xml:space="preserve">. Briefly, the GSHS was jointly developed by the WHO and the US Centers for Disease Control and Prevention (CDC), and other UN allies. </w:t>
      </w:r>
      <w:r w:rsidRPr="00D24342">
        <w:rPr>
          <w:color w:val="auto"/>
        </w:rPr>
        <w:t>The core aim of this survey was to assess and quantify risk and protective factors of major non-communicable diseases. The survey draws content from the CDC Youth Risk Behavior Survey (YRBS) for which test-retest reliability has been established</w:t>
      </w:r>
      <w:r w:rsidR="007F50A8" w:rsidRPr="00D24342">
        <w:rPr>
          <w:color w:val="auto"/>
        </w:rPr>
        <w:t xml:space="preserve"> (</w:t>
      </w:r>
      <w:proofErr w:type="spellStart"/>
      <w:r w:rsidR="007F50A8" w:rsidRPr="00D24342">
        <w:rPr>
          <w:color w:val="auto"/>
        </w:rPr>
        <w:t>Brener</w:t>
      </w:r>
      <w:proofErr w:type="spellEnd"/>
      <w:r w:rsidR="007F50A8" w:rsidRPr="00D24342">
        <w:rPr>
          <w:color w:val="auto"/>
        </w:rPr>
        <w:t xml:space="preserve">, Collins, </w:t>
      </w:r>
      <w:proofErr w:type="spellStart"/>
      <w:r w:rsidR="007F50A8" w:rsidRPr="00D24342">
        <w:rPr>
          <w:color w:val="auto"/>
        </w:rPr>
        <w:t>Kann</w:t>
      </w:r>
      <w:proofErr w:type="spellEnd"/>
      <w:r w:rsidR="007F50A8" w:rsidRPr="00D24342">
        <w:rPr>
          <w:color w:val="auto"/>
        </w:rPr>
        <w:t>, Warren, &amp; Williams, 1995)</w:t>
      </w:r>
      <w:r w:rsidRPr="00D24342">
        <w:rPr>
          <w:color w:val="auto"/>
        </w:rPr>
        <w:t xml:space="preserve">. The </w:t>
      </w:r>
      <w:r w:rsidRPr="00D24342">
        <w:rPr>
          <w:color w:val="auto"/>
          <w:u w:color="141413"/>
        </w:rPr>
        <w:t xml:space="preserve">survey used a standardized two-stage probability sampling design for the selection process within each participating country. For the first stage, schools were selected with probability proportional to size sampling. The second stage involved the random selection of classrooms which included students aged 13-15 years within each selected </w:t>
      </w:r>
      <w:r w:rsidRPr="00D24342">
        <w:rPr>
          <w:color w:val="auto"/>
          <w:u w:color="141413"/>
        </w:rPr>
        <w:lastRenderedPageBreak/>
        <w:t xml:space="preserve">school. All students in the selected classrooms were eligible to participate in the survey regardless of age. Data collection was performed during one regular class period. The questionnaire was translated into the local language in each country and consisted of </w:t>
      </w:r>
      <w:proofErr w:type="gramStart"/>
      <w:r w:rsidRPr="00D24342">
        <w:rPr>
          <w:color w:val="auto"/>
          <w:u w:color="141413"/>
        </w:rPr>
        <w:t>multiple choice</w:t>
      </w:r>
      <w:proofErr w:type="gramEnd"/>
      <w:r w:rsidRPr="00D24342">
        <w:rPr>
          <w:color w:val="auto"/>
          <w:u w:color="141413"/>
        </w:rPr>
        <w:t xml:space="preserve"> response options; students recorded their response on computer scannable sheets. </w:t>
      </w:r>
      <w:r w:rsidRPr="00D24342">
        <w:rPr>
          <w:color w:val="auto"/>
        </w:rPr>
        <w:t xml:space="preserve">All GSHS surveys were approved, in each country, by both a national government administration (most often the Ministry of Health or Education) and an institutional review board or ethics committee. </w:t>
      </w:r>
      <w:r w:rsidRPr="00D24342">
        <w:rPr>
          <w:color w:val="auto"/>
          <w:u w:color="141413"/>
        </w:rPr>
        <w:t>Student privacy was protected through anonymous and voluntary participation, and informed consent was obtained as appropriate from the students, parents and/or school officials. Data were weighted for non-response and prob</w:t>
      </w:r>
      <w:r w:rsidRPr="00D24342">
        <w:rPr>
          <w:rFonts w:cs="Times New Roman"/>
          <w:color w:val="auto"/>
          <w:u w:color="141413"/>
        </w:rPr>
        <w:t>ability selection.</w:t>
      </w:r>
      <w:r w:rsidR="000D17A2" w:rsidRPr="00D24342">
        <w:rPr>
          <w:rFonts w:cs="Times New Roman"/>
          <w:color w:val="auto"/>
          <w:u w:color="141413"/>
        </w:rPr>
        <w:t xml:space="preserve"> Specifically, </w:t>
      </w:r>
      <w:r w:rsidR="000D17A2" w:rsidRPr="00D24342">
        <w:rPr>
          <w:rFonts w:cs="Times New Roman"/>
          <w:color w:val="auto"/>
        </w:rPr>
        <w:t>a weighting factor was applied to each student record to adjust for non-response and for the varying probabilities of selection. The weight used for estimation in this survey is given by: W = W1 * W2 * f1 * f2 * f3 (W1 = the inverse of the probability of selecting each school; W2 = the inverse of the probability of selecting each classroom; f1 = a school-level nonresponse adjustment factor calculated by school size category (small, medium, large). f2 = a student-level nonresponse adjustment factor calculated by classroom. f3 = a poststratification adjustment factor calculated by sex within grade).</w:t>
      </w:r>
    </w:p>
    <w:p w14:paraId="3C76EBB4" w14:textId="77777777" w:rsidR="009B7BDC" w:rsidRPr="00D24342" w:rsidRDefault="009B7BDC">
      <w:pPr>
        <w:spacing w:line="480" w:lineRule="auto"/>
        <w:rPr>
          <w:color w:val="auto"/>
          <w:u w:color="141413"/>
        </w:rPr>
      </w:pPr>
    </w:p>
    <w:p w14:paraId="5968C0FC" w14:textId="59F1E813" w:rsidR="004F228C" w:rsidRPr="00D24342" w:rsidRDefault="00D73302">
      <w:pPr>
        <w:spacing w:line="480" w:lineRule="auto"/>
        <w:rPr>
          <w:color w:val="auto"/>
          <w:u w:color="141413"/>
        </w:rPr>
      </w:pPr>
      <w:r w:rsidRPr="00D24342">
        <w:rPr>
          <w:color w:val="auto"/>
          <w:u w:color="141413"/>
        </w:rPr>
        <w:t xml:space="preserve">From all publicly available data, we selected all nationally representative datasets that included the variables used in the current analysis. If there were more than two datasets from the same country, we chose the most recent dataset. A total of </w:t>
      </w:r>
      <w:r w:rsidR="00842532" w:rsidRPr="00D24342">
        <w:rPr>
          <w:color w:val="auto"/>
          <w:u w:color="141413"/>
        </w:rPr>
        <w:t>4</w:t>
      </w:r>
      <w:r w:rsidRPr="00D24342">
        <w:rPr>
          <w:color w:val="auto"/>
          <w:u w:color="141413"/>
        </w:rPr>
        <w:t xml:space="preserve">3 </w:t>
      </w:r>
      <w:r w:rsidR="00842532" w:rsidRPr="00D24342">
        <w:rPr>
          <w:color w:val="auto"/>
          <w:u w:color="141413"/>
        </w:rPr>
        <w:t>LMICs</w:t>
      </w:r>
      <w:r w:rsidRPr="00D24342">
        <w:rPr>
          <w:color w:val="auto"/>
          <w:u w:color="141413"/>
        </w:rPr>
        <w:t xml:space="preserve"> were included in the current study. The characteristics of each country or survey are provided in </w:t>
      </w:r>
      <w:r w:rsidRPr="00D24342">
        <w:rPr>
          <w:b/>
          <w:bCs/>
          <w:color w:val="auto"/>
          <w:u w:color="141413"/>
        </w:rPr>
        <w:t>Table 1</w:t>
      </w:r>
      <w:r w:rsidRPr="00D24342">
        <w:rPr>
          <w:color w:val="auto"/>
          <w:u w:color="141413"/>
        </w:rPr>
        <w:t xml:space="preserve">. For the included countries, the survey was conducted between 2003 and 2016. </w:t>
      </w:r>
    </w:p>
    <w:p w14:paraId="1ECFA28C" w14:textId="3782BDA3" w:rsidR="0059433C" w:rsidRDefault="0059433C">
      <w:pPr>
        <w:spacing w:line="480" w:lineRule="auto"/>
        <w:rPr>
          <w:color w:val="auto"/>
          <w:u w:color="141413"/>
        </w:rPr>
      </w:pPr>
    </w:p>
    <w:p w14:paraId="2DB1F42D" w14:textId="1EF133A6" w:rsidR="00592824" w:rsidRDefault="00592824">
      <w:pPr>
        <w:spacing w:line="480" w:lineRule="auto"/>
        <w:rPr>
          <w:color w:val="auto"/>
          <w:u w:color="141413"/>
        </w:rPr>
      </w:pPr>
    </w:p>
    <w:p w14:paraId="26571DDB" w14:textId="77777777" w:rsidR="00592824" w:rsidRPr="00D24342" w:rsidRDefault="00592824">
      <w:pPr>
        <w:spacing w:line="480" w:lineRule="auto"/>
        <w:rPr>
          <w:color w:val="auto"/>
          <w:u w:color="141413"/>
        </w:rPr>
      </w:pPr>
    </w:p>
    <w:p w14:paraId="4C26E9F8" w14:textId="77777777" w:rsidR="004F228C" w:rsidRPr="00592824" w:rsidRDefault="00D73302" w:rsidP="00592824">
      <w:pPr>
        <w:pStyle w:val="Heading2"/>
      </w:pPr>
      <w:r w:rsidRPr="00592824">
        <w:lastRenderedPageBreak/>
        <w:t>Sexual behavior</w:t>
      </w:r>
    </w:p>
    <w:p w14:paraId="439F1329" w14:textId="30611019" w:rsidR="004F228C" w:rsidRPr="00D24342" w:rsidRDefault="00D73302">
      <w:pPr>
        <w:spacing w:line="480" w:lineRule="auto"/>
        <w:rPr>
          <w:color w:val="auto"/>
        </w:rPr>
      </w:pPr>
      <w:r w:rsidRPr="00D24342">
        <w:rPr>
          <w:color w:val="auto"/>
          <w:u w:color="141413"/>
        </w:rPr>
        <w:t>Lifetime sexual intercourse was assessed by the question “</w:t>
      </w:r>
      <w:r w:rsidRPr="00D24342">
        <w:rPr>
          <w:color w:val="auto"/>
        </w:rPr>
        <w:t xml:space="preserve">Have you ever had sexual intercourse?” with ‘yes’ and ‘no’ answer options. </w:t>
      </w:r>
      <w:r w:rsidRPr="00D24342">
        <w:rPr>
          <w:color w:val="auto"/>
          <w:u w:color="141413"/>
        </w:rPr>
        <w:t xml:space="preserve">Condom use was assessed with the question “The last time you had sexual intercourse, did you or your partner use a condom?” with ‘yes’ and ‘no’ answer options. </w:t>
      </w:r>
      <w:r w:rsidRPr="00D24342">
        <w:rPr>
          <w:color w:val="auto"/>
        </w:rPr>
        <w:t>Number of sexual partners was based on the question “During your life, with how many people have you had sexual intercourse?” We considered those with two or more sexual partners to have multiple sexual partners</w:t>
      </w:r>
      <w:r w:rsidR="00927198" w:rsidRPr="00D24342">
        <w:rPr>
          <w:color w:val="auto"/>
        </w:rPr>
        <w:t xml:space="preserve"> (Smith et al., 2019 a, c). </w:t>
      </w:r>
      <w:r w:rsidRPr="00D24342">
        <w:rPr>
          <w:color w:val="auto"/>
        </w:rPr>
        <w:t>Data on multiple partners were not available from Bangladesh and Kenya.</w:t>
      </w:r>
    </w:p>
    <w:p w14:paraId="0628051A" w14:textId="77777777" w:rsidR="004F228C" w:rsidRPr="00D24342" w:rsidRDefault="004F228C">
      <w:pPr>
        <w:spacing w:line="480" w:lineRule="auto"/>
        <w:rPr>
          <w:color w:val="auto"/>
        </w:rPr>
      </w:pPr>
    </w:p>
    <w:p w14:paraId="48585B89" w14:textId="77777777" w:rsidR="004F228C" w:rsidRPr="00D24342" w:rsidRDefault="00D73302" w:rsidP="00592824">
      <w:pPr>
        <w:pStyle w:val="Heading2"/>
      </w:pPr>
      <w:r w:rsidRPr="00D24342">
        <w:t>Physical attack</w:t>
      </w:r>
    </w:p>
    <w:p w14:paraId="00BC6D3E" w14:textId="0A993D82" w:rsidR="004F228C" w:rsidRPr="00D24342" w:rsidRDefault="00D73302">
      <w:pPr>
        <w:pStyle w:val="Default"/>
        <w:spacing w:line="480" w:lineRule="auto"/>
        <w:rPr>
          <w:rFonts w:ascii="Times New Roman" w:eastAsia="Times New Roman" w:hAnsi="Times New Roman" w:cs="Times New Roman"/>
          <w:color w:val="auto"/>
        </w:rPr>
      </w:pPr>
      <w:r w:rsidRPr="00D24342">
        <w:rPr>
          <w:rFonts w:ascii="Times New Roman" w:hAnsi="Times New Roman"/>
          <w:color w:val="auto"/>
        </w:rPr>
        <w:t>Students were first provided with the following explanation on physical attacks: “A physical attack occurs when one or more people hit or strike someone, or when one or more people hurt another person with a weapon (such as a stick, knife, or gun). It is not a physical attack when two students of about the same strength or power choose to fight each other.</w:t>
      </w:r>
      <w:r w:rsidR="000C1813" w:rsidRPr="00D24342">
        <w:rPr>
          <w:rFonts w:ascii="Times New Roman" w:hAnsi="Times New Roman"/>
          <w:color w:val="auto"/>
        </w:rPr>
        <w:t>”</w:t>
      </w:r>
      <w:r w:rsidRPr="00D24342">
        <w:rPr>
          <w:rFonts w:ascii="Times New Roman" w:hAnsi="Times New Roman"/>
          <w:color w:val="auto"/>
        </w:rPr>
        <w:t xml:space="preserve"> Subsequently, they were asked “During the past 12 months, how many times were you </w:t>
      </w:r>
      <w:r w:rsidRPr="00D24342">
        <w:rPr>
          <w:rFonts w:ascii="Times New Roman" w:hAnsi="Times New Roman" w:cs="Times New Roman"/>
          <w:color w:val="auto"/>
        </w:rPr>
        <w:t xml:space="preserve">physically attacked?” with answer options 0, 1, 2-3, 4-5, 6-7, 8-9, 10-11, and ≥12 times. </w:t>
      </w:r>
      <w:r w:rsidR="00E10906" w:rsidRPr="00D24342">
        <w:rPr>
          <w:rFonts w:ascii="Times New Roman" w:hAnsi="Times New Roman" w:cs="Times New Roman"/>
          <w:color w:val="auto"/>
        </w:rPr>
        <w:t xml:space="preserve">Those </w:t>
      </w:r>
      <w:r w:rsidR="006F490F" w:rsidRPr="00D24342">
        <w:rPr>
          <w:rFonts w:ascii="Times New Roman" w:hAnsi="Times New Roman" w:cs="Times New Roman"/>
          <w:color w:val="auto"/>
        </w:rPr>
        <w:t xml:space="preserve">who replied at least once were </w:t>
      </w:r>
      <w:r w:rsidR="00E10906" w:rsidRPr="00D24342">
        <w:rPr>
          <w:rFonts w:ascii="Times New Roman" w:hAnsi="Times New Roman" w:cs="Times New Roman"/>
          <w:color w:val="auto"/>
        </w:rPr>
        <w:t>considered to have</w:t>
      </w:r>
      <w:r w:rsidR="006E04C6" w:rsidRPr="00D24342">
        <w:rPr>
          <w:rFonts w:ascii="Times New Roman" w:hAnsi="Times New Roman" w:cs="Times New Roman"/>
          <w:color w:val="auto"/>
        </w:rPr>
        <w:t xml:space="preserve"> been a victim of a physical at</w:t>
      </w:r>
      <w:r w:rsidR="006F490F" w:rsidRPr="00D24342">
        <w:rPr>
          <w:rFonts w:ascii="Times New Roman" w:hAnsi="Times New Roman" w:cs="Times New Roman"/>
          <w:color w:val="auto"/>
        </w:rPr>
        <w:t>t</w:t>
      </w:r>
      <w:r w:rsidR="006E04C6" w:rsidRPr="00D24342">
        <w:rPr>
          <w:rFonts w:ascii="Times New Roman" w:hAnsi="Times New Roman" w:cs="Times New Roman"/>
          <w:color w:val="auto"/>
        </w:rPr>
        <w:t>ack</w:t>
      </w:r>
      <w:r w:rsidR="00E10906" w:rsidRPr="00D24342">
        <w:rPr>
          <w:rFonts w:ascii="Times New Roman" w:hAnsi="Times New Roman" w:cs="Times New Roman"/>
          <w:color w:val="auto"/>
        </w:rPr>
        <w:t xml:space="preserve">. </w:t>
      </w:r>
      <w:r w:rsidRPr="00D24342">
        <w:rPr>
          <w:rFonts w:ascii="Times New Roman" w:hAnsi="Times New Roman" w:cs="Times New Roman"/>
          <w:color w:val="auto"/>
        </w:rPr>
        <w:t>Data on physical attacks were not collected in Kenya, Swaziland, Uganda, and Zambia.</w:t>
      </w:r>
    </w:p>
    <w:p w14:paraId="57B7882A" w14:textId="77777777" w:rsidR="004F228C" w:rsidRPr="00D24342" w:rsidRDefault="004F228C">
      <w:pPr>
        <w:pStyle w:val="Default"/>
        <w:spacing w:line="480" w:lineRule="auto"/>
        <w:rPr>
          <w:rFonts w:ascii="Times New Roman" w:eastAsia="Times New Roman" w:hAnsi="Times New Roman" w:cs="Times New Roman"/>
          <w:color w:val="auto"/>
        </w:rPr>
      </w:pPr>
    </w:p>
    <w:p w14:paraId="36EF8648" w14:textId="77777777" w:rsidR="004F228C" w:rsidRPr="00D24342" w:rsidRDefault="00D73302" w:rsidP="00FF6E87">
      <w:pPr>
        <w:pStyle w:val="Heading2"/>
      </w:pPr>
      <w:r w:rsidRPr="00D24342">
        <w:t>Physical fight</w:t>
      </w:r>
    </w:p>
    <w:p w14:paraId="1DFF40FD" w14:textId="03CA10AC" w:rsidR="004F228C" w:rsidRPr="00D24342" w:rsidRDefault="00D73302">
      <w:pPr>
        <w:spacing w:line="480" w:lineRule="auto"/>
        <w:rPr>
          <w:color w:val="auto"/>
        </w:rPr>
      </w:pPr>
      <w:r w:rsidRPr="00D24342">
        <w:rPr>
          <w:color w:val="auto"/>
        </w:rPr>
        <w:t xml:space="preserve">Physical fight was assessed with the question “During the past 12 months, how many times were you in a physical fight?” with answer options 0, 1, 2-3, 4-5, 6-7, 8-9, 10-11, and ≥12 times. Students were provided an explanation that a physical fight occurs when two or more students of about the same strength or power to choose to fight each other. </w:t>
      </w:r>
      <w:r w:rsidR="00E10906" w:rsidRPr="00D24342">
        <w:rPr>
          <w:color w:val="auto"/>
        </w:rPr>
        <w:t xml:space="preserve">Those </w:t>
      </w:r>
      <w:r w:rsidR="006F490F" w:rsidRPr="00D24342">
        <w:rPr>
          <w:color w:val="auto"/>
        </w:rPr>
        <w:t xml:space="preserve">who replied </w:t>
      </w:r>
      <w:r w:rsidR="00E10906" w:rsidRPr="00D24342">
        <w:rPr>
          <w:color w:val="auto"/>
        </w:rPr>
        <w:t xml:space="preserve">at least once were considered to have </w:t>
      </w:r>
      <w:r w:rsidR="006F490F" w:rsidRPr="00D24342">
        <w:rPr>
          <w:color w:val="auto"/>
        </w:rPr>
        <w:t>been involved in a</w:t>
      </w:r>
      <w:r w:rsidR="00E10906" w:rsidRPr="00D24342">
        <w:rPr>
          <w:color w:val="auto"/>
        </w:rPr>
        <w:t xml:space="preserve"> physical fight.</w:t>
      </w:r>
    </w:p>
    <w:p w14:paraId="646CF2AA" w14:textId="77777777" w:rsidR="004F228C" w:rsidRPr="00D24342" w:rsidRDefault="004F228C">
      <w:pPr>
        <w:pStyle w:val="Default"/>
        <w:spacing w:line="480" w:lineRule="auto"/>
        <w:rPr>
          <w:rFonts w:ascii="Times New Roman" w:eastAsia="Times New Roman" w:hAnsi="Times New Roman" w:cs="Times New Roman"/>
          <w:color w:val="auto"/>
        </w:rPr>
      </w:pPr>
    </w:p>
    <w:p w14:paraId="42A64BE9" w14:textId="77777777" w:rsidR="004F228C" w:rsidRPr="00D24342" w:rsidRDefault="00D73302" w:rsidP="00FF6E87">
      <w:pPr>
        <w:pStyle w:val="Heading2"/>
        <w:rPr>
          <w:rFonts w:eastAsia="Times New Roman" w:cs="Times New Roman"/>
        </w:rPr>
      </w:pPr>
      <w:r w:rsidRPr="00D24342">
        <w:t>Control variables</w:t>
      </w:r>
    </w:p>
    <w:p w14:paraId="00BAEF8F" w14:textId="20053448" w:rsidR="004F228C" w:rsidRPr="00D24342" w:rsidRDefault="0026624D">
      <w:pPr>
        <w:spacing w:line="480" w:lineRule="auto"/>
        <w:rPr>
          <w:color w:val="auto"/>
          <w:u w:color="141413"/>
        </w:rPr>
      </w:pPr>
      <w:r w:rsidRPr="00D24342">
        <w:rPr>
          <w:color w:val="auto"/>
        </w:rPr>
        <w:t xml:space="preserve">Control variables included sex, age, food insecurity (as a proxy of socio-economic status), and alcohol consumption, and these were selected because they were hypothesized to be independently associated with both the exposure (violence) and the outcome (sexual intercourse/ risky sexual behavior) </w:t>
      </w:r>
      <w:r w:rsidR="00AF3F8D" w:rsidRPr="00D24342">
        <w:rPr>
          <w:color w:val="auto"/>
        </w:rPr>
        <w:t>(</w:t>
      </w:r>
      <w:proofErr w:type="spellStart"/>
      <w:r w:rsidR="00AF3F8D" w:rsidRPr="00D24342">
        <w:rPr>
          <w:color w:val="auto"/>
        </w:rPr>
        <w:t>Foshee</w:t>
      </w:r>
      <w:proofErr w:type="spellEnd"/>
      <w:r w:rsidR="00AF3F8D" w:rsidRPr="00D24342">
        <w:rPr>
          <w:color w:val="auto"/>
        </w:rPr>
        <w:t xml:space="preserve">, Linder, MacDougall, &amp; </w:t>
      </w:r>
      <w:proofErr w:type="spellStart"/>
      <w:r w:rsidR="00AF3F8D" w:rsidRPr="00D24342">
        <w:rPr>
          <w:color w:val="auto"/>
        </w:rPr>
        <w:t>Bangdiwala</w:t>
      </w:r>
      <w:proofErr w:type="spellEnd"/>
      <w:r w:rsidR="00AF3F8D" w:rsidRPr="00D24342">
        <w:rPr>
          <w:color w:val="auto"/>
        </w:rPr>
        <w:t xml:space="preserve">, 2001; O'Keefe, 1998). </w:t>
      </w:r>
      <w:r w:rsidR="00D73302" w:rsidRPr="00D24342">
        <w:rPr>
          <w:color w:val="auto"/>
          <w:u w:color="141413"/>
        </w:rPr>
        <w:t>As in previous studies using the same dataset</w:t>
      </w:r>
      <w:r w:rsidR="007F50A8" w:rsidRPr="00D24342">
        <w:rPr>
          <w:color w:val="auto"/>
          <w:u w:color="141413"/>
        </w:rPr>
        <w:t xml:space="preserve"> (Carvalho et al., 2019; </w:t>
      </w:r>
      <w:proofErr w:type="spellStart"/>
      <w:r w:rsidR="007F50A8" w:rsidRPr="00D24342">
        <w:rPr>
          <w:color w:val="auto"/>
          <w:u w:color="141413"/>
        </w:rPr>
        <w:t>Vancampfort</w:t>
      </w:r>
      <w:proofErr w:type="spellEnd"/>
      <w:r w:rsidR="007F50A8" w:rsidRPr="00D24342">
        <w:rPr>
          <w:color w:val="auto"/>
          <w:u w:color="141413"/>
        </w:rPr>
        <w:t xml:space="preserve">, Stubbs, Firth, Van Damme, </w:t>
      </w:r>
      <w:r w:rsidR="009A6F5E" w:rsidRPr="00D24342">
        <w:rPr>
          <w:color w:val="auto"/>
          <w:u w:color="141413"/>
        </w:rPr>
        <w:t xml:space="preserve">&amp; </w:t>
      </w:r>
      <w:proofErr w:type="spellStart"/>
      <w:r w:rsidR="009A6F5E" w:rsidRPr="00D24342">
        <w:rPr>
          <w:color w:val="auto"/>
          <w:u w:color="141413"/>
        </w:rPr>
        <w:t>Koyanagi</w:t>
      </w:r>
      <w:proofErr w:type="spellEnd"/>
      <w:r w:rsidR="009A6F5E" w:rsidRPr="00D24342">
        <w:rPr>
          <w:color w:val="auto"/>
          <w:u w:color="141413"/>
        </w:rPr>
        <w:t xml:space="preserve">, </w:t>
      </w:r>
      <w:r w:rsidR="007F50A8" w:rsidRPr="00D24342">
        <w:rPr>
          <w:color w:val="auto"/>
          <w:u w:color="141413"/>
        </w:rPr>
        <w:t>2018)</w:t>
      </w:r>
      <w:r w:rsidR="00D73302" w:rsidRPr="00D24342">
        <w:rPr>
          <w:color w:val="auto"/>
          <w:u w:color="141413"/>
        </w:rPr>
        <w:fldChar w:fldCharType="begin"/>
      </w:r>
      <w:r w:rsidR="00D73302" w:rsidRPr="00D24342">
        <w:rPr>
          <w:color w:val="auto"/>
          <w:u w:color="141413"/>
        </w:rPr>
        <w:instrText xml:space="preserve"> ADDIN EN.CITE &lt;EndNote&gt;&lt;Cite  &gt;&lt;Author&gt;Carvalho&lt;/Author&gt;&lt;Year&gt;2018&lt;/Year&gt;&lt;RecNum&gt;9051&lt;/RecNum&gt;&lt;DisplayText&gt;(Carvalho et al., 2018, Vancampfort et al., 2018)&lt;/DisplayText&gt;&lt;record&gt;&lt;rec-number&gt;9051&lt;/rec-number&gt;&lt;foreign-keys&gt;&lt;key app="EN" db-id="f2z5xwrr4s255jexte2pwr2czrta9p02zs9t" timestamp="1543136859"&gt;9051&lt;/key&gt;&lt;/foreign-keys&gt;&lt;ref-type name="Journal Article"&gt;17&lt;/ref-type&gt;&lt;contributors&gt;&lt;authors&gt;&lt;author&gt;Carvalho, A. F.&lt;/author&gt;&lt;author&gt;Stubbs, B.&lt;/author&gt;&lt;author&gt;Vancampfort, D.&lt;/author&gt;&lt;author&gt;Kloiber, S.&lt;/author&gt;&lt;author&gt;Maes, M.&lt;/author&gt;&lt;author&gt;Firth, J.&lt;/author&gt;&lt;author&gt;Kurdyak, P. A.&lt;/author&gt;&lt;author&gt;Stein, D. J.&lt;/author&gt;&lt;author&gt;Rehm, J.&lt;/author&gt;&lt;author&gt;Koyanagi, A.&lt;/author&gt;&lt;/authors&gt;&lt;/contributors&gt;&lt;auth-address&gt;Department of Psychiatry, University of Toronto, Toronto, ON, Canada; Centre for Addiction and Mental Health (CAMH), Toronto, ON, Canada. Electronic address: andre.carvalho@camh.ca.&amp;#13;South London and Maudsley NHS Foundation Trust, Denmark Hill, London, SE5 8AZ, UK; Institute of Psychiatry, Psychology and Neuroscience (IoPPN), King's College London, De Crespigny Park, London, AF, SE5 8, UK; Faculty of Health, Social Care and Education, Anglia Ruskin University, Chelmsford, CM1 1SQ, UK.&amp;#13;KU Leuven Department of Rehabilitation Sciences, Leuven, Belgium; KU Leuven Department of Neurosciences, UPC KU Leuven, Kortenberg, Belgium.&amp;#13;Department of Psychiatry, University of Toronto, Toronto, ON, Canada; Centre for Addiction and Mental Health (CAMH), Toronto, ON, Canada.&amp;#13;IMPACT Strategic Research Centre, School of Medicine, Barwon Health, Deakin University, Geelong, Victoria, Australia; Department of Psychiatry, Faculty of Medicine, Chulalongkorn University, Bangkok, Thailand.&amp;#13;NICM Health Research Institute, School of Science and Health, Western Sydney University, Sydney, Australia; Division of Psychology and Mental Health, Faculty of Biology, Medicine and Health, University of Manchester, Manchester, UK; Centre for Youth Mental Health, University of Melbourne, Melbourne, Australia.&amp;#13;Health Outcomes and Performance Evaluation (HOPE) Research Unit within the Social and Epidemiological Research Program, Centre for Addiction and Mental Health, Toronto, ON, Canada; Department of Psychiatry and Institute of Mental Health Policy Research, University of Toronto, Toronto, Ontario, Canada; Mental Health and Addictions Research Program at the Institute for Clinical Evaluative Science (ICES), Toronto, ON, Canada.&amp;#13;Department of Psychiatry and MRC Unit on Risk and Resilience in Mental Disorders, Faculty of Health Sciences, University of Cape Town and Groote Schuur Hospital, Cape Town, South Africa.&amp;#13;Department of Psychiatry and Institute of Mental Health Policy Research, University of Toronto, Toronto, Ontario, Canada; Institute for Clinical Psychology and Psychotherapy, Technische Universitat Dresden, Chemnitzer Str. 46, 01187, Dresden, Germany; Addiction Policy, Dalla Lana School of Public Health, University of Toronto, 155 College Street, Toronto, ON, M5T 3M7, Canada; Institute of Medical Science, University of Toronto, Faculty of Medicine, Medical Sciences Building, 1 King's College Circle, Toronto, ON, M5S 1A8, Canada.&amp;#13;Research and Development Unit, Parc Sanitari Sant Joan de Deu/CIBERSAM, Universitat de Barcelona, Fundacio Sant Joan de Deu, Dr Antoni Pujadas, 42, Sant Boi de Llobregat, Barcelona, 08830, Spain.&lt;/auth-address&gt;&lt;titles&gt;&lt;title&gt;Cannabis use and suicide attempts among 86,254 adolescents aged 12-15 years from 21 low- and middle-income countries&lt;/title&gt;&lt;secondary-title&gt;Eur Psychiatry&lt;/secondary-title&gt;&lt;alt-title&gt;European psychiatry : the journal of the Association of European Psychiatrists&lt;/alt-title&gt;&lt;/titles&gt;&lt;periodical&gt;&lt;full-title&gt;Eur Psychiatry&lt;/full-title&gt;&lt;/periodical&gt;&lt;pages&gt;8-13&lt;/pages&gt;&lt;volume&gt;56&lt;/volume&gt;&lt;edition&gt;2018/11/18&lt;/edition&gt;&lt;keywords&gt;&lt;keyword&gt;Adolescence&lt;/keyword&gt;&lt;keyword&gt;Cannabis&lt;/keyword&gt;&lt;keyword&gt;Epidemiology&lt;/keyword&gt;&lt;keyword&gt;Psychiatry&lt;/keyword&gt;&lt;keyword&gt;Suicide&lt;/keyword&gt;&lt;keyword&gt;Survey&lt;/keyword&gt;&lt;/keywords&gt;&lt;dates&gt;&lt;year&gt;2018&lt;/year&gt;&lt;pub-dates&gt;&lt;date&gt;Nov 14&lt;/date&gt;&lt;/pub-dates&gt;&lt;/dates&gt;&lt;isbn&gt;0924-9338&lt;/isbn&gt;&lt;accession-num&gt;30447436&lt;/accession-num&gt;&lt;urls/&gt;&lt;electronic-resource-num&gt;10.1016/j.eurpsy.2018.10.006&lt;/electronic-resource-num&gt;&lt;remote-database-provider&gt;NLM&lt;/remote-database-provider&gt;&lt;language&gt;eng&lt;/language&gt;&lt;/record&gt;&lt;/Cite&gt;&lt;Cite  &gt;&lt;Author&gt;Vancampfort&lt;/Author&gt;&lt;Year&gt;2018&lt;/Year&gt;&lt;RecNum&gt;8707&lt;/RecNum&gt;&lt;record&gt;&lt;rec-number&gt;8707&lt;/rec-number&gt;&lt;foreign-keys&gt;&lt;key app="EN" db-id="f2z5xwrr4s255jexte2pwr2czrta9p02zs9t" timestamp="1536345330"&gt;8707&lt;/key&gt;&lt;/foreign-keys&gt;&lt;ref-type name="Journal Article"&gt;17&lt;/ref-type&gt;&lt;contributors&gt;&lt;authors&gt;&lt;author&gt;Vancampfort, D.&lt;/author&gt;&lt;author&gt;Stubbs, B.&lt;/author&gt;&lt;author&gt;Firth, J.&lt;/author&gt;&lt;author&gt;Van Damme, T.&lt;/author&gt;&lt;author&gt;Koyanagi, A.&lt;/author&gt;&lt;/authors&gt;&lt;/contributors&gt;&lt;auth-address&gt;KU Leuven Department of Rehabilitation Sciences, Tervuursevest 101, 3001, Leuven, Belgium. davy.vancampfort@kuleuven.be.&amp;#13;KU Leuven, University Psychiatric Center KU Leuven, Leuvensesteenweg 517, 3070, Kortenberg, Belgium. davy.vancampfort@kuleuven.be.&amp;#13;Physiotherapy Department, South London and Maudsley NHS Foundation Trust, Denmark Hill, London, SE5 8AZ, UK.&amp;#13;Health Service and Population Research Department, Institute of Psychiatry, Psychology and Neuroscience, King's College London, De Crespigny Park, London, Box SE5 8AF, UK.&amp;#13;NICM Health Research Institute, School of Science and Health, University of Western Sydney, Sydney, Australia.&amp;#13;Division of Psychology and Mental Health, Faculty of Biology, Medicine and Health, University of Manchester, Manchester, UK.&amp;#13;Centre for Youth Mental Health, University of Melbourne, Melbourne, Australia.&amp;#13;KU Leuven Department of Rehabilitation Sciences, Tervuursevest 101, 3001, Leuven, Belgium.&amp;#13;Research and Development Unit, Parc Sanitari Sant Joan de Deu, Universitat de Barcelona, Fundacio Sant Joan de Deu, Dr. Antoni Pujadas, 42, Sant Boi de Llobregat, 0883, Barcelona, Spain.&amp;#13;Instituto de Salud Carlos III, Centro de Investigacion Biomedica en Red de Salud Mental, CIBERSAM, Monforte de Lemos 3-5 Pabellon 11, 28029, Madrid, Spain.&lt;/auth-address&gt;&lt;titles&gt;&lt;title&gt;Sedentary behavior and depressive symptoms among 67,077 adolescents aged 12-15 years from 30 low- and middle-income countries&lt;/title&gt;&lt;secondary-title&gt;Int J Behav Nutr Phys Act&lt;/secondary-title&gt;&lt;alt-title&gt;The international journal of behavioral nutrition and physical activity&lt;/alt-title&gt;&lt;/titles&gt;&lt;periodical&gt;&lt;full-title&gt;Int J Behav Nutr Phys Act&lt;/full-title&gt;&lt;/periodical&gt;&lt;pages&gt;73&lt;/pages&gt;&lt;volume&gt;15&lt;/volume&gt;&lt;number&gt;1&lt;/number&gt;&lt;edition&gt;2018/08/10&lt;/edition&gt;&lt;keywords&gt;&lt;keyword&gt;Adolescents&lt;/keyword&gt;&lt;keyword&gt;Depression&lt;/keyword&gt;&lt;keyword&gt;Physical activity&lt;/keyword&gt;&lt;keyword&gt;Sedentary behavior&lt;/keyword&gt;&lt;keyword&gt;Sitting&lt;/keyword&gt;&lt;/keywords&gt;&lt;dates&gt;&lt;year&gt;2018&lt;/year&gt;&lt;pub-dates&gt;&lt;date&gt;Aug 8&lt;/date&gt;&lt;/pub-dates&gt;&lt;/dates&gt;&lt;isbn&gt;1479-5868&lt;/isbn&gt;&lt;accession-num&gt;30089487&lt;/accession-num&gt;&lt;urls&gt;&lt;related-urls&gt;&lt;url&gt;https://www.ncbi.nlm.nih.gov/pmc/articles/PMC6083627/pdf/12966_2018_Article_708.pdf&lt;/url&gt;&lt;/related-urls&gt;&lt;/urls&gt;&lt;custom2&gt;PMC6083627&lt;/custom2&gt;&lt;electronic-resource-num&gt;10.1186/s12966-018-0708-y&lt;/electronic-resource-num&gt;&lt;remote-database-provider&gt;NLM&lt;/remote-database-provider&gt;&lt;language&gt;eng&lt;/language&gt;&lt;/record&gt;&lt;/Cite&gt;&lt;/EndNote&gt;</w:instrText>
      </w:r>
      <w:r w:rsidR="00D73302" w:rsidRPr="00D24342">
        <w:rPr>
          <w:color w:val="auto"/>
          <w:u w:color="141413"/>
        </w:rPr>
        <w:fldChar w:fldCharType="end"/>
      </w:r>
      <w:r w:rsidR="00D73302" w:rsidRPr="00D24342">
        <w:rPr>
          <w:color w:val="auto"/>
          <w:u w:color="141413"/>
        </w:rPr>
        <w:t>,</w:t>
      </w:r>
      <w:r w:rsidR="00BD6463" w:rsidRPr="00D24342">
        <w:rPr>
          <w:color w:val="auto"/>
          <w:u w:color="141413"/>
          <w:vertAlign w:val="superscript"/>
        </w:rPr>
        <w:t xml:space="preserve"> </w:t>
      </w:r>
      <w:r w:rsidR="00D73302" w:rsidRPr="00D24342">
        <w:rPr>
          <w:color w:val="auto"/>
          <w:u w:color="141413"/>
        </w:rPr>
        <w:t xml:space="preserve">food insecurity was used as a proxy for socioeconomic status as there were no variables on socioeconomic status in the GSHS. Food insecurity was assessed by the question “During the past 30 days, how often did you go hungry because there was not enough food in your home?” Answer options were categorized as ‘never’, ‘rarely/sometimes’, and ‘most of the time/always’. Alcohol consumption was defined as having had one drink containing alcohol for at least one day in the past 30 days. </w:t>
      </w:r>
    </w:p>
    <w:p w14:paraId="1E84E01F" w14:textId="77777777" w:rsidR="004F228C" w:rsidRPr="00D24342" w:rsidRDefault="004F228C">
      <w:pPr>
        <w:pStyle w:val="Default"/>
        <w:spacing w:line="480" w:lineRule="auto"/>
        <w:rPr>
          <w:rFonts w:ascii="Times New Roman" w:eastAsia="Times New Roman" w:hAnsi="Times New Roman" w:cs="Times New Roman"/>
          <w:color w:val="auto"/>
        </w:rPr>
      </w:pPr>
    </w:p>
    <w:p w14:paraId="6A96CE51" w14:textId="77777777" w:rsidR="004F228C" w:rsidRPr="00D24342" w:rsidRDefault="00D73302" w:rsidP="00FF6E87">
      <w:pPr>
        <w:pStyle w:val="Heading2"/>
        <w:rPr>
          <w:rFonts w:eastAsia="Times New Roman" w:cs="Times New Roman"/>
        </w:rPr>
      </w:pPr>
      <w:r w:rsidRPr="00D24342">
        <w:t>Statistical analysis</w:t>
      </w:r>
    </w:p>
    <w:p w14:paraId="06CE6EB5" w14:textId="5B293A64" w:rsidR="00291A90" w:rsidRPr="00D24342" w:rsidRDefault="00D73302">
      <w:pPr>
        <w:spacing w:line="480" w:lineRule="auto"/>
        <w:rPr>
          <w:color w:val="auto"/>
        </w:rPr>
      </w:pPr>
      <w:r w:rsidRPr="00D24342">
        <w:rPr>
          <w:color w:val="auto"/>
        </w:rPr>
        <w:t xml:space="preserve">Statistical analyses were performed with Stata 14.1 (Stata Corp LP, College station, Texas). The analysis was restricted to those aged 12-15 years as most students were within this age group while information on the exact age outside of this age range was not available. </w:t>
      </w:r>
      <w:r w:rsidR="009B7BDC" w:rsidRPr="00D24342">
        <w:rPr>
          <w:color w:val="auto"/>
        </w:rPr>
        <w:t xml:space="preserve">The </w:t>
      </w:r>
      <w:r w:rsidR="0014367C" w:rsidRPr="00D24342">
        <w:rPr>
          <w:color w:val="auto"/>
        </w:rPr>
        <w:t xml:space="preserve">difference in the country-wise </w:t>
      </w:r>
      <w:r w:rsidR="009B7BDC" w:rsidRPr="00D24342">
        <w:rPr>
          <w:color w:val="auto"/>
        </w:rPr>
        <w:t xml:space="preserve">prevalence of sexual intercourse by physical attack or physical fight </w:t>
      </w:r>
      <w:r w:rsidR="0014367C" w:rsidRPr="00D24342">
        <w:rPr>
          <w:color w:val="auto"/>
        </w:rPr>
        <w:t>was tested with Chi-squared tests.</w:t>
      </w:r>
      <w:r w:rsidR="00560AFB" w:rsidRPr="00D24342">
        <w:rPr>
          <w:color w:val="auto"/>
        </w:rPr>
        <w:t xml:space="preserve"> We did not conduct country-wise analysis for condom non-use and multiple sex partners as the sample size after restriction to those who ever had sex</w:t>
      </w:r>
      <w:r w:rsidR="00515D49" w:rsidRPr="00D24342">
        <w:rPr>
          <w:color w:val="auto"/>
        </w:rPr>
        <w:t xml:space="preserve"> was very small in the majority of the countries</w:t>
      </w:r>
      <w:r w:rsidR="00560AFB" w:rsidRPr="00D24342">
        <w:rPr>
          <w:color w:val="auto"/>
        </w:rPr>
        <w:t xml:space="preserve">. </w:t>
      </w:r>
      <w:r w:rsidRPr="00D24342">
        <w:rPr>
          <w:color w:val="auto"/>
        </w:rPr>
        <w:t>The associations between physical attack or physical fight (exposures) and sexual</w:t>
      </w:r>
      <w:r w:rsidR="0014367C" w:rsidRPr="00D24342">
        <w:rPr>
          <w:color w:val="auto"/>
        </w:rPr>
        <w:t xml:space="preserve"> </w:t>
      </w:r>
      <w:r w:rsidRPr="00D24342">
        <w:rPr>
          <w:color w:val="auto"/>
        </w:rPr>
        <w:t xml:space="preserve">intercourse, condom non-use, or multiple sex partners (outcomes) were assessed by multivariable logistic regression analysis. </w:t>
      </w:r>
      <w:r w:rsidRPr="00D24342">
        <w:rPr>
          <w:color w:val="auto"/>
        </w:rPr>
        <w:lastRenderedPageBreak/>
        <w:t>Due to the small numbers in the extreme categories, variables on physical attack and physical fight were categorized as 0, 1, 2-3, and ≥4 times in the past 12 months</w:t>
      </w:r>
      <w:r w:rsidR="009B7BDC" w:rsidRPr="00D24342">
        <w:rPr>
          <w:color w:val="auto"/>
        </w:rPr>
        <w:t xml:space="preserve"> for this analysis</w:t>
      </w:r>
      <w:r w:rsidRPr="00D24342">
        <w:rPr>
          <w:color w:val="auto"/>
        </w:rPr>
        <w:t>. Sex-wise analyses were also conducted. The analysis was adjusted for sex, age, food insecurity, alcohol consumption, and country with the exception of the sex-wise analysis, which was not adjusted for sex. Adjustment for country was done by including dummy variables for each country in the model as in previous GSHS publications</w:t>
      </w:r>
      <w:r w:rsidR="007F50A8" w:rsidRPr="00D24342">
        <w:rPr>
          <w:color w:val="auto"/>
        </w:rPr>
        <w:t xml:space="preserve"> (McKinnon, </w:t>
      </w:r>
      <w:proofErr w:type="spellStart"/>
      <w:r w:rsidR="007F50A8" w:rsidRPr="00D24342">
        <w:rPr>
          <w:color w:val="auto"/>
        </w:rPr>
        <w:t>Gariépy</w:t>
      </w:r>
      <w:proofErr w:type="spellEnd"/>
      <w:r w:rsidR="007F50A8" w:rsidRPr="00D24342">
        <w:rPr>
          <w:color w:val="auto"/>
        </w:rPr>
        <w:t xml:space="preserve">, </w:t>
      </w:r>
      <w:proofErr w:type="spellStart"/>
      <w:r w:rsidR="007F50A8" w:rsidRPr="00D24342">
        <w:rPr>
          <w:color w:val="auto"/>
        </w:rPr>
        <w:t>Senten</w:t>
      </w:r>
      <w:r w:rsidR="009A6F5E" w:rsidRPr="00D24342">
        <w:rPr>
          <w:color w:val="auto"/>
        </w:rPr>
        <w:t>ac</w:t>
      </w:r>
      <w:proofErr w:type="spellEnd"/>
      <w:r w:rsidR="009A6F5E" w:rsidRPr="00D24342">
        <w:rPr>
          <w:color w:val="auto"/>
        </w:rPr>
        <w:t xml:space="preserve">, Elgar, &amp; 2016; </w:t>
      </w:r>
      <w:proofErr w:type="spellStart"/>
      <w:r w:rsidR="009A6F5E" w:rsidRPr="00D24342">
        <w:rPr>
          <w:color w:val="auto"/>
        </w:rPr>
        <w:t>Vancampfort</w:t>
      </w:r>
      <w:proofErr w:type="spellEnd"/>
      <w:r w:rsidR="009A6F5E" w:rsidRPr="00D24342">
        <w:rPr>
          <w:color w:val="auto"/>
        </w:rPr>
        <w:t xml:space="preserve"> et al., </w:t>
      </w:r>
      <w:r w:rsidR="007F50A8" w:rsidRPr="00D24342">
        <w:rPr>
          <w:color w:val="auto"/>
        </w:rPr>
        <w:t>2018</w:t>
      </w:r>
      <w:r w:rsidR="009A6F5E" w:rsidRPr="00D24342">
        <w:rPr>
          <w:color w:val="auto"/>
        </w:rPr>
        <w:t>).</w:t>
      </w:r>
      <w:r w:rsidR="00291A90" w:rsidRPr="00D24342">
        <w:rPr>
          <w:color w:val="auto"/>
        </w:rPr>
        <w:t xml:space="preserve"> </w:t>
      </w:r>
      <w:r w:rsidRPr="00D24342">
        <w:rPr>
          <w:color w:val="auto"/>
        </w:rPr>
        <w:t>The analysis on condom non-use and multiple sex partners was restricted to those who ever had sexual intercourse (n=2</w:t>
      </w:r>
      <w:r w:rsidR="009B7BDC" w:rsidRPr="00D24342">
        <w:rPr>
          <w:color w:val="auto"/>
        </w:rPr>
        <w:t>1,885</w:t>
      </w:r>
      <w:r w:rsidRPr="00D24342">
        <w:rPr>
          <w:color w:val="auto"/>
        </w:rPr>
        <w:t xml:space="preserve">). </w:t>
      </w:r>
    </w:p>
    <w:p w14:paraId="393D2053" w14:textId="77777777" w:rsidR="009B7BDC" w:rsidRPr="00D24342" w:rsidRDefault="009B7BDC">
      <w:pPr>
        <w:spacing w:line="480" w:lineRule="auto"/>
        <w:rPr>
          <w:color w:val="auto"/>
        </w:rPr>
      </w:pPr>
    </w:p>
    <w:p w14:paraId="63827EE3" w14:textId="741C7E3A" w:rsidR="004F228C" w:rsidRPr="00D24342" w:rsidRDefault="00D73302">
      <w:pPr>
        <w:spacing w:line="480" w:lineRule="auto"/>
        <w:rPr>
          <w:color w:val="auto"/>
        </w:rPr>
      </w:pPr>
      <w:r w:rsidRPr="00D24342">
        <w:rPr>
          <w:color w:val="auto"/>
        </w:rPr>
        <w:t xml:space="preserve">All variables were included in the regression analysis as categorical variables with the exception of age (continuous variable). </w:t>
      </w:r>
      <w:r w:rsidR="0076174A" w:rsidRPr="00D24342">
        <w:rPr>
          <w:color w:val="auto"/>
        </w:rPr>
        <w:t xml:space="preserve">Under </w:t>
      </w:r>
      <w:r w:rsidR="0076174A" w:rsidRPr="00D24342">
        <w:rPr>
          <w:rFonts w:cs="Times New Roman"/>
          <w:color w:val="auto"/>
        </w:rPr>
        <w:t>≤</w:t>
      </w:r>
      <w:r w:rsidR="0076174A" w:rsidRPr="00D24342">
        <w:rPr>
          <w:color w:val="auto"/>
        </w:rPr>
        <w:t xml:space="preserve">1% of the data were missing for all variables used in the analysis with the exception of alcohol consumption (5.8%) and sexual intercourse (12.7%). Complete case analysis was conducted. </w:t>
      </w:r>
      <w:r w:rsidRPr="00D24342">
        <w:rPr>
          <w:color w:val="auto"/>
        </w:rPr>
        <w:t xml:space="preserve">Sampling weights and the clustered sampling design of the surveys were taken into account. Results from the logistic regression analyses are presented as odds ratios (ORs) with 95% confidence intervals (CIs). </w:t>
      </w:r>
      <w:r w:rsidR="00502998" w:rsidRPr="00D24342">
        <w:rPr>
          <w:rFonts w:eastAsia="Times New Roman" w:cs="Times New Roman"/>
          <w:color w:val="auto"/>
        </w:rPr>
        <w:t>In epidemiology, a relative risk of 1.0-1.2 is often considered no associations, 1.2-1.5 weak associations, and &gt;1.5 moderate to strong associations (</w:t>
      </w:r>
      <w:r w:rsidR="00082D26" w:rsidRPr="00D24342">
        <w:rPr>
          <w:rFonts w:eastAsia="Times New Roman" w:cs="Times New Roman"/>
          <w:color w:val="auto"/>
        </w:rPr>
        <w:t>Monson, 1990</w:t>
      </w:r>
      <w:r w:rsidR="00502998" w:rsidRPr="00D24342">
        <w:rPr>
          <w:rFonts w:eastAsia="Times New Roman" w:cs="Times New Roman"/>
          <w:color w:val="auto"/>
        </w:rPr>
        <w:t xml:space="preserve">). </w:t>
      </w:r>
      <w:r w:rsidRPr="00D24342">
        <w:rPr>
          <w:color w:val="auto"/>
        </w:rPr>
        <w:t xml:space="preserve">The level of statistical significance was set at p&lt;0.05. </w:t>
      </w:r>
    </w:p>
    <w:p w14:paraId="204AC7F9" w14:textId="77777777" w:rsidR="004F228C" w:rsidRPr="00D24342" w:rsidRDefault="004F228C">
      <w:pPr>
        <w:pStyle w:val="Default"/>
        <w:spacing w:line="480" w:lineRule="auto"/>
        <w:rPr>
          <w:rFonts w:ascii="Times New Roman" w:eastAsia="Times New Roman" w:hAnsi="Times New Roman" w:cs="Times New Roman"/>
          <w:color w:val="auto"/>
        </w:rPr>
      </w:pPr>
    </w:p>
    <w:p w14:paraId="6FE65872" w14:textId="019ECEFA" w:rsidR="004F228C" w:rsidRPr="00D24342" w:rsidRDefault="006F4194" w:rsidP="00FF6E87">
      <w:pPr>
        <w:pStyle w:val="Heading1"/>
        <w:rPr>
          <w:rFonts w:eastAsia="Times New Roman" w:cs="Times New Roman"/>
        </w:rPr>
      </w:pPr>
      <w:r w:rsidRPr="00D24342">
        <w:t>Results</w:t>
      </w:r>
    </w:p>
    <w:p w14:paraId="69E5E686" w14:textId="24538151" w:rsidR="00F95AD8" w:rsidRPr="00D24342" w:rsidRDefault="00D73302">
      <w:pPr>
        <w:spacing w:line="480" w:lineRule="auto"/>
        <w:rPr>
          <w:color w:val="auto"/>
        </w:rPr>
      </w:pPr>
      <w:r w:rsidRPr="00D24342">
        <w:rPr>
          <w:color w:val="auto"/>
        </w:rPr>
        <w:t xml:space="preserve">A total of </w:t>
      </w:r>
      <w:r w:rsidR="0014367C" w:rsidRPr="00D24342">
        <w:rPr>
          <w:color w:val="auto"/>
        </w:rPr>
        <w:t xml:space="preserve">127,513 </w:t>
      </w:r>
      <w:r w:rsidRPr="00D24342">
        <w:rPr>
          <w:color w:val="auto"/>
        </w:rPr>
        <w:t>adolescents aged 12-15 years were included in the analysis. The mean (SD) age was 13.8 (</w:t>
      </w:r>
      <w:r w:rsidR="00074E18" w:rsidRPr="00D24342">
        <w:rPr>
          <w:color w:val="auto"/>
        </w:rPr>
        <w:t>1.0</w:t>
      </w:r>
      <w:r w:rsidRPr="00D24342">
        <w:rPr>
          <w:color w:val="auto"/>
        </w:rPr>
        <w:t>) years and 50.</w:t>
      </w:r>
      <w:r w:rsidR="00074E18" w:rsidRPr="00D24342">
        <w:rPr>
          <w:color w:val="auto"/>
        </w:rPr>
        <w:t>7</w:t>
      </w:r>
      <w:r w:rsidRPr="00D24342">
        <w:rPr>
          <w:color w:val="auto"/>
        </w:rPr>
        <w:t>% were boys. Overall, 14.</w:t>
      </w:r>
      <w:r w:rsidR="00A65E59" w:rsidRPr="00D24342">
        <w:rPr>
          <w:color w:val="auto"/>
        </w:rPr>
        <w:t>7</w:t>
      </w:r>
      <w:r w:rsidRPr="00D24342">
        <w:rPr>
          <w:color w:val="auto"/>
        </w:rPr>
        <w:t>%, 1</w:t>
      </w:r>
      <w:r w:rsidR="00A65E59" w:rsidRPr="00D24342">
        <w:rPr>
          <w:color w:val="auto"/>
        </w:rPr>
        <w:t>3.1</w:t>
      </w:r>
      <w:r w:rsidRPr="00D24342">
        <w:rPr>
          <w:color w:val="auto"/>
        </w:rPr>
        <w:t>%, and 10.</w:t>
      </w:r>
      <w:r w:rsidR="00A65E59" w:rsidRPr="00D24342">
        <w:rPr>
          <w:color w:val="auto"/>
        </w:rPr>
        <w:t>7</w:t>
      </w:r>
      <w:r w:rsidRPr="00D24342">
        <w:rPr>
          <w:color w:val="auto"/>
        </w:rPr>
        <w:t>% of adolescents experienced a physical attack 1, 2-3, and ≥4 times in the past year, respectively. The corresponding figures for physical fights were 13.6%, 8.</w:t>
      </w:r>
      <w:r w:rsidR="00A65E59" w:rsidRPr="00D24342">
        <w:rPr>
          <w:color w:val="auto"/>
        </w:rPr>
        <w:t>7</w:t>
      </w:r>
      <w:r w:rsidRPr="00D24342">
        <w:rPr>
          <w:color w:val="auto"/>
        </w:rPr>
        <w:t xml:space="preserve">%, and 6.2%, respectively. </w:t>
      </w:r>
      <w:r w:rsidR="009F38D1" w:rsidRPr="00D24342">
        <w:rPr>
          <w:color w:val="auto"/>
        </w:rPr>
        <w:t xml:space="preserve">Overall, </w:t>
      </w:r>
      <w:r w:rsidRPr="00D24342">
        <w:rPr>
          <w:color w:val="auto"/>
        </w:rPr>
        <w:t>1</w:t>
      </w:r>
      <w:r w:rsidR="001323BF" w:rsidRPr="00D24342">
        <w:rPr>
          <w:color w:val="auto"/>
        </w:rPr>
        <w:t>2.8</w:t>
      </w:r>
      <w:r w:rsidRPr="00D24342">
        <w:rPr>
          <w:color w:val="auto"/>
        </w:rPr>
        <w:t>%</w:t>
      </w:r>
      <w:r w:rsidR="009F38D1" w:rsidRPr="00D24342">
        <w:rPr>
          <w:color w:val="auto"/>
        </w:rPr>
        <w:t xml:space="preserve"> of the adolescents had had sexual intercourse</w:t>
      </w:r>
      <w:r w:rsidRPr="00D24342">
        <w:rPr>
          <w:color w:val="auto"/>
        </w:rPr>
        <w:t>, and among these</w:t>
      </w:r>
      <w:r w:rsidR="006F490F" w:rsidRPr="00D24342">
        <w:rPr>
          <w:color w:val="auto"/>
        </w:rPr>
        <w:t xml:space="preserve"> adolescents</w:t>
      </w:r>
      <w:r w:rsidRPr="00D24342">
        <w:rPr>
          <w:color w:val="auto"/>
        </w:rPr>
        <w:t xml:space="preserve">, </w:t>
      </w:r>
      <w:r w:rsidRPr="00D24342">
        <w:rPr>
          <w:color w:val="auto"/>
        </w:rPr>
        <w:lastRenderedPageBreak/>
        <w:t>the prevalence of condom non-use at last sex and lifetime multiple sex partners were 44.</w:t>
      </w:r>
      <w:r w:rsidR="001323BF" w:rsidRPr="00D24342">
        <w:rPr>
          <w:color w:val="auto"/>
        </w:rPr>
        <w:t>2</w:t>
      </w:r>
      <w:r w:rsidRPr="00D24342">
        <w:rPr>
          <w:color w:val="auto"/>
        </w:rPr>
        <w:t>% and 5</w:t>
      </w:r>
      <w:r w:rsidR="001323BF" w:rsidRPr="00D24342">
        <w:rPr>
          <w:color w:val="auto"/>
        </w:rPr>
        <w:t>2.0</w:t>
      </w:r>
      <w:r w:rsidRPr="00D24342">
        <w:rPr>
          <w:color w:val="auto"/>
        </w:rPr>
        <w:t xml:space="preserve">%, respectively. </w:t>
      </w:r>
      <w:r w:rsidR="0076144A" w:rsidRPr="00D24342">
        <w:rPr>
          <w:color w:val="auto"/>
        </w:rPr>
        <w:t xml:space="preserve">At the country </w:t>
      </w:r>
      <w:r w:rsidR="004D37F7" w:rsidRPr="00D24342">
        <w:rPr>
          <w:color w:val="auto"/>
        </w:rPr>
        <w:t>level, the highest prevalence of physical attack, physical fight, sex</w:t>
      </w:r>
      <w:r w:rsidR="009F38D1" w:rsidRPr="00D24342">
        <w:rPr>
          <w:color w:val="auto"/>
        </w:rPr>
        <w:t xml:space="preserve">ual intercourse, condom non-use, and multiple sex partners </w:t>
      </w:r>
      <w:r w:rsidR="00F4686A" w:rsidRPr="00D24342">
        <w:rPr>
          <w:color w:val="auto"/>
        </w:rPr>
        <w:t>were 71.1% (Samoa), 75.4% (Tuvalu), 55.7% (Samoa), 75.7% (Kiribati), and 69.4% (Samoa), respectively</w:t>
      </w:r>
      <w:r w:rsidR="0051102D" w:rsidRPr="00D24342">
        <w:rPr>
          <w:color w:val="auto"/>
        </w:rPr>
        <w:t xml:space="preserve"> (Table 1)</w:t>
      </w:r>
      <w:r w:rsidR="00F4686A" w:rsidRPr="00D24342">
        <w:rPr>
          <w:color w:val="auto"/>
        </w:rPr>
        <w:t xml:space="preserve">. </w:t>
      </w:r>
      <w:r w:rsidR="00107586" w:rsidRPr="00D24342">
        <w:rPr>
          <w:color w:val="auto"/>
        </w:rPr>
        <w:t xml:space="preserve">Boys </w:t>
      </w:r>
      <w:r w:rsidR="003F4A87" w:rsidRPr="00D24342">
        <w:rPr>
          <w:color w:val="auto"/>
        </w:rPr>
        <w:t>were more likely to engage in violence, have had sexual intercourse, and have multiple sex partners</w:t>
      </w:r>
      <w:r w:rsidR="00FC3C37" w:rsidRPr="00D24342">
        <w:rPr>
          <w:color w:val="auto"/>
        </w:rPr>
        <w:t>, while non-condom use was more prevalent among those aged 12-13 years as compared to 14-15 years</w:t>
      </w:r>
      <w:r w:rsidR="003F4A87" w:rsidRPr="00D24342">
        <w:rPr>
          <w:color w:val="auto"/>
        </w:rPr>
        <w:t xml:space="preserve"> (</w:t>
      </w:r>
      <w:r w:rsidR="003F4A87" w:rsidRPr="00D24342">
        <w:rPr>
          <w:b/>
          <w:color w:val="auto"/>
        </w:rPr>
        <w:t>Table 2</w:t>
      </w:r>
      <w:r w:rsidR="003F4A87" w:rsidRPr="00D24342">
        <w:rPr>
          <w:color w:val="auto"/>
        </w:rPr>
        <w:t xml:space="preserve">). </w:t>
      </w:r>
      <w:r w:rsidR="00E10906" w:rsidRPr="00D24342">
        <w:rPr>
          <w:color w:val="auto"/>
        </w:rPr>
        <w:t>Sexual intercourse was significantly more prevalent among those who were attacked or were in a physical fight in</w:t>
      </w:r>
      <w:r w:rsidR="003C4F36" w:rsidRPr="00D24342">
        <w:rPr>
          <w:color w:val="auto"/>
        </w:rPr>
        <w:t xml:space="preserve"> the majority of the countries (Appendix </w:t>
      </w:r>
      <w:r w:rsidR="003C4F36" w:rsidRPr="00D24342">
        <w:rPr>
          <w:b/>
          <w:color w:val="auto"/>
        </w:rPr>
        <w:t>Table S1</w:t>
      </w:r>
      <w:r w:rsidR="003C4F36" w:rsidRPr="00D24342">
        <w:rPr>
          <w:color w:val="auto"/>
        </w:rPr>
        <w:t xml:space="preserve">). </w:t>
      </w:r>
    </w:p>
    <w:p w14:paraId="572A646A" w14:textId="77777777" w:rsidR="00F95AD8" w:rsidRPr="00D24342" w:rsidRDefault="00F95AD8">
      <w:pPr>
        <w:spacing w:line="480" w:lineRule="auto"/>
        <w:rPr>
          <w:color w:val="auto"/>
        </w:rPr>
      </w:pPr>
    </w:p>
    <w:p w14:paraId="72DC0812" w14:textId="3EE4D130" w:rsidR="004F228C" w:rsidRPr="00D24342" w:rsidRDefault="00D73302">
      <w:pPr>
        <w:spacing w:line="480" w:lineRule="auto"/>
        <w:rPr>
          <w:color w:val="auto"/>
        </w:rPr>
      </w:pPr>
      <w:r w:rsidRPr="00D24342">
        <w:rPr>
          <w:color w:val="auto"/>
        </w:rPr>
        <w:t>The prevalence of sexual intercourse, condom non-use, and multiple sex partners increased almost linearly with increasing times attacked in the past year (</w:t>
      </w:r>
      <w:r w:rsidRPr="00D24342">
        <w:rPr>
          <w:b/>
          <w:bCs/>
          <w:color w:val="auto"/>
        </w:rPr>
        <w:t>Figure 1</w:t>
      </w:r>
      <w:r w:rsidRPr="00D24342">
        <w:rPr>
          <w:color w:val="auto"/>
        </w:rPr>
        <w:t>). For example, the prevalence of condom non-use increased from 37.</w:t>
      </w:r>
      <w:r w:rsidR="00AC4CBC" w:rsidRPr="00D24342">
        <w:rPr>
          <w:color w:val="auto"/>
        </w:rPr>
        <w:t>2</w:t>
      </w:r>
      <w:r w:rsidRPr="00D24342">
        <w:rPr>
          <w:color w:val="auto"/>
        </w:rPr>
        <w:t>% (0 times) to 5</w:t>
      </w:r>
      <w:r w:rsidR="00AC4CBC" w:rsidRPr="00D24342">
        <w:rPr>
          <w:color w:val="auto"/>
        </w:rPr>
        <w:t>6.6</w:t>
      </w:r>
      <w:r w:rsidRPr="00D24342">
        <w:rPr>
          <w:color w:val="auto"/>
        </w:rPr>
        <w:t>% (≥4 times). In the case of physical fights, an increasing trend with increasing number of physical fights was observed for sexual intercourse and multiple sex partners but not for condom use (</w:t>
      </w:r>
      <w:r w:rsidRPr="00D24342">
        <w:rPr>
          <w:b/>
          <w:bCs/>
          <w:color w:val="auto"/>
        </w:rPr>
        <w:t>Figure 2</w:t>
      </w:r>
      <w:r w:rsidRPr="00D24342">
        <w:rPr>
          <w:color w:val="auto"/>
        </w:rPr>
        <w:t>). The increase in sexual intercourse was particularly prominent with a 3-fold increase being observed between 0 times (10.</w:t>
      </w:r>
      <w:r w:rsidR="0095573E" w:rsidRPr="00D24342">
        <w:rPr>
          <w:color w:val="auto"/>
        </w:rPr>
        <w:t>0</w:t>
      </w:r>
      <w:r w:rsidRPr="00D24342">
        <w:rPr>
          <w:color w:val="auto"/>
        </w:rPr>
        <w:t>%) and ≥4 times (30.</w:t>
      </w:r>
      <w:r w:rsidR="0095573E" w:rsidRPr="00D24342">
        <w:rPr>
          <w:color w:val="auto"/>
        </w:rPr>
        <w:t>0</w:t>
      </w:r>
      <w:r w:rsidRPr="00D24342">
        <w:rPr>
          <w:color w:val="auto"/>
        </w:rPr>
        <w:t xml:space="preserve">%). The results of the adjusted analyses are shown in </w:t>
      </w:r>
      <w:r w:rsidRPr="00D24342">
        <w:rPr>
          <w:b/>
          <w:bCs/>
          <w:color w:val="auto"/>
        </w:rPr>
        <w:t xml:space="preserve">Table </w:t>
      </w:r>
      <w:r w:rsidR="00AC4CBC" w:rsidRPr="00D24342">
        <w:rPr>
          <w:b/>
          <w:bCs/>
          <w:color w:val="auto"/>
        </w:rPr>
        <w:t>3</w:t>
      </w:r>
      <w:r w:rsidRPr="00D24342">
        <w:rPr>
          <w:color w:val="auto"/>
        </w:rPr>
        <w:t xml:space="preserve">. In the overall sample, </w:t>
      </w:r>
      <w:r w:rsidR="0095573E" w:rsidRPr="00D24342">
        <w:rPr>
          <w:color w:val="auto"/>
        </w:rPr>
        <w:t>p</w:t>
      </w:r>
      <w:r w:rsidRPr="00D24342">
        <w:rPr>
          <w:color w:val="auto"/>
        </w:rPr>
        <w:t>hysical attack was dose-dependently and significantly associated with all three sexual behavior outcomes with it being associated with 1.4</w:t>
      </w:r>
      <w:r w:rsidR="0095573E" w:rsidRPr="00D24342">
        <w:rPr>
          <w:color w:val="auto"/>
        </w:rPr>
        <w:t>2</w:t>
      </w:r>
      <w:r w:rsidRPr="00D24342">
        <w:rPr>
          <w:color w:val="auto"/>
        </w:rPr>
        <w:t xml:space="preserve"> (95%CI=1.1</w:t>
      </w:r>
      <w:r w:rsidR="0095573E" w:rsidRPr="00D24342">
        <w:rPr>
          <w:color w:val="auto"/>
        </w:rPr>
        <w:t>6</w:t>
      </w:r>
      <w:r w:rsidRPr="00D24342">
        <w:rPr>
          <w:color w:val="auto"/>
        </w:rPr>
        <w:t>-1.7</w:t>
      </w:r>
      <w:r w:rsidR="0095573E" w:rsidRPr="00D24342">
        <w:rPr>
          <w:color w:val="auto"/>
        </w:rPr>
        <w:t>4</w:t>
      </w:r>
      <w:r w:rsidRPr="00D24342">
        <w:rPr>
          <w:color w:val="auto"/>
        </w:rPr>
        <w:t xml:space="preserve">), </w:t>
      </w:r>
      <w:r w:rsidR="0095573E" w:rsidRPr="00D24342">
        <w:rPr>
          <w:color w:val="auto"/>
        </w:rPr>
        <w:t>2.13</w:t>
      </w:r>
      <w:r w:rsidRPr="00D24342">
        <w:rPr>
          <w:color w:val="auto"/>
        </w:rPr>
        <w:t xml:space="preserve"> (95%CI=1.3</w:t>
      </w:r>
      <w:r w:rsidR="0095573E" w:rsidRPr="00D24342">
        <w:rPr>
          <w:color w:val="auto"/>
        </w:rPr>
        <w:t>9</w:t>
      </w:r>
      <w:r w:rsidRPr="00D24342">
        <w:rPr>
          <w:color w:val="auto"/>
        </w:rPr>
        <w:t>-</w:t>
      </w:r>
      <w:r w:rsidR="0095573E" w:rsidRPr="00D24342">
        <w:rPr>
          <w:color w:val="auto"/>
        </w:rPr>
        <w:t>3.27</w:t>
      </w:r>
      <w:r w:rsidRPr="00D24342">
        <w:rPr>
          <w:color w:val="auto"/>
        </w:rPr>
        <w:t>), and 1.</w:t>
      </w:r>
      <w:r w:rsidR="0095573E" w:rsidRPr="00D24342">
        <w:rPr>
          <w:color w:val="auto"/>
        </w:rPr>
        <w:t>48</w:t>
      </w:r>
      <w:r w:rsidRPr="00D24342">
        <w:rPr>
          <w:color w:val="auto"/>
        </w:rPr>
        <w:t xml:space="preserve"> (95%CI=1.1</w:t>
      </w:r>
      <w:r w:rsidR="0095573E" w:rsidRPr="00D24342">
        <w:rPr>
          <w:color w:val="auto"/>
        </w:rPr>
        <w:t>0</w:t>
      </w:r>
      <w:r w:rsidRPr="00D24342">
        <w:rPr>
          <w:color w:val="auto"/>
        </w:rPr>
        <w:t>-</w:t>
      </w:r>
      <w:r w:rsidR="0095573E" w:rsidRPr="00D24342">
        <w:rPr>
          <w:color w:val="auto"/>
        </w:rPr>
        <w:t>2.00</w:t>
      </w:r>
      <w:r w:rsidRPr="00D24342">
        <w:rPr>
          <w:color w:val="auto"/>
        </w:rPr>
        <w:t>) times higher odds for sexual intercourse, condom non-use, and multiple sex partners, respectively when the highest category was compared with the lowest (i.e., ≥4 times vs. 0 times). As for physical fights, significant dose-dependent associations were only observed for sexual intercourse and multiple sex partners. Compared to not being in a fight in the past 12 months, being in a fight ≥4 times was associated with 2.</w:t>
      </w:r>
      <w:r w:rsidR="0095573E" w:rsidRPr="00D24342">
        <w:rPr>
          <w:color w:val="auto"/>
        </w:rPr>
        <w:t>34</w:t>
      </w:r>
      <w:r w:rsidRPr="00D24342">
        <w:rPr>
          <w:color w:val="auto"/>
        </w:rPr>
        <w:t xml:space="preserve"> (95%CI=</w:t>
      </w:r>
      <w:r w:rsidR="0095573E" w:rsidRPr="00D24342">
        <w:rPr>
          <w:color w:val="auto"/>
        </w:rPr>
        <w:t>2.03-2.70</w:t>
      </w:r>
      <w:r w:rsidRPr="00D24342">
        <w:rPr>
          <w:color w:val="auto"/>
        </w:rPr>
        <w:t xml:space="preserve">) and </w:t>
      </w:r>
      <w:r w:rsidR="0095573E" w:rsidRPr="00D24342">
        <w:rPr>
          <w:color w:val="auto"/>
        </w:rPr>
        <w:t xml:space="preserve">1.98 </w:t>
      </w:r>
      <w:r w:rsidRPr="00D24342">
        <w:rPr>
          <w:color w:val="auto"/>
        </w:rPr>
        <w:lastRenderedPageBreak/>
        <w:t>(95%CI=1.</w:t>
      </w:r>
      <w:r w:rsidR="0095573E" w:rsidRPr="00D24342">
        <w:rPr>
          <w:color w:val="auto"/>
        </w:rPr>
        <w:t>5</w:t>
      </w:r>
      <w:r w:rsidRPr="00D24342">
        <w:rPr>
          <w:color w:val="auto"/>
        </w:rPr>
        <w:t>6-2.</w:t>
      </w:r>
      <w:r w:rsidR="0095573E" w:rsidRPr="00D24342">
        <w:rPr>
          <w:color w:val="auto"/>
        </w:rPr>
        <w:t>52</w:t>
      </w:r>
      <w:r w:rsidRPr="00D24342">
        <w:rPr>
          <w:color w:val="auto"/>
        </w:rPr>
        <w:t xml:space="preserve">) times higher odds for sexual intercourse and multiple sex partners, respectively. </w:t>
      </w:r>
      <w:r w:rsidR="00F36713" w:rsidRPr="00D24342">
        <w:rPr>
          <w:color w:val="auto"/>
        </w:rPr>
        <w:t xml:space="preserve">Some </w:t>
      </w:r>
      <w:r w:rsidR="00A61DAE" w:rsidRPr="00D24342">
        <w:rPr>
          <w:color w:val="auto"/>
        </w:rPr>
        <w:t xml:space="preserve">sex </w:t>
      </w:r>
      <w:r w:rsidR="00F36713" w:rsidRPr="00D24342">
        <w:rPr>
          <w:color w:val="auto"/>
        </w:rPr>
        <w:t>differences by were observed for physical attacks.</w:t>
      </w:r>
      <w:r w:rsidR="00A61DAE" w:rsidRPr="00D24342">
        <w:rPr>
          <w:color w:val="auto"/>
        </w:rPr>
        <w:t xml:space="preserve"> Specifically</w:t>
      </w:r>
      <w:r w:rsidR="00F36713" w:rsidRPr="00D24342">
        <w:rPr>
          <w:color w:val="auto"/>
        </w:rPr>
        <w:t xml:space="preserve">, physical attack was only significantly associated with </w:t>
      </w:r>
      <w:r w:rsidR="00107586" w:rsidRPr="00D24342">
        <w:rPr>
          <w:color w:val="auto"/>
        </w:rPr>
        <w:t>sexual intercourse and multiple sex partners among girls, while it was significantly associated with condom non-use only among boys.</w:t>
      </w:r>
    </w:p>
    <w:p w14:paraId="7E2E81B6" w14:textId="77777777" w:rsidR="004F228C" w:rsidRPr="00D24342" w:rsidRDefault="004F228C">
      <w:pPr>
        <w:spacing w:line="480" w:lineRule="auto"/>
        <w:rPr>
          <w:color w:val="auto"/>
        </w:rPr>
      </w:pPr>
    </w:p>
    <w:p w14:paraId="593327F7" w14:textId="4AA31343" w:rsidR="004F228C" w:rsidRPr="00D24342" w:rsidRDefault="006F4194" w:rsidP="00FF6E87">
      <w:pPr>
        <w:pStyle w:val="Heading1"/>
      </w:pPr>
      <w:r w:rsidRPr="00D24342">
        <w:t>Discussion</w:t>
      </w:r>
    </w:p>
    <w:p w14:paraId="7CDF148C" w14:textId="77777777" w:rsidR="009860B3" w:rsidRPr="00D24342" w:rsidRDefault="00D73302">
      <w:pPr>
        <w:spacing w:line="480" w:lineRule="auto"/>
        <w:rPr>
          <w:rFonts w:eastAsia="Times New Roman" w:cs="Times New Roman"/>
          <w:color w:val="auto"/>
        </w:rPr>
      </w:pPr>
      <w:r w:rsidRPr="00D24342">
        <w:rPr>
          <w:color w:val="auto"/>
        </w:rPr>
        <w:t xml:space="preserve">In this large </w:t>
      </w:r>
      <w:r w:rsidR="004766D8" w:rsidRPr="00D24342">
        <w:rPr>
          <w:color w:val="auto"/>
        </w:rPr>
        <w:t xml:space="preserve">transnational </w:t>
      </w:r>
      <w:r w:rsidRPr="00D24342">
        <w:rPr>
          <w:color w:val="auto"/>
        </w:rPr>
        <w:t xml:space="preserve">study, we found that the prevalence of violence was high with 38.1% and 28.6% of young adolescents experiencing at least one physical attack and physical fight, respectively, in the past 12 months. </w:t>
      </w:r>
      <w:r w:rsidR="00BE05D8" w:rsidRPr="00D24342">
        <w:rPr>
          <w:color w:val="auto"/>
        </w:rPr>
        <w:t>Overall, 12.8% of the</w:t>
      </w:r>
      <w:r w:rsidRPr="00D24342">
        <w:rPr>
          <w:color w:val="auto"/>
        </w:rPr>
        <w:t xml:space="preserve"> adolescents had </w:t>
      </w:r>
      <w:r w:rsidR="004766D8" w:rsidRPr="00D24342">
        <w:rPr>
          <w:color w:val="auto"/>
        </w:rPr>
        <w:t xml:space="preserve">engaged in </w:t>
      </w:r>
      <w:r w:rsidRPr="00D24342">
        <w:rPr>
          <w:color w:val="auto"/>
        </w:rPr>
        <w:t>sexual intercourse, and among these adolescents,</w:t>
      </w:r>
      <w:r w:rsidR="00934D09" w:rsidRPr="00D24342">
        <w:rPr>
          <w:color w:val="auto"/>
        </w:rPr>
        <w:t xml:space="preserve"> 44.2% and 52.0% did not use a condom at last sex, and had multiple sex partners, respectively. </w:t>
      </w:r>
      <w:r w:rsidR="00915E5B" w:rsidRPr="00D24342">
        <w:rPr>
          <w:color w:val="auto"/>
        </w:rPr>
        <w:t xml:space="preserve">However, it should be noted that a large between-country variation in the prevalence of violence and sexual behavior was observed in our study. </w:t>
      </w:r>
      <w:r w:rsidR="00915E5B" w:rsidRPr="00D24342">
        <w:rPr>
          <w:rFonts w:eastAsia="Times New Roman" w:cs="Times New Roman"/>
          <w:color w:val="auto"/>
        </w:rPr>
        <w:t>Although the reasons for the between-country difference are unknown, they are likely related to differences in socioeconomic, cultural, and religious factors as well as other factors such as substance use. F</w:t>
      </w:r>
      <w:bookmarkStart w:id="1" w:name="_Hlk38567415"/>
      <w:r w:rsidR="00915E5B" w:rsidRPr="00D24342">
        <w:rPr>
          <w:rFonts w:eastAsia="Times New Roman" w:cs="Times New Roman"/>
          <w:color w:val="auto"/>
        </w:rPr>
        <w:t>or example, Muslim countries</w:t>
      </w:r>
      <w:r w:rsidR="00D7281A" w:rsidRPr="00D24342">
        <w:rPr>
          <w:rFonts w:eastAsia="Times New Roman" w:cs="Times New Roman"/>
          <w:color w:val="auto"/>
        </w:rPr>
        <w:t xml:space="preserve"> (e.g.</w:t>
      </w:r>
      <w:r w:rsidR="0056436D" w:rsidRPr="00D24342">
        <w:rPr>
          <w:rFonts w:eastAsia="Times New Roman" w:cs="Times New Roman"/>
          <w:color w:val="auto"/>
        </w:rPr>
        <w:t>,</w:t>
      </w:r>
      <w:r w:rsidR="00D7281A" w:rsidRPr="00D24342">
        <w:rPr>
          <w:rFonts w:eastAsia="Times New Roman" w:cs="Times New Roman"/>
          <w:color w:val="auto"/>
        </w:rPr>
        <w:t xml:space="preserve"> Indonesia, Bangladesh) </w:t>
      </w:r>
      <w:r w:rsidR="00915E5B" w:rsidRPr="00D24342">
        <w:rPr>
          <w:rFonts w:eastAsia="Times New Roman" w:cs="Times New Roman"/>
          <w:color w:val="auto"/>
        </w:rPr>
        <w:t xml:space="preserve">may be more likely to have lower prevalence of </w:t>
      </w:r>
      <w:r w:rsidR="00AF7E9C" w:rsidRPr="00D24342">
        <w:rPr>
          <w:rFonts w:eastAsia="Times New Roman" w:cs="Times New Roman"/>
          <w:color w:val="auto"/>
        </w:rPr>
        <w:t xml:space="preserve">early sexual debut </w:t>
      </w:r>
      <w:bookmarkEnd w:id="1"/>
      <w:r w:rsidR="00AF7E9C" w:rsidRPr="00D24342">
        <w:rPr>
          <w:rFonts w:eastAsia="Times New Roman" w:cs="Times New Roman"/>
          <w:color w:val="auto"/>
        </w:rPr>
        <w:t xml:space="preserve">and other </w:t>
      </w:r>
      <w:r w:rsidR="00915E5B" w:rsidRPr="00D24342">
        <w:rPr>
          <w:rFonts w:eastAsia="Times New Roman" w:cs="Times New Roman"/>
          <w:color w:val="auto"/>
        </w:rPr>
        <w:t>risky sexual behavior as these are discouraged, while violence due to alcohol consumption may also be less frequent</w:t>
      </w:r>
      <w:r w:rsidR="004B602E" w:rsidRPr="00D24342">
        <w:rPr>
          <w:rFonts w:eastAsia="Times New Roman" w:cs="Times New Roman"/>
          <w:color w:val="auto"/>
        </w:rPr>
        <w:t xml:space="preserve"> in this setting</w:t>
      </w:r>
      <w:r w:rsidR="00915E5B" w:rsidRPr="00D24342">
        <w:rPr>
          <w:rFonts w:eastAsia="Times New Roman" w:cs="Times New Roman"/>
          <w:color w:val="auto"/>
        </w:rPr>
        <w:t>. Furthermore, previous studies have shown that adolescents who are exposed to poverty are more likely to engage in risky behaviors than adolescents from households with higher income</w:t>
      </w:r>
      <w:r w:rsidR="00A057E7" w:rsidRPr="00D24342">
        <w:rPr>
          <w:rFonts w:eastAsia="Times New Roman" w:cs="Times New Roman"/>
          <w:color w:val="auto"/>
        </w:rPr>
        <w:t xml:space="preserve"> (Elgar et al., 2015). </w:t>
      </w:r>
    </w:p>
    <w:p w14:paraId="29C523DF" w14:textId="77777777" w:rsidR="009860B3" w:rsidRPr="00D24342" w:rsidRDefault="009860B3">
      <w:pPr>
        <w:spacing w:line="480" w:lineRule="auto"/>
        <w:rPr>
          <w:rFonts w:eastAsia="Times New Roman" w:cs="Times New Roman"/>
          <w:color w:val="auto"/>
        </w:rPr>
      </w:pPr>
    </w:p>
    <w:p w14:paraId="5D7A6898" w14:textId="77777777" w:rsidR="009860B3" w:rsidRPr="00D24342" w:rsidRDefault="00AF7E9C">
      <w:pPr>
        <w:spacing w:line="480" w:lineRule="auto"/>
        <w:rPr>
          <w:color w:val="auto"/>
        </w:rPr>
      </w:pPr>
      <w:r w:rsidRPr="00D24342">
        <w:rPr>
          <w:color w:val="auto"/>
        </w:rPr>
        <w:t>In our study, p</w:t>
      </w:r>
      <w:r w:rsidR="00D73302" w:rsidRPr="00D24342">
        <w:rPr>
          <w:color w:val="auto"/>
        </w:rPr>
        <w:t xml:space="preserve">hysical attack was dose-dependently and </w:t>
      </w:r>
      <w:r w:rsidR="0076144A" w:rsidRPr="00D24342">
        <w:rPr>
          <w:color w:val="auto"/>
        </w:rPr>
        <w:t xml:space="preserve">moderately/strongly </w:t>
      </w:r>
      <w:r w:rsidR="00D73302" w:rsidRPr="00D24342">
        <w:rPr>
          <w:color w:val="auto"/>
        </w:rPr>
        <w:t xml:space="preserve">associated with all three sexual behavior outcomes. As for physical fights, significant dose-dependent </w:t>
      </w:r>
      <w:r w:rsidR="0076144A" w:rsidRPr="00D24342">
        <w:rPr>
          <w:color w:val="auto"/>
        </w:rPr>
        <w:t xml:space="preserve">moderate to strong </w:t>
      </w:r>
      <w:r w:rsidR="00D73302" w:rsidRPr="00D24342">
        <w:rPr>
          <w:color w:val="auto"/>
        </w:rPr>
        <w:t xml:space="preserve">associations were only observed for sexual intercourse and multiple sex </w:t>
      </w:r>
      <w:r w:rsidR="00D73302" w:rsidRPr="00D24342">
        <w:rPr>
          <w:color w:val="auto"/>
        </w:rPr>
        <w:lastRenderedPageBreak/>
        <w:t>partners. These findings support the general hypothesis that exposure to violence is generally associated with risky sexual behavior</w:t>
      </w:r>
      <w:r w:rsidR="00797BCF" w:rsidRPr="00D24342">
        <w:rPr>
          <w:color w:val="auto"/>
        </w:rPr>
        <w:t xml:space="preserve"> (including early sexual debut)</w:t>
      </w:r>
      <w:r w:rsidR="00D73302" w:rsidRPr="00D24342">
        <w:rPr>
          <w:color w:val="auto"/>
        </w:rPr>
        <w:t xml:space="preserve"> in adolescents. These findings also support previous work that has shown similar associations in single country studies with small samples and predominantly focusing on girls</w:t>
      </w:r>
      <w:r w:rsidR="00870947" w:rsidRPr="00D24342">
        <w:rPr>
          <w:color w:val="auto"/>
        </w:rPr>
        <w:t xml:space="preserve"> (Albus et al., 2004; Berenson et al., 2001; Wilson et al., 2012)</w:t>
      </w:r>
      <w:r w:rsidR="00D73302" w:rsidRPr="00D24342">
        <w:rPr>
          <w:color w:val="auto"/>
        </w:rPr>
        <w:t>.</w:t>
      </w:r>
      <w:r w:rsidR="00870947" w:rsidRPr="00D24342">
        <w:rPr>
          <w:color w:val="auto"/>
          <w:vertAlign w:val="superscript"/>
        </w:rPr>
        <w:t xml:space="preserve"> </w:t>
      </w:r>
      <w:r w:rsidR="00D73302" w:rsidRPr="00D24342">
        <w:rPr>
          <w:color w:val="auto"/>
        </w:rPr>
        <w:t xml:space="preserve">Thus, the present study adds to these studies by showing that the association holds in </w:t>
      </w:r>
      <w:r w:rsidR="004766D8" w:rsidRPr="00D24342">
        <w:rPr>
          <w:color w:val="auto"/>
        </w:rPr>
        <w:t>transnational</w:t>
      </w:r>
      <w:r w:rsidR="00D73302" w:rsidRPr="00D24342">
        <w:rPr>
          <w:color w:val="auto"/>
        </w:rPr>
        <w:t xml:space="preserve"> studies utilizing large samples and both sexes.</w:t>
      </w:r>
    </w:p>
    <w:p w14:paraId="1C8AF8F8" w14:textId="77777777" w:rsidR="009860B3" w:rsidRPr="00D24342" w:rsidRDefault="009860B3">
      <w:pPr>
        <w:spacing w:line="480" w:lineRule="auto"/>
        <w:rPr>
          <w:color w:val="auto"/>
        </w:rPr>
      </w:pPr>
    </w:p>
    <w:p w14:paraId="27375D6A" w14:textId="3C0B6769" w:rsidR="00A612B3" w:rsidRPr="00D24342" w:rsidRDefault="00D73302">
      <w:pPr>
        <w:spacing w:line="480" w:lineRule="auto"/>
        <w:rPr>
          <w:rFonts w:eastAsia="Times New Roman" w:cs="Times New Roman"/>
          <w:color w:val="auto"/>
        </w:rPr>
      </w:pPr>
      <w:r w:rsidRPr="00D24342">
        <w:rPr>
          <w:color w:val="auto"/>
        </w:rPr>
        <w:t xml:space="preserve">There are several plausible pathways that may explain associations between exposure to violence and sexual behavior. First, it is possible that, in many cases of those </w:t>
      </w:r>
      <w:r w:rsidR="00823428" w:rsidRPr="00D24342">
        <w:rPr>
          <w:color w:val="auto"/>
        </w:rPr>
        <w:t xml:space="preserve">who </w:t>
      </w:r>
      <w:r w:rsidRPr="00D24342">
        <w:rPr>
          <w:color w:val="auto"/>
        </w:rPr>
        <w:t>have experienced violence, the first act of sexual intercourse may</w:t>
      </w:r>
      <w:r w:rsidR="0046736B" w:rsidRPr="00D24342">
        <w:rPr>
          <w:color w:val="auto"/>
        </w:rPr>
        <w:t xml:space="preserve"> </w:t>
      </w:r>
      <w:r w:rsidRPr="00D24342">
        <w:rPr>
          <w:color w:val="auto"/>
        </w:rPr>
        <w:t>be involuntary. Indeed, in a study of adolescent girls, it was shown that those who had experienced and those who had witnessed and experienced violence were significantly more likely than those who had neither witnessed nor experienced violence to have had their first sexual encounter before the age of 13 years</w:t>
      </w:r>
      <w:r w:rsidR="00643AED" w:rsidRPr="00D24342">
        <w:rPr>
          <w:color w:val="auto"/>
        </w:rPr>
        <w:t xml:space="preserve"> (Berenson et al., 2001)</w:t>
      </w:r>
      <w:r w:rsidRPr="00D24342">
        <w:rPr>
          <w:color w:val="auto"/>
        </w:rPr>
        <w:t>.</w:t>
      </w:r>
      <w:r w:rsidR="00643AED" w:rsidRPr="00D24342">
        <w:rPr>
          <w:color w:val="auto"/>
          <w:vertAlign w:val="superscript"/>
        </w:rPr>
        <w:t xml:space="preserve"> </w:t>
      </w:r>
      <w:r w:rsidRPr="00D24342">
        <w:rPr>
          <w:color w:val="auto"/>
        </w:rPr>
        <w:t>Second, health risk behaviors have been shown to co-occur in characteristic ways, suggesting that involvement in one health risk behavior is often associated with involvement in multiple health risk behaviors</w:t>
      </w:r>
      <w:r w:rsidR="00643AED" w:rsidRPr="00D24342">
        <w:rPr>
          <w:color w:val="auto"/>
        </w:rPr>
        <w:t xml:space="preserve"> (Albus et al., 2004) </w:t>
      </w:r>
      <w:r w:rsidRPr="00D24342">
        <w:rPr>
          <w:color w:val="auto"/>
        </w:rPr>
        <w:t>owing to predisposition toward health risk behaviors, more generally. Third, engagement in violence may put adolescents in locations where they interact with role models which may be more likely to encourage sexual behavior. Indeed, it has been shown that the sexual norms of peers influence young adolescents</w:t>
      </w:r>
      <w:r w:rsidR="00063B34" w:rsidRPr="00D24342">
        <w:rPr>
          <w:color w:val="auto"/>
        </w:rPr>
        <w:t>’</w:t>
      </w:r>
      <w:r w:rsidRPr="00D24342">
        <w:rPr>
          <w:color w:val="auto"/>
        </w:rPr>
        <w:t xml:space="preserve"> individual attitudes and behaviors</w:t>
      </w:r>
      <w:r w:rsidR="00643AED" w:rsidRPr="00D24342">
        <w:rPr>
          <w:color w:val="auto"/>
        </w:rPr>
        <w:t xml:space="preserve"> </w:t>
      </w:r>
      <w:r w:rsidR="00643AED" w:rsidRPr="00D24342">
        <w:rPr>
          <w:bCs/>
          <w:color w:val="auto"/>
        </w:rPr>
        <w:t>(</w:t>
      </w:r>
      <w:proofErr w:type="spellStart"/>
      <w:r w:rsidR="00643AED" w:rsidRPr="00D24342">
        <w:rPr>
          <w:color w:val="auto"/>
        </w:rPr>
        <w:t>Potard</w:t>
      </w:r>
      <w:proofErr w:type="spellEnd"/>
      <w:r w:rsidR="00643AED" w:rsidRPr="00D24342">
        <w:rPr>
          <w:color w:val="auto"/>
        </w:rPr>
        <w:t xml:space="preserve">, Courtois, &amp; </w:t>
      </w:r>
      <w:proofErr w:type="spellStart"/>
      <w:r w:rsidR="00643AED" w:rsidRPr="00D24342">
        <w:rPr>
          <w:color w:val="auto"/>
        </w:rPr>
        <w:t>Rusch</w:t>
      </w:r>
      <w:proofErr w:type="spellEnd"/>
      <w:r w:rsidR="00643AED" w:rsidRPr="00D24342">
        <w:rPr>
          <w:color w:val="auto"/>
        </w:rPr>
        <w:t>, 2008)</w:t>
      </w:r>
      <w:r w:rsidRPr="00D24342">
        <w:rPr>
          <w:color w:val="auto"/>
        </w:rPr>
        <w:t>.</w:t>
      </w:r>
      <w:r w:rsidR="00643AED" w:rsidRPr="00D24342">
        <w:rPr>
          <w:color w:val="auto"/>
          <w:vertAlign w:val="superscript"/>
        </w:rPr>
        <w:t xml:space="preserve"> </w:t>
      </w:r>
      <w:r w:rsidRPr="00D24342">
        <w:rPr>
          <w:color w:val="auto"/>
        </w:rPr>
        <w:t>Fourth, exposure to violence has been shown to be associated with poor mental health in general</w:t>
      </w:r>
      <w:r w:rsidR="00643AED" w:rsidRPr="00D24342">
        <w:rPr>
          <w:color w:val="auto"/>
        </w:rPr>
        <w:t xml:space="preserve"> (</w:t>
      </w:r>
      <w:proofErr w:type="spellStart"/>
      <w:r w:rsidR="00643AED" w:rsidRPr="00D24342">
        <w:rPr>
          <w:color w:val="auto"/>
        </w:rPr>
        <w:t>Stansfeld</w:t>
      </w:r>
      <w:proofErr w:type="spellEnd"/>
      <w:r w:rsidR="00643AED" w:rsidRPr="00D24342">
        <w:rPr>
          <w:color w:val="auto"/>
        </w:rPr>
        <w:t xml:space="preserve"> et al., 2017)</w:t>
      </w:r>
      <w:r w:rsidRPr="00D24342">
        <w:rPr>
          <w:color w:val="auto"/>
        </w:rPr>
        <w:t>,</w:t>
      </w:r>
      <w:r w:rsidR="00643AED" w:rsidRPr="00D24342">
        <w:rPr>
          <w:color w:val="auto"/>
          <w:vertAlign w:val="superscript"/>
        </w:rPr>
        <w:t xml:space="preserve"> </w:t>
      </w:r>
      <w:r w:rsidRPr="00D24342">
        <w:rPr>
          <w:color w:val="auto"/>
        </w:rPr>
        <w:t>which has also been shown to be associated with risky sexual behavior in adolescents</w:t>
      </w:r>
      <w:r w:rsidR="00643AED" w:rsidRPr="00D24342">
        <w:rPr>
          <w:color w:val="auto"/>
        </w:rPr>
        <w:t xml:space="preserve"> (Wilson et al, 2010)</w:t>
      </w:r>
      <w:r w:rsidRPr="00D24342">
        <w:rPr>
          <w:color w:val="auto"/>
        </w:rPr>
        <w:t>.</w:t>
      </w:r>
      <w:r w:rsidR="00643AED" w:rsidRPr="00D24342">
        <w:rPr>
          <w:color w:val="auto"/>
          <w:vertAlign w:val="superscript"/>
        </w:rPr>
        <w:t xml:space="preserve"> </w:t>
      </w:r>
      <w:r w:rsidRPr="00D24342">
        <w:rPr>
          <w:color w:val="auto"/>
        </w:rPr>
        <w:t>Fifth, exposure to violence may be associated with a decline in self-efficacy or self-esteem</w:t>
      </w:r>
      <w:r w:rsidR="00643AED" w:rsidRPr="00D24342">
        <w:rPr>
          <w:color w:val="auto"/>
        </w:rPr>
        <w:t xml:space="preserve"> (Nygaard et al., 2017) </w:t>
      </w:r>
      <w:r w:rsidRPr="00D24342">
        <w:rPr>
          <w:color w:val="auto"/>
        </w:rPr>
        <w:t>and low levels of self-efficacy and self-esteem are associated with a higher risk of risky sexual behavior</w:t>
      </w:r>
      <w:r w:rsidR="00643AED" w:rsidRPr="00D24342">
        <w:rPr>
          <w:color w:val="auto"/>
        </w:rPr>
        <w:t xml:space="preserve"> </w:t>
      </w:r>
      <w:r w:rsidR="00643AED" w:rsidRPr="00D24342">
        <w:rPr>
          <w:color w:val="auto"/>
        </w:rPr>
        <w:lastRenderedPageBreak/>
        <w:t>(Longmore et al., 2003)</w:t>
      </w:r>
      <w:r w:rsidRPr="00D24342">
        <w:rPr>
          <w:color w:val="auto"/>
        </w:rPr>
        <w:t>.</w:t>
      </w:r>
      <w:r w:rsidR="00643AED" w:rsidRPr="00D24342">
        <w:rPr>
          <w:color w:val="auto"/>
          <w:vertAlign w:val="superscript"/>
        </w:rPr>
        <w:t xml:space="preserve"> </w:t>
      </w:r>
      <w:r w:rsidRPr="00D24342">
        <w:rPr>
          <w:color w:val="auto"/>
        </w:rPr>
        <w:t xml:space="preserve">Finally, it may also be in the case of physical fighting that it is also aggression that is associated with </w:t>
      </w:r>
      <w:r w:rsidR="00797BCF" w:rsidRPr="00D24342">
        <w:rPr>
          <w:color w:val="auto"/>
        </w:rPr>
        <w:t xml:space="preserve">early sexual debut </w:t>
      </w:r>
      <w:r w:rsidRPr="00D24342">
        <w:rPr>
          <w:color w:val="auto"/>
        </w:rPr>
        <w:t>rather than or in addition to exposure to violence per se</w:t>
      </w:r>
      <w:r w:rsidR="00A853A6" w:rsidRPr="00D24342">
        <w:rPr>
          <w:color w:val="auto"/>
        </w:rPr>
        <w:t xml:space="preserve"> </w:t>
      </w:r>
      <w:r w:rsidR="00643AED" w:rsidRPr="00D24342">
        <w:rPr>
          <w:bCs/>
          <w:color w:val="auto"/>
        </w:rPr>
        <w:t>(</w:t>
      </w:r>
      <w:r w:rsidR="00643AED" w:rsidRPr="00D24342">
        <w:rPr>
          <w:rFonts w:hint="eastAsia"/>
          <w:color w:val="auto"/>
        </w:rPr>
        <w:t>Zuckerman, &amp; Kuhlman, 2000)</w:t>
      </w:r>
      <w:r w:rsidR="00EF443A" w:rsidRPr="00D24342">
        <w:rPr>
          <w:color w:val="auto"/>
        </w:rPr>
        <w:t>.</w:t>
      </w:r>
      <w:r w:rsidR="00643AED" w:rsidRPr="00D24342">
        <w:rPr>
          <w:color w:val="auto"/>
        </w:rPr>
        <w:t xml:space="preserve"> </w:t>
      </w:r>
    </w:p>
    <w:p w14:paraId="388F1B8E" w14:textId="77777777" w:rsidR="0070136F" w:rsidRPr="00D24342" w:rsidRDefault="0070136F">
      <w:pPr>
        <w:spacing w:line="480" w:lineRule="auto"/>
        <w:rPr>
          <w:color w:val="auto"/>
        </w:rPr>
      </w:pPr>
    </w:p>
    <w:p w14:paraId="62C4EB7C" w14:textId="34916D51" w:rsidR="004F228C" w:rsidRPr="00D24342" w:rsidRDefault="00D73302">
      <w:pPr>
        <w:spacing w:line="480" w:lineRule="auto"/>
        <w:rPr>
          <w:color w:val="auto"/>
        </w:rPr>
      </w:pPr>
      <w:r w:rsidRPr="00D24342">
        <w:rPr>
          <w:color w:val="auto"/>
        </w:rPr>
        <w:t xml:space="preserve">It should be noted that the present study found nuanced findings in relation to exposure to different types of violence. </w:t>
      </w:r>
      <w:r w:rsidR="0070136F" w:rsidRPr="00D24342">
        <w:rPr>
          <w:color w:val="auto"/>
        </w:rPr>
        <w:t>P</w:t>
      </w:r>
      <w:r w:rsidRPr="00D24342">
        <w:rPr>
          <w:color w:val="auto"/>
        </w:rPr>
        <w:t xml:space="preserve">hysical attack was dose-dependently and significantly associated with all three sexual behavior outcomes. As for physical fights, significant dose-dependent associations were only observed for sexual intercourse and multiple sex partners. The exact reasons for differences in the relationships seen between different types of exposure to violence is unknown. However, only a physical attack (which is likely to be related to victimization rather than aggression) was associated with all three sexual behavior outcomes. It may be that a physical attack compared to </w:t>
      </w:r>
      <w:r w:rsidR="0070136F" w:rsidRPr="00D24342">
        <w:rPr>
          <w:color w:val="auto"/>
        </w:rPr>
        <w:t xml:space="preserve">physical fight </w:t>
      </w:r>
      <w:r w:rsidRPr="00D24342">
        <w:rPr>
          <w:color w:val="auto"/>
        </w:rPr>
        <w:t xml:space="preserve">has the greatest detriment to an individual’s mental health and self-efficacy/ self-esteem and thus subsequently negatively influencing multiple sexual behavior domains. It is possible that a physical attack is </w:t>
      </w:r>
      <w:r w:rsidR="000A4FE1" w:rsidRPr="00D24342">
        <w:rPr>
          <w:color w:val="auto"/>
        </w:rPr>
        <w:t xml:space="preserve">a more </w:t>
      </w:r>
      <w:r w:rsidRPr="00D24342">
        <w:rPr>
          <w:color w:val="auto"/>
        </w:rPr>
        <w:t>extreme form of violence</w:t>
      </w:r>
      <w:r w:rsidR="000A4FE1" w:rsidRPr="00D24342">
        <w:rPr>
          <w:color w:val="auto"/>
        </w:rPr>
        <w:t xml:space="preserve"> than physical fights</w:t>
      </w:r>
      <w:r w:rsidRPr="00D24342">
        <w:rPr>
          <w:color w:val="auto"/>
        </w:rPr>
        <w:t xml:space="preserve">. However, </w:t>
      </w:r>
      <w:r w:rsidR="004D7674" w:rsidRPr="00D24342">
        <w:rPr>
          <w:color w:val="auto"/>
        </w:rPr>
        <w:t xml:space="preserve">there is no literature to confirm this hypothesis and </w:t>
      </w:r>
      <w:r w:rsidRPr="00D24342">
        <w:rPr>
          <w:color w:val="auto"/>
        </w:rPr>
        <w:t xml:space="preserve">future research is needed. </w:t>
      </w:r>
    </w:p>
    <w:p w14:paraId="67411958" w14:textId="477644F2" w:rsidR="00FF63ED" w:rsidRPr="00D24342" w:rsidRDefault="00FF63ED">
      <w:pPr>
        <w:spacing w:line="480" w:lineRule="auto"/>
        <w:rPr>
          <w:color w:val="auto"/>
        </w:rPr>
      </w:pPr>
    </w:p>
    <w:p w14:paraId="1F3FDB0C" w14:textId="1A7E030F" w:rsidR="00FF63ED" w:rsidRPr="00D24342" w:rsidRDefault="00FF63ED">
      <w:pPr>
        <w:spacing w:line="480" w:lineRule="auto"/>
        <w:rPr>
          <w:color w:val="auto"/>
        </w:rPr>
      </w:pPr>
      <w:bookmarkStart w:id="2" w:name="_Hlk36803722"/>
      <w:r w:rsidRPr="00D24342">
        <w:rPr>
          <w:color w:val="auto"/>
        </w:rPr>
        <w:t xml:space="preserve">It should also be noted that </w:t>
      </w:r>
      <w:r w:rsidR="00F015E8" w:rsidRPr="00D24342">
        <w:rPr>
          <w:color w:val="auto"/>
        </w:rPr>
        <w:t xml:space="preserve">some sex differences in the present findings were observed. </w:t>
      </w:r>
      <w:r w:rsidR="004D7CAC" w:rsidRPr="00D24342">
        <w:rPr>
          <w:color w:val="auto"/>
        </w:rPr>
        <w:t>Physical attack appears to be a more detrimental exposure for girls for both early sexual debut and multiple sexual partners, whereas physical fight is detrimental for early sexual debut and condom non-use for both boys and girls. Given the higher rates of sexual violence experienced by girls globally,</w:t>
      </w:r>
      <w:r w:rsidR="00161EA9" w:rsidRPr="00D24342">
        <w:rPr>
          <w:color w:val="auto"/>
        </w:rPr>
        <w:t xml:space="preserve"> </w:t>
      </w:r>
      <w:hyperlink r:id="rId13" w:history="1">
        <w:r w:rsidR="00161EA9" w:rsidRPr="00D24342">
          <w:rPr>
            <w:rStyle w:val="Hyperlink"/>
            <w:color w:val="auto"/>
          </w:rPr>
          <w:t>https://www.who.int/violence_injury_prevention/violence/activities/intimate/en/</w:t>
        </w:r>
      </w:hyperlink>
      <w:r w:rsidR="00161EA9" w:rsidRPr="00D24342">
        <w:rPr>
          <w:color w:val="auto"/>
        </w:rPr>
        <w:t xml:space="preserve"> </w:t>
      </w:r>
      <w:r w:rsidR="004D7CAC" w:rsidRPr="00D24342">
        <w:rPr>
          <w:color w:val="auto"/>
        </w:rPr>
        <w:t xml:space="preserve"> this suggests that physical attack </w:t>
      </w:r>
      <w:r w:rsidR="00667B37" w:rsidRPr="00D24342">
        <w:rPr>
          <w:color w:val="auto"/>
        </w:rPr>
        <w:t>may be</w:t>
      </w:r>
      <w:r w:rsidR="004D7CAC" w:rsidRPr="00D24342">
        <w:rPr>
          <w:color w:val="auto"/>
        </w:rPr>
        <w:t xml:space="preserve"> linked </w:t>
      </w:r>
      <w:r w:rsidR="00667B37" w:rsidRPr="00D24342">
        <w:rPr>
          <w:color w:val="auto"/>
        </w:rPr>
        <w:t xml:space="preserve">more </w:t>
      </w:r>
      <w:r w:rsidR="004D7CAC" w:rsidRPr="00D24342">
        <w:rPr>
          <w:color w:val="auto"/>
        </w:rPr>
        <w:t>to non-consensual experiences</w:t>
      </w:r>
      <w:r w:rsidR="00667B37" w:rsidRPr="00D24342">
        <w:rPr>
          <w:color w:val="auto"/>
        </w:rPr>
        <w:t xml:space="preserve"> among girls</w:t>
      </w:r>
      <w:r w:rsidR="004D7CAC" w:rsidRPr="00D24342">
        <w:rPr>
          <w:color w:val="auto"/>
        </w:rPr>
        <w:t xml:space="preserve">, while physical fights may not be (especially given that females have lower rates of physical </w:t>
      </w:r>
      <w:r w:rsidR="004D7CAC" w:rsidRPr="00D24342">
        <w:rPr>
          <w:color w:val="auto"/>
        </w:rPr>
        <w:lastRenderedPageBreak/>
        <w:t>attacks, early sexual debut and multiple sex partners than boys overall).</w:t>
      </w:r>
      <w:r w:rsidR="00F015E8" w:rsidRPr="00D24342">
        <w:rPr>
          <w:color w:val="auto"/>
        </w:rPr>
        <w:t xml:space="preserve"> Future qualitative research in LMICs to understand plausible mechanisms that help describe the varying associations between genders are now warranted. </w:t>
      </w:r>
    </w:p>
    <w:bookmarkEnd w:id="2"/>
    <w:p w14:paraId="2FA5D865" w14:textId="086B6B78" w:rsidR="00F015E8" w:rsidRPr="00D24342" w:rsidRDefault="00F015E8">
      <w:pPr>
        <w:spacing w:line="480" w:lineRule="auto"/>
        <w:rPr>
          <w:color w:val="auto"/>
        </w:rPr>
      </w:pPr>
    </w:p>
    <w:p w14:paraId="66E90284" w14:textId="47CED6E0" w:rsidR="004F228C" w:rsidRPr="00D24342" w:rsidRDefault="00D73302">
      <w:pPr>
        <w:spacing w:line="480" w:lineRule="auto"/>
        <w:rPr>
          <w:color w:val="auto"/>
        </w:rPr>
      </w:pPr>
      <w:r w:rsidRPr="00D24342">
        <w:rPr>
          <w:color w:val="auto"/>
        </w:rPr>
        <w:t xml:space="preserve">The large multi-country sample and </w:t>
      </w:r>
      <w:r w:rsidR="0070136F" w:rsidRPr="00D24342">
        <w:rPr>
          <w:color w:val="auto"/>
        </w:rPr>
        <w:t xml:space="preserve">the investigation of </w:t>
      </w:r>
      <w:r w:rsidRPr="00D24342">
        <w:rPr>
          <w:color w:val="auto"/>
        </w:rPr>
        <w:t xml:space="preserve">violence with multiple sexual health outcomes are clear strengths of the present study. However, findings from the present study </w:t>
      </w:r>
      <w:r w:rsidR="004766D8" w:rsidRPr="00D24342">
        <w:rPr>
          <w:color w:val="auto"/>
        </w:rPr>
        <w:t xml:space="preserve">should </w:t>
      </w:r>
      <w:r w:rsidRPr="00D24342">
        <w:rPr>
          <w:color w:val="auto"/>
        </w:rPr>
        <w:t xml:space="preserve">be interpreted in light of </w:t>
      </w:r>
      <w:r w:rsidR="004766D8" w:rsidRPr="00D24342">
        <w:rPr>
          <w:color w:val="auto"/>
        </w:rPr>
        <w:t xml:space="preserve">certain </w:t>
      </w:r>
      <w:r w:rsidRPr="00D24342">
        <w:rPr>
          <w:color w:val="auto"/>
        </w:rPr>
        <w:t xml:space="preserve">limitations. First, the study was cross-sectional in nature and thus the direction of associations cannot be established, longitudinal research examining these relationships is warranted. </w:t>
      </w:r>
      <w:r w:rsidR="00A852C4" w:rsidRPr="00D24342">
        <w:rPr>
          <w:color w:val="auto"/>
        </w:rPr>
        <w:t>Second</w:t>
      </w:r>
      <w:r w:rsidRPr="00D24342">
        <w:rPr>
          <w:color w:val="auto"/>
        </w:rPr>
        <w:t xml:space="preserve">, the study was based on adolescents attending school. Thus, the study results may not be generalizable to adolescents who do not attend school. </w:t>
      </w:r>
      <w:r w:rsidR="009551D0" w:rsidRPr="00D24342">
        <w:rPr>
          <w:color w:val="auto"/>
        </w:rPr>
        <w:t>Third, t</w:t>
      </w:r>
      <w:r w:rsidRPr="00D24342">
        <w:rPr>
          <w:color w:val="auto"/>
        </w:rPr>
        <w:t xml:space="preserve">he violence variable “physical fight” did not identify whether the individual initiated the fight or not. It is possible that different associations may exist between those who initiated a physical fight and those who were involved but did not initiate and sexual behavior. </w:t>
      </w:r>
      <w:bookmarkStart w:id="3" w:name="_Hlk33901731"/>
      <w:r w:rsidR="003E33BE" w:rsidRPr="00D24342">
        <w:rPr>
          <w:color w:val="auto"/>
        </w:rPr>
        <w:t>Fourth, adolescents were not provided with a definition of sexual intercourse and it is thus possib</w:t>
      </w:r>
      <w:r w:rsidR="00A2074F" w:rsidRPr="00D24342">
        <w:rPr>
          <w:color w:val="auto"/>
        </w:rPr>
        <w:t>le that some adolescents may have</w:t>
      </w:r>
      <w:r w:rsidR="003E33BE" w:rsidRPr="00D24342">
        <w:rPr>
          <w:color w:val="auto"/>
        </w:rPr>
        <w:t xml:space="preserve"> misinterpreted this question to include other sexual activities (such as mutual masturbation). </w:t>
      </w:r>
      <w:bookmarkStart w:id="4" w:name="_Hlk33902747"/>
      <w:bookmarkEnd w:id="3"/>
      <w:r w:rsidR="003E33BE" w:rsidRPr="00D24342">
        <w:rPr>
          <w:color w:val="auto"/>
        </w:rPr>
        <w:t>Fi</w:t>
      </w:r>
      <w:r w:rsidR="000D74A4" w:rsidRPr="00D24342">
        <w:rPr>
          <w:color w:val="auto"/>
        </w:rPr>
        <w:t>f</w:t>
      </w:r>
      <w:r w:rsidR="003E33BE" w:rsidRPr="00D24342">
        <w:rPr>
          <w:color w:val="auto"/>
        </w:rPr>
        <w:t>th, data on non-consensual sexual experiences was not collected and thus could not be accounted for within the statistical models.</w:t>
      </w:r>
      <w:r w:rsidR="006F4279" w:rsidRPr="00D24342">
        <w:rPr>
          <w:color w:val="auto"/>
        </w:rPr>
        <w:t xml:space="preserve"> Next, the mean age of those with missing and no missing values on ever having had sex were similar (13.6 vs. 13.8 years) </w:t>
      </w:r>
      <w:bookmarkStart w:id="5" w:name="_Hlk38568539"/>
      <w:r w:rsidR="006F4279" w:rsidRPr="00D24342">
        <w:rPr>
          <w:color w:val="auto"/>
        </w:rPr>
        <w:t>but there was a higher proportion of males among those who had missing values on this variable compared to females (61% vs. 49%). Thus, this may have introduced some level of</w:t>
      </w:r>
      <w:r w:rsidR="00DE7306" w:rsidRPr="00D24342">
        <w:rPr>
          <w:color w:val="auto"/>
        </w:rPr>
        <w:t xml:space="preserve"> self-selection</w:t>
      </w:r>
      <w:r w:rsidR="006F4279" w:rsidRPr="00D24342">
        <w:rPr>
          <w:color w:val="auto"/>
        </w:rPr>
        <w:t xml:space="preserve"> bias in the analysis. </w:t>
      </w:r>
      <w:bookmarkEnd w:id="4"/>
      <w:bookmarkEnd w:id="5"/>
      <w:r w:rsidR="004D7674" w:rsidRPr="00D24342">
        <w:rPr>
          <w:color w:val="auto"/>
        </w:rPr>
        <w:t>Finally, exposure to violence and sexual behaviors were assessed using self-report measures, and this may have introduced reporting bias.</w:t>
      </w:r>
    </w:p>
    <w:p w14:paraId="14127F63" w14:textId="77777777" w:rsidR="004F228C" w:rsidRPr="00D24342" w:rsidRDefault="004F228C">
      <w:pPr>
        <w:spacing w:line="480" w:lineRule="auto"/>
        <w:rPr>
          <w:color w:val="auto"/>
        </w:rPr>
      </w:pPr>
    </w:p>
    <w:p w14:paraId="043BFE06" w14:textId="3A907BC0" w:rsidR="00887D52" w:rsidRPr="00D24342" w:rsidRDefault="00D73302">
      <w:pPr>
        <w:spacing w:line="480" w:lineRule="auto"/>
        <w:rPr>
          <w:color w:val="auto"/>
        </w:rPr>
      </w:pPr>
      <w:r w:rsidRPr="00D24342">
        <w:rPr>
          <w:color w:val="auto"/>
        </w:rPr>
        <w:lastRenderedPageBreak/>
        <w:t xml:space="preserve">In conclusion, </w:t>
      </w:r>
      <w:r w:rsidR="00887D52" w:rsidRPr="00D24342">
        <w:rPr>
          <w:color w:val="auto"/>
        </w:rPr>
        <w:t xml:space="preserve">it has previously been shown that increased health-risk behaviors are key consequences of violence in young people. The present study adds to this knowledge by showing that </w:t>
      </w:r>
      <w:r w:rsidRPr="00D24342">
        <w:rPr>
          <w:color w:val="auto"/>
        </w:rPr>
        <w:t>in a large global sample of adolescents</w:t>
      </w:r>
      <w:r w:rsidR="009303B6" w:rsidRPr="00D24342">
        <w:rPr>
          <w:color w:val="auto"/>
        </w:rPr>
        <w:t xml:space="preserve">, </w:t>
      </w:r>
      <w:r w:rsidRPr="00D24342">
        <w:rPr>
          <w:color w:val="auto"/>
        </w:rPr>
        <w:t xml:space="preserve">physical attack and physical fight were associated with greater risk of engaging in sexual behavior. Although causality could not be established due to the cross-sectional nature of the data, the mere co-existence of </w:t>
      </w:r>
      <w:r w:rsidR="00721640" w:rsidRPr="00D24342">
        <w:rPr>
          <w:color w:val="auto"/>
        </w:rPr>
        <w:t xml:space="preserve">risky sexual behavior </w:t>
      </w:r>
      <w:r w:rsidRPr="00D24342">
        <w:rPr>
          <w:color w:val="auto"/>
        </w:rPr>
        <w:t>and violence may be an unrecognized public health problem as both are associated with adverse health outcomes. Multidimensional government programs and policies addressing violence in young adolescents may lead to reduction in</w:t>
      </w:r>
      <w:r w:rsidR="00797BCF" w:rsidRPr="00D24342">
        <w:rPr>
          <w:color w:val="auto"/>
        </w:rPr>
        <w:t xml:space="preserve"> early sexual debut</w:t>
      </w:r>
      <w:r w:rsidR="00EB2FDD" w:rsidRPr="00D24342">
        <w:rPr>
          <w:color w:val="auto"/>
        </w:rPr>
        <w:t xml:space="preserve"> and </w:t>
      </w:r>
      <w:r w:rsidR="00743169" w:rsidRPr="00D24342">
        <w:rPr>
          <w:color w:val="auto"/>
        </w:rPr>
        <w:t xml:space="preserve">other </w:t>
      </w:r>
      <w:r w:rsidR="00EB2FDD" w:rsidRPr="00D24342">
        <w:rPr>
          <w:color w:val="auto"/>
        </w:rPr>
        <w:t>risky sexual behavior</w:t>
      </w:r>
      <w:r w:rsidRPr="00D24342">
        <w:rPr>
          <w:color w:val="auto"/>
        </w:rPr>
        <w:t xml:space="preserve">. </w:t>
      </w:r>
    </w:p>
    <w:p w14:paraId="355BFEB5" w14:textId="18A670C1" w:rsidR="005837DE" w:rsidRPr="00D24342" w:rsidRDefault="005837DE">
      <w:pPr>
        <w:spacing w:line="480" w:lineRule="auto"/>
        <w:rPr>
          <w:color w:val="auto"/>
        </w:rPr>
      </w:pPr>
    </w:p>
    <w:p w14:paraId="0A436CA8" w14:textId="6A0149FA" w:rsidR="004045A6" w:rsidRPr="00D24342" w:rsidRDefault="006F4194" w:rsidP="00FF6E87">
      <w:pPr>
        <w:pStyle w:val="Heading1"/>
      </w:pPr>
      <w:r w:rsidRPr="00D24342">
        <w:t>References</w:t>
      </w:r>
    </w:p>
    <w:p w14:paraId="07BDDA1C" w14:textId="77777777" w:rsidR="00A20EC5" w:rsidRPr="00D24342" w:rsidRDefault="00EB2A1A" w:rsidP="00A20EC5">
      <w:pPr>
        <w:pStyle w:val="EndNoteBibliography"/>
        <w:spacing w:line="480" w:lineRule="auto"/>
        <w:ind w:left="720" w:hanging="720"/>
        <w:rPr>
          <w:color w:val="auto"/>
        </w:rPr>
      </w:pPr>
      <w:r w:rsidRPr="00D24342">
        <w:rPr>
          <w:bCs/>
          <w:color w:val="auto"/>
        </w:rPr>
        <w:t xml:space="preserve">Albus, K. E., </w:t>
      </w:r>
      <w:proofErr w:type="spellStart"/>
      <w:r w:rsidRPr="00D24342">
        <w:rPr>
          <w:bCs/>
          <w:color w:val="auto"/>
        </w:rPr>
        <w:t>Weist</w:t>
      </w:r>
      <w:proofErr w:type="spellEnd"/>
      <w:r w:rsidRPr="00D24342">
        <w:rPr>
          <w:bCs/>
          <w:color w:val="auto"/>
        </w:rPr>
        <w:t xml:space="preserve">, M. D., &amp; Perez-Smith, A. M. (2004). Associations between youth risk behavior and exposure to violence: Implications for the provision of mental health services in urban schools. </w:t>
      </w:r>
      <w:r w:rsidRPr="00D24342">
        <w:rPr>
          <w:bCs/>
          <w:i/>
          <w:color w:val="auto"/>
        </w:rPr>
        <w:t>Behavior Modification, 28</w:t>
      </w:r>
      <w:r w:rsidRPr="00D24342">
        <w:rPr>
          <w:bCs/>
          <w:color w:val="auto"/>
        </w:rPr>
        <w:t xml:space="preserve">(4), 548-564. </w:t>
      </w:r>
      <w:proofErr w:type="spellStart"/>
      <w:r w:rsidRPr="00D24342">
        <w:rPr>
          <w:color w:val="auto"/>
        </w:rPr>
        <w:t>doi</w:t>
      </w:r>
      <w:proofErr w:type="spellEnd"/>
      <w:r w:rsidRPr="00D24342">
        <w:rPr>
          <w:color w:val="auto"/>
        </w:rPr>
        <w:t>: 10.1177/0145445503259512</w:t>
      </w:r>
    </w:p>
    <w:p w14:paraId="0538A95D" w14:textId="66528B7B" w:rsidR="00A20EC5" w:rsidRPr="00D24342" w:rsidRDefault="00A20EC5" w:rsidP="00A20EC5">
      <w:pPr>
        <w:pStyle w:val="EndNoteBibliography"/>
        <w:spacing w:line="480" w:lineRule="auto"/>
        <w:ind w:left="720" w:hanging="720"/>
        <w:rPr>
          <w:color w:val="auto"/>
        </w:rPr>
      </w:pPr>
      <w:r w:rsidRPr="00D24342">
        <w:rPr>
          <w:bCs/>
          <w:color w:val="auto"/>
        </w:rPr>
        <w:t xml:space="preserve">Australian Institute of Health and Welfare. (2019). </w:t>
      </w:r>
      <w:r w:rsidRPr="00D24342">
        <w:rPr>
          <w:bCs/>
          <w:i/>
          <w:color w:val="auto"/>
        </w:rPr>
        <w:t>Australia's children</w:t>
      </w:r>
      <w:r w:rsidRPr="00D24342">
        <w:rPr>
          <w:bCs/>
          <w:color w:val="auto"/>
        </w:rPr>
        <w:t xml:space="preserve">. Retrieved from </w:t>
      </w:r>
      <w:hyperlink r:id="rId14" w:history="1">
        <w:r w:rsidRPr="00D24342">
          <w:rPr>
            <w:rStyle w:val="Hyperlink"/>
            <w:bCs/>
            <w:color w:val="auto"/>
          </w:rPr>
          <w:t>https://www.aihw.gov.au/reports/children-youth/australias-children/contents/health/injuries</w:t>
        </w:r>
      </w:hyperlink>
      <w:r w:rsidRPr="00D24342">
        <w:rPr>
          <w:bCs/>
          <w:color w:val="auto"/>
        </w:rPr>
        <w:t xml:space="preserve"> </w:t>
      </w:r>
      <w:r w:rsidRPr="00D24342">
        <w:rPr>
          <w:color w:val="auto"/>
        </w:rPr>
        <w:t xml:space="preserve"> </w:t>
      </w:r>
    </w:p>
    <w:p w14:paraId="0095544D" w14:textId="77777777" w:rsidR="00EB2A1A" w:rsidRPr="00D24342" w:rsidRDefault="00EB2A1A" w:rsidP="00F93BD0">
      <w:pPr>
        <w:pStyle w:val="EndNoteBibliography"/>
        <w:spacing w:line="480" w:lineRule="auto"/>
        <w:ind w:left="720" w:hanging="720"/>
        <w:rPr>
          <w:bCs/>
          <w:color w:val="auto"/>
        </w:rPr>
      </w:pPr>
      <w:r w:rsidRPr="00D24342">
        <w:rPr>
          <w:bCs/>
          <w:color w:val="auto"/>
        </w:rPr>
        <w:t xml:space="preserve">Berenson, A. B., </w:t>
      </w:r>
      <w:proofErr w:type="spellStart"/>
      <w:r w:rsidRPr="00D24342">
        <w:rPr>
          <w:bCs/>
          <w:color w:val="auto"/>
        </w:rPr>
        <w:t>Wiemann</w:t>
      </w:r>
      <w:proofErr w:type="spellEnd"/>
      <w:r w:rsidRPr="00D24342">
        <w:rPr>
          <w:bCs/>
          <w:color w:val="auto"/>
        </w:rPr>
        <w:t xml:space="preserve">, C. M., &amp; McCombs, S. (2001). Exposure to violence and associated health-risk behaviors among adolescent girls. </w:t>
      </w:r>
      <w:r w:rsidRPr="00D24342">
        <w:rPr>
          <w:bCs/>
          <w:i/>
          <w:color w:val="auto"/>
        </w:rPr>
        <w:t>Archives of Pediatrics &amp; Adolescent Medicine, 155</w:t>
      </w:r>
      <w:r w:rsidRPr="00D24342">
        <w:rPr>
          <w:bCs/>
          <w:color w:val="auto"/>
        </w:rPr>
        <w:t>(11), 1238-1242.</w:t>
      </w:r>
      <w:r w:rsidRPr="00D24342">
        <w:rPr>
          <w:color w:val="auto"/>
        </w:rPr>
        <w:t xml:space="preserve"> </w:t>
      </w:r>
      <w:proofErr w:type="spellStart"/>
      <w:r w:rsidRPr="00D24342">
        <w:rPr>
          <w:color w:val="auto"/>
        </w:rPr>
        <w:t>doi</w:t>
      </w:r>
      <w:proofErr w:type="spellEnd"/>
      <w:r w:rsidRPr="00D24342">
        <w:rPr>
          <w:color w:val="auto"/>
        </w:rPr>
        <w:t>: 10.1001/archpedi.155.11.1238</w:t>
      </w:r>
    </w:p>
    <w:p w14:paraId="7BCFB84E" w14:textId="77777777" w:rsidR="00EB2A1A" w:rsidRPr="00D24342" w:rsidRDefault="00EB2A1A" w:rsidP="00F93BD0">
      <w:pPr>
        <w:pStyle w:val="EndNoteBibliography"/>
        <w:spacing w:line="480" w:lineRule="auto"/>
        <w:ind w:left="720" w:hanging="720"/>
        <w:rPr>
          <w:bCs/>
          <w:color w:val="auto"/>
        </w:rPr>
      </w:pPr>
      <w:proofErr w:type="spellStart"/>
      <w:r w:rsidRPr="00D24342">
        <w:rPr>
          <w:bCs/>
          <w:color w:val="auto"/>
        </w:rPr>
        <w:t>Brener</w:t>
      </w:r>
      <w:proofErr w:type="spellEnd"/>
      <w:r w:rsidRPr="00D24342">
        <w:rPr>
          <w:bCs/>
          <w:color w:val="auto"/>
        </w:rPr>
        <w:t xml:space="preserve">, N. D., Collins, J. L., </w:t>
      </w:r>
      <w:proofErr w:type="spellStart"/>
      <w:r w:rsidRPr="00D24342">
        <w:rPr>
          <w:bCs/>
          <w:color w:val="auto"/>
        </w:rPr>
        <w:t>Kann</w:t>
      </w:r>
      <w:proofErr w:type="spellEnd"/>
      <w:r w:rsidRPr="00D24342">
        <w:rPr>
          <w:bCs/>
          <w:color w:val="auto"/>
        </w:rPr>
        <w:t xml:space="preserve">, L., Warren, C. W., &amp; Williams, B. I. (1995). Reliability of the youth risk behavior survey questionnaire. </w:t>
      </w:r>
      <w:r w:rsidRPr="00D24342">
        <w:rPr>
          <w:bCs/>
          <w:i/>
          <w:color w:val="auto"/>
        </w:rPr>
        <w:t>American journal of epidemiology, 141</w:t>
      </w:r>
      <w:r w:rsidRPr="00D24342">
        <w:rPr>
          <w:bCs/>
          <w:color w:val="auto"/>
        </w:rPr>
        <w:t xml:space="preserve">(6), 575-580. </w:t>
      </w:r>
      <w:proofErr w:type="spellStart"/>
      <w:r w:rsidRPr="00D24342">
        <w:rPr>
          <w:bCs/>
          <w:color w:val="auto"/>
        </w:rPr>
        <w:t>doi</w:t>
      </w:r>
      <w:proofErr w:type="spellEnd"/>
      <w:r w:rsidRPr="00D24342">
        <w:rPr>
          <w:bCs/>
          <w:color w:val="auto"/>
        </w:rPr>
        <w:t>: 10.1093/oxfordjournals.aje.a117473</w:t>
      </w:r>
    </w:p>
    <w:p w14:paraId="6ADE7A3A" w14:textId="77777777" w:rsidR="00EB2A1A" w:rsidRPr="00D24342" w:rsidRDefault="00EB2A1A" w:rsidP="00F93BD0">
      <w:pPr>
        <w:pStyle w:val="EndNoteBibliography"/>
        <w:spacing w:line="480" w:lineRule="auto"/>
        <w:ind w:left="720" w:hanging="720"/>
        <w:rPr>
          <w:bCs/>
          <w:color w:val="auto"/>
        </w:rPr>
      </w:pPr>
      <w:r w:rsidRPr="00D24342">
        <w:rPr>
          <w:bCs/>
          <w:color w:val="auto"/>
        </w:rPr>
        <w:lastRenderedPageBreak/>
        <w:t xml:space="preserve">Carvalho, A. F., Stubbs, B., Vancampfort, D., </w:t>
      </w:r>
      <w:proofErr w:type="spellStart"/>
      <w:r w:rsidRPr="00D24342">
        <w:rPr>
          <w:bCs/>
          <w:color w:val="auto"/>
        </w:rPr>
        <w:t>Kloiber</w:t>
      </w:r>
      <w:proofErr w:type="spellEnd"/>
      <w:r w:rsidRPr="00D24342">
        <w:rPr>
          <w:bCs/>
          <w:color w:val="auto"/>
        </w:rPr>
        <w:t xml:space="preserve">, S., </w:t>
      </w:r>
      <w:proofErr w:type="spellStart"/>
      <w:r w:rsidRPr="00D24342">
        <w:rPr>
          <w:bCs/>
          <w:color w:val="auto"/>
        </w:rPr>
        <w:t>Maes</w:t>
      </w:r>
      <w:proofErr w:type="spellEnd"/>
      <w:r w:rsidRPr="00D24342">
        <w:rPr>
          <w:bCs/>
          <w:color w:val="auto"/>
        </w:rPr>
        <w:t xml:space="preserve">, M., Firth, J., ... &amp; Koyanagi, A. (2019). Cannabis use and suicide attempts among 86,254 adolescents aged 12–15 years from 21 low-and middle-income countries. </w:t>
      </w:r>
      <w:r w:rsidRPr="00D24342">
        <w:rPr>
          <w:bCs/>
          <w:i/>
          <w:color w:val="auto"/>
        </w:rPr>
        <w:t>European psychiatry, 56</w:t>
      </w:r>
      <w:r w:rsidRPr="00D24342">
        <w:rPr>
          <w:bCs/>
          <w:color w:val="auto"/>
        </w:rPr>
        <w:t xml:space="preserve">, 8-13. </w:t>
      </w:r>
      <w:proofErr w:type="spellStart"/>
      <w:r w:rsidRPr="00D24342">
        <w:rPr>
          <w:bCs/>
          <w:color w:val="auto"/>
        </w:rPr>
        <w:t>doi</w:t>
      </w:r>
      <w:proofErr w:type="spellEnd"/>
      <w:r w:rsidRPr="00D24342">
        <w:rPr>
          <w:bCs/>
          <w:color w:val="auto"/>
        </w:rPr>
        <w:t>: 10.1016/j.eurpsy.2018.10.006.</w:t>
      </w:r>
    </w:p>
    <w:p w14:paraId="633BF91C" w14:textId="77777777" w:rsidR="00A057E7" w:rsidRPr="00D24342" w:rsidRDefault="00EB2A1A" w:rsidP="00A057E7">
      <w:pPr>
        <w:pStyle w:val="EndNoteBibliography"/>
        <w:spacing w:line="480" w:lineRule="auto"/>
        <w:ind w:left="720" w:hanging="720"/>
        <w:rPr>
          <w:bCs/>
          <w:color w:val="auto"/>
        </w:rPr>
      </w:pPr>
      <w:r w:rsidRPr="00D24342">
        <w:rPr>
          <w:bCs/>
          <w:color w:val="auto"/>
        </w:rPr>
        <w:t xml:space="preserve">Centers for Disease Control and Prevention. (2018).  STDs in Adolescents and Young Adults. Retrieved from </w:t>
      </w:r>
      <w:hyperlink r:id="rId15" w:history="1">
        <w:r w:rsidRPr="00D24342">
          <w:rPr>
            <w:rStyle w:val="Hyperlink"/>
            <w:color w:val="auto"/>
            <w:u w:color="0000FF"/>
          </w:rPr>
          <w:t>https://www.cdc.gov/std/stats17/adolescents.htm</w:t>
        </w:r>
      </w:hyperlink>
      <w:r w:rsidRPr="00D24342">
        <w:rPr>
          <w:color w:val="auto"/>
          <w:u w:color="0000FF"/>
        </w:rPr>
        <w:t xml:space="preserve"> </w:t>
      </w:r>
      <w:r w:rsidRPr="00D24342">
        <w:rPr>
          <w:bCs/>
          <w:color w:val="auto"/>
        </w:rPr>
        <w:t xml:space="preserve"> </w:t>
      </w:r>
    </w:p>
    <w:p w14:paraId="0F968DB3" w14:textId="128714F7" w:rsidR="00A057E7" w:rsidRPr="00D24342" w:rsidRDefault="00A057E7" w:rsidP="00A057E7">
      <w:pPr>
        <w:pStyle w:val="EndNoteBibliography"/>
        <w:spacing w:line="480" w:lineRule="auto"/>
        <w:ind w:left="720" w:hanging="720"/>
        <w:rPr>
          <w:bCs/>
          <w:color w:val="auto"/>
        </w:rPr>
      </w:pPr>
      <w:r w:rsidRPr="00D24342">
        <w:rPr>
          <w:color w:val="auto"/>
        </w:rPr>
        <w:t xml:space="preserve">Elgar, F. J., McKinnon, B., Walsh, S. D., Freeman, J., Donnelly, P. D., de Matos, M. G., ... &amp; Currie, C. (2015). Structural determinants of youth bullying and fighting in 79 countries. </w:t>
      </w:r>
      <w:r w:rsidRPr="00D24342">
        <w:rPr>
          <w:i/>
          <w:color w:val="auto"/>
        </w:rPr>
        <w:t>Journal of Adolescent Health, 57</w:t>
      </w:r>
      <w:r w:rsidRPr="00D24342">
        <w:rPr>
          <w:color w:val="auto"/>
        </w:rPr>
        <w:t xml:space="preserve">(6), 643-650. </w:t>
      </w:r>
      <w:proofErr w:type="spellStart"/>
      <w:r w:rsidRPr="00D24342">
        <w:rPr>
          <w:color w:val="auto"/>
        </w:rPr>
        <w:t>doi</w:t>
      </w:r>
      <w:proofErr w:type="spellEnd"/>
      <w:r w:rsidRPr="00D24342">
        <w:rPr>
          <w:color w:val="auto"/>
        </w:rPr>
        <w:t>: 10.1016/j.jadohealth.2015.08.007</w:t>
      </w:r>
    </w:p>
    <w:p w14:paraId="6C907F4B" w14:textId="5EE4E339" w:rsidR="008716A4" w:rsidRPr="00D24342" w:rsidRDefault="008716A4" w:rsidP="00F93BD0">
      <w:pPr>
        <w:pStyle w:val="EndNoteBibliography"/>
        <w:spacing w:line="480" w:lineRule="auto"/>
        <w:ind w:left="720" w:hanging="720"/>
        <w:rPr>
          <w:color w:val="auto"/>
        </w:rPr>
      </w:pPr>
      <w:proofErr w:type="spellStart"/>
      <w:r w:rsidRPr="00D24342">
        <w:rPr>
          <w:color w:val="auto"/>
        </w:rPr>
        <w:t>Foshee</w:t>
      </w:r>
      <w:proofErr w:type="spellEnd"/>
      <w:r w:rsidRPr="00D24342">
        <w:rPr>
          <w:color w:val="auto"/>
        </w:rPr>
        <w:t xml:space="preserve">, V. A., Linder, F., MacDougall, J. E., &amp; </w:t>
      </w:r>
      <w:proofErr w:type="spellStart"/>
      <w:r w:rsidRPr="00D24342">
        <w:rPr>
          <w:color w:val="auto"/>
        </w:rPr>
        <w:t>Bangdiwala</w:t>
      </w:r>
      <w:proofErr w:type="spellEnd"/>
      <w:r w:rsidRPr="00D24342">
        <w:rPr>
          <w:color w:val="auto"/>
        </w:rPr>
        <w:t xml:space="preserve">, S. (2001). Gender differences in the longitudinal predictors of adolescent dating violence. </w:t>
      </w:r>
      <w:r w:rsidRPr="00D24342">
        <w:rPr>
          <w:i/>
          <w:color w:val="auto"/>
        </w:rPr>
        <w:t>Preventive medicine, 32</w:t>
      </w:r>
      <w:r w:rsidRPr="00D24342">
        <w:rPr>
          <w:color w:val="auto"/>
        </w:rPr>
        <w:t>(2), 128-141.</w:t>
      </w:r>
    </w:p>
    <w:p w14:paraId="0DEDF8D9" w14:textId="690E31E1" w:rsidR="00CB1614" w:rsidRPr="00D24342" w:rsidRDefault="00CB1614" w:rsidP="00F93BD0">
      <w:pPr>
        <w:pStyle w:val="EndNoteBibliography"/>
        <w:spacing w:line="480" w:lineRule="auto"/>
        <w:ind w:left="720" w:hanging="720"/>
        <w:rPr>
          <w:color w:val="auto"/>
        </w:rPr>
      </w:pPr>
      <w:r w:rsidRPr="00D24342">
        <w:rPr>
          <w:color w:val="auto"/>
        </w:rPr>
        <w:t xml:space="preserve">Harris, K. M., &amp; </w:t>
      </w:r>
      <w:proofErr w:type="spellStart"/>
      <w:r w:rsidRPr="00D24342">
        <w:rPr>
          <w:color w:val="auto"/>
        </w:rPr>
        <w:t>Udry</w:t>
      </w:r>
      <w:proofErr w:type="spellEnd"/>
      <w:r w:rsidRPr="00D24342">
        <w:rPr>
          <w:color w:val="auto"/>
        </w:rPr>
        <w:t xml:space="preserve">, J. R. (2014). </w:t>
      </w:r>
      <w:r w:rsidRPr="00D24342">
        <w:rPr>
          <w:i/>
          <w:color w:val="auto"/>
        </w:rPr>
        <w:t>National Longitudinal Study of Adolescent to Adult Health (Add Health), 1994-2008 [Public Use]</w:t>
      </w:r>
      <w:r w:rsidRPr="00D24342">
        <w:rPr>
          <w:color w:val="auto"/>
        </w:rPr>
        <w:t xml:space="preserve">. Carolina Population Center, University of North Carolina-Chapel Hill [distributor], Inter-university Consortium for Political and Social Research [distributor]. </w:t>
      </w:r>
      <w:proofErr w:type="spellStart"/>
      <w:r w:rsidRPr="00D24342">
        <w:rPr>
          <w:color w:val="auto"/>
        </w:rPr>
        <w:t>doi</w:t>
      </w:r>
      <w:proofErr w:type="spellEnd"/>
      <w:r w:rsidRPr="00D24342">
        <w:rPr>
          <w:color w:val="auto"/>
        </w:rPr>
        <w:t>: 10.3886/ICPSR21600.v21</w:t>
      </w:r>
    </w:p>
    <w:p w14:paraId="15268763" w14:textId="77777777" w:rsidR="00EB2A1A" w:rsidRPr="00D24342" w:rsidRDefault="00EB2A1A" w:rsidP="00F93BD0">
      <w:pPr>
        <w:pStyle w:val="EndNoteBibliography"/>
        <w:spacing w:line="480" w:lineRule="auto"/>
        <w:ind w:left="720" w:hanging="720"/>
        <w:rPr>
          <w:color w:val="auto"/>
        </w:rPr>
      </w:pPr>
      <w:r w:rsidRPr="00D24342">
        <w:rPr>
          <w:color w:val="auto"/>
        </w:rPr>
        <w:t xml:space="preserve">Klein, J. D. (2005). Adolescent pregnancy: current trends and issues. </w:t>
      </w:r>
      <w:r w:rsidRPr="00D24342">
        <w:rPr>
          <w:i/>
          <w:color w:val="auto"/>
        </w:rPr>
        <w:t>Pediatrics, 116</w:t>
      </w:r>
      <w:r w:rsidRPr="00D24342">
        <w:rPr>
          <w:color w:val="auto"/>
        </w:rPr>
        <w:t xml:space="preserve">(1), 281-286. </w:t>
      </w:r>
      <w:proofErr w:type="spellStart"/>
      <w:r w:rsidRPr="00D24342">
        <w:rPr>
          <w:color w:val="auto"/>
        </w:rPr>
        <w:t>doi</w:t>
      </w:r>
      <w:proofErr w:type="spellEnd"/>
      <w:r w:rsidRPr="00D24342">
        <w:rPr>
          <w:color w:val="auto"/>
        </w:rPr>
        <w:t>: 10.1542/peds.2005-0999</w:t>
      </w:r>
    </w:p>
    <w:p w14:paraId="06DCDEFC" w14:textId="77777777" w:rsidR="00EB2A1A" w:rsidRPr="00D24342" w:rsidRDefault="00EB2A1A" w:rsidP="00F93BD0">
      <w:pPr>
        <w:pStyle w:val="EndNoteBibliography"/>
        <w:spacing w:line="480" w:lineRule="auto"/>
        <w:ind w:left="720" w:hanging="720"/>
        <w:rPr>
          <w:color w:val="auto"/>
        </w:rPr>
      </w:pPr>
      <w:r w:rsidRPr="00D24342">
        <w:rPr>
          <w:color w:val="auto"/>
        </w:rPr>
        <w:t xml:space="preserve">Longmore, M. A., Manning, W. D., Giordano, P. C., &amp; Rudolph, J. L. (2003). Contraceptive self-efficacy: does it influence adolescents' contraceptive use? </w:t>
      </w:r>
      <w:r w:rsidRPr="00D24342">
        <w:rPr>
          <w:i/>
          <w:color w:val="auto"/>
        </w:rPr>
        <w:t>Journal of Health and Social Behavior, 44</w:t>
      </w:r>
      <w:r w:rsidRPr="00D24342">
        <w:rPr>
          <w:color w:val="auto"/>
        </w:rPr>
        <w:t>(1), 45-60.</w:t>
      </w:r>
    </w:p>
    <w:p w14:paraId="647AA096" w14:textId="51220DC4" w:rsidR="00F3520F" w:rsidRPr="00D24342" w:rsidRDefault="00EB2A1A" w:rsidP="00F3520F">
      <w:pPr>
        <w:pStyle w:val="EndNoteBibliography"/>
        <w:spacing w:line="480" w:lineRule="auto"/>
        <w:ind w:left="720" w:hanging="720"/>
        <w:rPr>
          <w:color w:val="auto"/>
        </w:rPr>
      </w:pPr>
      <w:r w:rsidRPr="00D24342">
        <w:rPr>
          <w:bCs/>
          <w:color w:val="auto"/>
        </w:rPr>
        <w:t xml:space="preserve">McKinnon, B., </w:t>
      </w:r>
      <w:proofErr w:type="spellStart"/>
      <w:r w:rsidRPr="00D24342">
        <w:rPr>
          <w:bCs/>
          <w:color w:val="auto"/>
        </w:rPr>
        <w:t>Gariépy</w:t>
      </w:r>
      <w:proofErr w:type="spellEnd"/>
      <w:r w:rsidRPr="00D24342">
        <w:rPr>
          <w:bCs/>
          <w:color w:val="auto"/>
        </w:rPr>
        <w:t xml:space="preserve">, G., </w:t>
      </w:r>
      <w:proofErr w:type="spellStart"/>
      <w:r w:rsidRPr="00D24342">
        <w:rPr>
          <w:bCs/>
          <w:color w:val="auto"/>
        </w:rPr>
        <w:t>Sentenac</w:t>
      </w:r>
      <w:proofErr w:type="spellEnd"/>
      <w:r w:rsidRPr="00D24342">
        <w:rPr>
          <w:bCs/>
          <w:color w:val="auto"/>
        </w:rPr>
        <w:t xml:space="preserve">, M., &amp; Elgar, F. J. (2016). Adolescent suicidal </w:t>
      </w:r>
      <w:proofErr w:type="spellStart"/>
      <w:r w:rsidRPr="00D24342">
        <w:rPr>
          <w:bCs/>
          <w:color w:val="auto"/>
        </w:rPr>
        <w:t>behaviours</w:t>
      </w:r>
      <w:proofErr w:type="spellEnd"/>
      <w:r w:rsidRPr="00D24342">
        <w:rPr>
          <w:bCs/>
          <w:color w:val="auto"/>
        </w:rPr>
        <w:t xml:space="preserve"> in 32 low-and middle-income countries. </w:t>
      </w:r>
      <w:r w:rsidRPr="00D24342">
        <w:rPr>
          <w:bCs/>
          <w:i/>
          <w:color w:val="auto"/>
        </w:rPr>
        <w:t>Bulletin of the World Health Organization, 94</w:t>
      </w:r>
      <w:r w:rsidRPr="00D24342">
        <w:rPr>
          <w:bCs/>
          <w:color w:val="auto"/>
        </w:rPr>
        <w:t xml:space="preserve">(5), 340-350. </w:t>
      </w:r>
      <w:proofErr w:type="spellStart"/>
      <w:r w:rsidRPr="00D24342">
        <w:rPr>
          <w:bCs/>
          <w:color w:val="auto"/>
        </w:rPr>
        <w:t>doi</w:t>
      </w:r>
      <w:proofErr w:type="spellEnd"/>
      <w:r w:rsidRPr="00D24342">
        <w:rPr>
          <w:bCs/>
          <w:color w:val="auto"/>
        </w:rPr>
        <w:t xml:space="preserve">: 10.2471/BLT.15.163295. </w:t>
      </w:r>
      <w:proofErr w:type="spellStart"/>
      <w:r w:rsidR="00A20EC5" w:rsidRPr="00D24342">
        <w:rPr>
          <w:color w:val="auto"/>
        </w:rPr>
        <w:t>Miniño</w:t>
      </w:r>
      <w:proofErr w:type="spellEnd"/>
      <w:r w:rsidR="00A20EC5" w:rsidRPr="00D24342">
        <w:rPr>
          <w:color w:val="auto"/>
        </w:rPr>
        <w:t xml:space="preserve">, A. M. (2010). </w:t>
      </w:r>
      <w:r w:rsidR="00A20EC5" w:rsidRPr="00D24342">
        <w:rPr>
          <w:color w:val="auto"/>
        </w:rPr>
        <w:lastRenderedPageBreak/>
        <w:t xml:space="preserve">Mortality among teenagers aged 12-19 years: United States, 1999-2006. </w:t>
      </w:r>
      <w:r w:rsidR="00A20EC5" w:rsidRPr="00D24342">
        <w:rPr>
          <w:i/>
          <w:color w:val="auto"/>
        </w:rPr>
        <w:t>NCHS Data Brief, 37</w:t>
      </w:r>
      <w:r w:rsidR="00A20EC5" w:rsidRPr="00D24342">
        <w:rPr>
          <w:color w:val="auto"/>
        </w:rPr>
        <w:t>, 1-8.</w:t>
      </w:r>
    </w:p>
    <w:p w14:paraId="309871F7" w14:textId="4E050288" w:rsidR="00F3520F" w:rsidRPr="00D24342" w:rsidRDefault="00F3520F" w:rsidP="00F3520F">
      <w:pPr>
        <w:pStyle w:val="EndNoteBibliography"/>
        <w:spacing w:line="480" w:lineRule="auto"/>
        <w:ind w:left="720" w:hanging="720"/>
        <w:rPr>
          <w:color w:val="auto"/>
          <w:lang w:val="es-ES"/>
        </w:rPr>
      </w:pPr>
      <w:r w:rsidRPr="00D24342">
        <w:rPr>
          <w:color w:val="auto"/>
        </w:rPr>
        <w:t xml:space="preserve">Monson, R. R. (1990). </w:t>
      </w:r>
      <w:r w:rsidRPr="00D24342">
        <w:rPr>
          <w:i/>
          <w:color w:val="auto"/>
        </w:rPr>
        <w:t>Occupational epidemiology, 2</w:t>
      </w:r>
      <w:r w:rsidRPr="00D24342">
        <w:rPr>
          <w:i/>
          <w:color w:val="auto"/>
          <w:vertAlign w:val="superscript"/>
        </w:rPr>
        <w:t>nd</w:t>
      </w:r>
      <w:r w:rsidRPr="00D24342">
        <w:rPr>
          <w:i/>
          <w:color w:val="auto"/>
        </w:rPr>
        <w:t xml:space="preserve"> edition</w:t>
      </w:r>
      <w:r w:rsidRPr="00D24342">
        <w:rPr>
          <w:color w:val="auto"/>
        </w:rPr>
        <w:t xml:space="preserve">. </w:t>
      </w:r>
      <w:r w:rsidRPr="00D24342">
        <w:rPr>
          <w:color w:val="auto"/>
          <w:lang w:val="es-ES"/>
        </w:rPr>
        <w:t>Boca Ratón, Florida, USA: CRC Press.</w:t>
      </w:r>
    </w:p>
    <w:p w14:paraId="20C3CDD8" w14:textId="77777777" w:rsidR="00EB2A1A" w:rsidRPr="00D24342" w:rsidRDefault="00EB2A1A" w:rsidP="00F93BD0">
      <w:pPr>
        <w:pStyle w:val="EndNoteBibliography"/>
        <w:spacing w:line="480" w:lineRule="auto"/>
        <w:ind w:left="720" w:hanging="720"/>
        <w:rPr>
          <w:bCs/>
          <w:color w:val="auto"/>
        </w:rPr>
      </w:pPr>
      <w:proofErr w:type="spellStart"/>
      <w:r w:rsidRPr="00D24342">
        <w:rPr>
          <w:bCs/>
          <w:color w:val="auto"/>
        </w:rPr>
        <w:t>Mota</w:t>
      </w:r>
      <w:proofErr w:type="spellEnd"/>
      <w:r w:rsidRPr="00D24342">
        <w:rPr>
          <w:bCs/>
          <w:color w:val="auto"/>
        </w:rPr>
        <w:t xml:space="preserve">, N. P., Cox, B. J., Katz, L. Y., &amp; Sareen, J. (2010). Relationship between mental disorders/suicidality and three sexual behaviors: results from the National Comorbidity Survey Replication. </w:t>
      </w:r>
      <w:r w:rsidRPr="00D24342">
        <w:rPr>
          <w:bCs/>
          <w:i/>
          <w:color w:val="auto"/>
        </w:rPr>
        <w:t>Archives of sexual Behavior, 39</w:t>
      </w:r>
      <w:r w:rsidRPr="00D24342">
        <w:rPr>
          <w:bCs/>
          <w:color w:val="auto"/>
        </w:rPr>
        <w:t>(3), 724-734.</w:t>
      </w:r>
      <w:r w:rsidRPr="00D24342">
        <w:rPr>
          <w:color w:val="auto"/>
        </w:rPr>
        <w:t xml:space="preserve"> </w:t>
      </w:r>
      <w:proofErr w:type="spellStart"/>
      <w:r w:rsidRPr="00D24342">
        <w:rPr>
          <w:color w:val="auto"/>
        </w:rPr>
        <w:t>doi</w:t>
      </w:r>
      <w:proofErr w:type="spellEnd"/>
      <w:r w:rsidRPr="00D24342">
        <w:rPr>
          <w:color w:val="auto"/>
        </w:rPr>
        <w:t>: 10.1007/s10508-008-9463-5</w:t>
      </w:r>
    </w:p>
    <w:p w14:paraId="14ADA0A6" w14:textId="77777777" w:rsidR="008716A4" w:rsidRPr="00D24342" w:rsidRDefault="00EB2A1A" w:rsidP="008716A4">
      <w:pPr>
        <w:pStyle w:val="EndNoteBibliography"/>
        <w:spacing w:line="480" w:lineRule="auto"/>
        <w:ind w:left="720" w:hanging="720"/>
        <w:rPr>
          <w:color w:val="auto"/>
        </w:rPr>
      </w:pPr>
      <w:r w:rsidRPr="00D24342">
        <w:rPr>
          <w:bCs/>
          <w:color w:val="auto"/>
        </w:rPr>
        <w:t xml:space="preserve">Nygaard, E., Johansen, V. A., </w:t>
      </w:r>
      <w:proofErr w:type="spellStart"/>
      <w:r w:rsidRPr="00D24342">
        <w:rPr>
          <w:bCs/>
          <w:color w:val="auto"/>
        </w:rPr>
        <w:t>Siqveland</w:t>
      </w:r>
      <w:proofErr w:type="spellEnd"/>
      <w:r w:rsidRPr="00D24342">
        <w:rPr>
          <w:bCs/>
          <w:color w:val="auto"/>
        </w:rPr>
        <w:t xml:space="preserve">, J., Hussain, A., &amp; Heir, T. (2017). Longitudinal relationship between self-efficacy and posttraumatic stress symptoms 8 years after a violent assault: An autoregressive cross-lagged model. </w:t>
      </w:r>
      <w:r w:rsidRPr="00D24342">
        <w:rPr>
          <w:bCs/>
          <w:i/>
          <w:color w:val="auto"/>
        </w:rPr>
        <w:t>Frontiers in psychology, 8</w:t>
      </w:r>
      <w:r w:rsidRPr="00D24342">
        <w:rPr>
          <w:bCs/>
          <w:color w:val="auto"/>
        </w:rPr>
        <w:t xml:space="preserve">, 913. </w:t>
      </w:r>
      <w:proofErr w:type="spellStart"/>
      <w:r w:rsidRPr="00D24342">
        <w:rPr>
          <w:color w:val="auto"/>
        </w:rPr>
        <w:t>doi</w:t>
      </w:r>
      <w:proofErr w:type="spellEnd"/>
      <w:r w:rsidRPr="00D24342">
        <w:rPr>
          <w:color w:val="auto"/>
        </w:rPr>
        <w:t>: 10.3389/fpsyg.2017.00913</w:t>
      </w:r>
    </w:p>
    <w:p w14:paraId="2049B41E" w14:textId="50DBA09E" w:rsidR="008716A4" w:rsidRPr="00D24342" w:rsidRDefault="008716A4" w:rsidP="008716A4">
      <w:pPr>
        <w:pStyle w:val="EndNoteBibliography"/>
        <w:spacing w:line="480" w:lineRule="auto"/>
        <w:ind w:left="720" w:hanging="720"/>
        <w:rPr>
          <w:color w:val="auto"/>
        </w:rPr>
      </w:pPr>
      <w:r w:rsidRPr="00D24342">
        <w:rPr>
          <w:color w:val="auto"/>
        </w:rPr>
        <w:t xml:space="preserve">O'Keefe, M. (1998). Factors mediating the link between witnessing interparental violence and dating violence. </w:t>
      </w:r>
      <w:r w:rsidRPr="00D24342">
        <w:rPr>
          <w:i/>
          <w:color w:val="auto"/>
        </w:rPr>
        <w:t>Journal of family violence, 13</w:t>
      </w:r>
      <w:r w:rsidRPr="00D24342">
        <w:rPr>
          <w:color w:val="auto"/>
        </w:rPr>
        <w:t>(1), 39-57.</w:t>
      </w:r>
    </w:p>
    <w:p w14:paraId="43FA474D" w14:textId="49C57251" w:rsidR="00A20EC5" w:rsidRPr="00D24342" w:rsidRDefault="00A20EC5" w:rsidP="00A20EC5">
      <w:pPr>
        <w:pStyle w:val="EndNoteBibliography"/>
        <w:spacing w:line="480" w:lineRule="auto"/>
        <w:ind w:left="720" w:hanging="720"/>
        <w:rPr>
          <w:color w:val="auto"/>
        </w:rPr>
      </w:pPr>
      <w:r w:rsidRPr="00D24342">
        <w:rPr>
          <w:color w:val="auto"/>
        </w:rPr>
        <w:t xml:space="preserve">Patton, G. C., Coffey, C., Sawyer, S. M., Viner, R. M., Haller, D. M., Bose, K., ... &amp; Mathers, C. D. (2009). Global patterns of mortality in young people: a systematic analysis of population health data. </w:t>
      </w:r>
      <w:r w:rsidRPr="00D24342">
        <w:rPr>
          <w:i/>
          <w:color w:val="auto"/>
        </w:rPr>
        <w:t>The Lancet, 374</w:t>
      </w:r>
      <w:r w:rsidRPr="00D24342">
        <w:rPr>
          <w:color w:val="auto"/>
        </w:rPr>
        <w:t>(9693), 881-892.</w:t>
      </w:r>
    </w:p>
    <w:p w14:paraId="4F989819" w14:textId="77777777" w:rsidR="00EB2A1A" w:rsidRPr="00D24342" w:rsidRDefault="00EB2A1A" w:rsidP="00F93BD0">
      <w:pPr>
        <w:pStyle w:val="EndNoteBibliography"/>
        <w:spacing w:line="480" w:lineRule="auto"/>
        <w:ind w:left="720" w:hanging="720"/>
        <w:rPr>
          <w:color w:val="auto"/>
        </w:rPr>
      </w:pPr>
      <w:proofErr w:type="spellStart"/>
      <w:r w:rsidRPr="00D24342">
        <w:rPr>
          <w:color w:val="auto"/>
        </w:rPr>
        <w:t>Potard</w:t>
      </w:r>
      <w:proofErr w:type="spellEnd"/>
      <w:r w:rsidRPr="00D24342">
        <w:rPr>
          <w:color w:val="auto"/>
        </w:rPr>
        <w:t xml:space="preserve">, C., Courtois, R., &amp; </w:t>
      </w:r>
      <w:proofErr w:type="spellStart"/>
      <w:r w:rsidRPr="00D24342">
        <w:rPr>
          <w:color w:val="auto"/>
        </w:rPr>
        <w:t>Rusch</w:t>
      </w:r>
      <w:proofErr w:type="spellEnd"/>
      <w:r w:rsidRPr="00D24342">
        <w:rPr>
          <w:color w:val="auto"/>
        </w:rPr>
        <w:t xml:space="preserve">, E. (2008). The influence of peers on risky sexual </w:t>
      </w:r>
      <w:proofErr w:type="spellStart"/>
      <w:r w:rsidRPr="00D24342">
        <w:rPr>
          <w:color w:val="auto"/>
        </w:rPr>
        <w:t>behaviour</w:t>
      </w:r>
      <w:proofErr w:type="spellEnd"/>
      <w:r w:rsidRPr="00D24342">
        <w:rPr>
          <w:color w:val="auto"/>
        </w:rPr>
        <w:t xml:space="preserve"> during adolescence. </w:t>
      </w:r>
      <w:r w:rsidRPr="00D24342">
        <w:rPr>
          <w:i/>
          <w:color w:val="auto"/>
        </w:rPr>
        <w:t>The European Journal of Contraception &amp; Reproductive Health Care, 13</w:t>
      </w:r>
      <w:r w:rsidRPr="00D24342">
        <w:rPr>
          <w:color w:val="auto"/>
        </w:rPr>
        <w:t xml:space="preserve">(3), 264-270. </w:t>
      </w:r>
      <w:proofErr w:type="spellStart"/>
      <w:r w:rsidRPr="00D24342">
        <w:rPr>
          <w:color w:val="auto"/>
        </w:rPr>
        <w:t>doi</w:t>
      </w:r>
      <w:proofErr w:type="spellEnd"/>
      <w:r w:rsidRPr="00D24342">
        <w:rPr>
          <w:color w:val="auto"/>
        </w:rPr>
        <w:t>: 10.1080/13625180802273530.</w:t>
      </w:r>
    </w:p>
    <w:p w14:paraId="32CE7006" w14:textId="2CE99DF7" w:rsidR="00B754C3" w:rsidRPr="00D24342" w:rsidRDefault="00B754C3" w:rsidP="00B754C3">
      <w:pPr>
        <w:pStyle w:val="EndNoteBibliography"/>
        <w:spacing w:line="480" w:lineRule="auto"/>
        <w:ind w:left="720" w:hanging="720"/>
        <w:rPr>
          <w:color w:val="auto"/>
        </w:rPr>
      </w:pPr>
      <w:r w:rsidRPr="00D24342">
        <w:rPr>
          <w:color w:val="auto"/>
        </w:rPr>
        <w:t>Smith, L., Jackson, S. E., Jacob, L., Grabovac, I., Nisbet, L. A., López-Sánchez, G. F., ... &amp; Koyanagi, A. (2019</w:t>
      </w:r>
      <w:r w:rsidR="003F674D" w:rsidRPr="00D24342">
        <w:rPr>
          <w:color w:val="auto"/>
        </w:rPr>
        <w:t>a</w:t>
      </w:r>
      <w:r w:rsidRPr="00D24342">
        <w:rPr>
          <w:color w:val="auto"/>
        </w:rPr>
        <w:t xml:space="preserve">). Association between cannabis use and sexual behavior among adolescents aged 12–15 years in 21 low-and middle-income countries. </w:t>
      </w:r>
      <w:r w:rsidRPr="00D24342">
        <w:rPr>
          <w:i/>
          <w:color w:val="auto"/>
        </w:rPr>
        <w:t>Addictive behaviors, 99</w:t>
      </w:r>
      <w:r w:rsidRPr="00D24342">
        <w:rPr>
          <w:color w:val="auto"/>
        </w:rPr>
        <w:t>, 106073.</w:t>
      </w:r>
    </w:p>
    <w:p w14:paraId="559D9319" w14:textId="15E8A368" w:rsidR="00EB2A1A" w:rsidRPr="00D24342" w:rsidRDefault="00EB2A1A" w:rsidP="00F93BD0">
      <w:pPr>
        <w:pStyle w:val="EndNoteBibliography"/>
        <w:spacing w:line="480" w:lineRule="auto"/>
        <w:ind w:left="720" w:hanging="720"/>
        <w:rPr>
          <w:color w:val="auto"/>
        </w:rPr>
      </w:pPr>
      <w:r w:rsidRPr="00D24342">
        <w:rPr>
          <w:color w:val="auto"/>
        </w:rPr>
        <w:lastRenderedPageBreak/>
        <w:t>Smith, L., Jackson, S. E., Jacob, L., Grabovac, I., Yang, L., Johnstone, J., ... &amp; Koyanagi, A. (2019</w:t>
      </w:r>
      <w:r w:rsidR="003F674D" w:rsidRPr="00D24342">
        <w:rPr>
          <w:color w:val="auto"/>
        </w:rPr>
        <w:t>b</w:t>
      </w:r>
      <w:r w:rsidRPr="00D24342">
        <w:rPr>
          <w:color w:val="auto"/>
        </w:rPr>
        <w:t xml:space="preserve">). Leisure-time sedentary behavior, alcohol consumption, and sexual intercourse among adolescents aged 12-15 years in 19 countries from Africa, the Americas, and Asia. </w:t>
      </w:r>
      <w:r w:rsidRPr="00D24342">
        <w:rPr>
          <w:i/>
          <w:color w:val="auto"/>
        </w:rPr>
        <w:t>The journal of sexual medicine, 16</w:t>
      </w:r>
      <w:r w:rsidRPr="00D24342">
        <w:rPr>
          <w:color w:val="auto"/>
        </w:rPr>
        <w:t xml:space="preserve">(9), 1355-1363. </w:t>
      </w:r>
      <w:proofErr w:type="spellStart"/>
      <w:r w:rsidRPr="00D24342">
        <w:rPr>
          <w:color w:val="auto"/>
        </w:rPr>
        <w:t>doi</w:t>
      </w:r>
      <w:proofErr w:type="spellEnd"/>
      <w:r w:rsidRPr="00D24342">
        <w:rPr>
          <w:color w:val="auto"/>
        </w:rPr>
        <w:t>: 10.1016/j.jsxm.2019.06.013.</w:t>
      </w:r>
    </w:p>
    <w:p w14:paraId="19211A60" w14:textId="40C4A6A0" w:rsidR="00EB2A1A" w:rsidRPr="00D24342" w:rsidRDefault="00EB2A1A" w:rsidP="00F93BD0">
      <w:pPr>
        <w:pStyle w:val="EndNoteBibliography"/>
        <w:spacing w:line="480" w:lineRule="auto"/>
        <w:ind w:left="720" w:hanging="720"/>
        <w:rPr>
          <w:color w:val="auto"/>
        </w:rPr>
      </w:pPr>
      <w:r w:rsidRPr="00D24342">
        <w:rPr>
          <w:color w:val="auto"/>
        </w:rPr>
        <w:t>Smith, L., Jackson, S. E., Vancampfort, D., Jacob, L., Firth, J., Grabovac, I., ... &amp; Veronese, N. (2019</w:t>
      </w:r>
      <w:r w:rsidR="003F674D" w:rsidRPr="00D24342">
        <w:rPr>
          <w:color w:val="auto"/>
        </w:rPr>
        <w:t>c</w:t>
      </w:r>
      <w:r w:rsidRPr="00D24342">
        <w:rPr>
          <w:color w:val="auto"/>
        </w:rPr>
        <w:t xml:space="preserve">). Sexual behavior and suicide attempts among adolescents aged 12–15 years from 38 countries: A global perspective. </w:t>
      </w:r>
      <w:r w:rsidRPr="00D24342">
        <w:rPr>
          <w:i/>
          <w:color w:val="auto"/>
        </w:rPr>
        <w:t>Psychiatry research</w:t>
      </w:r>
      <w:r w:rsidRPr="00D24342">
        <w:rPr>
          <w:color w:val="auto"/>
        </w:rPr>
        <w:t xml:space="preserve">, 112564. </w:t>
      </w:r>
      <w:proofErr w:type="spellStart"/>
      <w:r w:rsidRPr="00D24342">
        <w:rPr>
          <w:color w:val="auto"/>
        </w:rPr>
        <w:t>doi</w:t>
      </w:r>
      <w:proofErr w:type="spellEnd"/>
      <w:r w:rsidRPr="00D24342">
        <w:rPr>
          <w:color w:val="auto"/>
        </w:rPr>
        <w:t xml:space="preserve">: 10.1016/j.psychres.2019.112564 </w:t>
      </w:r>
    </w:p>
    <w:p w14:paraId="25FD84C2" w14:textId="77777777" w:rsidR="00EB2A1A" w:rsidRPr="00D24342" w:rsidRDefault="00EB2A1A" w:rsidP="00F93BD0">
      <w:pPr>
        <w:pStyle w:val="EndNoteBibliography"/>
        <w:spacing w:line="480" w:lineRule="auto"/>
        <w:ind w:left="720" w:hanging="720"/>
        <w:rPr>
          <w:color w:val="auto"/>
        </w:rPr>
      </w:pPr>
      <w:proofErr w:type="spellStart"/>
      <w:r w:rsidRPr="00D24342">
        <w:rPr>
          <w:color w:val="auto"/>
        </w:rPr>
        <w:t>Stansfeld</w:t>
      </w:r>
      <w:proofErr w:type="spellEnd"/>
      <w:r w:rsidRPr="00D24342">
        <w:rPr>
          <w:color w:val="auto"/>
        </w:rPr>
        <w:t xml:space="preserve">, S. A., </w:t>
      </w:r>
      <w:proofErr w:type="spellStart"/>
      <w:r w:rsidRPr="00D24342">
        <w:rPr>
          <w:color w:val="auto"/>
        </w:rPr>
        <w:t>Rothon</w:t>
      </w:r>
      <w:proofErr w:type="spellEnd"/>
      <w:r w:rsidRPr="00D24342">
        <w:rPr>
          <w:color w:val="auto"/>
        </w:rPr>
        <w:t xml:space="preserve">, C., Das-Munshi, J., Mathews, C., Adams, A., Clark, C., &amp; Lund, C. (2017). Exposure to violence and mental health of adolescents: South African Health and Well-being Study. </w:t>
      </w:r>
      <w:proofErr w:type="spellStart"/>
      <w:r w:rsidRPr="00D24342">
        <w:rPr>
          <w:i/>
          <w:color w:val="auto"/>
        </w:rPr>
        <w:t>BJPsych</w:t>
      </w:r>
      <w:proofErr w:type="spellEnd"/>
      <w:r w:rsidRPr="00D24342">
        <w:rPr>
          <w:i/>
          <w:color w:val="auto"/>
        </w:rPr>
        <w:t xml:space="preserve"> Open</w:t>
      </w:r>
      <w:r w:rsidRPr="00D24342">
        <w:rPr>
          <w:color w:val="auto"/>
        </w:rPr>
        <w:t xml:space="preserve">, 3(5), 257-264. </w:t>
      </w:r>
      <w:proofErr w:type="spellStart"/>
      <w:r w:rsidRPr="00D24342">
        <w:rPr>
          <w:color w:val="auto"/>
        </w:rPr>
        <w:t>doi</w:t>
      </w:r>
      <w:proofErr w:type="spellEnd"/>
      <w:r w:rsidRPr="00D24342">
        <w:rPr>
          <w:color w:val="auto"/>
        </w:rPr>
        <w:t>: 10.1192/bjpo.bp.117.004861</w:t>
      </w:r>
    </w:p>
    <w:p w14:paraId="273B620C" w14:textId="77777777" w:rsidR="00E02308" w:rsidRPr="00D24342" w:rsidRDefault="00EB2A1A" w:rsidP="00E02308">
      <w:pPr>
        <w:pStyle w:val="EndNoteBibliography"/>
        <w:spacing w:line="480" w:lineRule="auto"/>
        <w:ind w:left="720" w:hanging="720"/>
        <w:rPr>
          <w:bCs/>
          <w:color w:val="auto"/>
        </w:rPr>
      </w:pPr>
      <w:r w:rsidRPr="00D24342">
        <w:rPr>
          <w:bCs/>
          <w:color w:val="auto"/>
        </w:rPr>
        <w:t xml:space="preserve">Vancampfort, D., Stubbs, B., Firth, J., Van Damme, T., &amp; Koyanagi, A. (2018). Sedentary behavior and depressive symptoms among 67,077 adolescents aged 12–15 years from 30 low-and middle-income countries. </w:t>
      </w:r>
      <w:r w:rsidRPr="00D24342">
        <w:rPr>
          <w:bCs/>
          <w:i/>
          <w:color w:val="auto"/>
        </w:rPr>
        <w:t>International Journal of Behavioral Nutrition and Physical Activity, 15</w:t>
      </w:r>
      <w:r w:rsidRPr="00D24342">
        <w:rPr>
          <w:bCs/>
          <w:color w:val="auto"/>
        </w:rPr>
        <w:t xml:space="preserve">(1), 73. </w:t>
      </w:r>
      <w:proofErr w:type="spellStart"/>
      <w:r w:rsidR="008D409F" w:rsidRPr="00D24342">
        <w:rPr>
          <w:bCs/>
          <w:color w:val="auto"/>
        </w:rPr>
        <w:t>doi</w:t>
      </w:r>
      <w:proofErr w:type="spellEnd"/>
      <w:r w:rsidR="008D409F" w:rsidRPr="00D24342">
        <w:rPr>
          <w:bCs/>
          <w:color w:val="auto"/>
        </w:rPr>
        <w:t>: 10.1186/s12966-018-0708-y.</w:t>
      </w:r>
    </w:p>
    <w:p w14:paraId="13E3452B" w14:textId="2204A504" w:rsidR="00E02308" w:rsidRPr="00D24342" w:rsidRDefault="00E02308" w:rsidP="00E02308">
      <w:pPr>
        <w:pStyle w:val="EndNoteBibliography"/>
        <w:spacing w:line="480" w:lineRule="auto"/>
        <w:ind w:left="720" w:hanging="720"/>
        <w:rPr>
          <w:bCs/>
          <w:color w:val="auto"/>
        </w:rPr>
      </w:pPr>
      <w:proofErr w:type="spellStart"/>
      <w:r w:rsidRPr="00D24342">
        <w:rPr>
          <w:color w:val="auto"/>
        </w:rPr>
        <w:t>Voisin</w:t>
      </w:r>
      <w:proofErr w:type="spellEnd"/>
      <w:r w:rsidRPr="00D24342">
        <w:rPr>
          <w:color w:val="auto"/>
        </w:rPr>
        <w:t xml:space="preserve">, D. R., Chen, P., Fullilove, R., &amp; Jacobson, K. C. (2015). Community violence exposure and sexual behaviors in a nationally representative sample of young adults: The effects of race/ethnicity and gender. </w:t>
      </w:r>
      <w:r w:rsidRPr="00D24342">
        <w:rPr>
          <w:i/>
          <w:color w:val="auto"/>
        </w:rPr>
        <w:t>Journal of Social Service Research, 41</w:t>
      </w:r>
      <w:r w:rsidRPr="00D24342">
        <w:rPr>
          <w:color w:val="auto"/>
        </w:rPr>
        <w:t xml:space="preserve">(3), 295-306. </w:t>
      </w:r>
      <w:proofErr w:type="spellStart"/>
      <w:r w:rsidRPr="00D24342">
        <w:rPr>
          <w:color w:val="auto"/>
        </w:rPr>
        <w:t>doi</w:t>
      </w:r>
      <w:proofErr w:type="spellEnd"/>
      <w:r w:rsidRPr="00D24342">
        <w:rPr>
          <w:color w:val="auto"/>
        </w:rPr>
        <w:t>: 10.1080/01488376.2014.987941</w:t>
      </w:r>
    </w:p>
    <w:p w14:paraId="56454D9D" w14:textId="1D895F3E" w:rsidR="008D409F" w:rsidRPr="00D24342" w:rsidRDefault="008D409F" w:rsidP="008D409F">
      <w:pPr>
        <w:pStyle w:val="EndNoteBibliography"/>
        <w:spacing w:line="480" w:lineRule="auto"/>
        <w:ind w:left="720" w:hanging="720"/>
        <w:rPr>
          <w:bCs/>
          <w:color w:val="auto"/>
        </w:rPr>
      </w:pPr>
      <w:r w:rsidRPr="00D24342">
        <w:rPr>
          <w:color w:val="auto"/>
        </w:rPr>
        <w:t xml:space="preserve">Warner, T. D., &amp; Warner, D. F. (2019). Precocious and Problematic? The consequences of youth violent victimization for adolescent sexual behavior. </w:t>
      </w:r>
      <w:r w:rsidRPr="00D24342">
        <w:rPr>
          <w:i/>
          <w:color w:val="auto"/>
        </w:rPr>
        <w:t>Journal of Developmental and Life-Course Criminology, 5</w:t>
      </w:r>
      <w:r w:rsidRPr="00D24342">
        <w:rPr>
          <w:color w:val="auto"/>
        </w:rPr>
        <w:t xml:space="preserve">, 554–586. </w:t>
      </w:r>
      <w:proofErr w:type="spellStart"/>
      <w:r w:rsidRPr="00D24342">
        <w:rPr>
          <w:color w:val="auto"/>
        </w:rPr>
        <w:t>doi</w:t>
      </w:r>
      <w:proofErr w:type="spellEnd"/>
      <w:r w:rsidRPr="00D24342">
        <w:rPr>
          <w:color w:val="auto"/>
        </w:rPr>
        <w:t>: 10.1007/s40865-019-00122-7</w:t>
      </w:r>
    </w:p>
    <w:p w14:paraId="22862BA1" w14:textId="0F9C280B" w:rsidR="00EB2A1A" w:rsidRPr="00D24342" w:rsidRDefault="00EB2A1A" w:rsidP="00F93BD0">
      <w:pPr>
        <w:pStyle w:val="EndNoteBibliography"/>
        <w:spacing w:line="480" w:lineRule="auto"/>
        <w:ind w:left="720" w:hanging="720"/>
        <w:rPr>
          <w:bCs/>
          <w:color w:val="auto"/>
        </w:rPr>
      </w:pPr>
      <w:r w:rsidRPr="00D24342">
        <w:rPr>
          <w:bCs/>
          <w:color w:val="auto"/>
        </w:rPr>
        <w:lastRenderedPageBreak/>
        <w:t xml:space="preserve">Wilson, H. W., Woods, B. A., Emerson, E., &amp; </w:t>
      </w:r>
      <w:proofErr w:type="spellStart"/>
      <w:r w:rsidRPr="00D24342">
        <w:rPr>
          <w:bCs/>
          <w:color w:val="auto"/>
        </w:rPr>
        <w:t>Donenberg</w:t>
      </w:r>
      <w:proofErr w:type="spellEnd"/>
      <w:r w:rsidRPr="00D24342">
        <w:rPr>
          <w:bCs/>
          <w:color w:val="auto"/>
        </w:rPr>
        <w:t xml:space="preserve">, G. R. (2012). Patterns of violence exposure and sexual risk in low-income, urban African American girls. </w:t>
      </w:r>
      <w:r w:rsidRPr="00D24342">
        <w:rPr>
          <w:bCs/>
          <w:i/>
          <w:color w:val="auto"/>
        </w:rPr>
        <w:t>Psychology of violence, 2</w:t>
      </w:r>
      <w:r w:rsidRPr="00D24342">
        <w:rPr>
          <w:bCs/>
          <w:color w:val="auto"/>
        </w:rPr>
        <w:t xml:space="preserve">(2), 194-207. </w:t>
      </w:r>
      <w:proofErr w:type="spellStart"/>
      <w:r w:rsidRPr="00D24342">
        <w:rPr>
          <w:color w:val="auto"/>
        </w:rPr>
        <w:t>doi</w:t>
      </w:r>
      <w:proofErr w:type="spellEnd"/>
      <w:r w:rsidRPr="00D24342">
        <w:rPr>
          <w:color w:val="auto"/>
        </w:rPr>
        <w:t>: 10.1037/a0027265</w:t>
      </w:r>
    </w:p>
    <w:p w14:paraId="10447477" w14:textId="77777777" w:rsidR="00EB2A1A" w:rsidRPr="00D24342" w:rsidRDefault="00EB2A1A" w:rsidP="00F93BD0">
      <w:pPr>
        <w:pStyle w:val="EndNoteBibliography"/>
        <w:spacing w:line="480" w:lineRule="auto"/>
        <w:ind w:left="720" w:hanging="720"/>
        <w:rPr>
          <w:bCs/>
          <w:color w:val="auto"/>
        </w:rPr>
      </w:pPr>
      <w:r w:rsidRPr="00D24342">
        <w:rPr>
          <w:bCs/>
          <w:color w:val="auto"/>
        </w:rPr>
        <w:t xml:space="preserve">Wilson, K., </w:t>
      </w:r>
      <w:proofErr w:type="spellStart"/>
      <w:r w:rsidRPr="00D24342">
        <w:rPr>
          <w:bCs/>
          <w:color w:val="auto"/>
        </w:rPr>
        <w:t>Asbridge</w:t>
      </w:r>
      <w:proofErr w:type="spellEnd"/>
      <w:r w:rsidRPr="00D24342">
        <w:rPr>
          <w:bCs/>
          <w:color w:val="auto"/>
        </w:rPr>
        <w:t xml:space="preserve">, M., </w:t>
      </w:r>
      <w:proofErr w:type="spellStart"/>
      <w:r w:rsidRPr="00D24342">
        <w:rPr>
          <w:bCs/>
          <w:color w:val="auto"/>
        </w:rPr>
        <w:t>Kisely</w:t>
      </w:r>
      <w:proofErr w:type="spellEnd"/>
      <w:r w:rsidRPr="00D24342">
        <w:rPr>
          <w:bCs/>
          <w:color w:val="auto"/>
        </w:rPr>
        <w:t xml:space="preserve">, S., &amp; </w:t>
      </w:r>
      <w:proofErr w:type="spellStart"/>
      <w:r w:rsidRPr="00D24342">
        <w:rPr>
          <w:bCs/>
          <w:color w:val="auto"/>
        </w:rPr>
        <w:t>Langille</w:t>
      </w:r>
      <w:proofErr w:type="spellEnd"/>
      <w:r w:rsidRPr="00D24342">
        <w:rPr>
          <w:bCs/>
          <w:color w:val="auto"/>
        </w:rPr>
        <w:t xml:space="preserve">, D. (2010). Associations of risk of depression with sexual risk taking among adolescents in Nova Scotia high schools. </w:t>
      </w:r>
      <w:r w:rsidRPr="00D24342">
        <w:rPr>
          <w:bCs/>
          <w:i/>
          <w:color w:val="auto"/>
        </w:rPr>
        <w:t>The Canadian Journal of Psychiatry, 55</w:t>
      </w:r>
      <w:r w:rsidRPr="00D24342">
        <w:rPr>
          <w:bCs/>
          <w:color w:val="auto"/>
        </w:rPr>
        <w:t>(9), 577-585.</w:t>
      </w:r>
      <w:r w:rsidRPr="00D24342">
        <w:rPr>
          <w:color w:val="auto"/>
        </w:rPr>
        <w:t xml:space="preserve"> </w:t>
      </w:r>
      <w:proofErr w:type="spellStart"/>
      <w:r w:rsidRPr="00D24342">
        <w:rPr>
          <w:color w:val="auto"/>
        </w:rPr>
        <w:t>doi</w:t>
      </w:r>
      <w:proofErr w:type="spellEnd"/>
      <w:r w:rsidRPr="00D24342">
        <w:rPr>
          <w:color w:val="auto"/>
        </w:rPr>
        <w:t>: 10.1177/070674371005500906</w:t>
      </w:r>
    </w:p>
    <w:p w14:paraId="2D34BCD1" w14:textId="77777777" w:rsidR="00EB2A1A" w:rsidRPr="00D24342" w:rsidRDefault="00EB2A1A" w:rsidP="00F93BD0">
      <w:pPr>
        <w:pStyle w:val="EndNoteBibliography"/>
        <w:spacing w:line="480" w:lineRule="auto"/>
        <w:ind w:left="720" w:hanging="720"/>
        <w:rPr>
          <w:b/>
          <w:bCs/>
          <w:color w:val="auto"/>
        </w:rPr>
      </w:pPr>
      <w:r w:rsidRPr="00D24342">
        <w:rPr>
          <w:bCs/>
          <w:color w:val="auto"/>
        </w:rPr>
        <w:t xml:space="preserve">World Health Organization. (2014). Global status report on violence prevention 2014. </w:t>
      </w:r>
      <w:r w:rsidRPr="00D24342">
        <w:rPr>
          <w:color w:val="auto"/>
        </w:rPr>
        <w:t xml:space="preserve"> </w:t>
      </w:r>
      <w:r w:rsidRPr="00D24342">
        <w:rPr>
          <w:bCs/>
          <w:color w:val="auto"/>
        </w:rPr>
        <w:t xml:space="preserve">Retrieved from </w:t>
      </w:r>
      <w:hyperlink r:id="rId16" w:history="1">
        <w:r w:rsidRPr="00D24342">
          <w:rPr>
            <w:rStyle w:val="Hyperlink"/>
            <w:color w:val="auto"/>
          </w:rPr>
          <w:t>https://www.who.int/violence_injury_prevention/violence/status_report/2014/en/</w:t>
        </w:r>
      </w:hyperlink>
      <w:r w:rsidRPr="00D24342">
        <w:rPr>
          <w:color w:val="auto"/>
        </w:rPr>
        <w:t xml:space="preserve"> </w:t>
      </w:r>
    </w:p>
    <w:p w14:paraId="5B3C719F" w14:textId="77777777" w:rsidR="00EB2A1A" w:rsidRPr="00D24342" w:rsidRDefault="00EB2A1A" w:rsidP="00F93BD0">
      <w:pPr>
        <w:pStyle w:val="EndNoteBibliography"/>
        <w:spacing w:line="480" w:lineRule="auto"/>
        <w:ind w:left="720" w:hanging="720"/>
        <w:rPr>
          <w:b/>
          <w:bCs/>
          <w:color w:val="auto"/>
        </w:rPr>
      </w:pPr>
      <w:r w:rsidRPr="00D24342">
        <w:rPr>
          <w:bCs/>
          <w:color w:val="auto"/>
        </w:rPr>
        <w:t xml:space="preserve">World Health Organization. (2018). Adolescent pregnancy. Retrieved from </w:t>
      </w:r>
      <w:hyperlink r:id="rId17" w:history="1">
        <w:r w:rsidRPr="00D24342">
          <w:rPr>
            <w:rStyle w:val="Hyperlink"/>
            <w:color w:val="auto"/>
            <w:u w:color="0000FF"/>
          </w:rPr>
          <w:t>https://www.who.int/news-room/fact-sheets/detail/adolescent-pregnancy</w:t>
        </w:r>
      </w:hyperlink>
      <w:r w:rsidRPr="00D24342">
        <w:rPr>
          <w:rStyle w:val="Hyperlink0"/>
          <w:color w:val="auto"/>
          <w:u w:val="none"/>
        </w:rPr>
        <w:t xml:space="preserve"> </w:t>
      </w:r>
    </w:p>
    <w:p w14:paraId="38DFB67B" w14:textId="77777777" w:rsidR="00EB2A1A" w:rsidRPr="00D24342" w:rsidRDefault="00EB2A1A" w:rsidP="00F93BD0">
      <w:pPr>
        <w:pStyle w:val="EndNoteBibliography"/>
        <w:spacing w:line="480" w:lineRule="auto"/>
        <w:ind w:left="720" w:hanging="720"/>
        <w:rPr>
          <w:b/>
          <w:bCs/>
          <w:color w:val="auto"/>
        </w:rPr>
      </w:pPr>
      <w:r w:rsidRPr="00D24342">
        <w:rPr>
          <w:bCs/>
          <w:color w:val="auto"/>
        </w:rPr>
        <w:t>World Health Organization</w:t>
      </w:r>
      <w:r w:rsidRPr="00D24342">
        <w:rPr>
          <w:rStyle w:val="Hyperlink0"/>
          <w:bCs/>
          <w:color w:val="auto"/>
          <w:u w:val="none"/>
        </w:rPr>
        <w:t xml:space="preserve">. (2019). Preventing youth violence: an overview of the evidence. </w:t>
      </w:r>
      <w:r w:rsidRPr="00D24342">
        <w:rPr>
          <w:bCs/>
          <w:color w:val="auto"/>
        </w:rPr>
        <w:t xml:space="preserve">Retrieved from </w:t>
      </w:r>
      <w:hyperlink r:id="rId18" w:history="1">
        <w:r w:rsidRPr="00D24342">
          <w:rPr>
            <w:rStyle w:val="Hyperlink"/>
            <w:color w:val="auto"/>
            <w:u w:color="0000FF"/>
          </w:rPr>
          <w:t>https://www.who.int/violence_injury_prevention/violence/youth/youth_violence/en/</w:t>
        </w:r>
      </w:hyperlink>
      <w:r w:rsidRPr="00D24342">
        <w:rPr>
          <w:rStyle w:val="Hyperlink0"/>
          <w:color w:val="auto"/>
          <w:u w:val="none"/>
        </w:rPr>
        <w:t xml:space="preserve"> </w:t>
      </w:r>
      <w:r w:rsidRPr="00D24342">
        <w:rPr>
          <w:rStyle w:val="Hyperlink0"/>
          <w:color w:val="auto"/>
        </w:rPr>
        <w:t xml:space="preserve"> </w:t>
      </w:r>
    </w:p>
    <w:p w14:paraId="340701CD" w14:textId="77777777" w:rsidR="00EB2A1A" w:rsidRPr="00D24342" w:rsidRDefault="00EB2A1A" w:rsidP="00F93BD0">
      <w:pPr>
        <w:pStyle w:val="EndNoteBibliography"/>
        <w:spacing w:line="480" w:lineRule="auto"/>
        <w:ind w:left="720" w:hanging="720"/>
        <w:rPr>
          <w:color w:val="auto"/>
        </w:rPr>
      </w:pPr>
      <w:r w:rsidRPr="00D24342">
        <w:rPr>
          <w:rFonts w:hint="eastAsia"/>
          <w:color w:val="auto"/>
        </w:rPr>
        <w:t xml:space="preserve">Zuckerman, M., &amp; Kuhlman, D. M. (2000). Personality and risk‐taking: common </w:t>
      </w:r>
      <w:proofErr w:type="spellStart"/>
      <w:r w:rsidRPr="00D24342">
        <w:rPr>
          <w:rFonts w:hint="eastAsia"/>
          <w:color w:val="auto"/>
        </w:rPr>
        <w:t>bisocial</w:t>
      </w:r>
      <w:proofErr w:type="spellEnd"/>
      <w:r w:rsidRPr="00D24342">
        <w:rPr>
          <w:rFonts w:hint="eastAsia"/>
          <w:color w:val="auto"/>
        </w:rPr>
        <w:t xml:space="preserve"> factors. </w:t>
      </w:r>
      <w:r w:rsidRPr="00D24342">
        <w:rPr>
          <w:rFonts w:hint="eastAsia"/>
          <w:i/>
          <w:color w:val="auto"/>
        </w:rPr>
        <w:t>Journal of personality, 68</w:t>
      </w:r>
      <w:r w:rsidRPr="00D24342">
        <w:rPr>
          <w:rFonts w:hint="eastAsia"/>
          <w:color w:val="auto"/>
        </w:rPr>
        <w:t>(6), 999-1029.</w:t>
      </w:r>
      <w:r w:rsidRPr="00D24342">
        <w:rPr>
          <w:color w:val="auto"/>
        </w:rPr>
        <w:t xml:space="preserve"> </w:t>
      </w:r>
      <w:proofErr w:type="spellStart"/>
      <w:r w:rsidRPr="00D24342">
        <w:rPr>
          <w:color w:val="auto"/>
        </w:rPr>
        <w:t>doi</w:t>
      </w:r>
      <w:proofErr w:type="spellEnd"/>
      <w:r w:rsidRPr="00D24342">
        <w:rPr>
          <w:color w:val="auto"/>
        </w:rPr>
        <w:t>: 10.1111/1467-6494.00124</w:t>
      </w:r>
    </w:p>
    <w:p w14:paraId="02221348" w14:textId="0909F44F" w:rsidR="004045A6" w:rsidRPr="00D24342" w:rsidRDefault="004045A6" w:rsidP="004045A6">
      <w:pPr>
        <w:spacing w:line="480" w:lineRule="auto"/>
        <w:jc w:val="both"/>
        <w:rPr>
          <w:color w:val="auto"/>
        </w:rPr>
      </w:pPr>
    </w:p>
    <w:p w14:paraId="5DEE2016" w14:textId="79F93DEC" w:rsidR="00EB2A1A" w:rsidRPr="00D24342" w:rsidRDefault="00EB2A1A" w:rsidP="004045A6">
      <w:pPr>
        <w:spacing w:line="480" w:lineRule="auto"/>
        <w:jc w:val="both"/>
        <w:rPr>
          <w:color w:val="auto"/>
        </w:rPr>
      </w:pPr>
    </w:p>
    <w:p w14:paraId="69C97926" w14:textId="2D7BAA1B" w:rsidR="007B3B42" w:rsidRPr="00D24342" w:rsidRDefault="007B3B42" w:rsidP="004045A6">
      <w:pPr>
        <w:spacing w:line="480" w:lineRule="auto"/>
        <w:jc w:val="both"/>
        <w:rPr>
          <w:color w:val="auto"/>
        </w:rPr>
      </w:pPr>
    </w:p>
    <w:p w14:paraId="7C398D1F" w14:textId="34924A10" w:rsidR="007B3B42" w:rsidRPr="00D24342" w:rsidRDefault="007B3B42" w:rsidP="004045A6">
      <w:pPr>
        <w:spacing w:line="480" w:lineRule="auto"/>
        <w:jc w:val="both"/>
        <w:rPr>
          <w:color w:val="auto"/>
        </w:rPr>
      </w:pPr>
    </w:p>
    <w:p w14:paraId="6B302698" w14:textId="72BA093E" w:rsidR="007B3B42" w:rsidRPr="00D24342" w:rsidRDefault="007B3B42" w:rsidP="004045A6">
      <w:pPr>
        <w:spacing w:line="480" w:lineRule="auto"/>
        <w:jc w:val="both"/>
        <w:rPr>
          <w:color w:val="auto"/>
        </w:rPr>
      </w:pPr>
    </w:p>
    <w:p w14:paraId="05885AC0" w14:textId="77777777" w:rsidR="000F70D1" w:rsidRPr="00D24342" w:rsidRDefault="000F70D1" w:rsidP="006F4194">
      <w:pPr>
        <w:spacing w:line="480" w:lineRule="auto"/>
        <w:jc w:val="center"/>
        <w:rPr>
          <w:b/>
          <w:color w:val="auto"/>
        </w:rPr>
        <w:sectPr w:rsidR="000F70D1" w:rsidRPr="00D24342">
          <w:pgSz w:w="11900" w:h="16840"/>
          <w:pgMar w:top="1440" w:right="1440" w:bottom="1440" w:left="1440" w:header="720" w:footer="720" w:gutter="0"/>
          <w:cols w:space="720"/>
        </w:sectPr>
      </w:pPr>
    </w:p>
    <w:p w14:paraId="63241607" w14:textId="1B040D8B" w:rsidR="00235E00" w:rsidRPr="00D24342" w:rsidRDefault="006F4194" w:rsidP="00FF6E87">
      <w:pPr>
        <w:pStyle w:val="Heading1"/>
      </w:pPr>
      <w:r w:rsidRPr="00D24342">
        <w:lastRenderedPageBreak/>
        <w:t>Figure Legends</w:t>
      </w:r>
    </w:p>
    <w:p w14:paraId="60868B43" w14:textId="77777777" w:rsidR="00235E00" w:rsidRPr="00D24342" w:rsidRDefault="00235E00" w:rsidP="00235E00">
      <w:pPr>
        <w:rPr>
          <w:color w:val="auto"/>
        </w:rPr>
      </w:pPr>
      <w:r w:rsidRPr="00D24342">
        <w:rPr>
          <w:b/>
          <w:bCs/>
          <w:color w:val="auto"/>
        </w:rPr>
        <w:t xml:space="preserve">Figure 1 </w:t>
      </w:r>
      <w:r w:rsidRPr="00D24342">
        <w:rPr>
          <w:color w:val="auto"/>
        </w:rPr>
        <w:t>Prevalence of sexual intercourse, condom non-use, and multiple sex partners by number of physical attacks in the past year</w:t>
      </w:r>
    </w:p>
    <w:p w14:paraId="24997E74" w14:textId="77777777" w:rsidR="00235E00" w:rsidRPr="00D24342" w:rsidRDefault="00235E00" w:rsidP="00235E00">
      <w:pPr>
        <w:rPr>
          <w:color w:val="auto"/>
          <w:sz w:val="20"/>
          <w:szCs w:val="20"/>
        </w:rPr>
      </w:pPr>
      <w:r w:rsidRPr="00D24342">
        <w:rPr>
          <w:color w:val="auto"/>
          <w:sz w:val="20"/>
          <w:szCs w:val="20"/>
        </w:rPr>
        <w:t>*Analyses on condom non-use and multiple sex partners were restricted to those who ever had sex.</w:t>
      </w:r>
    </w:p>
    <w:p w14:paraId="2F94FE4F" w14:textId="77777777" w:rsidR="00235E00" w:rsidRPr="00D24342" w:rsidRDefault="00235E00" w:rsidP="00235E00">
      <w:pPr>
        <w:rPr>
          <w:color w:val="auto"/>
          <w:sz w:val="20"/>
          <w:szCs w:val="20"/>
        </w:rPr>
      </w:pPr>
      <w:r w:rsidRPr="00D24342">
        <w:rPr>
          <w:color w:val="auto"/>
          <w:sz w:val="20"/>
          <w:szCs w:val="20"/>
        </w:rPr>
        <w:t>Data from Kenya, Swaziland, Uganda, and Zambia are not included in the estimates on due to lack of data on physical attacks.</w:t>
      </w:r>
    </w:p>
    <w:p w14:paraId="01ECF232" w14:textId="48724A8C" w:rsidR="00235E00" w:rsidRDefault="00235E00" w:rsidP="00235E00">
      <w:pPr>
        <w:rPr>
          <w:color w:val="auto"/>
          <w:sz w:val="20"/>
          <w:szCs w:val="20"/>
        </w:rPr>
      </w:pPr>
      <w:r w:rsidRPr="00D24342">
        <w:rPr>
          <w:color w:val="auto"/>
          <w:sz w:val="20"/>
          <w:szCs w:val="20"/>
        </w:rPr>
        <w:t>Data from Bangladesh and Kenya are not included in the estimates on multiple sex partners due to lack of data.</w:t>
      </w:r>
    </w:p>
    <w:p w14:paraId="63A2B739" w14:textId="43E49BFD" w:rsidR="00DF3176" w:rsidRPr="00D24342" w:rsidRDefault="00DF3176" w:rsidP="00235E00">
      <w:pPr>
        <w:rPr>
          <w:color w:val="auto"/>
          <w:sz w:val="20"/>
          <w:szCs w:val="20"/>
        </w:rPr>
      </w:pPr>
      <w:r w:rsidRPr="00DF3176">
        <w:rPr>
          <w:color w:val="auto"/>
          <w:sz w:val="20"/>
          <w:szCs w:val="20"/>
        </w:rPr>
        <w:drawing>
          <wp:inline distT="0" distB="0" distL="0" distR="0" wp14:anchorId="34411825" wp14:editId="62249A9C">
            <wp:extent cx="4896533" cy="4001058"/>
            <wp:effectExtent l="0" t="0" r="0" b="0"/>
            <wp:docPr id="1" name="Picture 1" descr="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pic:cNvPicPr/>
                  </pic:nvPicPr>
                  <pic:blipFill>
                    <a:blip r:embed="rId19"/>
                    <a:stretch>
                      <a:fillRect/>
                    </a:stretch>
                  </pic:blipFill>
                  <pic:spPr>
                    <a:xfrm>
                      <a:off x="0" y="0"/>
                      <a:ext cx="4896533" cy="4001058"/>
                    </a:xfrm>
                    <a:prstGeom prst="rect">
                      <a:avLst/>
                    </a:prstGeom>
                  </pic:spPr>
                </pic:pic>
              </a:graphicData>
            </a:graphic>
          </wp:inline>
        </w:drawing>
      </w:r>
    </w:p>
    <w:p w14:paraId="70B2404B" w14:textId="482F2417" w:rsidR="00235E00" w:rsidRPr="00D24342" w:rsidRDefault="00235E00">
      <w:pPr>
        <w:spacing w:line="480" w:lineRule="auto"/>
        <w:rPr>
          <w:b/>
          <w:color w:val="auto"/>
        </w:rPr>
      </w:pPr>
    </w:p>
    <w:p w14:paraId="1405286F" w14:textId="77777777" w:rsidR="00AF1D8E" w:rsidRDefault="00AF1D8E">
      <w:pPr>
        <w:rPr>
          <w:b/>
          <w:bCs/>
          <w:color w:val="auto"/>
        </w:rPr>
      </w:pPr>
      <w:r>
        <w:rPr>
          <w:b/>
          <w:bCs/>
          <w:color w:val="auto"/>
        </w:rPr>
        <w:br w:type="page"/>
      </w:r>
    </w:p>
    <w:p w14:paraId="2E32496B" w14:textId="5E9EFAB7" w:rsidR="00235E00" w:rsidRPr="00D24342" w:rsidRDefault="00235E00" w:rsidP="00235E00">
      <w:pPr>
        <w:rPr>
          <w:color w:val="auto"/>
        </w:rPr>
      </w:pPr>
      <w:r w:rsidRPr="00D24342">
        <w:rPr>
          <w:b/>
          <w:bCs/>
          <w:color w:val="auto"/>
        </w:rPr>
        <w:lastRenderedPageBreak/>
        <w:t xml:space="preserve">Figure 2 </w:t>
      </w:r>
      <w:r w:rsidRPr="00D24342">
        <w:rPr>
          <w:color w:val="auto"/>
        </w:rPr>
        <w:t>Prevalence of sexual intercourse, condom non-use, and multiple sex partners by number of physical fights in the past year</w:t>
      </w:r>
    </w:p>
    <w:p w14:paraId="5A374D8F" w14:textId="77777777" w:rsidR="00235E00" w:rsidRPr="00D24342" w:rsidRDefault="00235E00" w:rsidP="00235E00">
      <w:pPr>
        <w:rPr>
          <w:color w:val="auto"/>
          <w:sz w:val="20"/>
          <w:szCs w:val="20"/>
        </w:rPr>
      </w:pPr>
      <w:r w:rsidRPr="00D24342">
        <w:rPr>
          <w:color w:val="auto"/>
          <w:sz w:val="20"/>
          <w:szCs w:val="20"/>
        </w:rPr>
        <w:t>*Analyses on condom non-use and multiple sex partners were restricted to those who ever had sex.</w:t>
      </w:r>
    </w:p>
    <w:p w14:paraId="16A74FED" w14:textId="77777777" w:rsidR="00235E00" w:rsidRPr="00D24342" w:rsidRDefault="00235E00" w:rsidP="00235E00">
      <w:pPr>
        <w:rPr>
          <w:color w:val="auto"/>
          <w:sz w:val="20"/>
          <w:szCs w:val="20"/>
        </w:rPr>
      </w:pPr>
      <w:r w:rsidRPr="00D24342">
        <w:rPr>
          <w:color w:val="auto"/>
          <w:sz w:val="20"/>
          <w:szCs w:val="20"/>
        </w:rPr>
        <w:t>Data from Bangladesh and Kenya are not included in the estimates on multiple sex partners due to lack of data.</w:t>
      </w:r>
    </w:p>
    <w:p w14:paraId="13CF27F4" w14:textId="77777777" w:rsidR="00235E00" w:rsidRDefault="00235E00">
      <w:pPr>
        <w:spacing w:line="480" w:lineRule="auto"/>
        <w:rPr>
          <w:b/>
          <w:color w:val="auto"/>
        </w:rPr>
      </w:pPr>
    </w:p>
    <w:p w14:paraId="2D1A1DC0" w14:textId="77777777" w:rsidR="00DF3176" w:rsidRDefault="00AF1D8E">
      <w:pPr>
        <w:spacing w:line="480" w:lineRule="auto"/>
        <w:rPr>
          <w:b/>
          <w:color w:val="auto"/>
        </w:rPr>
      </w:pPr>
      <w:r w:rsidRPr="00AF1D8E">
        <w:rPr>
          <w:b/>
          <w:color w:val="auto"/>
        </w:rPr>
        <w:drawing>
          <wp:inline distT="0" distB="0" distL="0" distR="0" wp14:anchorId="4DA89382" wp14:editId="45C35894">
            <wp:extent cx="5010849" cy="4039164"/>
            <wp:effectExtent l="0" t="0" r="0" b="0"/>
            <wp:docPr id="2" name="Picture 2" descr="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
                    <pic:cNvPicPr/>
                  </pic:nvPicPr>
                  <pic:blipFill>
                    <a:blip r:embed="rId20"/>
                    <a:stretch>
                      <a:fillRect/>
                    </a:stretch>
                  </pic:blipFill>
                  <pic:spPr>
                    <a:xfrm>
                      <a:off x="0" y="0"/>
                      <a:ext cx="5010849" cy="4039164"/>
                    </a:xfrm>
                    <a:prstGeom prst="rect">
                      <a:avLst/>
                    </a:prstGeom>
                  </pic:spPr>
                </pic:pic>
              </a:graphicData>
            </a:graphic>
          </wp:inline>
        </w:drawing>
      </w:r>
    </w:p>
    <w:p w14:paraId="799B07F9" w14:textId="77777777" w:rsidR="00AF1D8E" w:rsidRDefault="00AF1D8E">
      <w:pPr>
        <w:spacing w:line="480" w:lineRule="auto"/>
        <w:rPr>
          <w:b/>
          <w:color w:val="auto"/>
        </w:rPr>
      </w:pPr>
    </w:p>
    <w:p w14:paraId="1D1C698A" w14:textId="77777777" w:rsidR="00AF1D8E" w:rsidRDefault="00AF1D8E">
      <w:pPr>
        <w:spacing w:line="480" w:lineRule="auto"/>
        <w:rPr>
          <w:b/>
          <w:color w:val="auto"/>
        </w:rPr>
      </w:pPr>
    </w:p>
    <w:p w14:paraId="1891A86C" w14:textId="77777777" w:rsidR="00AF1D8E" w:rsidRDefault="00AF1D8E">
      <w:pPr>
        <w:spacing w:line="480" w:lineRule="auto"/>
        <w:rPr>
          <w:b/>
          <w:color w:val="auto"/>
        </w:rPr>
      </w:pPr>
    </w:p>
    <w:p w14:paraId="1E4A40B1" w14:textId="319652FA" w:rsidR="00AF1D8E" w:rsidRPr="00D24342" w:rsidRDefault="00AF1D8E" w:rsidP="00AF1D8E">
      <w:pPr>
        <w:pStyle w:val="Heading1"/>
        <w:sectPr w:rsidR="00AF1D8E" w:rsidRPr="00D24342">
          <w:pgSz w:w="11900" w:h="16840"/>
          <w:pgMar w:top="1440" w:right="1440" w:bottom="1440" w:left="1440" w:header="720" w:footer="720" w:gutter="0"/>
          <w:cols w:space="720"/>
        </w:sectPr>
      </w:pPr>
      <w:r>
        <w:t>Tables</w:t>
      </w:r>
    </w:p>
    <w:tbl>
      <w:tblPr>
        <w:tblW w:w="5000" w:type="pct"/>
        <w:tblLook w:val="04A0" w:firstRow="1" w:lastRow="0" w:firstColumn="1" w:lastColumn="0" w:noHBand="0" w:noVBand="1"/>
      </w:tblPr>
      <w:tblGrid>
        <w:gridCol w:w="3276"/>
        <w:gridCol w:w="991"/>
        <w:gridCol w:w="1219"/>
        <w:gridCol w:w="1377"/>
        <w:gridCol w:w="1490"/>
        <w:gridCol w:w="1492"/>
        <w:gridCol w:w="1490"/>
        <w:gridCol w:w="1492"/>
        <w:gridCol w:w="1493"/>
      </w:tblGrid>
      <w:tr w:rsidR="00D24342" w:rsidRPr="00D24342" w14:paraId="381C7898" w14:textId="77777777" w:rsidTr="000F0997">
        <w:trPr>
          <w:trHeight w:val="300"/>
        </w:trPr>
        <w:tc>
          <w:tcPr>
            <w:tcW w:w="5000" w:type="pct"/>
            <w:gridSpan w:val="9"/>
            <w:tcBorders>
              <w:top w:val="nil"/>
              <w:left w:val="nil"/>
              <w:bottom w:val="single" w:sz="4" w:space="0" w:color="auto"/>
              <w:right w:val="nil"/>
            </w:tcBorders>
            <w:shd w:val="clear" w:color="auto" w:fill="auto"/>
            <w:noWrap/>
            <w:vAlign w:val="center"/>
            <w:hideMark/>
          </w:tcPr>
          <w:p w14:paraId="70639A1F" w14:textId="6881EF16"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bdr w:val="none" w:sz="0" w:space="0" w:color="auto"/>
                <w:lang w:val="en-GB" w:eastAsia="en-US"/>
              </w:rPr>
            </w:pPr>
            <w:r w:rsidRPr="00D24342">
              <w:rPr>
                <w:rFonts w:eastAsia="Times New Roman" w:cs="Times New Roman"/>
                <w:b/>
                <w:bCs/>
                <w:color w:val="auto"/>
                <w:bdr w:val="none" w:sz="0" w:space="0" w:color="auto"/>
                <w:lang w:val="en-GB" w:eastAsia="en-US"/>
              </w:rPr>
              <w:lastRenderedPageBreak/>
              <w:t>Table 1</w:t>
            </w:r>
            <w:r w:rsidRPr="00D24342">
              <w:rPr>
                <w:rFonts w:eastAsia="Times New Roman" w:cs="Times New Roman"/>
                <w:color w:val="auto"/>
                <w:bdr w:val="none" w:sz="0" w:space="0" w:color="auto"/>
                <w:lang w:val="en-GB" w:eastAsia="en-US"/>
              </w:rPr>
              <w:t xml:space="preserve"> Characteristics of the survey, and prevalence of physical attack, physical fight, sexual intercourse, condom non-use, and multiple sex partners</w:t>
            </w:r>
          </w:p>
        </w:tc>
      </w:tr>
      <w:tr w:rsidR="00D24342" w:rsidRPr="00D24342" w14:paraId="179C8E13" w14:textId="77777777" w:rsidTr="000F0997">
        <w:trPr>
          <w:trHeight w:val="404"/>
        </w:trPr>
        <w:tc>
          <w:tcPr>
            <w:tcW w:w="1146" w:type="pct"/>
            <w:tcBorders>
              <w:top w:val="nil"/>
              <w:left w:val="nil"/>
              <w:bottom w:val="double" w:sz="6" w:space="0" w:color="auto"/>
              <w:right w:val="nil"/>
            </w:tcBorders>
            <w:shd w:val="clear" w:color="auto" w:fill="auto"/>
            <w:vAlign w:val="bottom"/>
            <w:hideMark/>
          </w:tcPr>
          <w:p w14:paraId="374B3743"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Country</w:t>
            </w:r>
          </w:p>
        </w:tc>
        <w:tc>
          <w:tcPr>
            <w:tcW w:w="345" w:type="pct"/>
            <w:tcBorders>
              <w:top w:val="nil"/>
              <w:left w:val="nil"/>
              <w:bottom w:val="double" w:sz="6" w:space="0" w:color="auto"/>
              <w:right w:val="nil"/>
            </w:tcBorders>
            <w:shd w:val="clear" w:color="auto" w:fill="auto"/>
            <w:vAlign w:val="bottom"/>
            <w:hideMark/>
          </w:tcPr>
          <w:p w14:paraId="5B93C939"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Year</w:t>
            </w:r>
          </w:p>
        </w:tc>
        <w:tc>
          <w:tcPr>
            <w:tcW w:w="425" w:type="pct"/>
            <w:tcBorders>
              <w:top w:val="nil"/>
              <w:left w:val="nil"/>
              <w:bottom w:val="double" w:sz="6" w:space="0" w:color="auto"/>
              <w:right w:val="nil"/>
            </w:tcBorders>
            <w:shd w:val="clear" w:color="auto" w:fill="auto"/>
            <w:vAlign w:val="bottom"/>
            <w:hideMark/>
          </w:tcPr>
          <w:p w14:paraId="4F9B7F46"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Response rate (%)</w:t>
            </w:r>
          </w:p>
        </w:tc>
        <w:tc>
          <w:tcPr>
            <w:tcW w:w="481" w:type="pct"/>
            <w:tcBorders>
              <w:top w:val="nil"/>
              <w:left w:val="nil"/>
              <w:bottom w:val="double" w:sz="6" w:space="0" w:color="auto"/>
              <w:right w:val="nil"/>
            </w:tcBorders>
            <w:shd w:val="clear" w:color="auto" w:fill="auto"/>
            <w:vAlign w:val="bottom"/>
            <w:hideMark/>
          </w:tcPr>
          <w:p w14:paraId="1B6E8C07"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N</w:t>
            </w:r>
            <w:r w:rsidRPr="00D24342">
              <w:rPr>
                <w:rFonts w:eastAsia="Times New Roman" w:cs="Times New Roman"/>
                <w:color w:val="auto"/>
                <w:sz w:val="22"/>
                <w:szCs w:val="22"/>
                <w:bdr w:val="none" w:sz="0" w:space="0" w:color="auto"/>
                <w:vertAlign w:val="superscript"/>
                <w:lang w:val="en-GB" w:eastAsia="en-US"/>
              </w:rPr>
              <w:t>a</w:t>
            </w:r>
          </w:p>
        </w:tc>
        <w:tc>
          <w:tcPr>
            <w:tcW w:w="520" w:type="pct"/>
            <w:tcBorders>
              <w:top w:val="nil"/>
              <w:left w:val="nil"/>
              <w:bottom w:val="double" w:sz="6" w:space="0" w:color="auto"/>
              <w:right w:val="nil"/>
            </w:tcBorders>
            <w:shd w:val="clear" w:color="auto" w:fill="auto"/>
            <w:vAlign w:val="bottom"/>
            <w:hideMark/>
          </w:tcPr>
          <w:p w14:paraId="7AFEBC16" w14:textId="221621F5"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 xml:space="preserve">Physical </w:t>
            </w:r>
            <w:proofErr w:type="spellStart"/>
            <w:r w:rsidRPr="00D24342">
              <w:rPr>
                <w:rFonts w:eastAsia="Times New Roman" w:cs="Times New Roman"/>
                <w:color w:val="auto"/>
                <w:sz w:val="22"/>
                <w:szCs w:val="22"/>
                <w:bdr w:val="none" w:sz="0" w:space="0" w:color="auto"/>
                <w:lang w:val="en-GB" w:eastAsia="en-US"/>
              </w:rPr>
              <w:t>attack</w:t>
            </w:r>
            <w:r w:rsidR="001950E6" w:rsidRPr="00D24342">
              <w:rPr>
                <w:rFonts w:eastAsia="Times New Roman" w:cs="Times New Roman"/>
                <w:color w:val="auto"/>
                <w:sz w:val="22"/>
                <w:szCs w:val="22"/>
                <w:bdr w:val="none" w:sz="0" w:space="0" w:color="auto"/>
                <w:vertAlign w:val="superscript"/>
                <w:lang w:val="en-GB" w:eastAsia="en-US"/>
              </w:rPr>
              <w:t>b</w:t>
            </w:r>
            <w:proofErr w:type="spellEnd"/>
            <w:r w:rsidRPr="00D24342">
              <w:rPr>
                <w:rFonts w:eastAsia="Times New Roman" w:cs="Times New Roman"/>
                <w:color w:val="auto"/>
                <w:sz w:val="22"/>
                <w:szCs w:val="22"/>
                <w:bdr w:val="none" w:sz="0" w:space="0" w:color="auto"/>
                <w:vertAlign w:val="superscript"/>
                <w:lang w:val="en-GB" w:eastAsia="en-US"/>
              </w:rPr>
              <w:t xml:space="preserve"> </w:t>
            </w:r>
            <w:r w:rsidRPr="00D24342">
              <w:rPr>
                <w:rFonts w:eastAsia="Times New Roman" w:cs="Times New Roman"/>
                <w:color w:val="auto"/>
                <w:sz w:val="22"/>
                <w:szCs w:val="22"/>
                <w:bdr w:val="none" w:sz="0" w:space="0" w:color="auto"/>
                <w:lang w:val="en-GB" w:eastAsia="en-US"/>
              </w:rPr>
              <w:t>(%)</w:t>
            </w:r>
          </w:p>
        </w:tc>
        <w:tc>
          <w:tcPr>
            <w:tcW w:w="521" w:type="pct"/>
            <w:tcBorders>
              <w:top w:val="nil"/>
              <w:left w:val="nil"/>
              <w:bottom w:val="double" w:sz="6" w:space="0" w:color="auto"/>
              <w:right w:val="nil"/>
            </w:tcBorders>
            <w:shd w:val="clear" w:color="auto" w:fill="auto"/>
            <w:vAlign w:val="bottom"/>
            <w:hideMark/>
          </w:tcPr>
          <w:p w14:paraId="0A7E97EB" w14:textId="46216E73"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Physical</w:t>
            </w:r>
          </w:p>
          <w:p w14:paraId="19828624" w14:textId="0B96FF55"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proofErr w:type="spellStart"/>
            <w:r w:rsidRPr="00D24342">
              <w:rPr>
                <w:rFonts w:eastAsia="Times New Roman" w:cs="Times New Roman"/>
                <w:color w:val="auto"/>
                <w:sz w:val="22"/>
                <w:szCs w:val="22"/>
                <w:bdr w:val="none" w:sz="0" w:space="0" w:color="auto"/>
                <w:lang w:val="en-GB" w:eastAsia="en-US"/>
              </w:rPr>
              <w:t>fight</w:t>
            </w:r>
            <w:r w:rsidR="001950E6" w:rsidRPr="00D24342">
              <w:rPr>
                <w:rFonts w:eastAsia="Times New Roman" w:cs="Times New Roman"/>
                <w:color w:val="auto"/>
                <w:sz w:val="22"/>
                <w:szCs w:val="22"/>
                <w:bdr w:val="none" w:sz="0" w:space="0" w:color="auto"/>
                <w:vertAlign w:val="superscript"/>
                <w:lang w:val="en-GB" w:eastAsia="en-US"/>
              </w:rPr>
              <w:t>c</w:t>
            </w:r>
            <w:proofErr w:type="spellEnd"/>
            <w:r w:rsidRPr="00D24342">
              <w:rPr>
                <w:rFonts w:eastAsia="Times New Roman" w:cs="Times New Roman"/>
                <w:color w:val="auto"/>
                <w:sz w:val="22"/>
                <w:szCs w:val="22"/>
                <w:bdr w:val="none" w:sz="0" w:space="0" w:color="auto"/>
                <w:lang w:val="en-GB" w:eastAsia="en-US"/>
              </w:rPr>
              <w:t xml:space="preserve"> (%)</w:t>
            </w:r>
          </w:p>
        </w:tc>
        <w:tc>
          <w:tcPr>
            <w:tcW w:w="520" w:type="pct"/>
            <w:tcBorders>
              <w:top w:val="nil"/>
              <w:left w:val="nil"/>
              <w:bottom w:val="double" w:sz="6" w:space="0" w:color="auto"/>
              <w:right w:val="nil"/>
            </w:tcBorders>
            <w:shd w:val="clear" w:color="auto" w:fill="auto"/>
            <w:vAlign w:val="bottom"/>
            <w:hideMark/>
          </w:tcPr>
          <w:p w14:paraId="3F60C727" w14:textId="2CED02BE"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Sexual intercourse (%)</w:t>
            </w:r>
          </w:p>
        </w:tc>
        <w:tc>
          <w:tcPr>
            <w:tcW w:w="521" w:type="pct"/>
            <w:tcBorders>
              <w:top w:val="nil"/>
              <w:left w:val="nil"/>
              <w:bottom w:val="double" w:sz="6" w:space="0" w:color="auto"/>
              <w:right w:val="nil"/>
            </w:tcBorders>
            <w:shd w:val="clear" w:color="auto" w:fill="auto"/>
            <w:vAlign w:val="bottom"/>
            <w:hideMark/>
          </w:tcPr>
          <w:p w14:paraId="6BCE07CC"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Condom</w:t>
            </w:r>
          </w:p>
          <w:p w14:paraId="7EC50638" w14:textId="59BC6E2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non-use</w:t>
            </w:r>
            <w:r w:rsidRPr="00D24342">
              <w:rPr>
                <w:rFonts w:eastAsia="Times New Roman" w:cs="Times New Roman"/>
                <w:color w:val="auto"/>
                <w:sz w:val="22"/>
                <w:szCs w:val="22"/>
                <w:bdr w:val="none" w:sz="0" w:space="0" w:color="auto"/>
                <w:vertAlign w:val="superscript"/>
                <w:lang w:val="en-GB" w:eastAsia="en-US"/>
              </w:rPr>
              <w:t xml:space="preserve">d </w:t>
            </w:r>
            <w:r w:rsidRPr="00D24342">
              <w:rPr>
                <w:rFonts w:eastAsia="Times New Roman" w:cs="Times New Roman"/>
                <w:color w:val="auto"/>
                <w:sz w:val="22"/>
                <w:szCs w:val="22"/>
                <w:bdr w:val="none" w:sz="0" w:space="0" w:color="auto"/>
                <w:lang w:val="en-GB" w:eastAsia="en-US"/>
              </w:rPr>
              <w:t>(%)</w:t>
            </w:r>
          </w:p>
        </w:tc>
        <w:tc>
          <w:tcPr>
            <w:tcW w:w="521" w:type="pct"/>
            <w:tcBorders>
              <w:top w:val="nil"/>
              <w:left w:val="nil"/>
              <w:bottom w:val="double" w:sz="6" w:space="0" w:color="auto"/>
              <w:right w:val="nil"/>
            </w:tcBorders>
            <w:shd w:val="clear" w:color="auto" w:fill="auto"/>
            <w:vAlign w:val="bottom"/>
            <w:hideMark/>
          </w:tcPr>
          <w:p w14:paraId="678C977D" w14:textId="601AD078"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 xml:space="preserve">Multiple sex </w:t>
            </w:r>
            <w:proofErr w:type="spellStart"/>
            <w:r w:rsidRPr="00D24342">
              <w:rPr>
                <w:rFonts w:eastAsia="Times New Roman" w:cs="Times New Roman"/>
                <w:color w:val="auto"/>
                <w:sz w:val="22"/>
                <w:szCs w:val="22"/>
                <w:bdr w:val="none" w:sz="0" w:space="0" w:color="auto"/>
                <w:lang w:val="en-GB" w:eastAsia="en-US"/>
              </w:rPr>
              <w:t>partners</w:t>
            </w:r>
            <w:r w:rsidRPr="00D24342">
              <w:rPr>
                <w:rFonts w:eastAsia="Times New Roman" w:cs="Times New Roman"/>
                <w:color w:val="auto"/>
                <w:sz w:val="22"/>
                <w:szCs w:val="22"/>
                <w:bdr w:val="none" w:sz="0" w:space="0" w:color="auto"/>
                <w:vertAlign w:val="superscript"/>
                <w:lang w:val="en-GB" w:eastAsia="en-US"/>
              </w:rPr>
              <w:t>d</w:t>
            </w:r>
            <w:proofErr w:type="spellEnd"/>
            <w:r w:rsidRPr="00D24342">
              <w:rPr>
                <w:rFonts w:eastAsia="Times New Roman" w:cs="Times New Roman"/>
                <w:color w:val="auto"/>
                <w:sz w:val="22"/>
                <w:szCs w:val="22"/>
                <w:bdr w:val="none" w:sz="0" w:space="0" w:color="auto"/>
                <w:vertAlign w:val="superscript"/>
                <w:lang w:val="en-GB" w:eastAsia="en-US"/>
              </w:rPr>
              <w:t xml:space="preserve"> </w:t>
            </w:r>
            <w:r w:rsidRPr="00D24342">
              <w:rPr>
                <w:rFonts w:eastAsia="Times New Roman" w:cs="Times New Roman"/>
                <w:color w:val="auto"/>
                <w:sz w:val="22"/>
                <w:szCs w:val="22"/>
                <w:bdr w:val="none" w:sz="0" w:space="0" w:color="auto"/>
                <w:lang w:val="en-GB" w:eastAsia="en-US"/>
              </w:rPr>
              <w:t>(%)</w:t>
            </w:r>
          </w:p>
        </w:tc>
      </w:tr>
      <w:tr w:rsidR="00D24342" w:rsidRPr="00D24342" w14:paraId="2D3E2275" w14:textId="77777777" w:rsidTr="000F0997">
        <w:trPr>
          <w:trHeight w:val="320"/>
        </w:trPr>
        <w:tc>
          <w:tcPr>
            <w:tcW w:w="1146" w:type="pct"/>
            <w:tcBorders>
              <w:top w:val="nil"/>
              <w:left w:val="nil"/>
              <w:bottom w:val="nil"/>
              <w:right w:val="nil"/>
            </w:tcBorders>
            <w:shd w:val="clear" w:color="auto" w:fill="auto"/>
            <w:noWrap/>
            <w:vAlign w:val="center"/>
            <w:hideMark/>
          </w:tcPr>
          <w:p w14:paraId="6C032573" w14:textId="5A0E0FD3"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Antigua &amp; Barbuda</w:t>
            </w:r>
          </w:p>
        </w:tc>
        <w:tc>
          <w:tcPr>
            <w:tcW w:w="345" w:type="pct"/>
            <w:tcBorders>
              <w:top w:val="nil"/>
              <w:left w:val="nil"/>
              <w:bottom w:val="nil"/>
              <w:right w:val="nil"/>
            </w:tcBorders>
            <w:shd w:val="clear" w:color="auto" w:fill="auto"/>
            <w:noWrap/>
            <w:vAlign w:val="center"/>
            <w:hideMark/>
          </w:tcPr>
          <w:p w14:paraId="4FC08F9B"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2009</w:t>
            </w:r>
          </w:p>
        </w:tc>
        <w:tc>
          <w:tcPr>
            <w:tcW w:w="425" w:type="pct"/>
            <w:tcBorders>
              <w:top w:val="nil"/>
              <w:left w:val="nil"/>
              <w:bottom w:val="nil"/>
              <w:right w:val="nil"/>
            </w:tcBorders>
            <w:shd w:val="clear" w:color="auto" w:fill="auto"/>
            <w:noWrap/>
            <w:vAlign w:val="center"/>
            <w:hideMark/>
          </w:tcPr>
          <w:p w14:paraId="29521DA1"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67</w:t>
            </w:r>
          </w:p>
        </w:tc>
        <w:tc>
          <w:tcPr>
            <w:tcW w:w="481" w:type="pct"/>
            <w:tcBorders>
              <w:top w:val="nil"/>
              <w:left w:val="nil"/>
              <w:bottom w:val="nil"/>
              <w:right w:val="nil"/>
            </w:tcBorders>
            <w:shd w:val="clear" w:color="auto" w:fill="auto"/>
            <w:noWrap/>
            <w:vAlign w:val="center"/>
            <w:hideMark/>
          </w:tcPr>
          <w:p w14:paraId="4E4767AE"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1,235</w:t>
            </w:r>
          </w:p>
        </w:tc>
        <w:tc>
          <w:tcPr>
            <w:tcW w:w="520" w:type="pct"/>
            <w:tcBorders>
              <w:top w:val="nil"/>
              <w:left w:val="nil"/>
              <w:bottom w:val="nil"/>
              <w:right w:val="nil"/>
            </w:tcBorders>
            <w:shd w:val="clear" w:color="auto" w:fill="auto"/>
            <w:noWrap/>
            <w:vAlign w:val="center"/>
            <w:hideMark/>
          </w:tcPr>
          <w:p w14:paraId="24614EE9"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39.9</w:t>
            </w:r>
          </w:p>
        </w:tc>
        <w:tc>
          <w:tcPr>
            <w:tcW w:w="521" w:type="pct"/>
            <w:tcBorders>
              <w:top w:val="nil"/>
              <w:left w:val="nil"/>
              <w:bottom w:val="nil"/>
              <w:right w:val="nil"/>
            </w:tcBorders>
            <w:shd w:val="clear" w:color="auto" w:fill="auto"/>
            <w:noWrap/>
            <w:vAlign w:val="center"/>
            <w:hideMark/>
          </w:tcPr>
          <w:p w14:paraId="441D0C2C"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47.8</w:t>
            </w:r>
          </w:p>
        </w:tc>
        <w:tc>
          <w:tcPr>
            <w:tcW w:w="520" w:type="pct"/>
            <w:tcBorders>
              <w:top w:val="nil"/>
              <w:left w:val="nil"/>
              <w:bottom w:val="nil"/>
              <w:right w:val="nil"/>
            </w:tcBorders>
            <w:shd w:val="clear" w:color="auto" w:fill="auto"/>
            <w:noWrap/>
            <w:vAlign w:val="center"/>
            <w:hideMark/>
          </w:tcPr>
          <w:p w14:paraId="2968D16C"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36.4</w:t>
            </w:r>
          </w:p>
        </w:tc>
        <w:tc>
          <w:tcPr>
            <w:tcW w:w="521" w:type="pct"/>
            <w:tcBorders>
              <w:top w:val="nil"/>
              <w:left w:val="nil"/>
              <w:bottom w:val="nil"/>
              <w:right w:val="nil"/>
            </w:tcBorders>
            <w:shd w:val="clear" w:color="auto" w:fill="auto"/>
            <w:noWrap/>
            <w:vAlign w:val="center"/>
            <w:hideMark/>
          </w:tcPr>
          <w:p w14:paraId="3536E31E"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31.6</w:t>
            </w:r>
          </w:p>
        </w:tc>
        <w:tc>
          <w:tcPr>
            <w:tcW w:w="521" w:type="pct"/>
            <w:tcBorders>
              <w:top w:val="nil"/>
              <w:left w:val="nil"/>
              <w:bottom w:val="nil"/>
              <w:right w:val="nil"/>
            </w:tcBorders>
            <w:shd w:val="clear" w:color="auto" w:fill="auto"/>
            <w:noWrap/>
            <w:vAlign w:val="center"/>
            <w:hideMark/>
          </w:tcPr>
          <w:p w14:paraId="15B3C94C"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68.3</w:t>
            </w:r>
          </w:p>
        </w:tc>
      </w:tr>
      <w:tr w:rsidR="00D24342" w:rsidRPr="00D24342" w14:paraId="4AE23F62" w14:textId="77777777" w:rsidTr="000F0997">
        <w:trPr>
          <w:trHeight w:val="300"/>
        </w:trPr>
        <w:tc>
          <w:tcPr>
            <w:tcW w:w="1146" w:type="pct"/>
            <w:tcBorders>
              <w:top w:val="nil"/>
              <w:left w:val="nil"/>
              <w:bottom w:val="nil"/>
              <w:right w:val="nil"/>
            </w:tcBorders>
            <w:shd w:val="clear" w:color="auto" w:fill="auto"/>
            <w:noWrap/>
            <w:vAlign w:val="center"/>
            <w:hideMark/>
          </w:tcPr>
          <w:p w14:paraId="43BC9EAC"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Argentina</w:t>
            </w:r>
          </w:p>
        </w:tc>
        <w:tc>
          <w:tcPr>
            <w:tcW w:w="345" w:type="pct"/>
            <w:tcBorders>
              <w:top w:val="nil"/>
              <w:left w:val="nil"/>
              <w:bottom w:val="nil"/>
              <w:right w:val="nil"/>
            </w:tcBorders>
            <w:shd w:val="clear" w:color="auto" w:fill="auto"/>
            <w:noWrap/>
            <w:vAlign w:val="center"/>
            <w:hideMark/>
          </w:tcPr>
          <w:p w14:paraId="362000DB"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2012</w:t>
            </w:r>
          </w:p>
        </w:tc>
        <w:tc>
          <w:tcPr>
            <w:tcW w:w="425" w:type="pct"/>
            <w:tcBorders>
              <w:top w:val="nil"/>
              <w:left w:val="nil"/>
              <w:bottom w:val="nil"/>
              <w:right w:val="nil"/>
            </w:tcBorders>
            <w:shd w:val="clear" w:color="auto" w:fill="auto"/>
            <w:noWrap/>
            <w:vAlign w:val="center"/>
            <w:hideMark/>
          </w:tcPr>
          <w:p w14:paraId="04CD9945"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71</w:t>
            </w:r>
          </w:p>
        </w:tc>
        <w:tc>
          <w:tcPr>
            <w:tcW w:w="481" w:type="pct"/>
            <w:tcBorders>
              <w:top w:val="nil"/>
              <w:left w:val="nil"/>
              <w:bottom w:val="nil"/>
              <w:right w:val="nil"/>
            </w:tcBorders>
            <w:shd w:val="clear" w:color="auto" w:fill="auto"/>
            <w:noWrap/>
            <w:vAlign w:val="center"/>
            <w:hideMark/>
          </w:tcPr>
          <w:p w14:paraId="5E7D9906"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21,528</w:t>
            </w:r>
          </w:p>
        </w:tc>
        <w:tc>
          <w:tcPr>
            <w:tcW w:w="520" w:type="pct"/>
            <w:tcBorders>
              <w:top w:val="nil"/>
              <w:left w:val="nil"/>
              <w:bottom w:val="nil"/>
              <w:right w:val="nil"/>
            </w:tcBorders>
            <w:shd w:val="clear" w:color="auto" w:fill="auto"/>
            <w:noWrap/>
            <w:vAlign w:val="center"/>
            <w:hideMark/>
          </w:tcPr>
          <w:p w14:paraId="1364546C"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24.9</w:t>
            </w:r>
          </w:p>
        </w:tc>
        <w:tc>
          <w:tcPr>
            <w:tcW w:w="521" w:type="pct"/>
            <w:tcBorders>
              <w:top w:val="nil"/>
              <w:left w:val="nil"/>
              <w:bottom w:val="nil"/>
              <w:right w:val="nil"/>
            </w:tcBorders>
            <w:shd w:val="clear" w:color="auto" w:fill="auto"/>
            <w:noWrap/>
            <w:vAlign w:val="center"/>
            <w:hideMark/>
          </w:tcPr>
          <w:p w14:paraId="0B077387"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34.0</w:t>
            </w:r>
          </w:p>
        </w:tc>
        <w:tc>
          <w:tcPr>
            <w:tcW w:w="520" w:type="pct"/>
            <w:tcBorders>
              <w:top w:val="nil"/>
              <w:left w:val="nil"/>
              <w:bottom w:val="nil"/>
              <w:right w:val="nil"/>
            </w:tcBorders>
            <w:shd w:val="clear" w:color="auto" w:fill="auto"/>
            <w:noWrap/>
            <w:vAlign w:val="center"/>
            <w:hideMark/>
          </w:tcPr>
          <w:p w14:paraId="37E7AFAD"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35.5</w:t>
            </w:r>
          </w:p>
        </w:tc>
        <w:tc>
          <w:tcPr>
            <w:tcW w:w="521" w:type="pct"/>
            <w:tcBorders>
              <w:top w:val="nil"/>
              <w:left w:val="nil"/>
              <w:bottom w:val="nil"/>
              <w:right w:val="nil"/>
            </w:tcBorders>
            <w:shd w:val="clear" w:color="auto" w:fill="auto"/>
            <w:noWrap/>
            <w:vAlign w:val="center"/>
            <w:hideMark/>
          </w:tcPr>
          <w:p w14:paraId="4E4B4B13"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23.6</w:t>
            </w:r>
          </w:p>
        </w:tc>
        <w:tc>
          <w:tcPr>
            <w:tcW w:w="521" w:type="pct"/>
            <w:tcBorders>
              <w:top w:val="nil"/>
              <w:left w:val="nil"/>
              <w:bottom w:val="nil"/>
              <w:right w:val="nil"/>
            </w:tcBorders>
            <w:shd w:val="clear" w:color="auto" w:fill="auto"/>
            <w:noWrap/>
            <w:vAlign w:val="center"/>
            <w:hideMark/>
          </w:tcPr>
          <w:p w14:paraId="398BFFD4"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55.5</w:t>
            </w:r>
          </w:p>
        </w:tc>
      </w:tr>
      <w:tr w:rsidR="00D24342" w:rsidRPr="00D24342" w14:paraId="715CB575" w14:textId="77777777" w:rsidTr="000F0997">
        <w:trPr>
          <w:trHeight w:val="300"/>
        </w:trPr>
        <w:tc>
          <w:tcPr>
            <w:tcW w:w="1146" w:type="pct"/>
            <w:tcBorders>
              <w:top w:val="nil"/>
              <w:left w:val="nil"/>
              <w:bottom w:val="nil"/>
              <w:right w:val="nil"/>
            </w:tcBorders>
            <w:shd w:val="clear" w:color="auto" w:fill="auto"/>
            <w:noWrap/>
            <w:vAlign w:val="center"/>
            <w:hideMark/>
          </w:tcPr>
          <w:p w14:paraId="64A6647F"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Bangladesh</w:t>
            </w:r>
          </w:p>
        </w:tc>
        <w:tc>
          <w:tcPr>
            <w:tcW w:w="345" w:type="pct"/>
            <w:tcBorders>
              <w:top w:val="nil"/>
              <w:left w:val="nil"/>
              <w:bottom w:val="nil"/>
              <w:right w:val="nil"/>
            </w:tcBorders>
            <w:shd w:val="clear" w:color="auto" w:fill="auto"/>
            <w:noWrap/>
            <w:vAlign w:val="center"/>
            <w:hideMark/>
          </w:tcPr>
          <w:p w14:paraId="5E6A4A6E"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2014</w:t>
            </w:r>
          </w:p>
        </w:tc>
        <w:tc>
          <w:tcPr>
            <w:tcW w:w="425" w:type="pct"/>
            <w:tcBorders>
              <w:top w:val="nil"/>
              <w:left w:val="nil"/>
              <w:bottom w:val="nil"/>
              <w:right w:val="nil"/>
            </w:tcBorders>
            <w:shd w:val="clear" w:color="auto" w:fill="auto"/>
            <w:noWrap/>
            <w:vAlign w:val="center"/>
            <w:hideMark/>
          </w:tcPr>
          <w:p w14:paraId="2EB64630"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91</w:t>
            </w:r>
          </w:p>
        </w:tc>
        <w:tc>
          <w:tcPr>
            <w:tcW w:w="481" w:type="pct"/>
            <w:tcBorders>
              <w:top w:val="nil"/>
              <w:left w:val="nil"/>
              <w:bottom w:val="nil"/>
              <w:right w:val="nil"/>
            </w:tcBorders>
            <w:shd w:val="clear" w:color="auto" w:fill="auto"/>
            <w:noWrap/>
            <w:vAlign w:val="center"/>
            <w:hideMark/>
          </w:tcPr>
          <w:p w14:paraId="21AF6C51"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2,753</w:t>
            </w:r>
          </w:p>
        </w:tc>
        <w:tc>
          <w:tcPr>
            <w:tcW w:w="520" w:type="pct"/>
            <w:tcBorders>
              <w:top w:val="nil"/>
              <w:left w:val="nil"/>
              <w:bottom w:val="nil"/>
              <w:right w:val="nil"/>
            </w:tcBorders>
            <w:shd w:val="clear" w:color="auto" w:fill="auto"/>
            <w:noWrap/>
            <w:vAlign w:val="center"/>
            <w:hideMark/>
          </w:tcPr>
          <w:p w14:paraId="61DB20D6"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62.5</w:t>
            </w:r>
          </w:p>
        </w:tc>
        <w:tc>
          <w:tcPr>
            <w:tcW w:w="521" w:type="pct"/>
            <w:tcBorders>
              <w:top w:val="nil"/>
              <w:left w:val="nil"/>
              <w:bottom w:val="nil"/>
              <w:right w:val="nil"/>
            </w:tcBorders>
            <w:shd w:val="clear" w:color="auto" w:fill="auto"/>
            <w:noWrap/>
            <w:vAlign w:val="center"/>
            <w:hideMark/>
          </w:tcPr>
          <w:p w14:paraId="2E87A189"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21.2</w:t>
            </w:r>
          </w:p>
        </w:tc>
        <w:tc>
          <w:tcPr>
            <w:tcW w:w="520" w:type="pct"/>
            <w:tcBorders>
              <w:top w:val="nil"/>
              <w:left w:val="nil"/>
              <w:bottom w:val="nil"/>
              <w:right w:val="nil"/>
            </w:tcBorders>
            <w:shd w:val="clear" w:color="auto" w:fill="auto"/>
            <w:noWrap/>
            <w:vAlign w:val="center"/>
            <w:hideMark/>
          </w:tcPr>
          <w:p w14:paraId="244CDEE9"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9.8</w:t>
            </w:r>
          </w:p>
        </w:tc>
        <w:tc>
          <w:tcPr>
            <w:tcW w:w="521" w:type="pct"/>
            <w:tcBorders>
              <w:top w:val="nil"/>
              <w:left w:val="nil"/>
              <w:bottom w:val="nil"/>
              <w:right w:val="nil"/>
            </w:tcBorders>
            <w:shd w:val="clear" w:color="auto" w:fill="auto"/>
            <w:noWrap/>
            <w:vAlign w:val="center"/>
            <w:hideMark/>
          </w:tcPr>
          <w:p w14:paraId="341057D4"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42.2</w:t>
            </w:r>
          </w:p>
        </w:tc>
        <w:tc>
          <w:tcPr>
            <w:tcW w:w="521" w:type="pct"/>
            <w:tcBorders>
              <w:top w:val="nil"/>
              <w:left w:val="nil"/>
              <w:bottom w:val="nil"/>
              <w:right w:val="nil"/>
            </w:tcBorders>
            <w:shd w:val="clear" w:color="auto" w:fill="auto"/>
            <w:noWrap/>
            <w:vAlign w:val="center"/>
            <w:hideMark/>
          </w:tcPr>
          <w:p w14:paraId="720628EB"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NA</w:t>
            </w:r>
          </w:p>
        </w:tc>
      </w:tr>
      <w:tr w:rsidR="00D24342" w:rsidRPr="00D24342" w14:paraId="29828C26" w14:textId="77777777" w:rsidTr="000F0997">
        <w:trPr>
          <w:trHeight w:val="300"/>
        </w:trPr>
        <w:tc>
          <w:tcPr>
            <w:tcW w:w="1146" w:type="pct"/>
            <w:tcBorders>
              <w:top w:val="nil"/>
              <w:left w:val="nil"/>
              <w:bottom w:val="nil"/>
              <w:right w:val="nil"/>
            </w:tcBorders>
            <w:shd w:val="clear" w:color="auto" w:fill="auto"/>
            <w:noWrap/>
            <w:vAlign w:val="center"/>
            <w:hideMark/>
          </w:tcPr>
          <w:p w14:paraId="0CAA2D89"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Belize</w:t>
            </w:r>
          </w:p>
        </w:tc>
        <w:tc>
          <w:tcPr>
            <w:tcW w:w="345" w:type="pct"/>
            <w:tcBorders>
              <w:top w:val="nil"/>
              <w:left w:val="nil"/>
              <w:bottom w:val="nil"/>
              <w:right w:val="nil"/>
            </w:tcBorders>
            <w:shd w:val="clear" w:color="auto" w:fill="auto"/>
            <w:noWrap/>
            <w:vAlign w:val="center"/>
            <w:hideMark/>
          </w:tcPr>
          <w:p w14:paraId="77A1A720"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2011</w:t>
            </w:r>
          </w:p>
        </w:tc>
        <w:tc>
          <w:tcPr>
            <w:tcW w:w="425" w:type="pct"/>
            <w:tcBorders>
              <w:top w:val="nil"/>
              <w:left w:val="nil"/>
              <w:bottom w:val="nil"/>
              <w:right w:val="nil"/>
            </w:tcBorders>
            <w:shd w:val="clear" w:color="auto" w:fill="auto"/>
            <w:noWrap/>
            <w:vAlign w:val="center"/>
            <w:hideMark/>
          </w:tcPr>
          <w:p w14:paraId="0F9565F9"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88</w:t>
            </w:r>
          </w:p>
        </w:tc>
        <w:tc>
          <w:tcPr>
            <w:tcW w:w="481" w:type="pct"/>
            <w:tcBorders>
              <w:top w:val="nil"/>
              <w:left w:val="nil"/>
              <w:bottom w:val="nil"/>
              <w:right w:val="nil"/>
            </w:tcBorders>
            <w:shd w:val="clear" w:color="auto" w:fill="auto"/>
            <w:noWrap/>
            <w:vAlign w:val="center"/>
            <w:hideMark/>
          </w:tcPr>
          <w:p w14:paraId="7175B1EF"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1,600</w:t>
            </w:r>
          </w:p>
        </w:tc>
        <w:tc>
          <w:tcPr>
            <w:tcW w:w="520" w:type="pct"/>
            <w:tcBorders>
              <w:top w:val="nil"/>
              <w:left w:val="nil"/>
              <w:bottom w:val="nil"/>
              <w:right w:val="nil"/>
            </w:tcBorders>
            <w:shd w:val="clear" w:color="auto" w:fill="auto"/>
            <w:noWrap/>
            <w:vAlign w:val="center"/>
            <w:hideMark/>
          </w:tcPr>
          <w:p w14:paraId="4B380BAB"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28.0</w:t>
            </w:r>
          </w:p>
        </w:tc>
        <w:tc>
          <w:tcPr>
            <w:tcW w:w="521" w:type="pct"/>
            <w:tcBorders>
              <w:top w:val="nil"/>
              <w:left w:val="nil"/>
              <w:bottom w:val="nil"/>
              <w:right w:val="nil"/>
            </w:tcBorders>
            <w:shd w:val="clear" w:color="auto" w:fill="auto"/>
            <w:noWrap/>
            <w:vAlign w:val="center"/>
            <w:hideMark/>
          </w:tcPr>
          <w:p w14:paraId="4024840D"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34.8</w:t>
            </w:r>
          </w:p>
        </w:tc>
        <w:tc>
          <w:tcPr>
            <w:tcW w:w="520" w:type="pct"/>
            <w:tcBorders>
              <w:top w:val="nil"/>
              <w:left w:val="nil"/>
              <w:bottom w:val="nil"/>
              <w:right w:val="nil"/>
            </w:tcBorders>
            <w:shd w:val="clear" w:color="auto" w:fill="auto"/>
            <w:noWrap/>
            <w:vAlign w:val="center"/>
            <w:hideMark/>
          </w:tcPr>
          <w:p w14:paraId="53EAB3E6"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21.0</w:t>
            </w:r>
          </w:p>
        </w:tc>
        <w:tc>
          <w:tcPr>
            <w:tcW w:w="521" w:type="pct"/>
            <w:tcBorders>
              <w:top w:val="nil"/>
              <w:left w:val="nil"/>
              <w:bottom w:val="nil"/>
              <w:right w:val="nil"/>
            </w:tcBorders>
            <w:shd w:val="clear" w:color="auto" w:fill="auto"/>
            <w:noWrap/>
            <w:vAlign w:val="center"/>
            <w:hideMark/>
          </w:tcPr>
          <w:p w14:paraId="6E045BD7"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33.6</w:t>
            </w:r>
          </w:p>
        </w:tc>
        <w:tc>
          <w:tcPr>
            <w:tcW w:w="521" w:type="pct"/>
            <w:tcBorders>
              <w:top w:val="nil"/>
              <w:left w:val="nil"/>
              <w:bottom w:val="nil"/>
              <w:right w:val="nil"/>
            </w:tcBorders>
            <w:shd w:val="clear" w:color="auto" w:fill="auto"/>
            <w:noWrap/>
            <w:vAlign w:val="center"/>
            <w:hideMark/>
          </w:tcPr>
          <w:p w14:paraId="3844266A"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64.2</w:t>
            </w:r>
          </w:p>
        </w:tc>
      </w:tr>
      <w:tr w:rsidR="00D24342" w:rsidRPr="00D24342" w14:paraId="4A6A96BA" w14:textId="77777777" w:rsidTr="000F0997">
        <w:trPr>
          <w:trHeight w:val="300"/>
        </w:trPr>
        <w:tc>
          <w:tcPr>
            <w:tcW w:w="1146" w:type="pct"/>
            <w:tcBorders>
              <w:top w:val="nil"/>
              <w:left w:val="nil"/>
              <w:bottom w:val="nil"/>
              <w:right w:val="nil"/>
            </w:tcBorders>
            <w:shd w:val="clear" w:color="auto" w:fill="auto"/>
            <w:noWrap/>
            <w:vAlign w:val="center"/>
            <w:hideMark/>
          </w:tcPr>
          <w:p w14:paraId="104746E7"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Benin</w:t>
            </w:r>
          </w:p>
        </w:tc>
        <w:tc>
          <w:tcPr>
            <w:tcW w:w="345" w:type="pct"/>
            <w:tcBorders>
              <w:top w:val="nil"/>
              <w:left w:val="nil"/>
              <w:bottom w:val="nil"/>
              <w:right w:val="nil"/>
            </w:tcBorders>
            <w:shd w:val="clear" w:color="auto" w:fill="auto"/>
            <w:noWrap/>
            <w:vAlign w:val="center"/>
            <w:hideMark/>
          </w:tcPr>
          <w:p w14:paraId="1977CF22"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2016</w:t>
            </w:r>
          </w:p>
        </w:tc>
        <w:tc>
          <w:tcPr>
            <w:tcW w:w="425" w:type="pct"/>
            <w:tcBorders>
              <w:top w:val="nil"/>
              <w:left w:val="nil"/>
              <w:bottom w:val="nil"/>
              <w:right w:val="nil"/>
            </w:tcBorders>
            <w:shd w:val="clear" w:color="auto" w:fill="auto"/>
            <w:noWrap/>
            <w:vAlign w:val="center"/>
            <w:hideMark/>
          </w:tcPr>
          <w:p w14:paraId="2451FC35"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78</w:t>
            </w:r>
          </w:p>
        </w:tc>
        <w:tc>
          <w:tcPr>
            <w:tcW w:w="481" w:type="pct"/>
            <w:tcBorders>
              <w:top w:val="nil"/>
              <w:left w:val="nil"/>
              <w:bottom w:val="nil"/>
              <w:right w:val="nil"/>
            </w:tcBorders>
            <w:shd w:val="clear" w:color="auto" w:fill="auto"/>
            <w:noWrap/>
            <w:vAlign w:val="center"/>
            <w:hideMark/>
          </w:tcPr>
          <w:p w14:paraId="78454136"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717</w:t>
            </w:r>
          </w:p>
        </w:tc>
        <w:tc>
          <w:tcPr>
            <w:tcW w:w="520" w:type="pct"/>
            <w:tcBorders>
              <w:top w:val="nil"/>
              <w:left w:val="nil"/>
              <w:bottom w:val="nil"/>
              <w:right w:val="nil"/>
            </w:tcBorders>
            <w:shd w:val="clear" w:color="auto" w:fill="auto"/>
            <w:noWrap/>
            <w:vAlign w:val="center"/>
            <w:hideMark/>
          </w:tcPr>
          <w:p w14:paraId="13E3AB28"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25.5</w:t>
            </w:r>
          </w:p>
        </w:tc>
        <w:tc>
          <w:tcPr>
            <w:tcW w:w="521" w:type="pct"/>
            <w:tcBorders>
              <w:top w:val="nil"/>
              <w:left w:val="nil"/>
              <w:bottom w:val="nil"/>
              <w:right w:val="nil"/>
            </w:tcBorders>
            <w:shd w:val="clear" w:color="auto" w:fill="auto"/>
            <w:noWrap/>
            <w:vAlign w:val="center"/>
            <w:hideMark/>
          </w:tcPr>
          <w:p w14:paraId="2029DECC"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30.6</w:t>
            </w:r>
          </w:p>
        </w:tc>
        <w:tc>
          <w:tcPr>
            <w:tcW w:w="520" w:type="pct"/>
            <w:tcBorders>
              <w:top w:val="nil"/>
              <w:left w:val="nil"/>
              <w:bottom w:val="nil"/>
              <w:right w:val="nil"/>
            </w:tcBorders>
            <w:shd w:val="clear" w:color="auto" w:fill="auto"/>
            <w:noWrap/>
            <w:vAlign w:val="center"/>
            <w:hideMark/>
          </w:tcPr>
          <w:p w14:paraId="0154F39B"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25.4</w:t>
            </w:r>
          </w:p>
        </w:tc>
        <w:tc>
          <w:tcPr>
            <w:tcW w:w="521" w:type="pct"/>
            <w:tcBorders>
              <w:top w:val="nil"/>
              <w:left w:val="nil"/>
              <w:bottom w:val="nil"/>
              <w:right w:val="nil"/>
            </w:tcBorders>
            <w:shd w:val="clear" w:color="auto" w:fill="auto"/>
            <w:noWrap/>
            <w:vAlign w:val="center"/>
            <w:hideMark/>
          </w:tcPr>
          <w:p w14:paraId="33123D54"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66.6</w:t>
            </w:r>
          </w:p>
        </w:tc>
        <w:tc>
          <w:tcPr>
            <w:tcW w:w="521" w:type="pct"/>
            <w:tcBorders>
              <w:top w:val="nil"/>
              <w:left w:val="nil"/>
              <w:bottom w:val="nil"/>
              <w:right w:val="nil"/>
            </w:tcBorders>
            <w:shd w:val="clear" w:color="auto" w:fill="auto"/>
            <w:noWrap/>
            <w:vAlign w:val="center"/>
            <w:hideMark/>
          </w:tcPr>
          <w:p w14:paraId="5DC785F3"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61.4</w:t>
            </w:r>
          </w:p>
        </w:tc>
      </w:tr>
      <w:tr w:rsidR="00D24342" w:rsidRPr="00D24342" w14:paraId="71837AEE" w14:textId="77777777" w:rsidTr="000F0997">
        <w:trPr>
          <w:trHeight w:val="300"/>
        </w:trPr>
        <w:tc>
          <w:tcPr>
            <w:tcW w:w="1146" w:type="pct"/>
            <w:tcBorders>
              <w:top w:val="nil"/>
              <w:left w:val="nil"/>
              <w:bottom w:val="nil"/>
              <w:right w:val="nil"/>
            </w:tcBorders>
            <w:shd w:val="clear" w:color="auto" w:fill="auto"/>
            <w:noWrap/>
            <w:vAlign w:val="center"/>
            <w:hideMark/>
          </w:tcPr>
          <w:p w14:paraId="76253ED3"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Bolivia</w:t>
            </w:r>
          </w:p>
        </w:tc>
        <w:tc>
          <w:tcPr>
            <w:tcW w:w="345" w:type="pct"/>
            <w:tcBorders>
              <w:top w:val="nil"/>
              <w:left w:val="nil"/>
              <w:bottom w:val="nil"/>
              <w:right w:val="nil"/>
            </w:tcBorders>
            <w:shd w:val="clear" w:color="auto" w:fill="auto"/>
            <w:noWrap/>
            <w:vAlign w:val="center"/>
            <w:hideMark/>
          </w:tcPr>
          <w:p w14:paraId="0DE81C04"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2012</w:t>
            </w:r>
          </w:p>
        </w:tc>
        <w:tc>
          <w:tcPr>
            <w:tcW w:w="425" w:type="pct"/>
            <w:tcBorders>
              <w:top w:val="nil"/>
              <w:left w:val="nil"/>
              <w:bottom w:val="nil"/>
              <w:right w:val="nil"/>
            </w:tcBorders>
            <w:shd w:val="clear" w:color="auto" w:fill="auto"/>
            <w:noWrap/>
            <w:vAlign w:val="center"/>
            <w:hideMark/>
          </w:tcPr>
          <w:p w14:paraId="1C878691"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88</w:t>
            </w:r>
          </w:p>
        </w:tc>
        <w:tc>
          <w:tcPr>
            <w:tcW w:w="481" w:type="pct"/>
            <w:tcBorders>
              <w:top w:val="nil"/>
              <w:left w:val="nil"/>
              <w:bottom w:val="nil"/>
              <w:right w:val="nil"/>
            </w:tcBorders>
            <w:shd w:val="clear" w:color="auto" w:fill="auto"/>
            <w:noWrap/>
            <w:vAlign w:val="center"/>
            <w:hideMark/>
          </w:tcPr>
          <w:p w14:paraId="16423C99"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2,804</w:t>
            </w:r>
          </w:p>
        </w:tc>
        <w:tc>
          <w:tcPr>
            <w:tcW w:w="520" w:type="pct"/>
            <w:tcBorders>
              <w:top w:val="nil"/>
              <w:left w:val="nil"/>
              <w:bottom w:val="nil"/>
              <w:right w:val="nil"/>
            </w:tcBorders>
            <w:shd w:val="clear" w:color="auto" w:fill="auto"/>
            <w:noWrap/>
            <w:vAlign w:val="center"/>
            <w:hideMark/>
          </w:tcPr>
          <w:p w14:paraId="061B7DD8"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34.8</w:t>
            </w:r>
          </w:p>
        </w:tc>
        <w:tc>
          <w:tcPr>
            <w:tcW w:w="521" w:type="pct"/>
            <w:tcBorders>
              <w:top w:val="nil"/>
              <w:left w:val="nil"/>
              <w:bottom w:val="nil"/>
              <w:right w:val="nil"/>
            </w:tcBorders>
            <w:shd w:val="clear" w:color="auto" w:fill="auto"/>
            <w:noWrap/>
            <w:vAlign w:val="center"/>
            <w:hideMark/>
          </w:tcPr>
          <w:p w14:paraId="67B78D26"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33.0</w:t>
            </w:r>
          </w:p>
        </w:tc>
        <w:tc>
          <w:tcPr>
            <w:tcW w:w="520" w:type="pct"/>
            <w:tcBorders>
              <w:top w:val="nil"/>
              <w:left w:val="nil"/>
              <w:bottom w:val="nil"/>
              <w:right w:val="nil"/>
            </w:tcBorders>
            <w:shd w:val="clear" w:color="auto" w:fill="auto"/>
            <w:noWrap/>
            <w:vAlign w:val="center"/>
            <w:hideMark/>
          </w:tcPr>
          <w:p w14:paraId="07AEE82A"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20.1</w:t>
            </w:r>
          </w:p>
        </w:tc>
        <w:tc>
          <w:tcPr>
            <w:tcW w:w="521" w:type="pct"/>
            <w:tcBorders>
              <w:top w:val="nil"/>
              <w:left w:val="nil"/>
              <w:bottom w:val="nil"/>
              <w:right w:val="nil"/>
            </w:tcBorders>
            <w:shd w:val="clear" w:color="auto" w:fill="auto"/>
            <w:noWrap/>
            <w:vAlign w:val="center"/>
            <w:hideMark/>
          </w:tcPr>
          <w:p w14:paraId="5C0D4250"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36.6</w:t>
            </w:r>
          </w:p>
        </w:tc>
        <w:tc>
          <w:tcPr>
            <w:tcW w:w="521" w:type="pct"/>
            <w:tcBorders>
              <w:top w:val="nil"/>
              <w:left w:val="nil"/>
              <w:bottom w:val="nil"/>
              <w:right w:val="nil"/>
            </w:tcBorders>
            <w:shd w:val="clear" w:color="auto" w:fill="auto"/>
            <w:noWrap/>
            <w:vAlign w:val="center"/>
            <w:hideMark/>
          </w:tcPr>
          <w:p w14:paraId="03B5D39A"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44.6</w:t>
            </w:r>
          </w:p>
        </w:tc>
      </w:tr>
      <w:tr w:rsidR="00D24342" w:rsidRPr="00D24342" w14:paraId="64BE51DD" w14:textId="77777777" w:rsidTr="000F0997">
        <w:trPr>
          <w:trHeight w:val="300"/>
        </w:trPr>
        <w:tc>
          <w:tcPr>
            <w:tcW w:w="1146" w:type="pct"/>
            <w:tcBorders>
              <w:top w:val="nil"/>
              <w:left w:val="nil"/>
              <w:bottom w:val="nil"/>
              <w:right w:val="nil"/>
            </w:tcBorders>
            <w:shd w:val="clear" w:color="auto" w:fill="auto"/>
            <w:noWrap/>
            <w:vAlign w:val="center"/>
            <w:hideMark/>
          </w:tcPr>
          <w:p w14:paraId="5C10014F"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Botswana</w:t>
            </w:r>
          </w:p>
        </w:tc>
        <w:tc>
          <w:tcPr>
            <w:tcW w:w="345" w:type="pct"/>
            <w:tcBorders>
              <w:top w:val="nil"/>
              <w:left w:val="nil"/>
              <w:bottom w:val="nil"/>
              <w:right w:val="nil"/>
            </w:tcBorders>
            <w:shd w:val="clear" w:color="auto" w:fill="auto"/>
            <w:noWrap/>
            <w:vAlign w:val="center"/>
            <w:hideMark/>
          </w:tcPr>
          <w:p w14:paraId="6D0F0F7C"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2005</w:t>
            </w:r>
          </w:p>
        </w:tc>
        <w:tc>
          <w:tcPr>
            <w:tcW w:w="425" w:type="pct"/>
            <w:tcBorders>
              <w:top w:val="nil"/>
              <w:left w:val="nil"/>
              <w:bottom w:val="nil"/>
              <w:right w:val="nil"/>
            </w:tcBorders>
            <w:shd w:val="clear" w:color="auto" w:fill="auto"/>
            <w:noWrap/>
            <w:vAlign w:val="center"/>
            <w:hideMark/>
          </w:tcPr>
          <w:p w14:paraId="75D1F570"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95</w:t>
            </w:r>
          </w:p>
        </w:tc>
        <w:tc>
          <w:tcPr>
            <w:tcW w:w="481" w:type="pct"/>
            <w:tcBorders>
              <w:top w:val="nil"/>
              <w:left w:val="nil"/>
              <w:bottom w:val="nil"/>
              <w:right w:val="nil"/>
            </w:tcBorders>
            <w:shd w:val="clear" w:color="auto" w:fill="auto"/>
            <w:noWrap/>
            <w:vAlign w:val="center"/>
            <w:hideMark/>
          </w:tcPr>
          <w:p w14:paraId="12C1D163"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1,397</w:t>
            </w:r>
          </w:p>
        </w:tc>
        <w:tc>
          <w:tcPr>
            <w:tcW w:w="520" w:type="pct"/>
            <w:tcBorders>
              <w:top w:val="nil"/>
              <w:left w:val="nil"/>
              <w:bottom w:val="nil"/>
              <w:right w:val="nil"/>
            </w:tcBorders>
            <w:shd w:val="clear" w:color="auto" w:fill="auto"/>
            <w:noWrap/>
            <w:vAlign w:val="center"/>
            <w:hideMark/>
          </w:tcPr>
          <w:p w14:paraId="308A74A5"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55.6</w:t>
            </w:r>
          </w:p>
        </w:tc>
        <w:tc>
          <w:tcPr>
            <w:tcW w:w="521" w:type="pct"/>
            <w:tcBorders>
              <w:top w:val="nil"/>
              <w:left w:val="nil"/>
              <w:bottom w:val="nil"/>
              <w:right w:val="nil"/>
            </w:tcBorders>
            <w:shd w:val="clear" w:color="auto" w:fill="auto"/>
            <w:noWrap/>
            <w:vAlign w:val="center"/>
            <w:hideMark/>
          </w:tcPr>
          <w:p w14:paraId="4AA9A1D3"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47.6</w:t>
            </w:r>
          </w:p>
        </w:tc>
        <w:tc>
          <w:tcPr>
            <w:tcW w:w="520" w:type="pct"/>
            <w:tcBorders>
              <w:top w:val="nil"/>
              <w:left w:val="nil"/>
              <w:bottom w:val="nil"/>
              <w:right w:val="nil"/>
            </w:tcBorders>
            <w:shd w:val="clear" w:color="auto" w:fill="auto"/>
            <w:noWrap/>
            <w:vAlign w:val="center"/>
            <w:hideMark/>
          </w:tcPr>
          <w:p w14:paraId="68B20B38"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17.2</w:t>
            </w:r>
          </w:p>
        </w:tc>
        <w:tc>
          <w:tcPr>
            <w:tcW w:w="521" w:type="pct"/>
            <w:tcBorders>
              <w:top w:val="nil"/>
              <w:left w:val="nil"/>
              <w:bottom w:val="nil"/>
              <w:right w:val="nil"/>
            </w:tcBorders>
            <w:shd w:val="clear" w:color="auto" w:fill="auto"/>
            <w:noWrap/>
            <w:vAlign w:val="center"/>
            <w:hideMark/>
          </w:tcPr>
          <w:p w14:paraId="11654EF2"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44.3</w:t>
            </w:r>
          </w:p>
        </w:tc>
        <w:tc>
          <w:tcPr>
            <w:tcW w:w="521" w:type="pct"/>
            <w:tcBorders>
              <w:top w:val="nil"/>
              <w:left w:val="nil"/>
              <w:bottom w:val="nil"/>
              <w:right w:val="nil"/>
            </w:tcBorders>
            <w:shd w:val="clear" w:color="auto" w:fill="auto"/>
            <w:noWrap/>
            <w:vAlign w:val="center"/>
            <w:hideMark/>
          </w:tcPr>
          <w:p w14:paraId="76924718"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52.9</w:t>
            </w:r>
          </w:p>
        </w:tc>
      </w:tr>
      <w:tr w:rsidR="00D24342" w:rsidRPr="00D24342" w14:paraId="663932C4" w14:textId="77777777" w:rsidTr="000F0997">
        <w:trPr>
          <w:trHeight w:val="300"/>
        </w:trPr>
        <w:tc>
          <w:tcPr>
            <w:tcW w:w="1146" w:type="pct"/>
            <w:tcBorders>
              <w:top w:val="nil"/>
              <w:left w:val="nil"/>
              <w:bottom w:val="nil"/>
              <w:right w:val="nil"/>
            </w:tcBorders>
            <w:shd w:val="clear" w:color="auto" w:fill="auto"/>
            <w:noWrap/>
            <w:vAlign w:val="center"/>
            <w:hideMark/>
          </w:tcPr>
          <w:p w14:paraId="745765B9"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Cambodia</w:t>
            </w:r>
          </w:p>
        </w:tc>
        <w:tc>
          <w:tcPr>
            <w:tcW w:w="345" w:type="pct"/>
            <w:tcBorders>
              <w:top w:val="nil"/>
              <w:left w:val="nil"/>
              <w:bottom w:val="nil"/>
              <w:right w:val="nil"/>
            </w:tcBorders>
            <w:shd w:val="clear" w:color="auto" w:fill="auto"/>
            <w:noWrap/>
            <w:vAlign w:val="center"/>
            <w:hideMark/>
          </w:tcPr>
          <w:p w14:paraId="57E64D43"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2013</w:t>
            </w:r>
          </w:p>
        </w:tc>
        <w:tc>
          <w:tcPr>
            <w:tcW w:w="425" w:type="pct"/>
            <w:tcBorders>
              <w:top w:val="nil"/>
              <w:left w:val="nil"/>
              <w:bottom w:val="nil"/>
              <w:right w:val="nil"/>
            </w:tcBorders>
            <w:shd w:val="clear" w:color="auto" w:fill="auto"/>
            <w:noWrap/>
            <w:vAlign w:val="center"/>
            <w:hideMark/>
          </w:tcPr>
          <w:p w14:paraId="392EE246"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85</w:t>
            </w:r>
          </w:p>
        </w:tc>
        <w:tc>
          <w:tcPr>
            <w:tcW w:w="481" w:type="pct"/>
            <w:tcBorders>
              <w:top w:val="nil"/>
              <w:left w:val="nil"/>
              <w:bottom w:val="nil"/>
              <w:right w:val="nil"/>
            </w:tcBorders>
            <w:shd w:val="clear" w:color="auto" w:fill="auto"/>
            <w:noWrap/>
            <w:vAlign w:val="center"/>
            <w:hideMark/>
          </w:tcPr>
          <w:p w14:paraId="56AB7696"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1,812</w:t>
            </w:r>
          </w:p>
        </w:tc>
        <w:tc>
          <w:tcPr>
            <w:tcW w:w="520" w:type="pct"/>
            <w:tcBorders>
              <w:top w:val="nil"/>
              <w:left w:val="nil"/>
              <w:bottom w:val="nil"/>
              <w:right w:val="nil"/>
            </w:tcBorders>
            <w:shd w:val="clear" w:color="auto" w:fill="auto"/>
            <w:noWrap/>
            <w:vAlign w:val="center"/>
            <w:hideMark/>
          </w:tcPr>
          <w:p w14:paraId="0AF14C8F"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20.5</w:t>
            </w:r>
          </w:p>
        </w:tc>
        <w:tc>
          <w:tcPr>
            <w:tcW w:w="521" w:type="pct"/>
            <w:tcBorders>
              <w:top w:val="nil"/>
              <w:left w:val="nil"/>
              <w:bottom w:val="nil"/>
              <w:right w:val="nil"/>
            </w:tcBorders>
            <w:shd w:val="clear" w:color="auto" w:fill="auto"/>
            <w:noWrap/>
            <w:vAlign w:val="center"/>
            <w:hideMark/>
          </w:tcPr>
          <w:p w14:paraId="6612CB49"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13.6</w:t>
            </w:r>
          </w:p>
        </w:tc>
        <w:tc>
          <w:tcPr>
            <w:tcW w:w="520" w:type="pct"/>
            <w:tcBorders>
              <w:top w:val="nil"/>
              <w:left w:val="nil"/>
              <w:bottom w:val="nil"/>
              <w:right w:val="nil"/>
            </w:tcBorders>
            <w:shd w:val="clear" w:color="auto" w:fill="auto"/>
            <w:noWrap/>
            <w:vAlign w:val="center"/>
            <w:hideMark/>
          </w:tcPr>
          <w:p w14:paraId="7A0D9857"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13.0</w:t>
            </w:r>
          </w:p>
        </w:tc>
        <w:tc>
          <w:tcPr>
            <w:tcW w:w="521" w:type="pct"/>
            <w:tcBorders>
              <w:top w:val="nil"/>
              <w:left w:val="nil"/>
              <w:bottom w:val="nil"/>
              <w:right w:val="nil"/>
            </w:tcBorders>
            <w:shd w:val="clear" w:color="auto" w:fill="auto"/>
            <w:noWrap/>
            <w:vAlign w:val="center"/>
            <w:hideMark/>
          </w:tcPr>
          <w:p w14:paraId="769A463A"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52.4</w:t>
            </w:r>
          </w:p>
        </w:tc>
        <w:tc>
          <w:tcPr>
            <w:tcW w:w="521" w:type="pct"/>
            <w:tcBorders>
              <w:top w:val="nil"/>
              <w:left w:val="nil"/>
              <w:bottom w:val="nil"/>
              <w:right w:val="nil"/>
            </w:tcBorders>
            <w:shd w:val="clear" w:color="auto" w:fill="auto"/>
            <w:noWrap/>
            <w:vAlign w:val="center"/>
            <w:hideMark/>
          </w:tcPr>
          <w:p w14:paraId="17850C65"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41.9</w:t>
            </w:r>
          </w:p>
        </w:tc>
      </w:tr>
      <w:tr w:rsidR="00D24342" w:rsidRPr="00D24342" w14:paraId="1D40BA6E" w14:textId="77777777" w:rsidTr="000F0997">
        <w:trPr>
          <w:trHeight w:val="300"/>
        </w:trPr>
        <w:tc>
          <w:tcPr>
            <w:tcW w:w="1146" w:type="pct"/>
            <w:tcBorders>
              <w:top w:val="nil"/>
              <w:left w:val="nil"/>
              <w:bottom w:val="nil"/>
              <w:right w:val="nil"/>
            </w:tcBorders>
            <w:shd w:val="clear" w:color="auto" w:fill="auto"/>
            <w:noWrap/>
            <w:vAlign w:val="center"/>
            <w:hideMark/>
          </w:tcPr>
          <w:p w14:paraId="3B5D6C42"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Costa Rica</w:t>
            </w:r>
          </w:p>
        </w:tc>
        <w:tc>
          <w:tcPr>
            <w:tcW w:w="345" w:type="pct"/>
            <w:tcBorders>
              <w:top w:val="nil"/>
              <w:left w:val="nil"/>
              <w:bottom w:val="nil"/>
              <w:right w:val="nil"/>
            </w:tcBorders>
            <w:shd w:val="clear" w:color="auto" w:fill="auto"/>
            <w:noWrap/>
            <w:vAlign w:val="center"/>
            <w:hideMark/>
          </w:tcPr>
          <w:p w14:paraId="0A0EFEC4"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2009</w:t>
            </w:r>
          </w:p>
        </w:tc>
        <w:tc>
          <w:tcPr>
            <w:tcW w:w="425" w:type="pct"/>
            <w:tcBorders>
              <w:top w:val="nil"/>
              <w:left w:val="nil"/>
              <w:bottom w:val="nil"/>
              <w:right w:val="nil"/>
            </w:tcBorders>
            <w:shd w:val="clear" w:color="auto" w:fill="auto"/>
            <w:noWrap/>
            <w:vAlign w:val="center"/>
            <w:hideMark/>
          </w:tcPr>
          <w:p w14:paraId="7C50500F"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72</w:t>
            </w:r>
          </w:p>
        </w:tc>
        <w:tc>
          <w:tcPr>
            <w:tcW w:w="481" w:type="pct"/>
            <w:tcBorders>
              <w:top w:val="nil"/>
              <w:left w:val="nil"/>
              <w:bottom w:val="nil"/>
              <w:right w:val="nil"/>
            </w:tcBorders>
            <w:shd w:val="clear" w:color="auto" w:fill="auto"/>
            <w:noWrap/>
            <w:vAlign w:val="center"/>
            <w:hideMark/>
          </w:tcPr>
          <w:p w14:paraId="301C4BC2"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2,265</w:t>
            </w:r>
          </w:p>
        </w:tc>
        <w:tc>
          <w:tcPr>
            <w:tcW w:w="520" w:type="pct"/>
            <w:tcBorders>
              <w:top w:val="nil"/>
              <w:left w:val="nil"/>
              <w:bottom w:val="nil"/>
              <w:right w:val="nil"/>
            </w:tcBorders>
            <w:shd w:val="clear" w:color="auto" w:fill="auto"/>
            <w:noWrap/>
            <w:vAlign w:val="center"/>
            <w:hideMark/>
          </w:tcPr>
          <w:p w14:paraId="48931224"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14.0</w:t>
            </w:r>
          </w:p>
        </w:tc>
        <w:tc>
          <w:tcPr>
            <w:tcW w:w="521" w:type="pct"/>
            <w:tcBorders>
              <w:top w:val="nil"/>
              <w:left w:val="nil"/>
              <w:bottom w:val="nil"/>
              <w:right w:val="nil"/>
            </w:tcBorders>
            <w:shd w:val="clear" w:color="auto" w:fill="auto"/>
            <w:noWrap/>
            <w:vAlign w:val="center"/>
            <w:hideMark/>
          </w:tcPr>
          <w:p w14:paraId="4D2BBF8D"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22.1</w:t>
            </w:r>
          </w:p>
        </w:tc>
        <w:tc>
          <w:tcPr>
            <w:tcW w:w="520" w:type="pct"/>
            <w:tcBorders>
              <w:top w:val="nil"/>
              <w:left w:val="nil"/>
              <w:bottom w:val="nil"/>
              <w:right w:val="nil"/>
            </w:tcBorders>
            <w:shd w:val="clear" w:color="auto" w:fill="auto"/>
            <w:noWrap/>
            <w:vAlign w:val="center"/>
            <w:hideMark/>
          </w:tcPr>
          <w:p w14:paraId="22606136"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18.1</w:t>
            </w:r>
          </w:p>
        </w:tc>
        <w:tc>
          <w:tcPr>
            <w:tcW w:w="521" w:type="pct"/>
            <w:tcBorders>
              <w:top w:val="nil"/>
              <w:left w:val="nil"/>
              <w:bottom w:val="nil"/>
              <w:right w:val="nil"/>
            </w:tcBorders>
            <w:shd w:val="clear" w:color="auto" w:fill="auto"/>
            <w:noWrap/>
            <w:vAlign w:val="center"/>
            <w:hideMark/>
          </w:tcPr>
          <w:p w14:paraId="667E180D"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36.0</w:t>
            </w:r>
          </w:p>
        </w:tc>
        <w:tc>
          <w:tcPr>
            <w:tcW w:w="521" w:type="pct"/>
            <w:tcBorders>
              <w:top w:val="nil"/>
              <w:left w:val="nil"/>
              <w:bottom w:val="nil"/>
              <w:right w:val="nil"/>
            </w:tcBorders>
            <w:shd w:val="clear" w:color="auto" w:fill="auto"/>
            <w:noWrap/>
            <w:vAlign w:val="center"/>
            <w:hideMark/>
          </w:tcPr>
          <w:p w14:paraId="0E6D96D9"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50.3</w:t>
            </w:r>
          </w:p>
        </w:tc>
      </w:tr>
      <w:tr w:rsidR="00D24342" w:rsidRPr="00D24342" w14:paraId="6D2B2D93" w14:textId="77777777" w:rsidTr="000F0997">
        <w:trPr>
          <w:trHeight w:val="300"/>
        </w:trPr>
        <w:tc>
          <w:tcPr>
            <w:tcW w:w="1146" w:type="pct"/>
            <w:tcBorders>
              <w:top w:val="nil"/>
              <w:left w:val="nil"/>
              <w:bottom w:val="nil"/>
              <w:right w:val="nil"/>
            </w:tcBorders>
            <w:shd w:val="clear" w:color="auto" w:fill="auto"/>
            <w:noWrap/>
            <w:vAlign w:val="center"/>
            <w:hideMark/>
          </w:tcPr>
          <w:p w14:paraId="573CDF42"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Dominica</w:t>
            </w:r>
          </w:p>
        </w:tc>
        <w:tc>
          <w:tcPr>
            <w:tcW w:w="345" w:type="pct"/>
            <w:tcBorders>
              <w:top w:val="nil"/>
              <w:left w:val="nil"/>
              <w:bottom w:val="nil"/>
              <w:right w:val="nil"/>
            </w:tcBorders>
            <w:shd w:val="clear" w:color="auto" w:fill="auto"/>
            <w:noWrap/>
            <w:vAlign w:val="center"/>
            <w:hideMark/>
          </w:tcPr>
          <w:p w14:paraId="554DC3E3"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2009</w:t>
            </w:r>
          </w:p>
        </w:tc>
        <w:tc>
          <w:tcPr>
            <w:tcW w:w="425" w:type="pct"/>
            <w:tcBorders>
              <w:top w:val="nil"/>
              <w:left w:val="nil"/>
              <w:bottom w:val="nil"/>
              <w:right w:val="nil"/>
            </w:tcBorders>
            <w:shd w:val="clear" w:color="auto" w:fill="auto"/>
            <w:noWrap/>
            <w:vAlign w:val="center"/>
            <w:hideMark/>
          </w:tcPr>
          <w:p w14:paraId="2360BE4C"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84</w:t>
            </w:r>
          </w:p>
        </w:tc>
        <w:tc>
          <w:tcPr>
            <w:tcW w:w="481" w:type="pct"/>
            <w:tcBorders>
              <w:top w:val="nil"/>
              <w:left w:val="nil"/>
              <w:bottom w:val="nil"/>
              <w:right w:val="nil"/>
            </w:tcBorders>
            <w:shd w:val="clear" w:color="auto" w:fill="auto"/>
            <w:noWrap/>
            <w:vAlign w:val="center"/>
            <w:hideMark/>
          </w:tcPr>
          <w:p w14:paraId="5171337D"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1,310</w:t>
            </w:r>
          </w:p>
        </w:tc>
        <w:tc>
          <w:tcPr>
            <w:tcW w:w="520" w:type="pct"/>
            <w:tcBorders>
              <w:top w:val="nil"/>
              <w:left w:val="nil"/>
              <w:bottom w:val="nil"/>
              <w:right w:val="nil"/>
            </w:tcBorders>
            <w:shd w:val="clear" w:color="auto" w:fill="auto"/>
            <w:noWrap/>
            <w:vAlign w:val="center"/>
            <w:hideMark/>
          </w:tcPr>
          <w:p w14:paraId="7ED11FFE"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36.5</w:t>
            </w:r>
          </w:p>
        </w:tc>
        <w:tc>
          <w:tcPr>
            <w:tcW w:w="521" w:type="pct"/>
            <w:tcBorders>
              <w:top w:val="nil"/>
              <w:left w:val="nil"/>
              <w:bottom w:val="nil"/>
              <w:right w:val="nil"/>
            </w:tcBorders>
            <w:shd w:val="clear" w:color="auto" w:fill="auto"/>
            <w:noWrap/>
            <w:vAlign w:val="center"/>
            <w:hideMark/>
          </w:tcPr>
          <w:p w14:paraId="37C54E75"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38.0</w:t>
            </w:r>
          </w:p>
        </w:tc>
        <w:tc>
          <w:tcPr>
            <w:tcW w:w="520" w:type="pct"/>
            <w:tcBorders>
              <w:top w:val="nil"/>
              <w:left w:val="nil"/>
              <w:bottom w:val="nil"/>
              <w:right w:val="nil"/>
            </w:tcBorders>
            <w:shd w:val="clear" w:color="auto" w:fill="auto"/>
            <w:noWrap/>
            <w:vAlign w:val="center"/>
            <w:hideMark/>
          </w:tcPr>
          <w:p w14:paraId="275FA9A9"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42.0</w:t>
            </w:r>
          </w:p>
        </w:tc>
        <w:tc>
          <w:tcPr>
            <w:tcW w:w="521" w:type="pct"/>
            <w:tcBorders>
              <w:top w:val="nil"/>
              <w:left w:val="nil"/>
              <w:bottom w:val="nil"/>
              <w:right w:val="nil"/>
            </w:tcBorders>
            <w:shd w:val="clear" w:color="auto" w:fill="auto"/>
            <w:noWrap/>
            <w:vAlign w:val="center"/>
            <w:hideMark/>
          </w:tcPr>
          <w:p w14:paraId="1BFC72FE"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35.2</w:t>
            </w:r>
          </w:p>
        </w:tc>
        <w:tc>
          <w:tcPr>
            <w:tcW w:w="521" w:type="pct"/>
            <w:tcBorders>
              <w:top w:val="nil"/>
              <w:left w:val="nil"/>
              <w:bottom w:val="nil"/>
              <w:right w:val="nil"/>
            </w:tcBorders>
            <w:shd w:val="clear" w:color="auto" w:fill="auto"/>
            <w:noWrap/>
            <w:vAlign w:val="center"/>
            <w:hideMark/>
          </w:tcPr>
          <w:p w14:paraId="3ED42F66"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66.8</w:t>
            </w:r>
          </w:p>
        </w:tc>
      </w:tr>
      <w:tr w:rsidR="00D24342" w:rsidRPr="00D24342" w14:paraId="3C02159A" w14:textId="77777777" w:rsidTr="000F0997">
        <w:trPr>
          <w:trHeight w:val="300"/>
        </w:trPr>
        <w:tc>
          <w:tcPr>
            <w:tcW w:w="1146" w:type="pct"/>
            <w:tcBorders>
              <w:top w:val="nil"/>
              <w:left w:val="nil"/>
              <w:bottom w:val="nil"/>
              <w:right w:val="nil"/>
            </w:tcBorders>
            <w:shd w:val="clear" w:color="auto" w:fill="auto"/>
            <w:noWrap/>
            <w:vAlign w:val="center"/>
            <w:hideMark/>
          </w:tcPr>
          <w:p w14:paraId="2C805238"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East Timor</w:t>
            </w:r>
          </w:p>
        </w:tc>
        <w:tc>
          <w:tcPr>
            <w:tcW w:w="345" w:type="pct"/>
            <w:tcBorders>
              <w:top w:val="nil"/>
              <w:left w:val="nil"/>
              <w:bottom w:val="nil"/>
              <w:right w:val="nil"/>
            </w:tcBorders>
            <w:shd w:val="clear" w:color="auto" w:fill="auto"/>
            <w:noWrap/>
            <w:vAlign w:val="center"/>
            <w:hideMark/>
          </w:tcPr>
          <w:p w14:paraId="51DF04E3"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2015</w:t>
            </w:r>
          </w:p>
        </w:tc>
        <w:tc>
          <w:tcPr>
            <w:tcW w:w="425" w:type="pct"/>
            <w:tcBorders>
              <w:top w:val="nil"/>
              <w:left w:val="nil"/>
              <w:bottom w:val="nil"/>
              <w:right w:val="nil"/>
            </w:tcBorders>
            <w:shd w:val="clear" w:color="auto" w:fill="auto"/>
            <w:noWrap/>
            <w:vAlign w:val="center"/>
            <w:hideMark/>
          </w:tcPr>
          <w:p w14:paraId="73CB4A6F"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79</w:t>
            </w:r>
          </w:p>
        </w:tc>
        <w:tc>
          <w:tcPr>
            <w:tcW w:w="481" w:type="pct"/>
            <w:tcBorders>
              <w:top w:val="nil"/>
              <w:left w:val="nil"/>
              <w:bottom w:val="nil"/>
              <w:right w:val="nil"/>
            </w:tcBorders>
            <w:shd w:val="clear" w:color="auto" w:fill="auto"/>
            <w:noWrap/>
            <w:vAlign w:val="center"/>
            <w:hideMark/>
          </w:tcPr>
          <w:p w14:paraId="58F37996"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1,631</w:t>
            </w:r>
          </w:p>
        </w:tc>
        <w:tc>
          <w:tcPr>
            <w:tcW w:w="520" w:type="pct"/>
            <w:tcBorders>
              <w:top w:val="nil"/>
              <w:left w:val="nil"/>
              <w:bottom w:val="nil"/>
              <w:right w:val="nil"/>
            </w:tcBorders>
            <w:shd w:val="clear" w:color="auto" w:fill="auto"/>
            <w:noWrap/>
            <w:vAlign w:val="center"/>
            <w:hideMark/>
          </w:tcPr>
          <w:p w14:paraId="0F8C53AD"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41.1</w:t>
            </w:r>
          </w:p>
        </w:tc>
        <w:tc>
          <w:tcPr>
            <w:tcW w:w="521" w:type="pct"/>
            <w:tcBorders>
              <w:top w:val="nil"/>
              <w:left w:val="nil"/>
              <w:bottom w:val="nil"/>
              <w:right w:val="nil"/>
            </w:tcBorders>
            <w:shd w:val="clear" w:color="auto" w:fill="auto"/>
            <w:noWrap/>
            <w:vAlign w:val="center"/>
            <w:hideMark/>
          </w:tcPr>
          <w:p w14:paraId="1572C1B5"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33.7</w:t>
            </w:r>
          </w:p>
        </w:tc>
        <w:tc>
          <w:tcPr>
            <w:tcW w:w="520" w:type="pct"/>
            <w:tcBorders>
              <w:top w:val="nil"/>
              <w:left w:val="nil"/>
              <w:bottom w:val="nil"/>
              <w:right w:val="nil"/>
            </w:tcBorders>
            <w:shd w:val="clear" w:color="auto" w:fill="auto"/>
            <w:noWrap/>
            <w:vAlign w:val="center"/>
            <w:hideMark/>
          </w:tcPr>
          <w:p w14:paraId="6E7DF685"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19.7</w:t>
            </w:r>
          </w:p>
        </w:tc>
        <w:tc>
          <w:tcPr>
            <w:tcW w:w="521" w:type="pct"/>
            <w:tcBorders>
              <w:top w:val="nil"/>
              <w:left w:val="nil"/>
              <w:bottom w:val="nil"/>
              <w:right w:val="nil"/>
            </w:tcBorders>
            <w:shd w:val="clear" w:color="auto" w:fill="auto"/>
            <w:noWrap/>
            <w:vAlign w:val="center"/>
            <w:hideMark/>
          </w:tcPr>
          <w:p w14:paraId="71674E3D"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50.0</w:t>
            </w:r>
          </w:p>
        </w:tc>
        <w:tc>
          <w:tcPr>
            <w:tcW w:w="521" w:type="pct"/>
            <w:tcBorders>
              <w:top w:val="nil"/>
              <w:left w:val="nil"/>
              <w:bottom w:val="nil"/>
              <w:right w:val="nil"/>
            </w:tcBorders>
            <w:shd w:val="clear" w:color="auto" w:fill="auto"/>
            <w:noWrap/>
            <w:vAlign w:val="center"/>
            <w:hideMark/>
          </w:tcPr>
          <w:p w14:paraId="2331792A"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51.3</w:t>
            </w:r>
          </w:p>
        </w:tc>
      </w:tr>
      <w:tr w:rsidR="00D24342" w:rsidRPr="00D24342" w14:paraId="2614DDB9" w14:textId="77777777" w:rsidTr="000F0997">
        <w:trPr>
          <w:trHeight w:val="300"/>
        </w:trPr>
        <w:tc>
          <w:tcPr>
            <w:tcW w:w="1146" w:type="pct"/>
            <w:tcBorders>
              <w:top w:val="nil"/>
              <w:left w:val="nil"/>
              <w:bottom w:val="nil"/>
              <w:right w:val="nil"/>
            </w:tcBorders>
            <w:shd w:val="clear" w:color="auto" w:fill="auto"/>
            <w:noWrap/>
            <w:vAlign w:val="center"/>
            <w:hideMark/>
          </w:tcPr>
          <w:p w14:paraId="37038A84"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El Salvador</w:t>
            </w:r>
          </w:p>
        </w:tc>
        <w:tc>
          <w:tcPr>
            <w:tcW w:w="345" w:type="pct"/>
            <w:tcBorders>
              <w:top w:val="nil"/>
              <w:left w:val="nil"/>
              <w:bottom w:val="nil"/>
              <w:right w:val="nil"/>
            </w:tcBorders>
            <w:shd w:val="clear" w:color="auto" w:fill="auto"/>
            <w:noWrap/>
            <w:vAlign w:val="center"/>
            <w:hideMark/>
          </w:tcPr>
          <w:p w14:paraId="1DE5AE11"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2013</w:t>
            </w:r>
          </w:p>
        </w:tc>
        <w:tc>
          <w:tcPr>
            <w:tcW w:w="425" w:type="pct"/>
            <w:tcBorders>
              <w:top w:val="nil"/>
              <w:left w:val="nil"/>
              <w:bottom w:val="nil"/>
              <w:right w:val="nil"/>
            </w:tcBorders>
            <w:shd w:val="clear" w:color="auto" w:fill="auto"/>
            <w:noWrap/>
            <w:vAlign w:val="center"/>
            <w:hideMark/>
          </w:tcPr>
          <w:p w14:paraId="0F5379ED"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88</w:t>
            </w:r>
          </w:p>
        </w:tc>
        <w:tc>
          <w:tcPr>
            <w:tcW w:w="481" w:type="pct"/>
            <w:tcBorders>
              <w:top w:val="nil"/>
              <w:left w:val="nil"/>
              <w:bottom w:val="nil"/>
              <w:right w:val="nil"/>
            </w:tcBorders>
            <w:shd w:val="clear" w:color="auto" w:fill="auto"/>
            <w:noWrap/>
            <w:vAlign w:val="center"/>
            <w:hideMark/>
          </w:tcPr>
          <w:p w14:paraId="107931F9"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1,615</w:t>
            </w:r>
          </w:p>
        </w:tc>
        <w:tc>
          <w:tcPr>
            <w:tcW w:w="520" w:type="pct"/>
            <w:tcBorders>
              <w:top w:val="nil"/>
              <w:left w:val="nil"/>
              <w:bottom w:val="nil"/>
              <w:right w:val="nil"/>
            </w:tcBorders>
            <w:shd w:val="clear" w:color="auto" w:fill="auto"/>
            <w:noWrap/>
            <w:vAlign w:val="center"/>
            <w:hideMark/>
          </w:tcPr>
          <w:p w14:paraId="147ECBC4"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18.7</w:t>
            </w:r>
          </w:p>
        </w:tc>
        <w:tc>
          <w:tcPr>
            <w:tcW w:w="521" w:type="pct"/>
            <w:tcBorders>
              <w:top w:val="nil"/>
              <w:left w:val="nil"/>
              <w:bottom w:val="nil"/>
              <w:right w:val="nil"/>
            </w:tcBorders>
            <w:shd w:val="clear" w:color="auto" w:fill="auto"/>
            <w:noWrap/>
            <w:vAlign w:val="center"/>
            <w:hideMark/>
          </w:tcPr>
          <w:p w14:paraId="5F5BDB6B"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25.5</w:t>
            </w:r>
          </w:p>
        </w:tc>
        <w:tc>
          <w:tcPr>
            <w:tcW w:w="520" w:type="pct"/>
            <w:tcBorders>
              <w:top w:val="nil"/>
              <w:left w:val="nil"/>
              <w:bottom w:val="nil"/>
              <w:right w:val="nil"/>
            </w:tcBorders>
            <w:shd w:val="clear" w:color="auto" w:fill="auto"/>
            <w:noWrap/>
            <w:vAlign w:val="center"/>
            <w:hideMark/>
          </w:tcPr>
          <w:p w14:paraId="61FD8112"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18.8</w:t>
            </w:r>
          </w:p>
        </w:tc>
        <w:tc>
          <w:tcPr>
            <w:tcW w:w="521" w:type="pct"/>
            <w:tcBorders>
              <w:top w:val="nil"/>
              <w:left w:val="nil"/>
              <w:bottom w:val="nil"/>
              <w:right w:val="nil"/>
            </w:tcBorders>
            <w:shd w:val="clear" w:color="auto" w:fill="auto"/>
            <w:noWrap/>
            <w:vAlign w:val="center"/>
            <w:hideMark/>
          </w:tcPr>
          <w:p w14:paraId="554D6A47"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25.4</w:t>
            </w:r>
          </w:p>
        </w:tc>
        <w:tc>
          <w:tcPr>
            <w:tcW w:w="521" w:type="pct"/>
            <w:tcBorders>
              <w:top w:val="nil"/>
              <w:left w:val="nil"/>
              <w:bottom w:val="nil"/>
              <w:right w:val="nil"/>
            </w:tcBorders>
            <w:shd w:val="clear" w:color="auto" w:fill="auto"/>
            <w:noWrap/>
            <w:vAlign w:val="center"/>
            <w:hideMark/>
          </w:tcPr>
          <w:p w14:paraId="15F2FE5C"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51.9</w:t>
            </w:r>
          </w:p>
        </w:tc>
      </w:tr>
      <w:tr w:rsidR="00D24342" w:rsidRPr="00D24342" w14:paraId="27D25593" w14:textId="77777777" w:rsidTr="000F0997">
        <w:trPr>
          <w:trHeight w:val="300"/>
        </w:trPr>
        <w:tc>
          <w:tcPr>
            <w:tcW w:w="1146" w:type="pct"/>
            <w:tcBorders>
              <w:top w:val="nil"/>
              <w:left w:val="nil"/>
              <w:bottom w:val="nil"/>
              <w:right w:val="nil"/>
            </w:tcBorders>
            <w:shd w:val="clear" w:color="auto" w:fill="auto"/>
            <w:noWrap/>
            <w:vAlign w:val="center"/>
            <w:hideMark/>
          </w:tcPr>
          <w:p w14:paraId="098AD4EE"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Fiji</w:t>
            </w:r>
          </w:p>
        </w:tc>
        <w:tc>
          <w:tcPr>
            <w:tcW w:w="345" w:type="pct"/>
            <w:tcBorders>
              <w:top w:val="nil"/>
              <w:left w:val="nil"/>
              <w:bottom w:val="nil"/>
              <w:right w:val="nil"/>
            </w:tcBorders>
            <w:shd w:val="clear" w:color="auto" w:fill="auto"/>
            <w:noWrap/>
            <w:vAlign w:val="center"/>
            <w:hideMark/>
          </w:tcPr>
          <w:p w14:paraId="2E177652"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2016</w:t>
            </w:r>
          </w:p>
        </w:tc>
        <w:tc>
          <w:tcPr>
            <w:tcW w:w="425" w:type="pct"/>
            <w:tcBorders>
              <w:top w:val="nil"/>
              <w:left w:val="nil"/>
              <w:bottom w:val="nil"/>
              <w:right w:val="nil"/>
            </w:tcBorders>
            <w:shd w:val="clear" w:color="auto" w:fill="auto"/>
            <w:noWrap/>
            <w:vAlign w:val="center"/>
            <w:hideMark/>
          </w:tcPr>
          <w:p w14:paraId="5522E2AF"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79</w:t>
            </w:r>
          </w:p>
        </w:tc>
        <w:tc>
          <w:tcPr>
            <w:tcW w:w="481" w:type="pct"/>
            <w:tcBorders>
              <w:top w:val="nil"/>
              <w:left w:val="nil"/>
              <w:bottom w:val="nil"/>
              <w:right w:val="nil"/>
            </w:tcBorders>
            <w:shd w:val="clear" w:color="auto" w:fill="auto"/>
            <w:noWrap/>
            <w:vAlign w:val="center"/>
            <w:hideMark/>
          </w:tcPr>
          <w:p w14:paraId="365F2493"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1,537</w:t>
            </w:r>
          </w:p>
        </w:tc>
        <w:tc>
          <w:tcPr>
            <w:tcW w:w="520" w:type="pct"/>
            <w:tcBorders>
              <w:top w:val="nil"/>
              <w:left w:val="nil"/>
              <w:bottom w:val="nil"/>
              <w:right w:val="nil"/>
            </w:tcBorders>
            <w:shd w:val="clear" w:color="auto" w:fill="auto"/>
            <w:noWrap/>
            <w:vAlign w:val="center"/>
            <w:hideMark/>
          </w:tcPr>
          <w:p w14:paraId="7B0ADC70"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34.5</w:t>
            </w:r>
          </w:p>
        </w:tc>
        <w:tc>
          <w:tcPr>
            <w:tcW w:w="521" w:type="pct"/>
            <w:tcBorders>
              <w:top w:val="nil"/>
              <w:left w:val="nil"/>
              <w:bottom w:val="nil"/>
              <w:right w:val="nil"/>
            </w:tcBorders>
            <w:shd w:val="clear" w:color="auto" w:fill="auto"/>
            <w:noWrap/>
            <w:vAlign w:val="center"/>
            <w:hideMark/>
          </w:tcPr>
          <w:p w14:paraId="6AB7A800"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33.7</w:t>
            </w:r>
          </w:p>
        </w:tc>
        <w:tc>
          <w:tcPr>
            <w:tcW w:w="520" w:type="pct"/>
            <w:tcBorders>
              <w:top w:val="nil"/>
              <w:left w:val="nil"/>
              <w:bottom w:val="nil"/>
              <w:right w:val="nil"/>
            </w:tcBorders>
            <w:shd w:val="clear" w:color="auto" w:fill="auto"/>
            <w:noWrap/>
            <w:vAlign w:val="center"/>
            <w:hideMark/>
          </w:tcPr>
          <w:p w14:paraId="22B4F6D2"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15.6</w:t>
            </w:r>
          </w:p>
        </w:tc>
        <w:tc>
          <w:tcPr>
            <w:tcW w:w="521" w:type="pct"/>
            <w:tcBorders>
              <w:top w:val="nil"/>
              <w:left w:val="nil"/>
              <w:bottom w:val="nil"/>
              <w:right w:val="nil"/>
            </w:tcBorders>
            <w:shd w:val="clear" w:color="auto" w:fill="auto"/>
            <w:noWrap/>
            <w:vAlign w:val="center"/>
            <w:hideMark/>
          </w:tcPr>
          <w:p w14:paraId="136DA292"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48.3</w:t>
            </w:r>
          </w:p>
        </w:tc>
        <w:tc>
          <w:tcPr>
            <w:tcW w:w="521" w:type="pct"/>
            <w:tcBorders>
              <w:top w:val="nil"/>
              <w:left w:val="nil"/>
              <w:bottom w:val="nil"/>
              <w:right w:val="nil"/>
            </w:tcBorders>
            <w:shd w:val="clear" w:color="auto" w:fill="auto"/>
            <w:noWrap/>
            <w:vAlign w:val="center"/>
            <w:hideMark/>
          </w:tcPr>
          <w:p w14:paraId="70026B11"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56.9</w:t>
            </w:r>
          </w:p>
        </w:tc>
      </w:tr>
      <w:tr w:rsidR="00D24342" w:rsidRPr="00D24342" w14:paraId="7DBBF312" w14:textId="77777777" w:rsidTr="000F0997">
        <w:trPr>
          <w:trHeight w:val="300"/>
        </w:trPr>
        <w:tc>
          <w:tcPr>
            <w:tcW w:w="1146" w:type="pct"/>
            <w:tcBorders>
              <w:top w:val="nil"/>
              <w:left w:val="nil"/>
              <w:bottom w:val="nil"/>
              <w:right w:val="nil"/>
            </w:tcBorders>
            <w:shd w:val="clear" w:color="auto" w:fill="auto"/>
            <w:noWrap/>
            <w:vAlign w:val="center"/>
            <w:hideMark/>
          </w:tcPr>
          <w:p w14:paraId="4B29BF8B"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Ghana</w:t>
            </w:r>
          </w:p>
        </w:tc>
        <w:tc>
          <w:tcPr>
            <w:tcW w:w="345" w:type="pct"/>
            <w:tcBorders>
              <w:top w:val="nil"/>
              <w:left w:val="nil"/>
              <w:bottom w:val="nil"/>
              <w:right w:val="nil"/>
            </w:tcBorders>
            <w:shd w:val="clear" w:color="auto" w:fill="auto"/>
            <w:noWrap/>
            <w:vAlign w:val="center"/>
            <w:hideMark/>
          </w:tcPr>
          <w:p w14:paraId="1BA61ADB"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2012</w:t>
            </w:r>
          </w:p>
        </w:tc>
        <w:tc>
          <w:tcPr>
            <w:tcW w:w="425" w:type="pct"/>
            <w:tcBorders>
              <w:top w:val="nil"/>
              <w:left w:val="nil"/>
              <w:bottom w:val="nil"/>
              <w:right w:val="nil"/>
            </w:tcBorders>
            <w:shd w:val="clear" w:color="auto" w:fill="auto"/>
            <w:noWrap/>
            <w:vAlign w:val="center"/>
            <w:hideMark/>
          </w:tcPr>
          <w:p w14:paraId="4E60F17D"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82</w:t>
            </w:r>
          </w:p>
        </w:tc>
        <w:tc>
          <w:tcPr>
            <w:tcW w:w="481" w:type="pct"/>
            <w:tcBorders>
              <w:top w:val="nil"/>
              <w:left w:val="nil"/>
              <w:bottom w:val="nil"/>
              <w:right w:val="nil"/>
            </w:tcBorders>
            <w:shd w:val="clear" w:color="auto" w:fill="auto"/>
            <w:noWrap/>
            <w:vAlign w:val="center"/>
            <w:hideMark/>
          </w:tcPr>
          <w:p w14:paraId="781D2F82"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1,110</w:t>
            </w:r>
          </w:p>
        </w:tc>
        <w:tc>
          <w:tcPr>
            <w:tcW w:w="520" w:type="pct"/>
            <w:tcBorders>
              <w:top w:val="nil"/>
              <w:left w:val="nil"/>
              <w:bottom w:val="nil"/>
              <w:right w:val="nil"/>
            </w:tcBorders>
            <w:shd w:val="clear" w:color="auto" w:fill="auto"/>
            <w:noWrap/>
            <w:vAlign w:val="center"/>
            <w:hideMark/>
          </w:tcPr>
          <w:p w14:paraId="12B48C09"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49.4</w:t>
            </w:r>
          </w:p>
        </w:tc>
        <w:tc>
          <w:tcPr>
            <w:tcW w:w="521" w:type="pct"/>
            <w:tcBorders>
              <w:top w:val="nil"/>
              <w:left w:val="nil"/>
              <w:bottom w:val="nil"/>
              <w:right w:val="nil"/>
            </w:tcBorders>
            <w:shd w:val="clear" w:color="auto" w:fill="auto"/>
            <w:noWrap/>
            <w:vAlign w:val="center"/>
            <w:hideMark/>
          </w:tcPr>
          <w:p w14:paraId="336CE7D9"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52.9</w:t>
            </w:r>
          </w:p>
        </w:tc>
        <w:tc>
          <w:tcPr>
            <w:tcW w:w="520" w:type="pct"/>
            <w:tcBorders>
              <w:top w:val="nil"/>
              <w:left w:val="nil"/>
              <w:bottom w:val="nil"/>
              <w:right w:val="nil"/>
            </w:tcBorders>
            <w:shd w:val="clear" w:color="auto" w:fill="auto"/>
            <w:noWrap/>
            <w:vAlign w:val="center"/>
            <w:hideMark/>
          </w:tcPr>
          <w:p w14:paraId="74073A9C"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29.5</w:t>
            </w:r>
          </w:p>
        </w:tc>
        <w:tc>
          <w:tcPr>
            <w:tcW w:w="521" w:type="pct"/>
            <w:tcBorders>
              <w:top w:val="nil"/>
              <w:left w:val="nil"/>
              <w:bottom w:val="nil"/>
              <w:right w:val="nil"/>
            </w:tcBorders>
            <w:shd w:val="clear" w:color="auto" w:fill="auto"/>
            <w:noWrap/>
            <w:vAlign w:val="center"/>
            <w:hideMark/>
          </w:tcPr>
          <w:p w14:paraId="54605726"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56.3</w:t>
            </w:r>
          </w:p>
        </w:tc>
        <w:tc>
          <w:tcPr>
            <w:tcW w:w="521" w:type="pct"/>
            <w:tcBorders>
              <w:top w:val="nil"/>
              <w:left w:val="nil"/>
              <w:bottom w:val="nil"/>
              <w:right w:val="nil"/>
            </w:tcBorders>
            <w:shd w:val="clear" w:color="auto" w:fill="auto"/>
            <w:noWrap/>
            <w:vAlign w:val="center"/>
            <w:hideMark/>
          </w:tcPr>
          <w:p w14:paraId="0EFC3CFA"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57.2</w:t>
            </w:r>
          </w:p>
        </w:tc>
      </w:tr>
      <w:tr w:rsidR="00D24342" w:rsidRPr="00D24342" w14:paraId="6D62668A" w14:textId="77777777" w:rsidTr="000F0997">
        <w:trPr>
          <w:trHeight w:val="300"/>
        </w:trPr>
        <w:tc>
          <w:tcPr>
            <w:tcW w:w="1146" w:type="pct"/>
            <w:tcBorders>
              <w:top w:val="nil"/>
              <w:left w:val="nil"/>
              <w:bottom w:val="nil"/>
              <w:right w:val="nil"/>
            </w:tcBorders>
            <w:shd w:val="clear" w:color="auto" w:fill="auto"/>
            <w:noWrap/>
            <w:vAlign w:val="center"/>
            <w:hideMark/>
          </w:tcPr>
          <w:p w14:paraId="2E68F8D8"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Grenada</w:t>
            </w:r>
          </w:p>
        </w:tc>
        <w:tc>
          <w:tcPr>
            <w:tcW w:w="345" w:type="pct"/>
            <w:tcBorders>
              <w:top w:val="nil"/>
              <w:left w:val="nil"/>
              <w:bottom w:val="nil"/>
              <w:right w:val="nil"/>
            </w:tcBorders>
            <w:shd w:val="clear" w:color="auto" w:fill="auto"/>
            <w:noWrap/>
            <w:vAlign w:val="center"/>
            <w:hideMark/>
          </w:tcPr>
          <w:p w14:paraId="0C1F4153"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2008</w:t>
            </w:r>
          </w:p>
        </w:tc>
        <w:tc>
          <w:tcPr>
            <w:tcW w:w="425" w:type="pct"/>
            <w:tcBorders>
              <w:top w:val="nil"/>
              <w:left w:val="nil"/>
              <w:bottom w:val="nil"/>
              <w:right w:val="nil"/>
            </w:tcBorders>
            <w:shd w:val="clear" w:color="auto" w:fill="auto"/>
            <w:noWrap/>
            <w:vAlign w:val="center"/>
            <w:hideMark/>
          </w:tcPr>
          <w:p w14:paraId="2619D23D"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78</w:t>
            </w:r>
          </w:p>
        </w:tc>
        <w:tc>
          <w:tcPr>
            <w:tcW w:w="481" w:type="pct"/>
            <w:tcBorders>
              <w:top w:val="nil"/>
              <w:left w:val="nil"/>
              <w:bottom w:val="nil"/>
              <w:right w:val="nil"/>
            </w:tcBorders>
            <w:shd w:val="clear" w:color="auto" w:fill="auto"/>
            <w:noWrap/>
            <w:vAlign w:val="center"/>
            <w:hideMark/>
          </w:tcPr>
          <w:p w14:paraId="47A333C5"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1,299</w:t>
            </w:r>
          </w:p>
        </w:tc>
        <w:tc>
          <w:tcPr>
            <w:tcW w:w="520" w:type="pct"/>
            <w:tcBorders>
              <w:top w:val="nil"/>
              <w:left w:val="nil"/>
              <w:bottom w:val="nil"/>
              <w:right w:val="nil"/>
            </w:tcBorders>
            <w:shd w:val="clear" w:color="auto" w:fill="auto"/>
            <w:noWrap/>
            <w:vAlign w:val="center"/>
            <w:hideMark/>
          </w:tcPr>
          <w:p w14:paraId="5B05DC97"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41.4</w:t>
            </w:r>
          </w:p>
        </w:tc>
        <w:tc>
          <w:tcPr>
            <w:tcW w:w="521" w:type="pct"/>
            <w:tcBorders>
              <w:top w:val="nil"/>
              <w:left w:val="nil"/>
              <w:bottom w:val="nil"/>
              <w:right w:val="nil"/>
            </w:tcBorders>
            <w:shd w:val="clear" w:color="auto" w:fill="auto"/>
            <w:noWrap/>
            <w:vAlign w:val="center"/>
            <w:hideMark/>
          </w:tcPr>
          <w:p w14:paraId="0AEC6666"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37.5</w:t>
            </w:r>
          </w:p>
        </w:tc>
        <w:tc>
          <w:tcPr>
            <w:tcW w:w="520" w:type="pct"/>
            <w:tcBorders>
              <w:top w:val="nil"/>
              <w:left w:val="nil"/>
              <w:bottom w:val="nil"/>
              <w:right w:val="nil"/>
            </w:tcBorders>
            <w:shd w:val="clear" w:color="auto" w:fill="auto"/>
            <w:noWrap/>
            <w:vAlign w:val="center"/>
            <w:hideMark/>
          </w:tcPr>
          <w:p w14:paraId="2A210CDB"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24.4</w:t>
            </w:r>
          </w:p>
        </w:tc>
        <w:tc>
          <w:tcPr>
            <w:tcW w:w="521" w:type="pct"/>
            <w:tcBorders>
              <w:top w:val="nil"/>
              <w:left w:val="nil"/>
              <w:bottom w:val="nil"/>
              <w:right w:val="nil"/>
            </w:tcBorders>
            <w:shd w:val="clear" w:color="auto" w:fill="auto"/>
            <w:noWrap/>
            <w:vAlign w:val="center"/>
            <w:hideMark/>
          </w:tcPr>
          <w:p w14:paraId="50F6F111"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44.6</w:t>
            </w:r>
          </w:p>
        </w:tc>
        <w:tc>
          <w:tcPr>
            <w:tcW w:w="521" w:type="pct"/>
            <w:tcBorders>
              <w:top w:val="nil"/>
              <w:left w:val="nil"/>
              <w:bottom w:val="nil"/>
              <w:right w:val="nil"/>
            </w:tcBorders>
            <w:shd w:val="clear" w:color="auto" w:fill="auto"/>
            <w:noWrap/>
            <w:vAlign w:val="center"/>
            <w:hideMark/>
          </w:tcPr>
          <w:p w14:paraId="2C8B0C44"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60.8</w:t>
            </w:r>
          </w:p>
        </w:tc>
      </w:tr>
      <w:tr w:rsidR="00D24342" w:rsidRPr="00D24342" w14:paraId="55E2EA5F" w14:textId="77777777" w:rsidTr="000F0997">
        <w:trPr>
          <w:trHeight w:val="300"/>
        </w:trPr>
        <w:tc>
          <w:tcPr>
            <w:tcW w:w="1146" w:type="pct"/>
            <w:tcBorders>
              <w:top w:val="nil"/>
              <w:left w:val="nil"/>
              <w:bottom w:val="nil"/>
              <w:right w:val="nil"/>
            </w:tcBorders>
            <w:shd w:val="clear" w:color="auto" w:fill="auto"/>
            <w:noWrap/>
            <w:vAlign w:val="center"/>
            <w:hideMark/>
          </w:tcPr>
          <w:p w14:paraId="7304B42A"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Guatemala</w:t>
            </w:r>
          </w:p>
        </w:tc>
        <w:tc>
          <w:tcPr>
            <w:tcW w:w="345" w:type="pct"/>
            <w:tcBorders>
              <w:top w:val="nil"/>
              <w:left w:val="nil"/>
              <w:bottom w:val="nil"/>
              <w:right w:val="nil"/>
            </w:tcBorders>
            <w:shd w:val="clear" w:color="auto" w:fill="auto"/>
            <w:noWrap/>
            <w:vAlign w:val="center"/>
            <w:hideMark/>
          </w:tcPr>
          <w:p w14:paraId="1680AF2A"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2015</w:t>
            </w:r>
          </w:p>
        </w:tc>
        <w:tc>
          <w:tcPr>
            <w:tcW w:w="425" w:type="pct"/>
            <w:tcBorders>
              <w:top w:val="nil"/>
              <w:left w:val="nil"/>
              <w:bottom w:val="nil"/>
              <w:right w:val="nil"/>
            </w:tcBorders>
            <w:shd w:val="clear" w:color="auto" w:fill="auto"/>
            <w:noWrap/>
            <w:vAlign w:val="center"/>
            <w:hideMark/>
          </w:tcPr>
          <w:p w14:paraId="61CC9421"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82</w:t>
            </w:r>
          </w:p>
        </w:tc>
        <w:tc>
          <w:tcPr>
            <w:tcW w:w="481" w:type="pct"/>
            <w:tcBorders>
              <w:top w:val="nil"/>
              <w:left w:val="nil"/>
              <w:bottom w:val="nil"/>
              <w:right w:val="nil"/>
            </w:tcBorders>
            <w:shd w:val="clear" w:color="auto" w:fill="auto"/>
            <w:noWrap/>
            <w:vAlign w:val="center"/>
            <w:hideMark/>
          </w:tcPr>
          <w:p w14:paraId="005BA6D6"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3,611</w:t>
            </w:r>
          </w:p>
        </w:tc>
        <w:tc>
          <w:tcPr>
            <w:tcW w:w="520" w:type="pct"/>
            <w:tcBorders>
              <w:top w:val="nil"/>
              <w:left w:val="nil"/>
              <w:bottom w:val="nil"/>
              <w:right w:val="nil"/>
            </w:tcBorders>
            <w:shd w:val="clear" w:color="auto" w:fill="auto"/>
            <w:noWrap/>
            <w:vAlign w:val="center"/>
            <w:hideMark/>
          </w:tcPr>
          <w:p w14:paraId="571C01FC"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24.2</w:t>
            </w:r>
          </w:p>
        </w:tc>
        <w:tc>
          <w:tcPr>
            <w:tcW w:w="521" w:type="pct"/>
            <w:tcBorders>
              <w:top w:val="nil"/>
              <w:left w:val="nil"/>
              <w:bottom w:val="nil"/>
              <w:right w:val="nil"/>
            </w:tcBorders>
            <w:shd w:val="clear" w:color="auto" w:fill="auto"/>
            <w:noWrap/>
            <w:vAlign w:val="center"/>
            <w:hideMark/>
          </w:tcPr>
          <w:p w14:paraId="6884FAC3"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22.7</w:t>
            </w:r>
          </w:p>
        </w:tc>
        <w:tc>
          <w:tcPr>
            <w:tcW w:w="520" w:type="pct"/>
            <w:tcBorders>
              <w:top w:val="nil"/>
              <w:left w:val="nil"/>
              <w:bottom w:val="nil"/>
              <w:right w:val="nil"/>
            </w:tcBorders>
            <w:shd w:val="clear" w:color="auto" w:fill="auto"/>
            <w:noWrap/>
            <w:vAlign w:val="center"/>
            <w:hideMark/>
          </w:tcPr>
          <w:p w14:paraId="5094E760"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14.3</w:t>
            </w:r>
          </w:p>
        </w:tc>
        <w:tc>
          <w:tcPr>
            <w:tcW w:w="521" w:type="pct"/>
            <w:tcBorders>
              <w:top w:val="nil"/>
              <w:left w:val="nil"/>
              <w:bottom w:val="nil"/>
              <w:right w:val="nil"/>
            </w:tcBorders>
            <w:shd w:val="clear" w:color="auto" w:fill="auto"/>
            <w:noWrap/>
            <w:vAlign w:val="center"/>
            <w:hideMark/>
          </w:tcPr>
          <w:p w14:paraId="7B7D3439"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41.2</w:t>
            </w:r>
          </w:p>
        </w:tc>
        <w:tc>
          <w:tcPr>
            <w:tcW w:w="521" w:type="pct"/>
            <w:tcBorders>
              <w:top w:val="nil"/>
              <w:left w:val="nil"/>
              <w:bottom w:val="nil"/>
              <w:right w:val="nil"/>
            </w:tcBorders>
            <w:shd w:val="clear" w:color="auto" w:fill="auto"/>
            <w:noWrap/>
            <w:vAlign w:val="center"/>
            <w:hideMark/>
          </w:tcPr>
          <w:p w14:paraId="0D49738F"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64.4</w:t>
            </w:r>
          </w:p>
        </w:tc>
      </w:tr>
      <w:tr w:rsidR="00D24342" w:rsidRPr="00D24342" w14:paraId="2B52CDA1" w14:textId="77777777" w:rsidTr="000F0997">
        <w:trPr>
          <w:trHeight w:val="300"/>
        </w:trPr>
        <w:tc>
          <w:tcPr>
            <w:tcW w:w="1146" w:type="pct"/>
            <w:tcBorders>
              <w:top w:val="nil"/>
              <w:left w:val="nil"/>
              <w:bottom w:val="nil"/>
              <w:right w:val="nil"/>
            </w:tcBorders>
            <w:shd w:val="clear" w:color="auto" w:fill="auto"/>
            <w:noWrap/>
            <w:vAlign w:val="center"/>
            <w:hideMark/>
          </w:tcPr>
          <w:p w14:paraId="7D462BE7"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Guyana</w:t>
            </w:r>
          </w:p>
        </w:tc>
        <w:tc>
          <w:tcPr>
            <w:tcW w:w="345" w:type="pct"/>
            <w:tcBorders>
              <w:top w:val="nil"/>
              <w:left w:val="nil"/>
              <w:bottom w:val="nil"/>
              <w:right w:val="nil"/>
            </w:tcBorders>
            <w:shd w:val="clear" w:color="auto" w:fill="auto"/>
            <w:noWrap/>
            <w:vAlign w:val="center"/>
            <w:hideMark/>
          </w:tcPr>
          <w:p w14:paraId="080F449E"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2010</w:t>
            </w:r>
          </w:p>
        </w:tc>
        <w:tc>
          <w:tcPr>
            <w:tcW w:w="425" w:type="pct"/>
            <w:tcBorders>
              <w:top w:val="nil"/>
              <w:left w:val="nil"/>
              <w:bottom w:val="nil"/>
              <w:right w:val="nil"/>
            </w:tcBorders>
            <w:shd w:val="clear" w:color="auto" w:fill="auto"/>
            <w:noWrap/>
            <w:vAlign w:val="center"/>
            <w:hideMark/>
          </w:tcPr>
          <w:p w14:paraId="4CC81313"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76</w:t>
            </w:r>
          </w:p>
        </w:tc>
        <w:tc>
          <w:tcPr>
            <w:tcW w:w="481" w:type="pct"/>
            <w:tcBorders>
              <w:top w:val="nil"/>
              <w:left w:val="nil"/>
              <w:bottom w:val="nil"/>
              <w:right w:val="nil"/>
            </w:tcBorders>
            <w:shd w:val="clear" w:color="auto" w:fill="auto"/>
            <w:noWrap/>
            <w:vAlign w:val="center"/>
            <w:hideMark/>
          </w:tcPr>
          <w:p w14:paraId="3290AA27"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1,973</w:t>
            </w:r>
          </w:p>
        </w:tc>
        <w:tc>
          <w:tcPr>
            <w:tcW w:w="520" w:type="pct"/>
            <w:tcBorders>
              <w:top w:val="nil"/>
              <w:left w:val="nil"/>
              <w:bottom w:val="nil"/>
              <w:right w:val="nil"/>
            </w:tcBorders>
            <w:shd w:val="clear" w:color="auto" w:fill="auto"/>
            <w:noWrap/>
            <w:vAlign w:val="center"/>
            <w:hideMark/>
          </w:tcPr>
          <w:p w14:paraId="72DC635F"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39.2</w:t>
            </w:r>
          </w:p>
        </w:tc>
        <w:tc>
          <w:tcPr>
            <w:tcW w:w="521" w:type="pct"/>
            <w:tcBorders>
              <w:top w:val="nil"/>
              <w:left w:val="nil"/>
              <w:bottom w:val="nil"/>
              <w:right w:val="nil"/>
            </w:tcBorders>
            <w:shd w:val="clear" w:color="auto" w:fill="auto"/>
            <w:noWrap/>
            <w:vAlign w:val="center"/>
            <w:hideMark/>
          </w:tcPr>
          <w:p w14:paraId="0BDD1F1D"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38.1</w:t>
            </w:r>
          </w:p>
        </w:tc>
        <w:tc>
          <w:tcPr>
            <w:tcW w:w="520" w:type="pct"/>
            <w:tcBorders>
              <w:top w:val="nil"/>
              <w:left w:val="nil"/>
              <w:bottom w:val="nil"/>
              <w:right w:val="nil"/>
            </w:tcBorders>
            <w:shd w:val="clear" w:color="auto" w:fill="auto"/>
            <w:noWrap/>
            <w:vAlign w:val="center"/>
            <w:hideMark/>
          </w:tcPr>
          <w:p w14:paraId="3CFF48B8"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29.5</w:t>
            </w:r>
          </w:p>
        </w:tc>
        <w:tc>
          <w:tcPr>
            <w:tcW w:w="521" w:type="pct"/>
            <w:tcBorders>
              <w:top w:val="nil"/>
              <w:left w:val="nil"/>
              <w:bottom w:val="nil"/>
              <w:right w:val="nil"/>
            </w:tcBorders>
            <w:shd w:val="clear" w:color="auto" w:fill="auto"/>
            <w:noWrap/>
            <w:vAlign w:val="center"/>
            <w:hideMark/>
          </w:tcPr>
          <w:p w14:paraId="289582A0"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36.1</w:t>
            </w:r>
          </w:p>
        </w:tc>
        <w:tc>
          <w:tcPr>
            <w:tcW w:w="521" w:type="pct"/>
            <w:tcBorders>
              <w:top w:val="nil"/>
              <w:left w:val="nil"/>
              <w:bottom w:val="nil"/>
              <w:right w:val="nil"/>
            </w:tcBorders>
            <w:shd w:val="clear" w:color="auto" w:fill="auto"/>
            <w:noWrap/>
            <w:vAlign w:val="center"/>
            <w:hideMark/>
          </w:tcPr>
          <w:p w14:paraId="0AC10E6B"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58.6</w:t>
            </w:r>
          </w:p>
        </w:tc>
      </w:tr>
      <w:tr w:rsidR="00D24342" w:rsidRPr="00D24342" w14:paraId="241EDC32" w14:textId="77777777" w:rsidTr="000F0997">
        <w:trPr>
          <w:trHeight w:val="300"/>
        </w:trPr>
        <w:tc>
          <w:tcPr>
            <w:tcW w:w="1146" w:type="pct"/>
            <w:tcBorders>
              <w:top w:val="nil"/>
              <w:left w:val="nil"/>
              <w:bottom w:val="nil"/>
              <w:right w:val="nil"/>
            </w:tcBorders>
            <w:shd w:val="clear" w:color="auto" w:fill="auto"/>
            <w:noWrap/>
            <w:vAlign w:val="center"/>
            <w:hideMark/>
          </w:tcPr>
          <w:p w14:paraId="22A75A27"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Honduras</w:t>
            </w:r>
          </w:p>
        </w:tc>
        <w:tc>
          <w:tcPr>
            <w:tcW w:w="345" w:type="pct"/>
            <w:tcBorders>
              <w:top w:val="nil"/>
              <w:left w:val="nil"/>
              <w:bottom w:val="nil"/>
              <w:right w:val="nil"/>
            </w:tcBorders>
            <w:shd w:val="clear" w:color="auto" w:fill="auto"/>
            <w:noWrap/>
            <w:vAlign w:val="center"/>
            <w:hideMark/>
          </w:tcPr>
          <w:p w14:paraId="093A5AA5"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2012</w:t>
            </w:r>
          </w:p>
        </w:tc>
        <w:tc>
          <w:tcPr>
            <w:tcW w:w="425" w:type="pct"/>
            <w:tcBorders>
              <w:top w:val="nil"/>
              <w:left w:val="nil"/>
              <w:bottom w:val="nil"/>
              <w:right w:val="nil"/>
            </w:tcBorders>
            <w:shd w:val="clear" w:color="auto" w:fill="auto"/>
            <w:noWrap/>
            <w:vAlign w:val="center"/>
            <w:hideMark/>
          </w:tcPr>
          <w:p w14:paraId="1EB42291"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79</w:t>
            </w:r>
          </w:p>
        </w:tc>
        <w:tc>
          <w:tcPr>
            <w:tcW w:w="481" w:type="pct"/>
            <w:tcBorders>
              <w:top w:val="nil"/>
              <w:left w:val="nil"/>
              <w:bottom w:val="nil"/>
              <w:right w:val="nil"/>
            </w:tcBorders>
            <w:shd w:val="clear" w:color="auto" w:fill="auto"/>
            <w:noWrap/>
            <w:vAlign w:val="center"/>
            <w:hideMark/>
          </w:tcPr>
          <w:p w14:paraId="7F9ED81C"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1,486</w:t>
            </w:r>
          </w:p>
        </w:tc>
        <w:tc>
          <w:tcPr>
            <w:tcW w:w="520" w:type="pct"/>
            <w:tcBorders>
              <w:top w:val="nil"/>
              <w:left w:val="nil"/>
              <w:bottom w:val="nil"/>
              <w:right w:val="nil"/>
            </w:tcBorders>
            <w:shd w:val="clear" w:color="auto" w:fill="auto"/>
            <w:noWrap/>
            <w:vAlign w:val="center"/>
            <w:hideMark/>
          </w:tcPr>
          <w:p w14:paraId="0BD5964C"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20.8</w:t>
            </w:r>
          </w:p>
        </w:tc>
        <w:tc>
          <w:tcPr>
            <w:tcW w:w="521" w:type="pct"/>
            <w:tcBorders>
              <w:top w:val="nil"/>
              <w:left w:val="nil"/>
              <w:bottom w:val="nil"/>
              <w:right w:val="nil"/>
            </w:tcBorders>
            <w:shd w:val="clear" w:color="auto" w:fill="auto"/>
            <w:noWrap/>
            <w:vAlign w:val="center"/>
            <w:hideMark/>
          </w:tcPr>
          <w:p w14:paraId="1BF39949"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28.4</w:t>
            </w:r>
          </w:p>
        </w:tc>
        <w:tc>
          <w:tcPr>
            <w:tcW w:w="520" w:type="pct"/>
            <w:tcBorders>
              <w:top w:val="nil"/>
              <w:left w:val="nil"/>
              <w:bottom w:val="nil"/>
              <w:right w:val="nil"/>
            </w:tcBorders>
            <w:shd w:val="clear" w:color="auto" w:fill="auto"/>
            <w:noWrap/>
            <w:vAlign w:val="center"/>
            <w:hideMark/>
          </w:tcPr>
          <w:p w14:paraId="6B4C376B"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21.6</w:t>
            </w:r>
          </w:p>
        </w:tc>
        <w:tc>
          <w:tcPr>
            <w:tcW w:w="521" w:type="pct"/>
            <w:tcBorders>
              <w:top w:val="nil"/>
              <w:left w:val="nil"/>
              <w:bottom w:val="nil"/>
              <w:right w:val="nil"/>
            </w:tcBorders>
            <w:shd w:val="clear" w:color="auto" w:fill="auto"/>
            <w:noWrap/>
            <w:vAlign w:val="center"/>
            <w:hideMark/>
          </w:tcPr>
          <w:p w14:paraId="65F70306"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37.4</w:t>
            </w:r>
          </w:p>
        </w:tc>
        <w:tc>
          <w:tcPr>
            <w:tcW w:w="521" w:type="pct"/>
            <w:tcBorders>
              <w:top w:val="nil"/>
              <w:left w:val="nil"/>
              <w:bottom w:val="nil"/>
              <w:right w:val="nil"/>
            </w:tcBorders>
            <w:shd w:val="clear" w:color="auto" w:fill="auto"/>
            <w:noWrap/>
            <w:vAlign w:val="center"/>
            <w:hideMark/>
          </w:tcPr>
          <w:p w14:paraId="503BE076"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46.4</w:t>
            </w:r>
          </w:p>
        </w:tc>
      </w:tr>
      <w:tr w:rsidR="00D24342" w:rsidRPr="00D24342" w14:paraId="002D7C0E" w14:textId="77777777" w:rsidTr="000F0997">
        <w:trPr>
          <w:trHeight w:val="300"/>
        </w:trPr>
        <w:tc>
          <w:tcPr>
            <w:tcW w:w="1146" w:type="pct"/>
            <w:tcBorders>
              <w:top w:val="nil"/>
              <w:left w:val="nil"/>
              <w:bottom w:val="nil"/>
              <w:right w:val="nil"/>
            </w:tcBorders>
            <w:shd w:val="clear" w:color="auto" w:fill="auto"/>
            <w:noWrap/>
            <w:vAlign w:val="center"/>
            <w:hideMark/>
          </w:tcPr>
          <w:p w14:paraId="4EF22F06"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Indonesia</w:t>
            </w:r>
          </w:p>
        </w:tc>
        <w:tc>
          <w:tcPr>
            <w:tcW w:w="345" w:type="pct"/>
            <w:tcBorders>
              <w:top w:val="nil"/>
              <w:left w:val="nil"/>
              <w:bottom w:val="nil"/>
              <w:right w:val="nil"/>
            </w:tcBorders>
            <w:shd w:val="clear" w:color="auto" w:fill="auto"/>
            <w:noWrap/>
            <w:vAlign w:val="center"/>
            <w:hideMark/>
          </w:tcPr>
          <w:p w14:paraId="3C02D03F"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2015</w:t>
            </w:r>
          </w:p>
        </w:tc>
        <w:tc>
          <w:tcPr>
            <w:tcW w:w="425" w:type="pct"/>
            <w:tcBorders>
              <w:top w:val="nil"/>
              <w:left w:val="nil"/>
              <w:bottom w:val="nil"/>
              <w:right w:val="nil"/>
            </w:tcBorders>
            <w:shd w:val="clear" w:color="auto" w:fill="auto"/>
            <w:noWrap/>
            <w:vAlign w:val="center"/>
            <w:hideMark/>
          </w:tcPr>
          <w:p w14:paraId="52FBDD46"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94</w:t>
            </w:r>
          </w:p>
        </w:tc>
        <w:tc>
          <w:tcPr>
            <w:tcW w:w="481" w:type="pct"/>
            <w:tcBorders>
              <w:top w:val="nil"/>
              <w:left w:val="nil"/>
              <w:bottom w:val="nil"/>
              <w:right w:val="nil"/>
            </w:tcBorders>
            <w:shd w:val="clear" w:color="auto" w:fill="auto"/>
            <w:noWrap/>
            <w:vAlign w:val="center"/>
            <w:hideMark/>
          </w:tcPr>
          <w:p w14:paraId="23649ED9"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8,806</w:t>
            </w:r>
          </w:p>
        </w:tc>
        <w:tc>
          <w:tcPr>
            <w:tcW w:w="520" w:type="pct"/>
            <w:tcBorders>
              <w:top w:val="nil"/>
              <w:left w:val="nil"/>
              <w:bottom w:val="nil"/>
              <w:right w:val="nil"/>
            </w:tcBorders>
            <w:shd w:val="clear" w:color="auto" w:fill="auto"/>
            <w:noWrap/>
            <w:vAlign w:val="center"/>
            <w:hideMark/>
          </w:tcPr>
          <w:p w14:paraId="662EAB32"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34.3</w:t>
            </w:r>
          </w:p>
        </w:tc>
        <w:tc>
          <w:tcPr>
            <w:tcW w:w="521" w:type="pct"/>
            <w:tcBorders>
              <w:top w:val="nil"/>
              <w:left w:val="nil"/>
              <w:bottom w:val="nil"/>
              <w:right w:val="nil"/>
            </w:tcBorders>
            <w:shd w:val="clear" w:color="auto" w:fill="auto"/>
            <w:noWrap/>
            <w:vAlign w:val="center"/>
            <w:hideMark/>
          </w:tcPr>
          <w:p w14:paraId="276A7821"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25.1</w:t>
            </w:r>
          </w:p>
        </w:tc>
        <w:tc>
          <w:tcPr>
            <w:tcW w:w="520" w:type="pct"/>
            <w:tcBorders>
              <w:top w:val="nil"/>
              <w:left w:val="nil"/>
              <w:bottom w:val="nil"/>
              <w:right w:val="nil"/>
            </w:tcBorders>
            <w:shd w:val="clear" w:color="auto" w:fill="auto"/>
            <w:noWrap/>
            <w:vAlign w:val="center"/>
            <w:hideMark/>
          </w:tcPr>
          <w:p w14:paraId="3A8F5119"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5.4</w:t>
            </w:r>
          </w:p>
        </w:tc>
        <w:tc>
          <w:tcPr>
            <w:tcW w:w="521" w:type="pct"/>
            <w:tcBorders>
              <w:top w:val="nil"/>
              <w:left w:val="nil"/>
              <w:bottom w:val="nil"/>
              <w:right w:val="nil"/>
            </w:tcBorders>
            <w:shd w:val="clear" w:color="auto" w:fill="auto"/>
            <w:noWrap/>
            <w:vAlign w:val="center"/>
            <w:hideMark/>
          </w:tcPr>
          <w:p w14:paraId="2726EE05"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74.4</w:t>
            </w:r>
          </w:p>
        </w:tc>
        <w:tc>
          <w:tcPr>
            <w:tcW w:w="521" w:type="pct"/>
            <w:tcBorders>
              <w:top w:val="nil"/>
              <w:left w:val="nil"/>
              <w:bottom w:val="nil"/>
              <w:right w:val="nil"/>
            </w:tcBorders>
            <w:shd w:val="clear" w:color="auto" w:fill="auto"/>
            <w:noWrap/>
            <w:vAlign w:val="center"/>
            <w:hideMark/>
          </w:tcPr>
          <w:p w14:paraId="1B8609AA"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59.5</w:t>
            </w:r>
          </w:p>
        </w:tc>
      </w:tr>
      <w:tr w:rsidR="00D24342" w:rsidRPr="00D24342" w14:paraId="3CCBB3AB" w14:textId="77777777" w:rsidTr="000F0997">
        <w:trPr>
          <w:trHeight w:val="300"/>
        </w:trPr>
        <w:tc>
          <w:tcPr>
            <w:tcW w:w="1146" w:type="pct"/>
            <w:tcBorders>
              <w:top w:val="nil"/>
              <w:left w:val="nil"/>
              <w:bottom w:val="nil"/>
              <w:right w:val="nil"/>
            </w:tcBorders>
            <w:shd w:val="clear" w:color="auto" w:fill="auto"/>
            <w:noWrap/>
            <w:vAlign w:val="center"/>
            <w:hideMark/>
          </w:tcPr>
          <w:p w14:paraId="6BFCC886"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Kenya</w:t>
            </w:r>
          </w:p>
        </w:tc>
        <w:tc>
          <w:tcPr>
            <w:tcW w:w="345" w:type="pct"/>
            <w:tcBorders>
              <w:top w:val="nil"/>
              <w:left w:val="nil"/>
              <w:bottom w:val="nil"/>
              <w:right w:val="nil"/>
            </w:tcBorders>
            <w:shd w:val="clear" w:color="auto" w:fill="auto"/>
            <w:noWrap/>
            <w:vAlign w:val="center"/>
            <w:hideMark/>
          </w:tcPr>
          <w:p w14:paraId="5BA5B9A9"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2003</w:t>
            </w:r>
          </w:p>
        </w:tc>
        <w:tc>
          <w:tcPr>
            <w:tcW w:w="425" w:type="pct"/>
            <w:tcBorders>
              <w:top w:val="nil"/>
              <w:left w:val="nil"/>
              <w:bottom w:val="nil"/>
              <w:right w:val="nil"/>
            </w:tcBorders>
            <w:shd w:val="clear" w:color="auto" w:fill="auto"/>
            <w:noWrap/>
            <w:vAlign w:val="center"/>
            <w:hideMark/>
          </w:tcPr>
          <w:p w14:paraId="7FD06FB8"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84</w:t>
            </w:r>
          </w:p>
        </w:tc>
        <w:tc>
          <w:tcPr>
            <w:tcW w:w="481" w:type="pct"/>
            <w:tcBorders>
              <w:top w:val="nil"/>
              <w:left w:val="nil"/>
              <w:bottom w:val="nil"/>
              <w:right w:val="nil"/>
            </w:tcBorders>
            <w:shd w:val="clear" w:color="auto" w:fill="auto"/>
            <w:noWrap/>
            <w:vAlign w:val="center"/>
            <w:hideMark/>
          </w:tcPr>
          <w:p w14:paraId="7A5AD230"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2,971</w:t>
            </w:r>
          </w:p>
        </w:tc>
        <w:tc>
          <w:tcPr>
            <w:tcW w:w="520" w:type="pct"/>
            <w:tcBorders>
              <w:top w:val="nil"/>
              <w:left w:val="nil"/>
              <w:bottom w:val="nil"/>
              <w:right w:val="nil"/>
            </w:tcBorders>
            <w:shd w:val="clear" w:color="auto" w:fill="auto"/>
            <w:noWrap/>
            <w:vAlign w:val="center"/>
            <w:hideMark/>
          </w:tcPr>
          <w:p w14:paraId="093E6E75"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NA</w:t>
            </w:r>
          </w:p>
        </w:tc>
        <w:tc>
          <w:tcPr>
            <w:tcW w:w="521" w:type="pct"/>
            <w:tcBorders>
              <w:top w:val="nil"/>
              <w:left w:val="nil"/>
              <w:bottom w:val="nil"/>
              <w:right w:val="nil"/>
            </w:tcBorders>
            <w:shd w:val="clear" w:color="auto" w:fill="auto"/>
            <w:noWrap/>
            <w:vAlign w:val="center"/>
            <w:hideMark/>
          </w:tcPr>
          <w:p w14:paraId="3B202B16"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49.7</w:t>
            </w:r>
          </w:p>
        </w:tc>
        <w:tc>
          <w:tcPr>
            <w:tcW w:w="520" w:type="pct"/>
            <w:tcBorders>
              <w:top w:val="nil"/>
              <w:left w:val="nil"/>
              <w:bottom w:val="nil"/>
              <w:right w:val="nil"/>
            </w:tcBorders>
            <w:shd w:val="clear" w:color="auto" w:fill="auto"/>
            <w:noWrap/>
            <w:vAlign w:val="center"/>
            <w:hideMark/>
          </w:tcPr>
          <w:p w14:paraId="5C21C7C1"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32.9</w:t>
            </w:r>
          </w:p>
        </w:tc>
        <w:tc>
          <w:tcPr>
            <w:tcW w:w="521" w:type="pct"/>
            <w:tcBorders>
              <w:top w:val="nil"/>
              <w:left w:val="nil"/>
              <w:bottom w:val="nil"/>
              <w:right w:val="nil"/>
            </w:tcBorders>
            <w:shd w:val="clear" w:color="auto" w:fill="auto"/>
            <w:noWrap/>
            <w:vAlign w:val="center"/>
            <w:hideMark/>
          </w:tcPr>
          <w:p w14:paraId="16F90C03"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57.9</w:t>
            </w:r>
          </w:p>
        </w:tc>
        <w:tc>
          <w:tcPr>
            <w:tcW w:w="521" w:type="pct"/>
            <w:tcBorders>
              <w:top w:val="nil"/>
              <w:left w:val="nil"/>
              <w:bottom w:val="nil"/>
              <w:right w:val="nil"/>
            </w:tcBorders>
            <w:shd w:val="clear" w:color="auto" w:fill="auto"/>
            <w:noWrap/>
            <w:vAlign w:val="center"/>
            <w:hideMark/>
          </w:tcPr>
          <w:p w14:paraId="6B4E7AD8"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NA</w:t>
            </w:r>
          </w:p>
        </w:tc>
      </w:tr>
      <w:tr w:rsidR="00D24342" w:rsidRPr="00D24342" w14:paraId="47497DFE" w14:textId="77777777" w:rsidTr="000F0997">
        <w:trPr>
          <w:trHeight w:val="300"/>
        </w:trPr>
        <w:tc>
          <w:tcPr>
            <w:tcW w:w="1146" w:type="pct"/>
            <w:tcBorders>
              <w:top w:val="nil"/>
              <w:left w:val="nil"/>
              <w:bottom w:val="nil"/>
              <w:right w:val="nil"/>
            </w:tcBorders>
            <w:shd w:val="clear" w:color="auto" w:fill="auto"/>
            <w:noWrap/>
            <w:vAlign w:val="center"/>
            <w:hideMark/>
          </w:tcPr>
          <w:p w14:paraId="6DB8830E"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Kiribati</w:t>
            </w:r>
          </w:p>
        </w:tc>
        <w:tc>
          <w:tcPr>
            <w:tcW w:w="345" w:type="pct"/>
            <w:tcBorders>
              <w:top w:val="nil"/>
              <w:left w:val="nil"/>
              <w:bottom w:val="nil"/>
              <w:right w:val="nil"/>
            </w:tcBorders>
            <w:shd w:val="clear" w:color="auto" w:fill="auto"/>
            <w:noWrap/>
            <w:vAlign w:val="center"/>
            <w:hideMark/>
          </w:tcPr>
          <w:p w14:paraId="5A88AB6B"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2011</w:t>
            </w:r>
          </w:p>
        </w:tc>
        <w:tc>
          <w:tcPr>
            <w:tcW w:w="425" w:type="pct"/>
            <w:tcBorders>
              <w:top w:val="nil"/>
              <w:left w:val="nil"/>
              <w:bottom w:val="nil"/>
              <w:right w:val="nil"/>
            </w:tcBorders>
            <w:shd w:val="clear" w:color="auto" w:fill="auto"/>
            <w:noWrap/>
            <w:vAlign w:val="center"/>
            <w:hideMark/>
          </w:tcPr>
          <w:p w14:paraId="4825011C"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85</w:t>
            </w:r>
          </w:p>
        </w:tc>
        <w:tc>
          <w:tcPr>
            <w:tcW w:w="481" w:type="pct"/>
            <w:tcBorders>
              <w:top w:val="nil"/>
              <w:left w:val="nil"/>
              <w:bottom w:val="nil"/>
              <w:right w:val="nil"/>
            </w:tcBorders>
            <w:shd w:val="clear" w:color="auto" w:fill="auto"/>
            <w:noWrap/>
            <w:vAlign w:val="center"/>
            <w:hideMark/>
          </w:tcPr>
          <w:p w14:paraId="4EA875D3"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1,340</w:t>
            </w:r>
          </w:p>
        </w:tc>
        <w:tc>
          <w:tcPr>
            <w:tcW w:w="520" w:type="pct"/>
            <w:tcBorders>
              <w:top w:val="nil"/>
              <w:left w:val="nil"/>
              <w:bottom w:val="nil"/>
              <w:right w:val="nil"/>
            </w:tcBorders>
            <w:shd w:val="clear" w:color="auto" w:fill="auto"/>
            <w:noWrap/>
            <w:vAlign w:val="center"/>
            <w:hideMark/>
          </w:tcPr>
          <w:p w14:paraId="2FBCF3A6"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10.1</w:t>
            </w:r>
          </w:p>
        </w:tc>
        <w:tc>
          <w:tcPr>
            <w:tcW w:w="521" w:type="pct"/>
            <w:tcBorders>
              <w:top w:val="nil"/>
              <w:left w:val="nil"/>
              <w:bottom w:val="nil"/>
              <w:right w:val="nil"/>
            </w:tcBorders>
            <w:shd w:val="clear" w:color="auto" w:fill="auto"/>
            <w:noWrap/>
            <w:vAlign w:val="center"/>
            <w:hideMark/>
          </w:tcPr>
          <w:p w14:paraId="7EDBF287"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35.7</w:t>
            </w:r>
          </w:p>
        </w:tc>
        <w:tc>
          <w:tcPr>
            <w:tcW w:w="520" w:type="pct"/>
            <w:tcBorders>
              <w:top w:val="nil"/>
              <w:left w:val="nil"/>
              <w:bottom w:val="nil"/>
              <w:right w:val="nil"/>
            </w:tcBorders>
            <w:shd w:val="clear" w:color="auto" w:fill="auto"/>
            <w:noWrap/>
            <w:vAlign w:val="center"/>
            <w:hideMark/>
          </w:tcPr>
          <w:p w14:paraId="56F43355"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21.7</w:t>
            </w:r>
          </w:p>
        </w:tc>
        <w:tc>
          <w:tcPr>
            <w:tcW w:w="521" w:type="pct"/>
            <w:tcBorders>
              <w:top w:val="nil"/>
              <w:left w:val="nil"/>
              <w:bottom w:val="nil"/>
              <w:right w:val="nil"/>
            </w:tcBorders>
            <w:shd w:val="clear" w:color="auto" w:fill="auto"/>
            <w:noWrap/>
            <w:vAlign w:val="center"/>
            <w:hideMark/>
          </w:tcPr>
          <w:p w14:paraId="71621B51"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75.7</w:t>
            </w:r>
          </w:p>
        </w:tc>
        <w:tc>
          <w:tcPr>
            <w:tcW w:w="521" w:type="pct"/>
            <w:tcBorders>
              <w:top w:val="nil"/>
              <w:left w:val="nil"/>
              <w:bottom w:val="nil"/>
              <w:right w:val="nil"/>
            </w:tcBorders>
            <w:shd w:val="clear" w:color="auto" w:fill="auto"/>
            <w:noWrap/>
            <w:vAlign w:val="center"/>
            <w:hideMark/>
          </w:tcPr>
          <w:p w14:paraId="5BBEF1A7"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53.9</w:t>
            </w:r>
          </w:p>
        </w:tc>
      </w:tr>
      <w:tr w:rsidR="00D24342" w:rsidRPr="00D24342" w14:paraId="735068C8" w14:textId="77777777" w:rsidTr="000F0997">
        <w:trPr>
          <w:trHeight w:val="300"/>
        </w:trPr>
        <w:tc>
          <w:tcPr>
            <w:tcW w:w="1146" w:type="pct"/>
            <w:tcBorders>
              <w:top w:val="nil"/>
              <w:left w:val="nil"/>
              <w:bottom w:val="nil"/>
              <w:right w:val="nil"/>
            </w:tcBorders>
            <w:shd w:val="clear" w:color="auto" w:fill="auto"/>
            <w:noWrap/>
            <w:vAlign w:val="center"/>
            <w:hideMark/>
          </w:tcPr>
          <w:p w14:paraId="69734972"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Laos</w:t>
            </w:r>
          </w:p>
        </w:tc>
        <w:tc>
          <w:tcPr>
            <w:tcW w:w="345" w:type="pct"/>
            <w:tcBorders>
              <w:top w:val="nil"/>
              <w:left w:val="nil"/>
              <w:bottom w:val="nil"/>
              <w:right w:val="nil"/>
            </w:tcBorders>
            <w:shd w:val="clear" w:color="auto" w:fill="auto"/>
            <w:noWrap/>
            <w:vAlign w:val="center"/>
            <w:hideMark/>
          </w:tcPr>
          <w:p w14:paraId="06D581E5"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2015</w:t>
            </w:r>
          </w:p>
        </w:tc>
        <w:tc>
          <w:tcPr>
            <w:tcW w:w="425" w:type="pct"/>
            <w:tcBorders>
              <w:top w:val="nil"/>
              <w:left w:val="nil"/>
              <w:bottom w:val="nil"/>
              <w:right w:val="nil"/>
            </w:tcBorders>
            <w:shd w:val="clear" w:color="auto" w:fill="auto"/>
            <w:noWrap/>
            <w:vAlign w:val="center"/>
            <w:hideMark/>
          </w:tcPr>
          <w:p w14:paraId="47E4DBBF"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70</w:t>
            </w:r>
          </w:p>
        </w:tc>
        <w:tc>
          <w:tcPr>
            <w:tcW w:w="481" w:type="pct"/>
            <w:tcBorders>
              <w:top w:val="nil"/>
              <w:left w:val="nil"/>
              <w:bottom w:val="nil"/>
              <w:right w:val="nil"/>
            </w:tcBorders>
            <w:shd w:val="clear" w:color="auto" w:fill="auto"/>
            <w:noWrap/>
            <w:vAlign w:val="center"/>
            <w:hideMark/>
          </w:tcPr>
          <w:p w14:paraId="31CF1903"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1,644</w:t>
            </w:r>
          </w:p>
        </w:tc>
        <w:tc>
          <w:tcPr>
            <w:tcW w:w="520" w:type="pct"/>
            <w:tcBorders>
              <w:top w:val="nil"/>
              <w:left w:val="nil"/>
              <w:bottom w:val="nil"/>
              <w:right w:val="nil"/>
            </w:tcBorders>
            <w:shd w:val="clear" w:color="auto" w:fill="auto"/>
            <w:noWrap/>
            <w:vAlign w:val="center"/>
            <w:hideMark/>
          </w:tcPr>
          <w:p w14:paraId="70FF4DC5"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19.5</w:t>
            </w:r>
          </w:p>
        </w:tc>
        <w:tc>
          <w:tcPr>
            <w:tcW w:w="521" w:type="pct"/>
            <w:tcBorders>
              <w:top w:val="nil"/>
              <w:left w:val="nil"/>
              <w:bottom w:val="nil"/>
              <w:right w:val="nil"/>
            </w:tcBorders>
            <w:shd w:val="clear" w:color="auto" w:fill="auto"/>
            <w:noWrap/>
            <w:vAlign w:val="center"/>
            <w:hideMark/>
          </w:tcPr>
          <w:p w14:paraId="0D577BED"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10.2</w:t>
            </w:r>
          </w:p>
        </w:tc>
        <w:tc>
          <w:tcPr>
            <w:tcW w:w="520" w:type="pct"/>
            <w:tcBorders>
              <w:top w:val="nil"/>
              <w:left w:val="nil"/>
              <w:bottom w:val="nil"/>
              <w:right w:val="nil"/>
            </w:tcBorders>
            <w:shd w:val="clear" w:color="auto" w:fill="auto"/>
            <w:noWrap/>
            <w:vAlign w:val="center"/>
            <w:hideMark/>
          </w:tcPr>
          <w:p w14:paraId="7039E23A"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9.5</w:t>
            </w:r>
          </w:p>
        </w:tc>
        <w:tc>
          <w:tcPr>
            <w:tcW w:w="521" w:type="pct"/>
            <w:tcBorders>
              <w:top w:val="nil"/>
              <w:left w:val="nil"/>
              <w:bottom w:val="nil"/>
              <w:right w:val="nil"/>
            </w:tcBorders>
            <w:shd w:val="clear" w:color="auto" w:fill="auto"/>
            <w:noWrap/>
            <w:vAlign w:val="center"/>
            <w:hideMark/>
          </w:tcPr>
          <w:p w14:paraId="77A8AE92"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37.8</w:t>
            </w:r>
          </w:p>
        </w:tc>
        <w:tc>
          <w:tcPr>
            <w:tcW w:w="521" w:type="pct"/>
            <w:tcBorders>
              <w:top w:val="nil"/>
              <w:left w:val="nil"/>
              <w:bottom w:val="nil"/>
              <w:right w:val="nil"/>
            </w:tcBorders>
            <w:shd w:val="clear" w:color="auto" w:fill="auto"/>
            <w:noWrap/>
            <w:vAlign w:val="center"/>
            <w:hideMark/>
          </w:tcPr>
          <w:p w14:paraId="1D3E1FA3"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56.1</w:t>
            </w:r>
          </w:p>
        </w:tc>
      </w:tr>
      <w:tr w:rsidR="00D24342" w:rsidRPr="00D24342" w14:paraId="14C24E60" w14:textId="77777777" w:rsidTr="000F0997">
        <w:trPr>
          <w:trHeight w:val="300"/>
        </w:trPr>
        <w:tc>
          <w:tcPr>
            <w:tcW w:w="1146" w:type="pct"/>
            <w:tcBorders>
              <w:top w:val="nil"/>
              <w:left w:val="nil"/>
              <w:bottom w:val="nil"/>
              <w:right w:val="nil"/>
            </w:tcBorders>
            <w:shd w:val="clear" w:color="auto" w:fill="auto"/>
            <w:noWrap/>
            <w:vAlign w:val="center"/>
            <w:hideMark/>
          </w:tcPr>
          <w:p w14:paraId="6ED0C62D"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Macedonia</w:t>
            </w:r>
          </w:p>
        </w:tc>
        <w:tc>
          <w:tcPr>
            <w:tcW w:w="345" w:type="pct"/>
            <w:tcBorders>
              <w:top w:val="nil"/>
              <w:left w:val="nil"/>
              <w:bottom w:val="nil"/>
              <w:right w:val="nil"/>
            </w:tcBorders>
            <w:shd w:val="clear" w:color="auto" w:fill="auto"/>
            <w:noWrap/>
            <w:vAlign w:val="center"/>
            <w:hideMark/>
          </w:tcPr>
          <w:p w14:paraId="5A4FA08F"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2007</w:t>
            </w:r>
          </w:p>
        </w:tc>
        <w:tc>
          <w:tcPr>
            <w:tcW w:w="425" w:type="pct"/>
            <w:tcBorders>
              <w:top w:val="nil"/>
              <w:left w:val="nil"/>
              <w:bottom w:val="nil"/>
              <w:right w:val="nil"/>
            </w:tcBorders>
            <w:shd w:val="clear" w:color="auto" w:fill="auto"/>
            <w:noWrap/>
            <w:vAlign w:val="center"/>
            <w:hideMark/>
          </w:tcPr>
          <w:p w14:paraId="3BCF83AA"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93</w:t>
            </w:r>
          </w:p>
        </w:tc>
        <w:tc>
          <w:tcPr>
            <w:tcW w:w="481" w:type="pct"/>
            <w:tcBorders>
              <w:top w:val="nil"/>
              <w:left w:val="nil"/>
              <w:bottom w:val="nil"/>
              <w:right w:val="nil"/>
            </w:tcBorders>
            <w:shd w:val="clear" w:color="auto" w:fill="auto"/>
            <w:noWrap/>
            <w:vAlign w:val="center"/>
            <w:hideMark/>
          </w:tcPr>
          <w:p w14:paraId="22FAD1F3"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1,550</w:t>
            </w:r>
          </w:p>
        </w:tc>
        <w:tc>
          <w:tcPr>
            <w:tcW w:w="520" w:type="pct"/>
            <w:tcBorders>
              <w:top w:val="nil"/>
              <w:left w:val="nil"/>
              <w:bottom w:val="nil"/>
              <w:right w:val="nil"/>
            </w:tcBorders>
            <w:shd w:val="clear" w:color="auto" w:fill="auto"/>
            <w:noWrap/>
            <w:vAlign w:val="center"/>
            <w:hideMark/>
          </w:tcPr>
          <w:p w14:paraId="0B550BCE"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19.0</w:t>
            </w:r>
          </w:p>
        </w:tc>
        <w:tc>
          <w:tcPr>
            <w:tcW w:w="521" w:type="pct"/>
            <w:tcBorders>
              <w:top w:val="nil"/>
              <w:left w:val="nil"/>
              <w:bottom w:val="nil"/>
              <w:right w:val="nil"/>
            </w:tcBorders>
            <w:shd w:val="clear" w:color="auto" w:fill="auto"/>
            <w:noWrap/>
            <w:vAlign w:val="center"/>
            <w:hideMark/>
          </w:tcPr>
          <w:p w14:paraId="58B29DF9"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29.5</w:t>
            </w:r>
          </w:p>
        </w:tc>
        <w:tc>
          <w:tcPr>
            <w:tcW w:w="520" w:type="pct"/>
            <w:tcBorders>
              <w:top w:val="nil"/>
              <w:left w:val="nil"/>
              <w:bottom w:val="nil"/>
              <w:right w:val="nil"/>
            </w:tcBorders>
            <w:shd w:val="clear" w:color="auto" w:fill="auto"/>
            <w:noWrap/>
            <w:vAlign w:val="center"/>
            <w:hideMark/>
          </w:tcPr>
          <w:p w14:paraId="576345E1"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8.8</w:t>
            </w:r>
          </w:p>
        </w:tc>
        <w:tc>
          <w:tcPr>
            <w:tcW w:w="521" w:type="pct"/>
            <w:tcBorders>
              <w:top w:val="nil"/>
              <w:left w:val="nil"/>
              <w:bottom w:val="nil"/>
              <w:right w:val="nil"/>
            </w:tcBorders>
            <w:shd w:val="clear" w:color="auto" w:fill="auto"/>
            <w:noWrap/>
            <w:vAlign w:val="center"/>
            <w:hideMark/>
          </w:tcPr>
          <w:p w14:paraId="167C9C36"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22.0</w:t>
            </w:r>
          </w:p>
        </w:tc>
        <w:tc>
          <w:tcPr>
            <w:tcW w:w="521" w:type="pct"/>
            <w:tcBorders>
              <w:top w:val="nil"/>
              <w:left w:val="nil"/>
              <w:bottom w:val="nil"/>
              <w:right w:val="nil"/>
            </w:tcBorders>
            <w:shd w:val="clear" w:color="auto" w:fill="auto"/>
            <w:noWrap/>
            <w:vAlign w:val="center"/>
            <w:hideMark/>
          </w:tcPr>
          <w:p w14:paraId="4581846E"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39.8</w:t>
            </w:r>
          </w:p>
        </w:tc>
      </w:tr>
      <w:tr w:rsidR="00D24342" w:rsidRPr="00D24342" w14:paraId="1674B624" w14:textId="77777777" w:rsidTr="000F0997">
        <w:trPr>
          <w:trHeight w:val="300"/>
        </w:trPr>
        <w:tc>
          <w:tcPr>
            <w:tcW w:w="1146" w:type="pct"/>
            <w:tcBorders>
              <w:top w:val="nil"/>
              <w:left w:val="nil"/>
              <w:bottom w:val="nil"/>
              <w:right w:val="nil"/>
            </w:tcBorders>
            <w:shd w:val="clear" w:color="auto" w:fill="auto"/>
            <w:noWrap/>
            <w:vAlign w:val="center"/>
            <w:hideMark/>
          </w:tcPr>
          <w:p w14:paraId="7D456741"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Malawi</w:t>
            </w:r>
          </w:p>
        </w:tc>
        <w:tc>
          <w:tcPr>
            <w:tcW w:w="345" w:type="pct"/>
            <w:tcBorders>
              <w:top w:val="nil"/>
              <w:left w:val="nil"/>
              <w:bottom w:val="nil"/>
              <w:right w:val="nil"/>
            </w:tcBorders>
            <w:shd w:val="clear" w:color="auto" w:fill="auto"/>
            <w:noWrap/>
            <w:vAlign w:val="center"/>
            <w:hideMark/>
          </w:tcPr>
          <w:p w14:paraId="6A971329"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2009</w:t>
            </w:r>
          </w:p>
        </w:tc>
        <w:tc>
          <w:tcPr>
            <w:tcW w:w="425" w:type="pct"/>
            <w:tcBorders>
              <w:top w:val="nil"/>
              <w:left w:val="nil"/>
              <w:bottom w:val="nil"/>
              <w:right w:val="nil"/>
            </w:tcBorders>
            <w:shd w:val="clear" w:color="auto" w:fill="auto"/>
            <w:noWrap/>
            <w:vAlign w:val="center"/>
            <w:hideMark/>
          </w:tcPr>
          <w:p w14:paraId="40C6F11F"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94</w:t>
            </w:r>
          </w:p>
        </w:tc>
        <w:tc>
          <w:tcPr>
            <w:tcW w:w="481" w:type="pct"/>
            <w:tcBorders>
              <w:top w:val="nil"/>
              <w:left w:val="nil"/>
              <w:bottom w:val="nil"/>
              <w:right w:val="nil"/>
            </w:tcBorders>
            <w:shd w:val="clear" w:color="auto" w:fill="auto"/>
            <w:noWrap/>
            <w:vAlign w:val="center"/>
            <w:hideMark/>
          </w:tcPr>
          <w:p w14:paraId="2B1D1B50"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2,224</w:t>
            </w:r>
          </w:p>
        </w:tc>
        <w:tc>
          <w:tcPr>
            <w:tcW w:w="520" w:type="pct"/>
            <w:tcBorders>
              <w:top w:val="nil"/>
              <w:left w:val="nil"/>
              <w:bottom w:val="nil"/>
              <w:right w:val="nil"/>
            </w:tcBorders>
            <w:shd w:val="clear" w:color="auto" w:fill="auto"/>
            <w:noWrap/>
            <w:vAlign w:val="center"/>
            <w:hideMark/>
          </w:tcPr>
          <w:p w14:paraId="16AD98DE"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37.0</w:t>
            </w:r>
          </w:p>
        </w:tc>
        <w:tc>
          <w:tcPr>
            <w:tcW w:w="521" w:type="pct"/>
            <w:tcBorders>
              <w:top w:val="nil"/>
              <w:left w:val="nil"/>
              <w:bottom w:val="nil"/>
              <w:right w:val="nil"/>
            </w:tcBorders>
            <w:shd w:val="clear" w:color="auto" w:fill="auto"/>
            <w:noWrap/>
            <w:vAlign w:val="center"/>
            <w:hideMark/>
          </w:tcPr>
          <w:p w14:paraId="1CCE3718"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22.9</w:t>
            </w:r>
          </w:p>
        </w:tc>
        <w:tc>
          <w:tcPr>
            <w:tcW w:w="520" w:type="pct"/>
            <w:tcBorders>
              <w:top w:val="nil"/>
              <w:left w:val="nil"/>
              <w:bottom w:val="nil"/>
              <w:right w:val="nil"/>
            </w:tcBorders>
            <w:shd w:val="clear" w:color="auto" w:fill="auto"/>
            <w:noWrap/>
            <w:vAlign w:val="center"/>
            <w:hideMark/>
          </w:tcPr>
          <w:p w14:paraId="2E246145"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22.8</w:t>
            </w:r>
          </w:p>
        </w:tc>
        <w:tc>
          <w:tcPr>
            <w:tcW w:w="521" w:type="pct"/>
            <w:tcBorders>
              <w:top w:val="nil"/>
              <w:left w:val="nil"/>
              <w:bottom w:val="nil"/>
              <w:right w:val="nil"/>
            </w:tcBorders>
            <w:shd w:val="clear" w:color="auto" w:fill="auto"/>
            <w:noWrap/>
            <w:vAlign w:val="center"/>
            <w:hideMark/>
          </w:tcPr>
          <w:p w14:paraId="44B46DD5"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35.0</w:t>
            </w:r>
          </w:p>
        </w:tc>
        <w:tc>
          <w:tcPr>
            <w:tcW w:w="521" w:type="pct"/>
            <w:tcBorders>
              <w:top w:val="nil"/>
              <w:left w:val="nil"/>
              <w:bottom w:val="nil"/>
              <w:right w:val="nil"/>
            </w:tcBorders>
            <w:shd w:val="clear" w:color="auto" w:fill="auto"/>
            <w:noWrap/>
            <w:vAlign w:val="center"/>
            <w:hideMark/>
          </w:tcPr>
          <w:p w14:paraId="58E64F15"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41.3</w:t>
            </w:r>
          </w:p>
        </w:tc>
      </w:tr>
      <w:tr w:rsidR="00D24342" w:rsidRPr="00D24342" w14:paraId="21E996EE" w14:textId="77777777" w:rsidTr="000F0997">
        <w:trPr>
          <w:trHeight w:val="300"/>
        </w:trPr>
        <w:tc>
          <w:tcPr>
            <w:tcW w:w="1146" w:type="pct"/>
            <w:tcBorders>
              <w:top w:val="nil"/>
              <w:left w:val="nil"/>
              <w:bottom w:val="nil"/>
              <w:right w:val="nil"/>
            </w:tcBorders>
            <w:shd w:val="clear" w:color="auto" w:fill="auto"/>
            <w:noWrap/>
            <w:vAlign w:val="center"/>
            <w:hideMark/>
          </w:tcPr>
          <w:p w14:paraId="167C50EE"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Malaysia</w:t>
            </w:r>
          </w:p>
        </w:tc>
        <w:tc>
          <w:tcPr>
            <w:tcW w:w="345" w:type="pct"/>
            <w:tcBorders>
              <w:top w:val="nil"/>
              <w:left w:val="nil"/>
              <w:bottom w:val="nil"/>
              <w:right w:val="nil"/>
            </w:tcBorders>
            <w:shd w:val="clear" w:color="auto" w:fill="auto"/>
            <w:noWrap/>
            <w:vAlign w:val="center"/>
            <w:hideMark/>
          </w:tcPr>
          <w:p w14:paraId="3A3989BC"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2012</w:t>
            </w:r>
          </w:p>
        </w:tc>
        <w:tc>
          <w:tcPr>
            <w:tcW w:w="425" w:type="pct"/>
            <w:tcBorders>
              <w:top w:val="nil"/>
              <w:left w:val="nil"/>
              <w:bottom w:val="nil"/>
              <w:right w:val="nil"/>
            </w:tcBorders>
            <w:shd w:val="clear" w:color="auto" w:fill="auto"/>
            <w:noWrap/>
            <w:vAlign w:val="center"/>
            <w:hideMark/>
          </w:tcPr>
          <w:p w14:paraId="4C65D1E1"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89</w:t>
            </w:r>
          </w:p>
        </w:tc>
        <w:tc>
          <w:tcPr>
            <w:tcW w:w="481" w:type="pct"/>
            <w:tcBorders>
              <w:top w:val="nil"/>
              <w:left w:val="nil"/>
              <w:bottom w:val="nil"/>
              <w:right w:val="nil"/>
            </w:tcBorders>
            <w:shd w:val="clear" w:color="auto" w:fill="auto"/>
            <w:noWrap/>
            <w:vAlign w:val="center"/>
            <w:hideMark/>
          </w:tcPr>
          <w:p w14:paraId="793183BF"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16,273</w:t>
            </w:r>
          </w:p>
        </w:tc>
        <w:tc>
          <w:tcPr>
            <w:tcW w:w="520" w:type="pct"/>
            <w:tcBorders>
              <w:top w:val="nil"/>
              <w:left w:val="nil"/>
              <w:bottom w:val="nil"/>
              <w:right w:val="nil"/>
            </w:tcBorders>
            <w:shd w:val="clear" w:color="auto" w:fill="auto"/>
            <w:noWrap/>
            <w:vAlign w:val="center"/>
            <w:hideMark/>
          </w:tcPr>
          <w:p w14:paraId="7B981C83"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29.2</w:t>
            </w:r>
          </w:p>
        </w:tc>
        <w:tc>
          <w:tcPr>
            <w:tcW w:w="521" w:type="pct"/>
            <w:tcBorders>
              <w:top w:val="nil"/>
              <w:left w:val="nil"/>
              <w:bottom w:val="nil"/>
              <w:right w:val="nil"/>
            </w:tcBorders>
            <w:shd w:val="clear" w:color="auto" w:fill="auto"/>
            <w:noWrap/>
            <w:vAlign w:val="center"/>
            <w:hideMark/>
          </w:tcPr>
          <w:p w14:paraId="158ABD9C"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30.0</w:t>
            </w:r>
          </w:p>
        </w:tc>
        <w:tc>
          <w:tcPr>
            <w:tcW w:w="520" w:type="pct"/>
            <w:tcBorders>
              <w:top w:val="nil"/>
              <w:left w:val="nil"/>
              <w:bottom w:val="nil"/>
              <w:right w:val="nil"/>
            </w:tcBorders>
            <w:shd w:val="clear" w:color="auto" w:fill="auto"/>
            <w:noWrap/>
            <w:vAlign w:val="center"/>
            <w:hideMark/>
          </w:tcPr>
          <w:p w14:paraId="0698D26E"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8.1</w:t>
            </w:r>
          </w:p>
        </w:tc>
        <w:tc>
          <w:tcPr>
            <w:tcW w:w="521" w:type="pct"/>
            <w:tcBorders>
              <w:top w:val="nil"/>
              <w:left w:val="nil"/>
              <w:bottom w:val="nil"/>
              <w:right w:val="nil"/>
            </w:tcBorders>
            <w:shd w:val="clear" w:color="auto" w:fill="auto"/>
            <w:noWrap/>
            <w:vAlign w:val="center"/>
            <w:hideMark/>
          </w:tcPr>
          <w:p w14:paraId="2FCD87C0"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65.6</w:t>
            </w:r>
          </w:p>
        </w:tc>
        <w:tc>
          <w:tcPr>
            <w:tcW w:w="521" w:type="pct"/>
            <w:tcBorders>
              <w:top w:val="nil"/>
              <w:left w:val="nil"/>
              <w:bottom w:val="nil"/>
              <w:right w:val="nil"/>
            </w:tcBorders>
            <w:shd w:val="clear" w:color="auto" w:fill="auto"/>
            <w:noWrap/>
            <w:vAlign w:val="center"/>
            <w:hideMark/>
          </w:tcPr>
          <w:p w14:paraId="7ADD96A8"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57.4</w:t>
            </w:r>
          </w:p>
        </w:tc>
      </w:tr>
      <w:tr w:rsidR="00D24342" w:rsidRPr="00D24342" w14:paraId="162B8811" w14:textId="77777777" w:rsidTr="000F0997">
        <w:trPr>
          <w:trHeight w:val="300"/>
        </w:trPr>
        <w:tc>
          <w:tcPr>
            <w:tcW w:w="1146" w:type="pct"/>
            <w:tcBorders>
              <w:top w:val="nil"/>
              <w:left w:val="nil"/>
              <w:bottom w:val="nil"/>
              <w:right w:val="nil"/>
            </w:tcBorders>
            <w:shd w:val="clear" w:color="auto" w:fill="auto"/>
            <w:noWrap/>
            <w:vAlign w:val="center"/>
            <w:hideMark/>
          </w:tcPr>
          <w:p w14:paraId="194FF185"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lastRenderedPageBreak/>
              <w:t>Mauritius</w:t>
            </w:r>
          </w:p>
        </w:tc>
        <w:tc>
          <w:tcPr>
            <w:tcW w:w="345" w:type="pct"/>
            <w:tcBorders>
              <w:top w:val="nil"/>
              <w:left w:val="nil"/>
              <w:bottom w:val="nil"/>
              <w:right w:val="nil"/>
            </w:tcBorders>
            <w:shd w:val="clear" w:color="auto" w:fill="auto"/>
            <w:noWrap/>
            <w:vAlign w:val="center"/>
            <w:hideMark/>
          </w:tcPr>
          <w:p w14:paraId="2AF1329D"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2011</w:t>
            </w:r>
          </w:p>
        </w:tc>
        <w:tc>
          <w:tcPr>
            <w:tcW w:w="425" w:type="pct"/>
            <w:tcBorders>
              <w:top w:val="nil"/>
              <w:left w:val="nil"/>
              <w:bottom w:val="nil"/>
              <w:right w:val="nil"/>
            </w:tcBorders>
            <w:shd w:val="clear" w:color="auto" w:fill="auto"/>
            <w:noWrap/>
            <w:vAlign w:val="center"/>
            <w:hideMark/>
          </w:tcPr>
          <w:p w14:paraId="022F8CD4"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82</w:t>
            </w:r>
          </w:p>
        </w:tc>
        <w:tc>
          <w:tcPr>
            <w:tcW w:w="481" w:type="pct"/>
            <w:tcBorders>
              <w:top w:val="nil"/>
              <w:left w:val="nil"/>
              <w:bottom w:val="nil"/>
              <w:right w:val="nil"/>
            </w:tcBorders>
            <w:shd w:val="clear" w:color="auto" w:fill="auto"/>
            <w:noWrap/>
            <w:vAlign w:val="center"/>
            <w:hideMark/>
          </w:tcPr>
          <w:p w14:paraId="753A41AE"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2,074</w:t>
            </w:r>
          </w:p>
        </w:tc>
        <w:tc>
          <w:tcPr>
            <w:tcW w:w="520" w:type="pct"/>
            <w:tcBorders>
              <w:top w:val="nil"/>
              <w:left w:val="nil"/>
              <w:bottom w:val="nil"/>
              <w:right w:val="nil"/>
            </w:tcBorders>
            <w:shd w:val="clear" w:color="auto" w:fill="auto"/>
            <w:noWrap/>
            <w:vAlign w:val="center"/>
            <w:hideMark/>
          </w:tcPr>
          <w:p w14:paraId="56F6B7E8"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22.9</w:t>
            </w:r>
          </w:p>
        </w:tc>
        <w:tc>
          <w:tcPr>
            <w:tcW w:w="521" w:type="pct"/>
            <w:tcBorders>
              <w:top w:val="nil"/>
              <w:left w:val="nil"/>
              <w:bottom w:val="nil"/>
              <w:right w:val="nil"/>
            </w:tcBorders>
            <w:shd w:val="clear" w:color="auto" w:fill="auto"/>
            <w:noWrap/>
            <w:vAlign w:val="center"/>
            <w:hideMark/>
          </w:tcPr>
          <w:p w14:paraId="51FA2E40"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34.5</w:t>
            </w:r>
          </w:p>
        </w:tc>
        <w:tc>
          <w:tcPr>
            <w:tcW w:w="520" w:type="pct"/>
            <w:tcBorders>
              <w:top w:val="nil"/>
              <w:left w:val="nil"/>
              <w:bottom w:val="nil"/>
              <w:right w:val="nil"/>
            </w:tcBorders>
            <w:shd w:val="clear" w:color="auto" w:fill="auto"/>
            <w:noWrap/>
            <w:vAlign w:val="center"/>
            <w:hideMark/>
          </w:tcPr>
          <w:p w14:paraId="05CD2778"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22.4</w:t>
            </w:r>
          </w:p>
        </w:tc>
        <w:tc>
          <w:tcPr>
            <w:tcW w:w="521" w:type="pct"/>
            <w:tcBorders>
              <w:top w:val="nil"/>
              <w:left w:val="nil"/>
              <w:bottom w:val="nil"/>
              <w:right w:val="nil"/>
            </w:tcBorders>
            <w:shd w:val="clear" w:color="auto" w:fill="auto"/>
            <w:noWrap/>
            <w:vAlign w:val="center"/>
            <w:hideMark/>
          </w:tcPr>
          <w:p w14:paraId="2A6FCE62"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56.8</w:t>
            </w:r>
          </w:p>
        </w:tc>
        <w:tc>
          <w:tcPr>
            <w:tcW w:w="521" w:type="pct"/>
            <w:tcBorders>
              <w:top w:val="nil"/>
              <w:left w:val="nil"/>
              <w:bottom w:val="nil"/>
              <w:right w:val="nil"/>
            </w:tcBorders>
            <w:shd w:val="clear" w:color="auto" w:fill="auto"/>
            <w:noWrap/>
            <w:vAlign w:val="center"/>
            <w:hideMark/>
          </w:tcPr>
          <w:p w14:paraId="1E4D4A63"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51.1</w:t>
            </w:r>
          </w:p>
        </w:tc>
      </w:tr>
      <w:tr w:rsidR="00D24342" w:rsidRPr="00D24342" w14:paraId="048BB271" w14:textId="77777777" w:rsidTr="000F0997">
        <w:trPr>
          <w:trHeight w:val="300"/>
        </w:trPr>
        <w:tc>
          <w:tcPr>
            <w:tcW w:w="1146" w:type="pct"/>
            <w:tcBorders>
              <w:top w:val="nil"/>
              <w:left w:val="nil"/>
              <w:bottom w:val="nil"/>
              <w:right w:val="nil"/>
            </w:tcBorders>
            <w:shd w:val="clear" w:color="auto" w:fill="auto"/>
            <w:noWrap/>
            <w:vAlign w:val="center"/>
            <w:hideMark/>
          </w:tcPr>
          <w:p w14:paraId="1F0FAE53"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Mongolia</w:t>
            </w:r>
          </w:p>
        </w:tc>
        <w:tc>
          <w:tcPr>
            <w:tcW w:w="345" w:type="pct"/>
            <w:tcBorders>
              <w:top w:val="nil"/>
              <w:left w:val="nil"/>
              <w:bottom w:val="nil"/>
              <w:right w:val="nil"/>
            </w:tcBorders>
            <w:shd w:val="clear" w:color="auto" w:fill="auto"/>
            <w:noWrap/>
            <w:vAlign w:val="center"/>
            <w:hideMark/>
          </w:tcPr>
          <w:p w14:paraId="379F57D5"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2013</w:t>
            </w:r>
          </w:p>
        </w:tc>
        <w:tc>
          <w:tcPr>
            <w:tcW w:w="425" w:type="pct"/>
            <w:tcBorders>
              <w:top w:val="nil"/>
              <w:left w:val="nil"/>
              <w:bottom w:val="nil"/>
              <w:right w:val="nil"/>
            </w:tcBorders>
            <w:shd w:val="clear" w:color="auto" w:fill="auto"/>
            <w:noWrap/>
            <w:vAlign w:val="center"/>
            <w:hideMark/>
          </w:tcPr>
          <w:p w14:paraId="76F94A43"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88</w:t>
            </w:r>
          </w:p>
        </w:tc>
        <w:tc>
          <w:tcPr>
            <w:tcW w:w="481" w:type="pct"/>
            <w:tcBorders>
              <w:top w:val="nil"/>
              <w:left w:val="nil"/>
              <w:bottom w:val="nil"/>
              <w:right w:val="nil"/>
            </w:tcBorders>
            <w:shd w:val="clear" w:color="auto" w:fill="auto"/>
            <w:noWrap/>
            <w:vAlign w:val="center"/>
            <w:hideMark/>
          </w:tcPr>
          <w:p w14:paraId="54A2DBE8"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3,707</w:t>
            </w:r>
          </w:p>
        </w:tc>
        <w:tc>
          <w:tcPr>
            <w:tcW w:w="520" w:type="pct"/>
            <w:tcBorders>
              <w:top w:val="nil"/>
              <w:left w:val="nil"/>
              <w:bottom w:val="nil"/>
              <w:right w:val="nil"/>
            </w:tcBorders>
            <w:shd w:val="clear" w:color="auto" w:fill="auto"/>
            <w:noWrap/>
            <w:vAlign w:val="center"/>
            <w:hideMark/>
          </w:tcPr>
          <w:p w14:paraId="06DB3EF5"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30.5</w:t>
            </w:r>
          </w:p>
        </w:tc>
        <w:tc>
          <w:tcPr>
            <w:tcW w:w="521" w:type="pct"/>
            <w:tcBorders>
              <w:top w:val="nil"/>
              <w:left w:val="nil"/>
              <w:bottom w:val="nil"/>
              <w:right w:val="nil"/>
            </w:tcBorders>
            <w:shd w:val="clear" w:color="auto" w:fill="auto"/>
            <w:noWrap/>
            <w:vAlign w:val="center"/>
            <w:hideMark/>
          </w:tcPr>
          <w:p w14:paraId="240AF128"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43.7</w:t>
            </w:r>
          </w:p>
        </w:tc>
        <w:tc>
          <w:tcPr>
            <w:tcW w:w="520" w:type="pct"/>
            <w:tcBorders>
              <w:top w:val="nil"/>
              <w:left w:val="nil"/>
              <w:bottom w:val="nil"/>
              <w:right w:val="nil"/>
            </w:tcBorders>
            <w:shd w:val="clear" w:color="auto" w:fill="auto"/>
            <w:noWrap/>
            <w:vAlign w:val="center"/>
            <w:hideMark/>
          </w:tcPr>
          <w:p w14:paraId="52D24F31"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9.5</w:t>
            </w:r>
          </w:p>
        </w:tc>
        <w:tc>
          <w:tcPr>
            <w:tcW w:w="521" w:type="pct"/>
            <w:tcBorders>
              <w:top w:val="nil"/>
              <w:left w:val="nil"/>
              <w:bottom w:val="nil"/>
              <w:right w:val="nil"/>
            </w:tcBorders>
            <w:shd w:val="clear" w:color="auto" w:fill="auto"/>
            <w:noWrap/>
            <w:vAlign w:val="center"/>
            <w:hideMark/>
          </w:tcPr>
          <w:p w14:paraId="6934E576"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51.3</w:t>
            </w:r>
          </w:p>
        </w:tc>
        <w:tc>
          <w:tcPr>
            <w:tcW w:w="521" w:type="pct"/>
            <w:tcBorders>
              <w:top w:val="nil"/>
              <w:left w:val="nil"/>
              <w:bottom w:val="nil"/>
              <w:right w:val="nil"/>
            </w:tcBorders>
            <w:shd w:val="clear" w:color="auto" w:fill="auto"/>
            <w:noWrap/>
            <w:vAlign w:val="center"/>
            <w:hideMark/>
          </w:tcPr>
          <w:p w14:paraId="2D53D7D4"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48.6</w:t>
            </w:r>
          </w:p>
        </w:tc>
      </w:tr>
      <w:tr w:rsidR="00D24342" w:rsidRPr="00D24342" w14:paraId="2FA954FA" w14:textId="77777777" w:rsidTr="000F0997">
        <w:trPr>
          <w:trHeight w:val="300"/>
        </w:trPr>
        <w:tc>
          <w:tcPr>
            <w:tcW w:w="1146" w:type="pct"/>
            <w:tcBorders>
              <w:top w:val="nil"/>
              <w:left w:val="nil"/>
              <w:bottom w:val="nil"/>
              <w:right w:val="nil"/>
            </w:tcBorders>
            <w:shd w:val="clear" w:color="auto" w:fill="auto"/>
            <w:noWrap/>
            <w:vAlign w:val="center"/>
            <w:hideMark/>
          </w:tcPr>
          <w:p w14:paraId="7E494508"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Mozambique</w:t>
            </w:r>
          </w:p>
        </w:tc>
        <w:tc>
          <w:tcPr>
            <w:tcW w:w="345" w:type="pct"/>
            <w:tcBorders>
              <w:top w:val="nil"/>
              <w:left w:val="nil"/>
              <w:bottom w:val="nil"/>
              <w:right w:val="nil"/>
            </w:tcBorders>
            <w:shd w:val="clear" w:color="auto" w:fill="auto"/>
            <w:noWrap/>
            <w:vAlign w:val="center"/>
            <w:hideMark/>
          </w:tcPr>
          <w:p w14:paraId="5BEA35A5"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2015</w:t>
            </w:r>
          </w:p>
        </w:tc>
        <w:tc>
          <w:tcPr>
            <w:tcW w:w="425" w:type="pct"/>
            <w:tcBorders>
              <w:top w:val="nil"/>
              <w:left w:val="nil"/>
              <w:bottom w:val="nil"/>
              <w:right w:val="nil"/>
            </w:tcBorders>
            <w:shd w:val="clear" w:color="auto" w:fill="auto"/>
            <w:noWrap/>
            <w:vAlign w:val="center"/>
            <w:hideMark/>
          </w:tcPr>
          <w:p w14:paraId="4318F0F4"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80</w:t>
            </w:r>
          </w:p>
        </w:tc>
        <w:tc>
          <w:tcPr>
            <w:tcW w:w="481" w:type="pct"/>
            <w:tcBorders>
              <w:top w:val="nil"/>
              <w:left w:val="nil"/>
              <w:bottom w:val="nil"/>
              <w:right w:val="nil"/>
            </w:tcBorders>
            <w:shd w:val="clear" w:color="auto" w:fill="auto"/>
            <w:noWrap/>
            <w:vAlign w:val="center"/>
            <w:hideMark/>
          </w:tcPr>
          <w:p w14:paraId="2EE09DB4"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668</w:t>
            </w:r>
          </w:p>
        </w:tc>
        <w:tc>
          <w:tcPr>
            <w:tcW w:w="520" w:type="pct"/>
            <w:tcBorders>
              <w:top w:val="nil"/>
              <w:left w:val="nil"/>
              <w:bottom w:val="nil"/>
              <w:right w:val="nil"/>
            </w:tcBorders>
            <w:shd w:val="clear" w:color="auto" w:fill="auto"/>
            <w:noWrap/>
            <w:vAlign w:val="center"/>
            <w:hideMark/>
          </w:tcPr>
          <w:p w14:paraId="7A0ECCCB"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36.8</w:t>
            </w:r>
          </w:p>
        </w:tc>
        <w:tc>
          <w:tcPr>
            <w:tcW w:w="521" w:type="pct"/>
            <w:tcBorders>
              <w:top w:val="nil"/>
              <w:left w:val="nil"/>
              <w:bottom w:val="nil"/>
              <w:right w:val="nil"/>
            </w:tcBorders>
            <w:shd w:val="clear" w:color="auto" w:fill="auto"/>
            <w:noWrap/>
            <w:vAlign w:val="center"/>
            <w:hideMark/>
          </w:tcPr>
          <w:p w14:paraId="24D36FC0"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39.4</w:t>
            </w:r>
          </w:p>
        </w:tc>
        <w:tc>
          <w:tcPr>
            <w:tcW w:w="520" w:type="pct"/>
            <w:tcBorders>
              <w:top w:val="nil"/>
              <w:left w:val="nil"/>
              <w:bottom w:val="nil"/>
              <w:right w:val="nil"/>
            </w:tcBorders>
            <w:shd w:val="clear" w:color="auto" w:fill="auto"/>
            <w:noWrap/>
            <w:vAlign w:val="center"/>
            <w:hideMark/>
          </w:tcPr>
          <w:p w14:paraId="5E72D0B8"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42.4</w:t>
            </w:r>
          </w:p>
        </w:tc>
        <w:tc>
          <w:tcPr>
            <w:tcW w:w="521" w:type="pct"/>
            <w:tcBorders>
              <w:top w:val="nil"/>
              <w:left w:val="nil"/>
              <w:bottom w:val="nil"/>
              <w:right w:val="nil"/>
            </w:tcBorders>
            <w:shd w:val="clear" w:color="auto" w:fill="auto"/>
            <w:noWrap/>
            <w:vAlign w:val="center"/>
            <w:hideMark/>
          </w:tcPr>
          <w:p w14:paraId="75BE16FB"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26.8</w:t>
            </w:r>
          </w:p>
        </w:tc>
        <w:tc>
          <w:tcPr>
            <w:tcW w:w="521" w:type="pct"/>
            <w:tcBorders>
              <w:top w:val="nil"/>
              <w:left w:val="nil"/>
              <w:bottom w:val="nil"/>
              <w:right w:val="nil"/>
            </w:tcBorders>
            <w:shd w:val="clear" w:color="auto" w:fill="auto"/>
            <w:noWrap/>
            <w:vAlign w:val="center"/>
            <w:hideMark/>
          </w:tcPr>
          <w:p w14:paraId="188489DB"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49.3</w:t>
            </w:r>
          </w:p>
        </w:tc>
      </w:tr>
      <w:tr w:rsidR="00D24342" w:rsidRPr="00D24342" w14:paraId="59F9F66C" w14:textId="77777777" w:rsidTr="000F0997">
        <w:trPr>
          <w:trHeight w:val="300"/>
        </w:trPr>
        <w:tc>
          <w:tcPr>
            <w:tcW w:w="1146" w:type="pct"/>
            <w:tcBorders>
              <w:top w:val="nil"/>
              <w:left w:val="nil"/>
              <w:bottom w:val="nil"/>
              <w:right w:val="nil"/>
            </w:tcBorders>
            <w:shd w:val="clear" w:color="auto" w:fill="auto"/>
            <w:noWrap/>
            <w:vAlign w:val="center"/>
            <w:hideMark/>
          </w:tcPr>
          <w:p w14:paraId="0E2DBA10"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Namibia</w:t>
            </w:r>
          </w:p>
        </w:tc>
        <w:tc>
          <w:tcPr>
            <w:tcW w:w="345" w:type="pct"/>
            <w:tcBorders>
              <w:top w:val="nil"/>
              <w:left w:val="nil"/>
              <w:bottom w:val="nil"/>
              <w:right w:val="nil"/>
            </w:tcBorders>
            <w:shd w:val="clear" w:color="auto" w:fill="auto"/>
            <w:noWrap/>
            <w:vAlign w:val="center"/>
            <w:hideMark/>
          </w:tcPr>
          <w:p w14:paraId="0B47B6FB"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2013</w:t>
            </w:r>
          </w:p>
        </w:tc>
        <w:tc>
          <w:tcPr>
            <w:tcW w:w="425" w:type="pct"/>
            <w:tcBorders>
              <w:top w:val="nil"/>
              <w:left w:val="nil"/>
              <w:bottom w:val="nil"/>
              <w:right w:val="nil"/>
            </w:tcBorders>
            <w:shd w:val="clear" w:color="auto" w:fill="auto"/>
            <w:noWrap/>
            <w:vAlign w:val="center"/>
            <w:hideMark/>
          </w:tcPr>
          <w:p w14:paraId="59437361"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89</w:t>
            </w:r>
          </w:p>
        </w:tc>
        <w:tc>
          <w:tcPr>
            <w:tcW w:w="481" w:type="pct"/>
            <w:tcBorders>
              <w:top w:val="nil"/>
              <w:left w:val="nil"/>
              <w:bottom w:val="nil"/>
              <w:right w:val="nil"/>
            </w:tcBorders>
            <w:shd w:val="clear" w:color="auto" w:fill="auto"/>
            <w:noWrap/>
            <w:vAlign w:val="center"/>
            <w:hideMark/>
          </w:tcPr>
          <w:p w14:paraId="0BAE32EC"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1,936</w:t>
            </w:r>
          </w:p>
        </w:tc>
        <w:tc>
          <w:tcPr>
            <w:tcW w:w="520" w:type="pct"/>
            <w:tcBorders>
              <w:top w:val="nil"/>
              <w:left w:val="nil"/>
              <w:bottom w:val="nil"/>
              <w:right w:val="nil"/>
            </w:tcBorders>
            <w:shd w:val="clear" w:color="auto" w:fill="auto"/>
            <w:noWrap/>
            <w:vAlign w:val="center"/>
            <w:hideMark/>
          </w:tcPr>
          <w:p w14:paraId="34E443AE"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41.1</w:t>
            </w:r>
          </w:p>
        </w:tc>
        <w:tc>
          <w:tcPr>
            <w:tcW w:w="521" w:type="pct"/>
            <w:tcBorders>
              <w:top w:val="nil"/>
              <w:left w:val="nil"/>
              <w:bottom w:val="nil"/>
              <w:right w:val="nil"/>
            </w:tcBorders>
            <w:shd w:val="clear" w:color="auto" w:fill="auto"/>
            <w:noWrap/>
            <w:vAlign w:val="center"/>
            <w:hideMark/>
          </w:tcPr>
          <w:p w14:paraId="340529AD"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35.6</w:t>
            </w:r>
          </w:p>
        </w:tc>
        <w:tc>
          <w:tcPr>
            <w:tcW w:w="520" w:type="pct"/>
            <w:tcBorders>
              <w:top w:val="nil"/>
              <w:left w:val="nil"/>
              <w:bottom w:val="nil"/>
              <w:right w:val="nil"/>
            </w:tcBorders>
            <w:shd w:val="clear" w:color="auto" w:fill="auto"/>
            <w:noWrap/>
            <w:vAlign w:val="center"/>
            <w:hideMark/>
          </w:tcPr>
          <w:p w14:paraId="451CA5EB"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35.8</w:t>
            </w:r>
          </w:p>
        </w:tc>
        <w:tc>
          <w:tcPr>
            <w:tcW w:w="521" w:type="pct"/>
            <w:tcBorders>
              <w:top w:val="nil"/>
              <w:left w:val="nil"/>
              <w:bottom w:val="nil"/>
              <w:right w:val="nil"/>
            </w:tcBorders>
            <w:shd w:val="clear" w:color="auto" w:fill="auto"/>
            <w:noWrap/>
            <w:vAlign w:val="center"/>
            <w:hideMark/>
          </w:tcPr>
          <w:p w14:paraId="7715FA90"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31.4</w:t>
            </w:r>
          </w:p>
        </w:tc>
        <w:tc>
          <w:tcPr>
            <w:tcW w:w="521" w:type="pct"/>
            <w:tcBorders>
              <w:top w:val="nil"/>
              <w:left w:val="nil"/>
              <w:bottom w:val="nil"/>
              <w:right w:val="nil"/>
            </w:tcBorders>
            <w:shd w:val="clear" w:color="auto" w:fill="auto"/>
            <w:noWrap/>
            <w:vAlign w:val="center"/>
            <w:hideMark/>
          </w:tcPr>
          <w:p w14:paraId="213A707C"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58.9</w:t>
            </w:r>
          </w:p>
        </w:tc>
      </w:tr>
      <w:tr w:rsidR="00D24342" w:rsidRPr="00D24342" w14:paraId="71186432" w14:textId="77777777" w:rsidTr="000F0997">
        <w:trPr>
          <w:trHeight w:val="300"/>
        </w:trPr>
        <w:tc>
          <w:tcPr>
            <w:tcW w:w="1146" w:type="pct"/>
            <w:tcBorders>
              <w:top w:val="nil"/>
              <w:left w:val="nil"/>
              <w:bottom w:val="nil"/>
              <w:right w:val="nil"/>
            </w:tcBorders>
            <w:shd w:val="clear" w:color="auto" w:fill="auto"/>
            <w:noWrap/>
            <w:vAlign w:val="center"/>
            <w:hideMark/>
          </w:tcPr>
          <w:p w14:paraId="656F81F8"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Nepal</w:t>
            </w:r>
          </w:p>
        </w:tc>
        <w:tc>
          <w:tcPr>
            <w:tcW w:w="345" w:type="pct"/>
            <w:tcBorders>
              <w:top w:val="nil"/>
              <w:left w:val="nil"/>
              <w:bottom w:val="nil"/>
              <w:right w:val="nil"/>
            </w:tcBorders>
            <w:shd w:val="clear" w:color="auto" w:fill="auto"/>
            <w:noWrap/>
            <w:vAlign w:val="center"/>
            <w:hideMark/>
          </w:tcPr>
          <w:p w14:paraId="01DA0726"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2015</w:t>
            </w:r>
          </w:p>
        </w:tc>
        <w:tc>
          <w:tcPr>
            <w:tcW w:w="425" w:type="pct"/>
            <w:tcBorders>
              <w:top w:val="nil"/>
              <w:left w:val="nil"/>
              <w:bottom w:val="nil"/>
              <w:right w:val="nil"/>
            </w:tcBorders>
            <w:shd w:val="clear" w:color="auto" w:fill="auto"/>
            <w:noWrap/>
            <w:vAlign w:val="center"/>
            <w:hideMark/>
          </w:tcPr>
          <w:p w14:paraId="2451008B"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69</w:t>
            </w:r>
          </w:p>
        </w:tc>
        <w:tc>
          <w:tcPr>
            <w:tcW w:w="481" w:type="pct"/>
            <w:tcBorders>
              <w:top w:val="nil"/>
              <w:left w:val="nil"/>
              <w:bottom w:val="nil"/>
              <w:right w:val="nil"/>
            </w:tcBorders>
            <w:shd w:val="clear" w:color="auto" w:fill="auto"/>
            <w:noWrap/>
            <w:vAlign w:val="center"/>
            <w:hideMark/>
          </w:tcPr>
          <w:p w14:paraId="528E8FC4"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4,616</w:t>
            </w:r>
          </w:p>
        </w:tc>
        <w:tc>
          <w:tcPr>
            <w:tcW w:w="520" w:type="pct"/>
            <w:tcBorders>
              <w:top w:val="nil"/>
              <w:left w:val="nil"/>
              <w:bottom w:val="nil"/>
              <w:right w:val="nil"/>
            </w:tcBorders>
            <w:shd w:val="clear" w:color="auto" w:fill="auto"/>
            <w:noWrap/>
            <w:vAlign w:val="center"/>
            <w:hideMark/>
          </w:tcPr>
          <w:p w14:paraId="422E36AF"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46.0</w:t>
            </w:r>
          </w:p>
        </w:tc>
        <w:tc>
          <w:tcPr>
            <w:tcW w:w="521" w:type="pct"/>
            <w:tcBorders>
              <w:top w:val="nil"/>
              <w:left w:val="nil"/>
              <w:bottom w:val="nil"/>
              <w:right w:val="nil"/>
            </w:tcBorders>
            <w:shd w:val="clear" w:color="auto" w:fill="auto"/>
            <w:noWrap/>
            <w:vAlign w:val="center"/>
            <w:hideMark/>
          </w:tcPr>
          <w:p w14:paraId="01F4A14F"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39.0</w:t>
            </w:r>
          </w:p>
        </w:tc>
        <w:tc>
          <w:tcPr>
            <w:tcW w:w="520" w:type="pct"/>
            <w:tcBorders>
              <w:top w:val="nil"/>
              <w:left w:val="nil"/>
              <w:bottom w:val="nil"/>
              <w:right w:val="nil"/>
            </w:tcBorders>
            <w:shd w:val="clear" w:color="auto" w:fill="auto"/>
            <w:noWrap/>
            <w:vAlign w:val="center"/>
            <w:hideMark/>
          </w:tcPr>
          <w:p w14:paraId="20DCFCFD"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19.4</w:t>
            </w:r>
          </w:p>
        </w:tc>
        <w:tc>
          <w:tcPr>
            <w:tcW w:w="521" w:type="pct"/>
            <w:tcBorders>
              <w:top w:val="nil"/>
              <w:left w:val="nil"/>
              <w:bottom w:val="nil"/>
              <w:right w:val="nil"/>
            </w:tcBorders>
            <w:shd w:val="clear" w:color="auto" w:fill="auto"/>
            <w:noWrap/>
            <w:vAlign w:val="center"/>
            <w:hideMark/>
          </w:tcPr>
          <w:p w14:paraId="58E22C9C"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47.0</w:t>
            </w:r>
          </w:p>
        </w:tc>
        <w:tc>
          <w:tcPr>
            <w:tcW w:w="521" w:type="pct"/>
            <w:tcBorders>
              <w:top w:val="nil"/>
              <w:left w:val="nil"/>
              <w:bottom w:val="nil"/>
              <w:right w:val="nil"/>
            </w:tcBorders>
            <w:shd w:val="clear" w:color="auto" w:fill="auto"/>
            <w:noWrap/>
            <w:vAlign w:val="center"/>
            <w:hideMark/>
          </w:tcPr>
          <w:p w14:paraId="77D63E13"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55.9</w:t>
            </w:r>
          </w:p>
        </w:tc>
      </w:tr>
      <w:tr w:rsidR="00D24342" w:rsidRPr="00D24342" w14:paraId="295A1862" w14:textId="77777777" w:rsidTr="000F0997">
        <w:trPr>
          <w:trHeight w:val="300"/>
        </w:trPr>
        <w:tc>
          <w:tcPr>
            <w:tcW w:w="1146" w:type="pct"/>
            <w:tcBorders>
              <w:top w:val="nil"/>
              <w:left w:val="nil"/>
              <w:bottom w:val="nil"/>
              <w:right w:val="nil"/>
            </w:tcBorders>
            <w:shd w:val="clear" w:color="auto" w:fill="auto"/>
            <w:noWrap/>
            <w:vAlign w:val="center"/>
            <w:hideMark/>
          </w:tcPr>
          <w:p w14:paraId="4FC8D7C3"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Peru</w:t>
            </w:r>
          </w:p>
        </w:tc>
        <w:tc>
          <w:tcPr>
            <w:tcW w:w="345" w:type="pct"/>
            <w:tcBorders>
              <w:top w:val="nil"/>
              <w:left w:val="nil"/>
              <w:bottom w:val="nil"/>
              <w:right w:val="nil"/>
            </w:tcBorders>
            <w:shd w:val="clear" w:color="auto" w:fill="auto"/>
            <w:noWrap/>
            <w:vAlign w:val="center"/>
            <w:hideMark/>
          </w:tcPr>
          <w:p w14:paraId="670A2895"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2010</w:t>
            </w:r>
          </w:p>
        </w:tc>
        <w:tc>
          <w:tcPr>
            <w:tcW w:w="425" w:type="pct"/>
            <w:tcBorders>
              <w:top w:val="nil"/>
              <w:left w:val="nil"/>
              <w:bottom w:val="nil"/>
              <w:right w:val="nil"/>
            </w:tcBorders>
            <w:shd w:val="clear" w:color="auto" w:fill="auto"/>
            <w:noWrap/>
            <w:vAlign w:val="center"/>
            <w:hideMark/>
          </w:tcPr>
          <w:p w14:paraId="0BC3C6AE"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85</w:t>
            </w:r>
          </w:p>
        </w:tc>
        <w:tc>
          <w:tcPr>
            <w:tcW w:w="481" w:type="pct"/>
            <w:tcBorders>
              <w:top w:val="nil"/>
              <w:left w:val="nil"/>
              <w:bottom w:val="nil"/>
              <w:right w:val="nil"/>
            </w:tcBorders>
            <w:shd w:val="clear" w:color="auto" w:fill="auto"/>
            <w:noWrap/>
            <w:vAlign w:val="center"/>
            <w:hideMark/>
          </w:tcPr>
          <w:p w14:paraId="70A9BFEC"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2,359</w:t>
            </w:r>
          </w:p>
        </w:tc>
        <w:tc>
          <w:tcPr>
            <w:tcW w:w="520" w:type="pct"/>
            <w:tcBorders>
              <w:top w:val="nil"/>
              <w:left w:val="nil"/>
              <w:bottom w:val="nil"/>
              <w:right w:val="nil"/>
            </w:tcBorders>
            <w:shd w:val="clear" w:color="auto" w:fill="auto"/>
            <w:noWrap/>
            <w:vAlign w:val="center"/>
            <w:hideMark/>
          </w:tcPr>
          <w:p w14:paraId="3B34C236"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37.4</w:t>
            </w:r>
          </w:p>
        </w:tc>
        <w:tc>
          <w:tcPr>
            <w:tcW w:w="521" w:type="pct"/>
            <w:tcBorders>
              <w:top w:val="nil"/>
              <w:left w:val="nil"/>
              <w:bottom w:val="nil"/>
              <w:right w:val="nil"/>
            </w:tcBorders>
            <w:shd w:val="clear" w:color="auto" w:fill="auto"/>
            <w:noWrap/>
            <w:vAlign w:val="center"/>
            <w:hideMark/>
          </w:tcPr>
          <w:p w14:paraId="720B66A8"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36.9</w:t>
            </w:r>
          </w:p>
        </w:tc>
        <w:tc>
          <w:tcPr>
            <w:tcW w:w="520" w:type="pct"/>
            <w:tcBorders>
              <w:top w:val="nil"/>
              <w:left w:val="nil"/>
              <w:bottom w:val="nil"/>
              <w:right w:val="nil"/>
            </w:tcBorders>
            <w:shd w:val="clear" w:color="auto" w:fill="auto"/>
            <w:noWrap/>
            <w:vAlign w:val="center"/>
            <w:hideMark/>
          </w:tcPr>
          <w:p w14:paraId="3A6E4174"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16.8</w:t>
            </w:r>
          </w:p>
        </w:tc>
        <w:tc>
          <w:tcPr>
            <w:tcW w:w="521" w:type="pct"/>
            <w:tcBorders>
              <w:top w:val="nil"/>
              <w:left w:val="nil"/>
              <w:bottom w:val="nil"/>
              <w:right w:val="nil"/>
            </w:tcBorders>
            <w:shd w:val="clear" w:color="auto" w:fill="auto"/>
            <w:noWrap/>
            <w:vAlign w:val="center"/>
            <w:hideMark/>
          </w:tcPr>
          <w:p w14:paraId="32D1D3E3"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37.5</w:t>
            </w:r>
          </w:p>
        </w:tc>
        <w:tc>
          <w:tcPr>
            <w:tcW w:w="521" w:type="pct"/>
            <w:tcBorders>
              <w:top w:val="nil"/>
              <w:left w:val="nil"/>
              <w:bottom w:val="nil"/>
              <w:right w:val="nil"/>
            </w:tcBorders>
            <w:shd w:val="clear" w:color="auto" w:fill="auto"/>
            <w:noWrap/>
            <w:vAlign w:val="center"/>
            <w:hideMark/>
          </w:tcPr>
          <w:p w14:paraId="36BA6FA7"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48.0</w:t>
            </w:r>
          </w:p>
        </w:tc>
      </w:tr>
      <w:tr w:rsidR="00D24342" w:rsidRPr="00D24342" w14:paraId="1E115580" w14:textId="77777777" w:rsidTr="000F0997">
        <w:trPr>
          <w:trHeight w:val="300"/>
        </w:trPr>
        <w:tc>
          <w:tcPr>
            <w:tcW w:w="1146" w:type="pct"/>
            <w:tcBorders>
              <w:top w:val="nil"/>
              <w:left w:val="nil"/>
              <w:bottom w:val="nil"/>
              <w:right w:val="nil"/>
            </w:tcBorders>
            <w:shd w:val="clear" w:color="auto" w:fill="auto"/>
            <w:noWrap/>
            <w:vAlign w:val="center"/>
            <w:hideMark/>
          </w:tcPr>
          <w:p w14:paraId="006642B8"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Samoa</w:t>
            </w:r>
          </w:p>
        </w:tc>
        <w:tc>
          <w:tcPr>
            <w:tcW w:w="345" w:type="pct"/>
            <w:tcBorders>
              <w:top w:val="nil"/>
              <w:left w:val="nil"/>
              <w:bottom w:val="nil"/>
              <w:right w:val="nil"/>
            </w:tcBorders>
            <w:shd w:val="clear" w:color="auto" w:fill="auto"/>
            <w:noWrap/>
            <w:vAlign w:val="center"/>
            <w:hideMark/>
          </w:tcPr>
          <w:p w14:paraId="6E1A3B86"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2011</w:t>
            </w:r>
          </w:p>
        </w:tc>
        <w:tc>
          <w:tcPr>
            <w:tcW w:w="425" w:type="pct"/>
            <w:tcBorders>
              <w:top w:val="nil"/>
              <w:left w:val="nil"/>
              <w:bottom w:val="nil"/>
              <w:right w:val="nil"/>
            </w:tcBorders>
            <w:shd w:val="clear" w:color="auto" w:fill="auto"/>
            <w:noWrap/>
            <w:vAlign w:val="center"/>
            <w:hideMark/>
          </w:tcPr>
          <w:p w14:paraId="7F6A63BC"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79</w:t>
            </w:r>
          </w:p>
        </w:tc>
        <w:tc>
          <w:tcPr>
            <w:tcW w:w="481" w:type="pct"/>
            <w:tcBorders>
              <w:top w:val="nil"/>
              <w:left w:val="nil"/>
              <w:bottom w:val="nil"/>
              <w:right w:val="nil"/>
            </w:tcBorders>
            <w:shd w:val="clear" w:color="auto" w:fill="auto"/>
            <w:noWrap/>
            <w:vAlign w:val="center"/>
            <w:hideMark/>
          </w:tcPr>
          <w:p w14:paraId="2F812CA4"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2,200</w:t>
            </w:r>
          </w:p>
        </w:tc>
        <w:tc>
          <w:tcPr>
            <w:tcW w:w="520" w:type="pct"/>
            <w:tcBorders>
              <w:top w:val="nil"/>
              <w:left w:val="nil"/>
              <w:bottom w:val="nil"/>
              <w:right w:val="nil"/>
            </w:tcBorders>
            <w:shd w:val="clear" w:color="auto" w:fill="auto"/>
            <w:noWrap/>
            <w:vAlign w:val="center"/>
            <w:hideMark/>
          </w:tcPr>
          <w:p w14:paraId="099A6779"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71.1</w:t>
            </w:r>
          </w:p>
        </w:tc>
        <w:tc>
          <w:tcPr>
            <w:tcW w:w="521" w:type="pct"/>
            <w:tcBorders>
              <w:top w:val="nil"/>
              <w:left w:val="nil"/>
              <w:bottom w:val="nil"/>
              <w:right w:val="nil"/>
            </w:tcBorders>
            <w:shd w:val="clear" w:color="auto" w:fill="auto"/>
            <w:noWrap/>
            <w:vAlign w:val="center"/>
            <w:hideMark/>
          </w:tcPr>
          <w:p w14:paraId="038042E9"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67.8</w:t>
            </w:r>
          </w:p>
        </w:tc>
        <w:tc>
          <w:tcPr>
            <w:tcW w:w="520" w:type="pct"/>
            <w:tcBorders>
              <w:top w:val="nil"/>
              <w:left w:val="nil"/>
              <w:bottom w:val="nil"/>
              <w:right w:val="nil"/>
            </w:tcBorders>
            <w:shd w:val="clear" w:color="auto" w:fill="auto"/>
            <w:noWrap/>
            <w:vAlign w:val="center"/>
            <w:hideMark/>
          </w:tcPr>
          <w:p w14:paraId="6A938FBA"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55.7</w:t>
            </w:r>
          </w:p>
        </w:tc>
        <w:tc>
          <w:tcPr>
            <w:tcW w:w="521" w:type="pct"/>
            <w:tcBorders>
              <w:top w:val="nil"/>
              <w:left w:val="nil"/>
              <w:bottom w:val="nil"/>
              <w:right w:val="nil"/>
            </w:tcBorders>
            <w:shd w:val="clear" w:color="auto" w:fill="auto"/>
            <w:noWrap/>
            <w:vAlign w:val="center"/>
            <w:hideMark/>
          </w:tcPr>
          <w:p w14:paraId="39FDBD6B"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42.9</w:t>
            </w:r>
          </w:p>
        </w:tc>
        <w:tc>
          <w:tcPr>
            <w:tcW w:w="521" w:type="pct"/>
            <w:tcBorders>
              <w:top w:val="nil"/>
              <w:left w:val="nil"/>
              <w:bottom w:val="nil"/>
              <w:right w:val="nil"/>
            </w:tcBorders>
            <w:shd w:val="clear" w:color="auto" w:fill="auto"/>
            <w:noWrap/>
            <w:vAlign w:val="center"/>
            <w:hideMark/>
          </w:tcPr>
          <w:p w14:paraId="56588C75"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69.4</w:t>
            </w:r>
          </w:p>
        </w:tc>
      </w:tr>
      <w:tr w:rsidR="00D24342" w:rsidRPr="00D24342" w14:paraId="230C604F" w14:textId="77777777" w:rsidTr="000F0997">
        <w:trPr>
          <w:trHeight w:val="300"/>
        </w:trPr>
        <w:tc>
          <w:tcPr>
            <w:tcW w:w="1146" w:type="pct"/>
            <w:tcBorders>
              <w:top w:val="nil"/>
              <w:left w:val="nil"/>
              <w:bottom w:val="nil"/>
              <w:right w:val="nil"/>
            </w:tcBorders>
            <w:shd w:val="clear" w:color="auto" w:fill="auto"/>
            <w:noWrap/>
            <w:vAlign w:val="center"/>
            <w:hideMark/>
          </w:tcPr>
          <w:p w14:paraId="1A09BFAE"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St. Vincent &amp; the Grenadines</w:t>
            </w:r>
          </w:p>
        </w:tc>
        <w:tc>
          <w:tcPr>
            <w:tcW w:w="345" w:type="pct"/>
            <w:tcBorders>
              <w:top w:val="nil"/>
              <w:left w:val="nil"/>
              <w:bottom w:val="nil"/>
              <w:right w:val="nil"/>
            </w:tcBorders>
            <w:shd w:val="clear" w:color="auto" w:fill="auto"/>
            <w:noWrap/>
            <w:vAlign w:val="center"/>
            <w:hideMark/>
          </w:tcPr>
          <w:p w14:paraId="030B4830"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2007</w:t>
            </w:r>
          </w:p>
        </w:tc>
        <w:tc>
          <w:tcPr>
            <w:tcW w:w="425" w:type="pct"/>
            <w:tcBorders>
              <w:top w:val="nil"/>
              <w:left w:val="nil"/>
              <w:bottom w:val="nil"/>
              <w:right w:val="nil"/>
            </w:tcBorders>
            <w:shd w:val="clear" w:color="auto" w:fill="auto"/>
            <w:noWrap/>
            <w:vAlign w:val="center"/>
            <w:hideMark/>
          </w:tcPr>
          <w:p w14:paraId="62DD01F9"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84</w:t>
            </w:r>
          </w:p>
        </w:tc>
        <w:tc>
          <w:tcPr>
            <w:tcW w:w="481" w:type="pct"/>
            <w:tcBorders>
              <w:top w:val="nil"/>
              <w:left w:val="nil"/>
              <w:bottom w:val="nil"/>
              <w:right w:val="nil"/>
            </w:tcBorders>
            <w:shd w:val="clear" w:color="auto" w:fill="auto"/>
            <w:noWrap/>
            <w:vAlign w:val="center"/>
            <w:hideMark/>
          </w:tcPr>
          <w:p w14:paraId="53A19190"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1,188</w:t>
            </w:r>
          </w:p>
        </w:tc>
        <w:tc>
          <w:tcPr>
            <w:tcW w:w="520" w:type="pct"/>
            <w:tcBorders>
              <w:top w:val="nil"/>
              <w:left w:val="nil"/>
              <w:bottom w:val="nil"/>
              <w:right w:val="nil"/>
            </w:tcBorders>
            <w:shd w:val="clear" w:color="auto" w:fill="auto"/>
            <w:noWrap/>
            <w:vAlign w:val="center"/>
            <w:hideMark/>
          </w:tcPr>
          <w:p w14:paraId="785A2590"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37.0</w:t>
            </w:r>
          </w:p>
        </w:tc>
        <w:tc>
          <w:tcPr>
            <w:tcW w:w="521" w:type="pct"/>
            <w:tcBorders>
              <w:top w:val="nil"/>
              <w:left w:val="nil"/>
              <w:bottom w:val="nil"/>
              <w:right w:val="nil"/>
            </w:tcBorders>
            <w:shd w:val="clear" w:color="auto" w:fill="auto"/>
            <w:noWrap/>
            <w:vAlign w:val="center"/>
            <w:hideMark/>
          </w:tcPr>
          <w:p w14:paraId="356006DD"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45.5</w:t>
            </w:r>
          </w:p>
        </w:tc>
        <w:tc>
          <w:tcPr>
            <w:tcW w:w="520" w:type="pct"/>
            <w:tcBorders>
              <w:top w:val="nil"/>
              <w:left w:val="nil"/>
              <w:bottom w:val="nil"/>
              <w:right w:val="nil"/>
            </w:tcBorders>
            <w:shd w:val="clear" w:color="auto" w:fill="auto"/>
            <w:noWrap/>
            <w:vAlign w:val="center"/>
            <w:hideMark/>
          </w:tcPr>
          <w:p w14:paraId="3FF4285F"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27.9</w:t>
            </w:r>
          </w:p>
        </w:tc>
        <w:tc>
          <w:tcPr>
            <w:tcW w:w="521" w:type="pct"/>
            <w:tcBorders>
              <w:top w:val="nil"/>
              <w:left w:val="nil"/>
              <w:bottom w:val="nil"/>
              <w:right w:val="nil"/>
            </w:tcBorders>
            <w:shd w:val="clear" w:color="auto" w:fill="auto"/>
            <w:noWrap/>
            <w:vAlign w:val="center"/>
            <w:hideMark/>
          </w:tcPr>
          <w:p w14:paraId="14BDA76C"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40.9</w:t>
            </w:r>
          </w:p>
        </w:tc>
        <w:tc>
          <w:tcPr>
            <w:tcW w:w="521" w:type="pct"/>
            <w:tcBorders>
              <w:top w:val="nil"/>
              <w:left w:val="nil"/>
              <w:bottom w:val="nil"/>
              <w:right w:val="nil"/>
            </w:tcBorders>
            <w:shd w:val="clear" w:color="auto" w:fill="auto"/>
            <w:noWrap/>
            <w:vAlign w:val="center"/>
            <w:hideMark/>
          </w:tcPr>
          <w:p w14:paraId="4ACC84B8"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67.8</w:t>
            </w:r>
          </w:p>
        </w:tc>
      </w:tr>
      <w:tr w:rsidR="00D24342" w:rsidRPr="00D24342" w14:paraId="400809D3" w14:textId="77777777" w:rsidTr="000F0997">
        <w:trPr>
          <w:trHeight w:val="300"/>
        </w:trPr>
        <w:tc>
          <w:tcPr>
            <w:tcW w:w="1146" w:type="pct"/>
            <w:tcBorders>
              <w:top w:val="nil"/>
              <w:left w:val="nil"/>
              <w:bottom w:val="nil"/>
              <w:right w:val="nil"/>
            </w:tcBorders>
            <w:shd w:val="clear" w:color="auto" w:fill="auto"/>
            <w:noWrap/>
            <w:vAlign w:val="center"/>
            <w:hideMark/>
          </w:tcPr>
          <w:p w14:paraId="2CD78BE5"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St. Lucia</w:t>
            </w:r>
          </w:p>
        </w:tc>
        <w:tc>
          <w:tcPr>
            <w:tcW w:w="345" w:type="pct"/>
            <w:tcBorders>
              <w:top w:val="nil"/>
              <w:left w:val="nil"/>
              <w:bottom w:val="nil"/>
              <w:right w:val="nil"/>
            </w:tcBorders>
            <w:shd w:val="clear" w:color="auto" w:fill="auto"/>
            <w:noWrap/>
            <w:vAlign w:val="center"/>
            <w:hideMark/>
          </w:tcPr>
          <w:p w14:paraId="641E97D2"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2007</w:t>
            </w:r>
          </w:p>
        </w:tc>
        <w:tc>
          <w:tcPr>
            <w:tcW w:w="425" w:type="pct"/>
            <w:tcBorders>
              <w:top w:val="nil"/>
              <w:left w:val="nil"/>
              <w:bottom w:val="nil"/>
              <w:right w:val="nil"/>
            </w:tcBorders>
            <w:shd w:val="clear" w:color="auto" w:fill="auto"/>
            <w:noWrap/>
            <w:vAlign w:val="center"/>
            <w:hideMark/>
          </w:tcPr>
          <w:p w14:paraId="04B34602"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82</w:t>
            </w:r>
          </w:p>
        </w:tc>
        <w:tc>
          <w:tcPr>
            <w:tcW w:w="481" w:type="pct"/>
            <w:tcBorders>
              <w:top w:val="nil"/>
              <w:left w:val="nil"/>
              <w:bottom w:val="nil"/>
              <w:right w:val="nil"/>
            </w:tcBorders>
            <w:shd w:val="clear" w:color="auto" w:fill="auto"/>
            <w:noWrap/>
            <w:vAlign w:val="center"/>
            <w:hideMark/>
          </w:tcPr>
          <w:p w14:paraId="6C9171B9"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1,072</w:t>
            </w:r>
          </w:p>
        </w:tc>
        <w:tc>
          <w:tcPr>
            <w:tcW w:w="520" w:type="pct"/>
            <w:tcBorders>
              <w:top w:val="nil"/>
              <w:left w:val="nil"/>
              <w:bottom w:val="nil"/>
              <w:right w:val="nil"/>
            </w:tcBorders>
            <w:shd w:val="clear" w:color="auto" w:fill="auto"/>
            <w:noWrap/>
            <w:vAlign w:val="center"/>
            <w:hideMark/>
          </w:tcPr>
          <w:p w14:paraId="22C4AC7C"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34.4</w:t>
            </w:r>
          </w:p>
        </w:tc>
        <w:tc>
          <w:tcPr>
            <w:tcW w:w="521" w:type="pct"/>
            <w:tcBorders>
              <w:top w:val="nil"/>
              <w:left w:val="nil"/>
              <w:bottom w:val="nil"/>
              <w:right w:val="nil"/>
            </w:tcBorders>
            <w:shd w:val="clear" w:color="auto" w:fill="auto"/>
            <w:noWrap/>
            <w:vAlign w:val="center"/>
            <w:hideMark/>
          </w:tcPr>
          <w:p w14:paraId="6E19E8A3"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40.8</w:t>
            </w:r>
          </w:p>
        </w:tc>
        <w:tc>
          <w:tcPr>
            <w:tcW w:w="520" w:type="pct"/>
            <w:tcBorders>
              <w:top w:val="nil"/>
              <w:left w:val="nil"/>
              <w:bottom w:val="nil"/>
              <w:right w:val="nil"/>
            </w:tcBorders>
            <w:shd w:val="clear" w:color="auto" w:fill="auto"/>
            <w:noWrap/>
            <w:vAlign w:val="center"/>
            <w:hideMark/>
          </w:tcPr>
          <w:p w14:paraId="72FE9C04"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23.3</w:t>
            </w:r>
          </w:p>
        </w:tc>
        <w:tc>
          <w:tcPr>
            <w:tcW w:w="521" w:type="pct"/>
            <w:tcBorders>
              <w:top w:val="nil"/>
              <w:left w:val="nil"/>
              <w:bottom w:val="nil"/>
              <w:right w:val="nil"/>
            </w:tcBorders>
            <w:shd w:val="clear" w:color="auto" w:fill="auto"/>
            <w:noWrap/>
            <w:vAlign w:val="center"/>
            <w:hideMark/>
          </w:tcPr>
          <w:p w14:paraId="2CB42763"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48.3</w:t>
            </w:r>
          </w:p>
        </w:tc>
        <w:tc>
          <w:tcPr>
            <w:tcW w:w="521" w:type="pct"/>
            <w:tcBorders>
              <w:top w:val="nil"/>
              <w:left w:val="nil"/>
              <w:bottom w:val="nil"/>
              <w:right w:val="nil"/>
            </w:tcBorders>
            <w:shd w:val="clear" w:color="auto" w:fill="auto"/>
            <w:noWrap/>
            <w:vAlign w:val="center"/>
            <w:hideMark/>
          </w:tcPr>
          <w:p w14:paraId="1657C407"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67.9</w:t>
            </w:r>
          </w:p>
        </w:tc>
      </w:tr>
      <w:tr w:rsidR="00D24342" w:rsidRPr="00D24342" w14:paraId="2CF20CD5" w14:textId="77777777" w:rsidTr="000F0997">
        <w:trPr>
          <w:trHeight w:val="300"/>
        </w:trPr>
        <w:tc>
          <w:tcPr>
            <w:tcW w:w="1146" w:type="pct"/>
            <w:tcBorders>
              <w:top w:val="nil"/>
              <w:left w:val="nil"/>
              <w:bottom w:val="nil"/>
              <w:right w:val="nil"/>
            </w:tcBorders>
            <w:shd w:val="clear" w:color="auto" w:fill="auto"/>
            <w:noWrap/>
            <w:vAlign w:val="center"/>
            <w:hideMark/>
          </w:tcPr>
          <w:p w14:paraId="0F6DAFDC"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Suriname</w:t>
            </w:r>
          </w:p>
        </w:tc>
        <w:tc>
          <w:tcPr>
            <w:tcW w:w="345" w:type="pct"/>
            <w:tcBorders>
              <w:top w:val="nil"/>
              <w:left w:val="nil"/>
              <w:bottom w:val="nil"/>
              <w:right w:val="nil"/>
            </w:tcBorders>
            <w:shd w:val="clear" w:color="auto" w:fill="auto"/>
            <w:noWrap/>
            <w:vAlign w:val="center"/>
            <w:hideMark/>
          </w:tcPr>
          <w:p w14:paraId="7E0033FB"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2009</w:t>
            </w:r>
          </w:p>
        </w:tc>
        <w:tc>
          <w:tcPr>
            <w:tcW w:w="425" w:type="pct"/>
            <w:tcBorders>
              <w:top w:val="nil"/>
              <w:left w:val="nil"/>
              <w:bottom w:val="nil"/>
              <w:right w:val="nil"/>
            </w:tcBorders>
            <w:shd w:val="clear" w:color="auto" w:fill="auto"/>
            <w:noWrap/>
            <w:vAlign w:val="center"/>
            <w:hideMark/>
          </w:tcPr>
          <w:p w14:paraId="68D712B3"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89</w:t>
            </w:r>
          </w:p>
        </w:tc>
        <w:tc>
          <w:tcPr>
            <w:tcW w:w="481" w:type="pct"/>
            <w:tcBorders>
              <w:top w:val="nil"/>
              <w:left w:val="nil"/>
              <w:bottom w:val="nil"/>
              <w:right w:val="nil"/>
            </w:tcBorders>
            <w:shd w:val="clear" w:color="auto" w:fill="auto"/>
            <w:noWrap/>
            <w:vAlign w:val="center"/>
            <w:hideMark/>
          </w:tcPr>
          <w:p w14:paraId="1DF55A3C"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1,046</w:t>
            </w:r>
          </w:p>
        </w:tc>
        <w:tc>
          <w:tcPr>
            <w:tcW w:w="520" w:type="pct"/>
            <w:tcBorders>
              <w:top w:val="nil"/>
              <w:left w:val="nil"/>
              <w:bottom w:val="nil"/>
              <w:right w:val="nil"/>
            </w:tcBorders>
            <w:shd w:val="clear" w:color="auto" w:fill="auto"/>
            <w:noWrap/>
            <w:vAlign w:val="center"/>
            <w:hideMark/>
          </w:tcPr>
          <w:p w14:paraId="68937747"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23.1</w:t>
            </w:r>
          </w:p>
        </w:tc>
        <w:tc>
          <w:tcPr>
            <w:tcW w:w="521" w:type="pct"/>
            <w:tcBorders>
              <w:top w:val="nil"/>
              <w:left w:val="nil"/>
              <w:bottom w:val="nil"/>
              <w:right w:val="nil"/>
            </w:tcBorders>
            <w:shd w:val="clear" w:color="auto" w:fill="auto"/>
            <w:noWrap/>
            <w:vAlign w:val="center"/>
            <w:hideMark/>
          </w:tcPr>
          <w:p w14:paraId="7C53C391"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20.4</w:t>
            </w:r>
          </w:p>
        </w:tc>
        <w:tc>
          <w:tcPr>
            <w:tcW w:w="520" w:type="pct"/>
            <w:tcBorders>
              <w:top w:val="nil"/>
              <w:left w:val="nil"/>
              <w:bottom w:val="nil"/>
              <w:right w:val="nil"/>
            </w:tcBorders>
            <w:shd w:val="clear" w:color="auto" w:fill="auto"/>
            <w:noWrap/>
            <w:vAlign w:val="center"/>
            <w:hideMark/>
          </w:tcPr>
          <w:p w14:paraId="34829DA5"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23.6</w:t>
            </w:r>
          </w:p>
        </w:tc>
        <w:tc>
          <w:tcPr>
            <w:tcW w:w="521" w:type="pct"/>
            <w:tcBorders>
              <w:top w:val="nil"/>
              <w:left w:val="nil"/>
              <w:bottom w:val="nil"/>
              <w:right w:val="nil"/>
            </w:tcBorders>
            <w:shd w:val="clear" w:color="auto" w:fill="auto"/>
            <w:noWrap/>
            <w:vAlign w:val="center"/>
            <w:hideMark/>
          </w:tcPr>
          <w:p w14:paraId="11E6821C"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27.5</w:t>
            </w:r>
          </w:p>
        </w:tc>
        <w:tc>
          <w:tcPr>
            <w:tcW w:w="521" w:type="pct"/>
            <w:tcBorders>
              <w:top w:val="nil"/>
              <w:left w:val="nil"/>
              <w:bottom w:val="nil"/>
              <w:right w:val="nil"/>
            </w:tcBorders>
            <w:shd w:val="clear" w:color="auto" w:fill="auto"/>
            <w:noWrap/>
            <w:vAlign w:val="center"/>
            <w:hideMark/>
          </w:tcPr>
          <w:p w14:paraId="531A245E"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51.7</w:t>
            </w:r>
          </w:p>
        </w:tc>
      </w:tr>
      <w:tr w:rsidR="00D24342" w:rsidRPr="00D24342" w14:paraId="1F9A359C" w14:textId="77777777" w:rsidTr="000F0997">
        <w:trPr>
          <w:trHeight w:val="300"/>
        </w:trPr>
        <w:tc>
          <w:tcPr>
            <w:tcW w:w="1146" w:type="pct"/>
            <w:tcBorders>
              <w:top w:val="nil"/>
              <w:left w:val="nil"/>
              <w:bottom w:val="nil"/>
              <w:right w:val="nil"/>
            </w:tcBorders>
            <w:shd w:val="clear" w:color="auto" w:fill="auto"/>
            <w:noWrap/>
            <w:vAlign w:val="center"/>
            <w:hideMark/>
          </w:tcPr>
          <w:p w14:paraId="5CE30352"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Swaziland</w:t>
            </w:r>
          </w:p>
        </w:tc>
        <w:tc>
          <w:tcPr>
            <w:tcW w:w="345" w:type="pct"/>
            <w:tcBorders>
              <w:top w:val="nil"/>
              <w:left w:val="nil"/>
              <w:bottom w:val="nil"/>
              <w:right w:val="nil"/>
            </w:tcBorders>
            <w:shd w:val="clear" w:color="auto" w:fill="auto"/>
            <w:noWrap/>
            <w:vAlign w:val="center"/>
            <w:hideMark/>
          </w:tcPr>
          <w:p w14:paraId="0C03469F"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2003</w:t>
            </w:r>
          </w:p>
        </w:tc>
        <w:tc>
          <w:tcPr>
            <w:tcW w:w="425" w:type="pct"/>
            <w:tcBorders>
              <w:top w:val="nil"/>
              <w:left w:val="nil"/>
              <w:bottom w:val="nil"/>
              <w:right w:val="nil"/>
            </w:tcBorders>
            <w:shd w:val="clear" w:color="auto" w:fill="auto"/>
            <w:noWrap/>
            <w:vAlign w:val="center"/>
            <w:hideMark/>
          </w:tcPr>
          <w:p w14:paraId="74B8EF77"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96</w:t>
            </w:r>
          </w:p>
        </w:tc>
        <w:tc>
          <w:tcPr>
            <w:tcW w:w="481" w:type="pct"/>
            <w:tcBorders>
              <w:top w:val="nil"/>
              <w:left w:val="nil"/>
              <w:bottom w:val="nil"/>
              <w:right w:val="nil"/>
            </w:tcBorders>
            <w:shd w:val="clear" w:color="auto" w:fill="auto"/>
            <w:noWrap/>
            <w:vAlign w:val="center"/>
            <w:hideMark/>
          </w:tcPr>
          <w:p w14:paraId="75C7A0CA"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6,866</w:t>
            </w:r>
          </w:p>
        </w:tc>
        <w:tc>
          <w:tcPr>
            <w:tcW w:w="520" w:type="pct"/>
            <w:tcBorders>
              <w:top w:val="nil"/>
              <w:left w:val="nil"/>
              <w:bottom w:val="nil"/>
              <w:right w:val="nil"/>
            </w:tcBorders>
            <w:shd w:val="clear" w:color="auto" w:fill="auto"/>
            <w:noWrap/>
            <w:vAlign w:val="center"/>
            <w:hideMark/>
          </w:tcPr>
          <w:p w14:paraId="06704944"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NA</w:t>
            </w:r>
          </w:p>
        </w:tc>
        <w:tc>
          <w:tcPr>
            <w:tcW w:w="521" w:type="pct"/>
            <w:tcBorders>
              <w:top w:val="nil"/>
              <w:left w:val="nil"/>
              <w:bottom w:val="nil"/>
              <w:right w:val="nil"/>
            </w:tcBorders>
            <w:shd w:val="clear" w:color="auto" w:fill="auto"/>
            <w:noWrap/>
            <w:vAlign w:val="center"/>
            <w:hideMark/>
          </w:tcPr>
          <w:p w14:paraId="1CB76E20"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27.7</w:t>
            </w:r>
          </w:p>
        </w:tc>
        <w:tc>
          <w:tcPr>
            <w:tcW w:w="520" w:type="pct"/>
            <w:tcBorders>
              <w:top w:val="nil"/>
              <w:left w:val="nil"/>
              <w:bottom w:val="nil"/>
              <w:right w:val="nil"/>
            </w:tcBorders>
            <w:shd w:val="clear" w:color="auto" w:fill="auto"/>
            <w:noWrap/>
            <w:vAlign w:val="center"/>
            <w:hideMark/>
          </w:tcPr>
          <w:p w14:paraId="440892D9"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11.1</w:t>
            </w:r>
          </w:p>
        </w:tc>
        <w:tc>
          <w:tcPr>
            <w:tcW w:w="521" w:type="pct"/>
            <w:tcBorders>
              <w:top w:val="nil"/>
              <w:left w:val="nil"/>
              <w:bottom w:val="nil"/>
              <w:right w:val="nil"/>
            </w:tcBorders>
            <w:shd w:val="clear" w:color="auto" w:fill="auto"/>
            <w:noWrap/>
            <w:vAlign w:val="center"/>
            <w:hideMark/>
          </w:tcPr>
          <w:p w14:paraId="17F664C7"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55.9</w:t>
            </w:r>
          </w:p>
        </w:tc>
        <w:tc>
          <w:tcPr>
            <w:tcW w:w="521" w:type="pct"/>
            <w:tcBorders>
              <w:top w:val="nil"/>
              <w:left w:val="nil"/>
              <w:bottom w:val="nil"/>
              <w:right w:val="nil"/>
            </w:tcBorders>
            <w:shd w:val="clear" w:color="auto" w:fill="auto"/>
            <w:noWrap/>
            <w:vAlign w:val="center"/>
            <w:hideMark/>
          </w:tcPr>
          <w:p w14:paraId="6284E6E1"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51.8</w:t>
            </w:r>
          </w:p>
        </w:tc>
      </w:tr>
      <w:tr w:rsidR="00D24342" w:rsidRPr="00D24342" w14:paraId="7ABB9F44" w14:textId="77777777" w:rsidTr="000F0997">
        <w:trPr>
          <w:trHeight w:val="300"/>
        </w:trPr>
        <w:tc>
          <w:tcPr>
            <w:tcW w:w="1146" w:type="pct"/>
            <w:tcBorders>
              <w:top w:val="nil"/>
              <w:left w:val="nil"/>
              <w:bottom w:val="nil"/>
              <w:right w:val="nil"/>
            </w:tcBorders>
            <w:shd w:val="clear" w:color="auto" w:fill="auto"/>
            <w:noWrap/>
            <w:vAlign w:val="center"/>
            <w:hideMark/>
          </w:tcPr>
          <w:p w14:paraId="7A075C6A"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Tanzania</w:t>
            </w:r>
          </w:p>
        </w:tc>
        <w:tc>
          <w:tcPr>
            <w:tcW w:w="345" w:type="pct"/>
            <w:tcBorders>
              <w:top w:val="nil"/>
              <w:left w:val="nil"/>
              <w:bottom w:val="nil"/>
              <w:right w:val="nil"/>
            </w:tcBorders>
            <w:shd w:val="clear" w:color="auto" w:fill="auto"/>
            <w:noWrap/>
            <w:vAlign w:val="center"/>
            <w:hideMark/>
          </w:tcPr>
          <w:p w14:paraId="077137F0"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2014</w:t>
            </w:r>
          </w:p>
        </w:tc>
        <w:tc>
          <w:tcPr>
            <w:tcW w:w="425" w:type="pct"/>
            <w:tcBorders>
              <w:top w:val="nil"/>
              <w:left w:val="nil"/>
              <w:bottom w:val="nil"/>
              <w:right w:val="nil"/>
            </w:tcBorders>
            <w:shd w:val="clear" w:color="auto" w:fill="auto"/>
            <w:noWrap/>
            <w:vAlign w:val="center"/>
            <w:hideMark/>
          </w:tcPr>
          <w:p w14:paraId="1D7B952E"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87</w:t>
            </w:r>
          </w:p>
        </w:tc>
        <w:tc>
          <w:tcPr>
            <w:tcW w:w="481" w:type="pct"/>
            <w:tcBorders>
              <w:top w:val="nil"/>
              <w:left w:val="nil"/>
              <w:bottom w:val="nil"/>
              <w:right w:val="nil"/>
            </w:tcBorders>
            <w:shd w:val="clear" w:color="auto" w:fill="auto"/>
            <w:noWrap/>
            <w:vAlign w:val="center"/>
            <w:hideMark/>
          </w:tcPr>
          <w:p w14:paraId="2916D8E2"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2,615</w:t>
            </w:r>
          </w:p>
        </w:tc>
        <w:tc>
          <w:tcPr>
            <w:tcW w:w="520" w:type="pct"/>
            <w:tcBorders>
              <w:top w:val="nil"/>
              <w:left w:val="nil"/>
              <w:bottom w:val="nil"/>
              <w:right w:val="nil"/>
            </w:tcBorders>
            <w:shd w:val="clear" w:color="auto" w:fill="auto"/>
            <w:noWrap/>
            <w:vAlign w:val="center"/>
            <w:hideMark/>
          </w:tcPr>
          <w:p w14:paraId="6C8B2167"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53.5</w:t>
            </w:r>
          </w:p>
        </w:tc>
        <w:tc>
          <w:tcPr>
            <w:tcW w:w="521" w:type="pct"/>
            <w:tcBorders>
              <w:top w:val="nil"/>
              <w:left w:val="nil"/>
              <w:bottom w:val="nil"/>
              <w:right w:val="nil"/>
            </w:tcBorders>
            <w:shd w:val="clear" w:color="auto" w:fill="auto"/>
            <w:noWrap/>
            <w:vAlign w:val="center"/>
            <w:hideMark/>
          </w:tcPr>
          <w:p w14:paraId="308D5B50"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32.1</w:t>
            </w:r>
          </w:p>
        </w:tc>
        <w:tc>
          <w:tcPr>
            <w:tcW w:w="520" w:type="pct"/>
            <w:tcBorders>
              <w:top w:val="nil"/>
              <w:left w:val="nil"/>
              <w:bottom w:val="nil"/>
              <w:right w:val="nil"/>
            </w:tcBorders>
            <w:shd w:val="clear" w:color="auto" w:fill="auto"/>
            <w:noWrap/>
            <w:vAlign w:val="center"/>
            <w:hideMark/>
          </w:tcPr>
          <w:p w14:paraId="39F4DF4F"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17.8</w:t>
            </w:r>
          </w:p>
        </w:tc>
        <w:tc>
          <w:tcPr>
            <w:tcW w:w="521" w:type="pct"/>
            <w:tcBorders>
              <w:top w:val="nil"/>
              <w:left w:val="nil"/>
              <w:bottom w:val="nil"/>
              <w:right w:val="nil"/>
            </w:tcBorders>
            <w:shd w:val="clear" w:color="auto" w:fill="auto"/>
            <w:noWrap/>
            <w:vAlign w:val="center"/>
            <w:hideMark/>
          </w:tcPr>
          <w:p w14:paraId="0227ABF9"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66.9</w:t>
            </w:r>
          </w:p>
        </w:tc>
        <w:tc>
          <w:tcPr>
            <w:tcW w:w="521" w:type="pct"/>
            <w:tcBorders>
              <w:top w:val="nil"/>
              <w:left w:val="nil"/>
              <w:bottom w:val="nil"/>
              <w:right w:val="nil"/>
            </w:tcBorders>
            <w:shd w:val="clear" w:color="auto" w:fill="auto"/>
            <w:noWrap/>
            <w:vAlign w:val="center"/>
            <w:hideMark/>
          </w:tcPr>
          <w:p w14:paraId="46FD33DE"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49.5</w:t>
            </w:r>
          </w:p>
        </w:tc>
      </w:tr>
      <w:tr w:rsidR="00D24342" w:rsidRPr="00D24342" w14:paraId="2902F494" w14:textId="77777777" w:rsidTr="000F0997">
        <w:trPr>
          <w:trHeight w:val="300"/>
        </w:trPr>
        <w:tc>
          <w:tcPr>
            <w:tcW w:w="1146" w:type="pct"/>
            <w:tcBorders>
              <w:top w:val="nil"/>
              <w:left w:val="nil"/>
              <w:bottom w:val="nil"/>
              <w:right w:val="nil"/>
            </w:tcBorders>
            <w:shd w:val="clear" w:color="auto" w:fill="auto"/>
            <w:noWrap/>
            <w:vAlign w:val="center"/>
            <w:hideMark/>
          </w:tcPr>
          <w:p w14:paraId="0AD9FFD3"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Thailand</w:t>
            </w:r>
          </w:p>
        </w:tc>
        <w:tc>
          <w:tcPr>
            <w:tcW w:w="345" w:type="pct"/>
            <w:tcBorders>
              <w:top w:val="nil"/>
              <w:left w:val="nil"/>
              <w:bottom w:val="nil"/>
              <w:right w:val="nil"/>
            </w:tcBorders>
            <w:shd w:val="clear" w:color="auto" w:fill="auto"/>
            <w:noWrap/>
            <w:vAlign w:val="center"/>
            <w:hideMark/>
          </w:tcPr>
          <w:p w14:paraId="6837E88A"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2015</w:t>
            </w:r>
          </w:p>
        </w:tc>
        <w:tc>
          <w:tcPr>
            <w:tcW w:w="425" w:type="pct"/>
            <w:tcBorders>
              <w:top w:val="nil"/>
              <w:left w:val="nil"/>
              <w:bottom w:val="nil"/>
              <w:right w:val="nil"/>
            </w:tcBorders>
            <w:shd w:val="clear" w:color="auto" w:fill="auto"/>
            <w:noWrap/>
            <w:vAlign w:val="center"/>
            <w:hideMark/>
          </w:tcPr>
          <w:p w14:paraId="43E0DA63"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89</w:t>
            </w:r>
          </w:p>
        </w:tc>
        <w:tc>
          <w:tcPr>
            <w:tcW w:w="481" w:type="pct"/>
            <w:tcBorders>
              <w:top w:val="nil"/>
              <w:left w:val="nil"/>
              <w:bottom w:val="nil"/>
              <w:right w:val="nil"/>
            </w:tcBorders>
            <w:shd w:val="clear" w:color="auto" w:fill="auto"/>
            <w:noWrap/>
            <w:vAlign w:val="center"/>
            <w:hideMark/>
          </w:tcPr>
          <w:p w14:paraId="2426E328"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4,132</w:t>
            </w:r>
          </w:p>
        </w:tc>
        <w:tc>
          <w:tcPr>
            <w:tcW w:w="520" w:type="pct"/>
            <w:tcBorders>
              <w:top w:val="nil"/>
              <w:left w:val="nil"/>
              <w:bottom w:val="nil"/>
              <w:right w:val="nil"/>
            </w:tcBorders>
            <w:shd w:val="clear" w:color="auto" w:fill="auto"/>
            <w:noWrap/>
            <w:vAlign w:val="center"/>
            <w:hideMark/>
          </w:tcPr>
          <w:p w14:paraId="02E52B2F"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29.8</w:t>
            </w:r>
          </w:p>
        </w:tc>
        <w:tc>
          <w:tcPr>
            <w:tcW w:w="521" w:type="pct"/>
            <w:tcBorders>
              <w:top w:val="nil"/>
              <w:left w:val="nil"/>
              <w:bottom w:val="nil"/>
              <w:right w:val="nil"/>
            </w:tcBorders>
            <w:shd w:val="clear" w:color="auto" w:fill="auto"/>
            <w:noWrap/>
            <w:vAlign w:val="center"/>
            <w:hideMark/>
          </w:tcPr>
          <w:p w14:paraId="2CB65FA6"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28.4</w:t>
            </w:r>
          </w:p>
        </w:tc>
        <w:tc>
          <w:tcPr>
            <w:tcW w:w="520" w:type="pct"/>
            <w:tcBorders>
              <w:top w:val="nil"/>
              <w:left w:val="nil"/>
              <w:bottom w:val="nil"/>
              <w:right w:val="nil"/>
            </w:tcBorders>
            <w:shd w:val="clear" w:color="auto" w:fill="auto"/>
            <w:noWrap/>
            <w:vAlign w:val="center"/>
            <w:hideMark/>
          </w:tcPr>
          <w:p w14:paraId="6B803846"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13.9</w:t>
            </w:r>
          </w:p>
        </w:tc>
        <w:tc>
          <w:tcPr>
            <w:tcW w:w="521" w:type="pct"/>
            <w:tcBorders>
              <w:top w:val="nil"/>
              <w:left w:val="nil"/>
              <w:bottom w:val="nil"/>
              <w:right w:val="nil"/>
            </w:tcBorders>
            <w:shd w:val="clear" w:color="auto" w:fill="auto"/>
            <w:noWrap/>
            <w:vAlign w:val="center"/>
            <w:hideMark/>
          </w:tcPr>
          <w:p w14:paraId="30FBC586"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35.4</w:t>
            </w:r>
          </w:p>
        </w:tc>
        <w:tc>
          <w:tcPr>
            <w:tcW w:w="521" w:type="pct"/>
            <w:tcBorders>
              <w:top w:val="nil"/>
              <w:left w:val="nil"/>
              <w:bottom w:val="nil"/>
              <w:right w:val="nil"/>
            </w:tcBorders>
            <w:shd w:val="clear" w:color="auto" w:fill="auto"/>
            <w:noWrap/>
            <w:vAlign w:val="center"/>
            <w:hideMark/>
          </w:tcPr>
          <w:p w14:paraId="45D57554"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51.8</w:t>
            </w:r>
          </w:p>
        </w:tc>
      </w:tr>
      <w:tr w:rsidR="00D24342" w:rsidRPr="00D24342" w14:paraId="6A9F5D2A" w14:textId="77777777" w:rsidTr="000F0997">
        <w:trPr>
          <w:trHeight w:val="300"/>
        </w:trPr>
        <w:tc>
          <w:tcPr>
            <w:tcW w:w="1146" w:type="pct"/>
            <w:tcBorders>
              <w:top w:val="nil"/>
              <w:left w:val="nil"/>
              <w:bottom w:val="nil"/>
              <w:right w:val="nil"/>
            </w:tcBorders>
            <w:shd w:val="clear" w:color="auto" w:fill="auto"/>
            <w:noWrap/>
            <w:vAlign w:val="center"/>
            <w:hideMark/>
          </w:tcPr>
          <w:p w14:paraId="716D9C2B"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Tuvalu</w:t>
            </w:r>
          </w:p>
        </w:tc>
        <w:tc>
          <w:tcPr>
            <w:tcW w:w="345" w:type="pct"/>
            <w:tcBorders>
              <w:top w:val="nil"/>
              <w:left w:val="nil"/>
              <w:bottom w:val="nil"/>
              <w:right w:val="nil"/>
            </w:tcBorders>
            <w:shd w:val="clear" w:color="auto" w:fill="auto"/>
            <w:noWrap/>
            <w:vAlign w:val="center"/>
            <w:hideMark/>
          </w:tcPr>
          <w:p w14:paraId="150D05A0"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2013</w:t>
            </w:r>
          </w:p>
        </w:tc>
        <w:tc>
          <w:tcPr>
            <w:tcW w:w="425" w:type="pct"/>
            <w:tcBorders>
              <w:top w:val="nil"/>
              <w:left w:val="nil"/>
              <w:bottom w:val="nil"/>
              <w:right w:val="nil"/>
            </w:tcBorders>
            <w:shd w:val="clear" w:color="auto" w:fill="auto"/>
            <w:noWrap/>
            <w:vAlign w:val="center"/>
            <w:hideMark/>
          </w:tcPr>
          <w:p w14:paraId="2F9D8319"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90</w:t>
            </w:r>
          </w:p>
        </w:tc>
        <w:tc>
          <w:tcPr>
            <w:tcW w:w="481" w:type="pct"/>
            <w:tcBorders>
              <w:top w:val="nil"/>
              <w:left w:val="nil"/>
              <w:bottom w:val="nil"/>
              <w:right w:val="nil"/>
            </w:tcBorders>
            <w:shd w:val="clear" w:color="auto" w:fill="auto"/>
            <w:noWrap/>
            <w:vAlign w:val="center"/>
            <w:hideMark/>
          </w:tcPr>
          <w:p w14:paraId="48BB23DB"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679</w:t>
            </w:r>
          </w:p>
        </w:tc>
        <w:tc>
          <w:tcPr>
            <w:tcW w:w="520" w:type="pct"/>
            <w:tcBorders>
              <w:top w:val="nil"/>
              <w:left w:val="nil"/>
              <w:bottom w:val="nil"/>
              <w:right w:val="nil"/>
            </w:tcBorders>
            <w:shd w:val="clear" w:color="auto" w:fill="auto"/>
            <w:noWrap/>
            <w:vAlign w:val="center"/>
            <w:hideMark/>
          </w:tcPr>
          <w:p w14:paraId="4E5B773A"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66.8</w:t>
            </w:r>
          </w:p>
        </w:tc>
        <w:tc>
          <w:tcPr>
            <w:tcW w:w="521" w:type="pct"/>
            <w:tcBorders>
              <w:top w:val="nil"/>
              <w:left w:val="nil"/>
              <w:bottom w:val="nil"/>
              <w:right w:val="nil"/>
            </w:tcBorders>
            <w:shd w:val="clear" w:color="auto" w:fill="auto"/>
            <w:noWrap/>
            <w:vAlign w:val="center"/>
            <w:hideMark/>
          </w:tcPr>
          <w:p w14:paraId="25F9D0C7"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75.4</w:t>
            </w:r>
          </w:p>
        </w:tc>
        <w:tc>
          <w:tcPr>
            <w:tcW w:w="520" w:type="pct"/>
            <w:tcBorders>
              <w:top w:val="nil"/>
              <w:left w:val="nil"/>
              <w:bottom w:val="nil"/>
              <w:right w:val="nil"/>
            </w:tcBorders>
            <w:shd w:val="clear" w:color="auto" w:fill="auto"/>
            <w:noWrap/>
            <w:vAlign w:val="center"/>
            <w:hideMark/>
          </w:tcPr>
          <w:p w14:paraId="7BCB1A90"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15.5</w:t>
            </w:r>
          </w:p>
        </w:tc>
        <w:tc>
          <w:tcPr>
            <w:tcW w:w="521" w:type="pct"/>
            <w:tcBorders>
              <w:top w:val="nil"/>
              <w:left w:val="nil"/>
              <w:bottom w:val="nil"/>
              <w:right w:val="nil"/>
            </w:tcBorders>
            <w:shd w:val="clear" w:color="auto" w:fill="auto"/>
            <w:noWrap/>
            <w:vAlign w:val="center"/>
            <w:hideMark/>
          </w:tcPr>
          <w:p w14:paraId="39C6EFF6"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46.5</w:t>
            </w:r>
          </w:p>
        </w:tc>
        <w:tc>
          <w:tcPr>
            <w:tcW w:w="521" w:type="pct"/>
            <w:tcBorders>
              <w:top w:val="nil"/>
              <w:left w:val="nil"/>
              <w:bottom w:val="nil"/>
              <w:right w:val="nil"/>
            </w:tcBorders>
            <w:shd w:val="clear" w:color="auto" w:fill="auto"/>
            <w:noWrap/>
            <w:vAlign w:val="center"/>
            <w:hideMark/>
          </w:tcPr>
          <w:p w14:paraId="1FF08EB4"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59.6</w:t>
            </w:r>
          </w:p>
        </w:tc>
      </w:tr>
      <w:tr w:rsidR="00D24342" w:rsidRPr="00D24342" w14:paraId="7046526A" w14:textId="77777777" w:rsidTr="000F0997">
        <w:trPr>
          <w:trHeight w:val="300"/>
        </w:trPr>
        <w:tc>
          <w:tcPr>
            <w:tcW w:w="1146" w:type="pct"/>
            <w:tcBorders>
              <w:top w:val="nil"/>
              <w:left w:val="nil"/>
              <w:bottom w:val="nil"/>
              <w:right w:val="nil"/>
            </w:tcBorders>
            <w:shd w:val="clear" w:color="auto" w:fill="auto"/>
            <w:noWrap/>
            <w:vAlign w:val="center"/>
            <w:hideMark/>
          </w:tcPr>
          <w:p w14:paraId="7EC602EC"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Uganda</w:t>
            </w:r>
          </w:p>
        </w:tc>
        <w:tc>
          <w:tcPr>
            <w:tcW w:w="345" w:type="pct"/>
            <w:tcBorders>
              <w:top w:val="nil"/>
              <w:left w:val="nil"/>
              <w:bottom w:val="nil"/>
              <w:right w:val="nil"/>
            </w:tcBorders>
            <w:shd w:val="clear" w:color="auto" w:fill="auto"/>
            <w:noWrap/>
            <w:vAlign w:val="center"/>
            <w:hideMark/>
          </w:tcPr>
          <w:p w14:paraId="0D6B22CE"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2003</w:t>
            </w:r>
          </w:p>
        </w:tc>
        <w:tc>
          <w:tcPr>
            <w:tcW w:w="425" w:type="pct"/>
            <w:tcBorders>
              <w:top w:val="nil"/>
              <w:left w:val="nil"/>
              <w:bottom w:val="nil"/>
              <w:right w:val="nil"/>
            </w:tcBorders>
            <w:shd w:val="clear" w:color="auto" w:fill="auto"/>
            <w:noWrap/>
            <w:vAlign w:val="center"/>
            <w:hideMark/>
          </w:tcPr>
          <w:p w14:paraId="6222F11B"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69</w:t>
            </w:r>
          </w:p>
        </w:tc>
        <w:tc>
          <w:tcPr>
            <w:tcW w:w="481" w:type="pct"/>
            <w:tcBorders>
              <w:top w:val="nil"/>
              <w:left w:val="nil"/>
              <w:bottom w:val="nil"/>
              <w:right w:val="nil"/>
            </w:tcBorders>
            <w:shd w:val="clear" w:color="auto" w:fill="auto"/>
            <w:noWrap/>
            <w:vAlign w:val="center"/>
            <w:hideMark/>
          </w:tcPr>
          <w:p w14:paraId="71888274"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1,904</w:t>
            </w:r>
          </w:p>
        </w:tc>
        <w:tc>
          <w:tcPr>
            <w:tcW w:w="520" w:type="pct"/>
            <w:tcBorders>
              <w:top w:val="nil"/>
              <w:left w:val="nil"/>
              <w:bottom w:val="nil"/>
              <w:right w:val="nil"/>
            </w:tcBorders>
            <w:shd w:val="clear" w:color="auto" w:fill="auto"/>
            <w:noWrap/>
            <w:vAlign w:val="center"/>
            <w:hideMark/>
          </w:tcPr>
          <w:p w14:paraId="1D01A0B1"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NA</w:t>
            </w:r>
          </w:p>
        </w:tc>
        <w:tc>
          <w:tcPr>
            <w:tcW w:w="521" w:type="pct"/>
            <w:tcBorders>
              <w:top w:val="nil"/>
              <w:left w:val="nil"/>
              <w:bottom w:val="nil"/>
              <w:right w:val="nil"/>
            </w:tcBorders>
            <w:shd w:val="clear" w:color="auto" w:fill="auto"/>
            <w:noWrap/>
            <w:vAlign w:val="center"/>
            <w:hideMark/>
          </w:tcPr>
          <w:p w14:paraId="627E6636"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35.8</w:t>
            </w:r>
          </w:p>
        </w:tc>
        <w:tc>
          <w:tcPr>
            <w:tcW w:w="520" w:type="pct"/>
            <w:tcBorders>
              <w:top w:val="nil"/>
              <w:left w:val="nil"/>
              <w:bottom w:val="nil"/>
              <w:right w:val="nil"/>
            </w:tcBorders>
            <w:shd w:val="clear" w:color="auto" w:fill="auto"/>
            <w:noWrap/>
            <w:vAlign w:val="center"/>
            <w:hideMark/>
          </w:tcPr>
          <w:p w14:paraId="26242380"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20.7</w:t>
            </w:r>
          </w:p>
        </w:tc>
        <w:tc>
          <w:tcPr>
            <w:tcW w:w="521" w:type="pct"/>
            <w:tcBorders>
              <w:top w:val="nil"/>
              <w:left w:val="nil"/>
              <w:bottom w:val="nil"/>
              <w:right w:val="nil"/>
            </w:tcBorders>
            <w:shd w:val="clear" w:color="auto" w:fill="auto"/>
            <w:noWrap/>
            <w:vAlign w:val="center"/>
            <w:hideMark/>
          </w:tcPr>
          <w:p w14:paraId="53729EF8"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40.7</w:t>
            </w:r>
          </w:p>
        </w:tc>
        <w:tc>
          <w:tcPr>
            <w:tcW w:w="521" w:type="pct"/>
            <w:tcBorders>
              <w:top w:val="nil"/>
              <w:left w:val="nil"/>
              <w:bottom w:val="nil"/>
              <w:right w:val="nil"/>
            </w:tcBorders>
            <w:shd w:val="clear" w:color="auto" w:fill="auto"/>
            <w:noWrap/>
            <w:vAlign w:val="center"/>
            <w:hideMark/>
          </w:tcPr>
          <w:p w14:paraId="6F497625"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50.8</w:t>
            </w:r>
          </w:p>
        </w:tc>
      </w:tr>
      <w:tr w:rsidR="00D24342" w:rsidRPr="00D24342" w14:paraId="30CF2908" w14:textId="77777777" w:rsidTr="000F0997">
        <w:trPr>
          <w:trHeight w:val="300"/>
        </w:trPr>
        <w:tc>
          <w:tcPr>
            <w:tcW w:w="1146" w:type="pct"/>
            <w:tcBorders>
              <w:top w:val="nil"/>
              <w:left w:val="nil"/>
              <w:bottom w:val="nil"/>
              <w:right w:val="nil"/>
            </w:tcBorders>
            <w:shd w:val="clear" w:color="auto" w:fill="auto"/>
            <w:noWrap/>
            <w:vAlign w:val="center"/>
            <w:hideMark/>
          </w:tcPr>
          <w:p w14:paraId="54D498C7"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Vanuatu</w:t>
            </w:r>
          </w:p>
        </w:tc>
        <w:tc>
          <w:tcPr>
            <w:tcW w:w="345" w:type="pct"/>
            <w:tcBorders>
              <w:top w:val="nil"/>
              <w:left w:val="nil"/>
              <w:bottom w:val="nil"/>
              <w:right w:val="nil"/>
            </w:tcBorders>
            <w:shd w:val="clear" w:color="auto" w:fill="auto"/>
            <w:noWrap/>
            <w:vAlign w:val="center"/>
            <w:hideMark/>
          </w:tcPr>
          <w:p w14:paraId="7AF5F643"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2011</w:t>
            </w:r>
          </w:p>
        </w:tc>
        <w:tc>
          <w:tcPr>
            <w:tcW w:w="425" w:type="pct"/>
            <w:tcBorders>
              <w:top w:val="nil"/>
              <w:left w:val="nil"/>
              <w:bottom w:val="nil"/>
              <w:right w:val="nil"/>
            </w:tcBorders>
            <w:shd w:val="clear" w:color="auto" w:fill="auto"/>
            <w:noWrap/>
            <w:vAlign w:val="center"/>
            <w:hideMark/>
          </w:tcPr>
          <w:p w14:paraId="48F55EBA"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72</w:t>
            </w:r>
          </w:p>
        </w:tc>
        <w:tc>
          <w:tcPr>
            <w:tcW w:w="481" w:type="pct"/>
            <w:tcBorders>
              <w:top w:val="nil"/>
              <w:left w:val="nil"/>
              <w:bottom w:val="nil"/>
              <w:right w:val="nil"/>
            </w:tcBorders>
            <w:shd w:val="clear" w:color="auto" w:fill="auto"/>
            <w:noWrap/>
            <w:vAlign w:val="center"/>
            <w:hideMark/>
          </w:tcPr>
          <w:p w14:paraId="083FDF1D"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852</w:t>
            </w:r>
          </w:p>
        </w:tc>
        <w:tc>
          <w:tcPr>
            <w:tcW w:w="520" w:type="pct"/>
            <w:tcBorders>
              <w:top w:val="nil"/>
              <w:left w:val="nil"/>
              <w:bottom w:val="nil"/>
              <w:right w:val="nil"/>
            </w:tcBorders>
            <w:shd w:val="clear" w:color="auto" w:fill="auto"/>
            <w:noWrap/>
            <w:vAlign w:val="center"/>
            <w:hideMark/>
          </w:tcPr>
          <w:p w14:paraId="155F1156"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55.0</w:t>
            </w:r>
          </w:p>
        </w:tc>
        <w:tc>
          <w:tcPr>
            <w:tcW w:w="521" w:type="pct"/>
            <w:tcBorders>
              <w:top w:val="nil"/>
              <w:left w:val="nil"/>
              <w:bottom w:val="nil"/>
              <w:right w:val="nil"/>
            </w:tcBorders>
            <w:shd w:val="clear" w:color="auto" w:fill="auto"/>
            <w:noWrap/>
            <w:vAlign w:val="center"/>
            <w:hideMark/>
          </w:tcPr>
          <w:p w14:paraId="7B28D3C0"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51.5</w:t>
            </w:r>
          </w:p>
        </w:tc>
        <w:tc>
          <w:tcPr>
            <w:tcW w:w="520" w:type="pct"/>
            <w:tcBorders>
              <w:top w:val="nil"/>
              <w:left w:val="nil"/>
              <w:bottom w:val="nil"/>
              <w:right w:val="nil"/>
            </w:tcBorders>
            <w:shd w:val="clear" w:color="auto" w:fill="auto"/>
            <w:noWrap/>
            <w:vAlign w:val="center"/>
            <w:hideMark/>
          </w:tcPr>
          <w:p w14:paraId="68505FD6"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11.2</w:t>
            </w:r>
          </w:p>
        </w:tc>
        <w:tc>
          <w:tcPr>
            <w:tcW w:w="521" w:type="pct"/>
            <w:tcBorders>
              <w:top w:val="nil"/>
              <w:left w:val="nil"/>
              <w:bottom w:val="nil"/>
              <w:right w:val="nil"/>
            </w:tcBorders>
            <w:shd w:val="clear" w:color="auto" w:fill="auto"/>
            <w:noWrap/>
            <w:vAlign w:val="center"/>
            <w:hideMark/>
          </w:tcPr>
          <w:p w14:paraId="6E7994F1"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36.1</w:t>
            </w:r>
          </w:p>
        </w:tc>
        <w:tc>
          <w:tcPr>
            <w:tcW w:w="521" w:type="pct"/>
            <w:tcBorders>
              <w:top w:val="nil"/>
              <w:left w:val="nil"/>
              <w:bottom w:val="nil"/>
              <w:right w:val="nil"/>
            </w:tcBorders>
            <w:shd w:val="clear" w:color="auto" w:fill="auto"/>
            <w:noWrap/>
            <w:vAlign w:val="center"/>
            <w:hideMark/>
          </w:tcPr>
          <w:p w14:paraId="4953D996"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40.1</w:t>
            </w:r>
          </w:p>
        </w:tc>
      </w:tr>
      <w:tr w:rsidR="00D24342" w:rsidRPr="00D24342" w14:paraId="368189AD" w14:textId="77777777" w:rsidTr="000F0997">
        <w:trPr>
          <w:trHeight w:val="300"/>
        </w:trPr>
        <w:tc>
          <w:tcPr>
            <w:tcW w:w="1146" w:type="pct"/>
            <w:tcBorders>
              <w:top w:val="nil"/>
              <w:left w:val="nil"/>
              <w:bottom w:val="nil"/>
              <w:right w:val="nil"/>
            </w:tcBorders>
            <w:shd w:val="clear" w:color="auto" w:fill="auto"/>
            <w:noWrap/>
            <w:vAlign w:val="center"/>
            <w:hideMark/>
          </w:tcPr>
          <w:p w14:paraId="1665F412"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Vietnam</w:t>
            </w:r>
          </w:p>
        </w:tc>
        <w:tc>
          <w:tcPr>
            <w:tcW w:w="345" w:type="pct"/>
            <w:tcBorders>
              <w:top w:val="nil"/>
              <w:left w:val="nil"/>
              <w:bottom w:val="nil"/>
              <w:right w:val="nil"/>
            </w:tcBorders>
            <w:shd w:val="clear" w:color="auto" w:fill="auto"/>
            <w:noWrap/>
            <w:vAlign w:val="center"/>
            <w:hideMark/>
          </w:tcPr>
          <w:p w14:paraId="60511A0C"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2013</w:t>
            </w:r>
          </w:p>
        </w:tc>
        <w:tc>
          <w:tcPr>
            <w:tcW w:w="425" w:type="pct"/>
            <w:tcBorders>
              <w:top w:val="nil"/>
              <w:left w:val="nil"/>
              <w:bottom w:val="nil"/>
              <w:right w:val="nil"/>
            </w:tcBorders>
            <w:shd w:val="clear" w:color="auto" w:fill="auto"/>
            <w:noWrap/>
            <w:vAlign w:val="center"/>
            <w:hideMark/>
          </w:tcPr>
          <w:p w14:paraId="22613174"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96</w:t>
            </w:r>
          </w:p>
        </w:tc>
        <w:tc>
          <w:tcPr>
            <w:tcW w:w="481" w:type="pct"/>
            <w:tcBorders>
              <w:top w:val="nil"/>
              <w:left w:val="nil"/>
              <w:bottom w:val="nil"/>
              <w:right w:val="nil"/>
            </w:tcBorders>
            <w:shd w:val="clear" w:color="auto" w:fill="auto"/>
            <w:noWrap/>
            <w:vAlign w:val="center"/>
            <w:hideMark/>
          </w:tcPr>
          <w:p w14:paraId="05B2E29F"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1,743</w:t>
            </w:r>
          </w:p>
        </w:tc>
        <w:tc>
          <w:tcPr>
            <w:tcW w:w="520" w:type="pct"/>
            <w:tcBorders>
              <w:top w:val="nil"/>
              <w:left w:val="nil"/>
              <w:bottom w:val="nil"/>
              <w:right w:val="nil"/>
            </w:tcBorders>
            <w:shd w:val="clear" w:color="auto" w:fill="auto"/>
            <w:noWrap/>
            <w:vAlign w:val="center"/>
            <w:hideMark/>
          </w:tcPr>
          <w:p w14:paraId="3AAC9912"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28.1</w:t>
            </w:r>
          </w:p>
        </w:tc>
        <w:tc>
          <w:tcPr>
            <w:tcW w:w="521" w:type="pct"/>
            <w:tcBorders>
              <w:top w:val="nil"/>
              <w:left w:val="nil"/>
              <w:bottom w:val="nil"/>
              <w:right w:val="nil"/>
            </w:tcBorders>
            <w:shd w:val="clear" w:color="auto" w:fill="auto"/>
            <w:noWrap/>
            <w:vAlign w:val="center"/>
            <w:hideMark/>
          </w:tcPr>
          <w:p w14:paraId="0A7920EF"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21.8</w:t>
            </w:r>
          </w:p>
        </w:tc>
        <w:tc>
          <w:tcPr>
            <w:tcW w:w="520" w:type="pct"/>
            <w:tcBorders>
              <w:top w:val="nil"/>
              <w:left w:val="nil"/>
              <w:bottom w:val="nil"/>
              <w:right w:val="nil"/>
            </w:tcBorders>
            <w:shd w:val="clear" w:color="auto" w:fill="auto"/>
            <w:noWrap/>
            <w:vAlign w:val="center"/>
            <w:hideMark/>
          </w:tcPr>
          <w:p w14:paraId="63F118AF"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3.6</w:t>
            </w:r>
          </w:p>
        </w:tc>
        <w:tc>
          <w:tcPr>
            <w:tcW w:w="521" w:type="pct"/>
            <w:tcBorders>
              <w:top w:val="nil"/>
              <w:left w:val="nil"/>
              <w:bottom w:val="nil"/>
              <w:right w:val="nil"/>
            </w:tcBorders>
            <w:shd w:val="clear" w:color="auto" w:fill="auto"/>
            <w:noWrap/>
            <w:vAlign w:val="center"/>
            <w:hideMark/>
          </w:tcPr>
          <w:p w14:paraId="334CE3B1"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56.4</w:t>
            </w:r>
          </w:p>
        </w:tc>
        <w:tc>
          <w:tcPr>
            <w:tcW w:w="521" w:type="pct"/>
            <w:tcBorders>
              <w:top w:val="nil"/>
              <w:left w:val="nil"/>
              <w:bottom w:val="nil"/>
              <w:right w:val="nil"/>
            </w:tcBorders>
            <w:shd w:val="clear" w:color="auto" w:fill="auto"/>
            <w:noWrap/>
            <w:vAlign w:val="center"/>
            <w:hideMark/>
          </w:tcPr>
          <w:p w14:paraId="27C7C948"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6.5</w:t>
            </w:r>
          </w:p>
        </w:tc>
      </w:tr>
      <w:tr w:rsidR="00D24342" w:rsidRPr="00D24342" w14:paraId="6D18A422" w14:textId="77777777" w:rsidTr="000F0997">
        <w:trPr>
          <w:trHeight w:val="300"/>
        </w:trPr>
        <w:tc>
          <w:tcPr>
            <w:tcW w:w="1146" w:type="pct"/>
            <w:tcBorders>
              <w:top w:val="nil"/>
              <w:left w:val="nil"/>
              <w:bottom w:val="single" w:sz="4" w:space="0" w:color="auto"/>
              <w:right w:val="nil"/>
            </w:tcBorders>
            <w:shd w:val="clear" w:color="auto" w:fill="auto"/>
            <w:noWrap/>
            <w:vAlign w:val="center"/>
            <w:hideMark/>
          </w:tcPr>
          <w:p w14:paraId="228B865E"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Zambia</w:t>
            </w:r>
          </w:p>
        </w:tc>
        <w:tc>
          <w:tcPr>
            <w:tcW w:w="345" w:type="pct"/>
            <w:tcBorders>
              <w:top w:val="nil"/>
              <w:left w:val="nil"/>
              <w:bottom w:val="single" w:sz="4" w:space="0" w:color="auto"/>
              <w:right w:val="nil"/>
            </w:tcBorders>
            <w:shd w:val="clear" w:color="auto" w:fill="auto"/>
            <w:noWrap/>
            <w:vAlign w:val="center"/>
            <w:hideMark/>
          </w:tcPr>
          <w:p w14:paraId="5DAE99CA"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2004</w:t>
            </w:r>
          </w:p>
        </w:tc>
        <w:tc>
          <w:tcPr>
            <w:tcW w:w="425" w:type="pct"/>
            <w:tcBorders>
              <w:top w:val="nil"/>
              <w:left w:val="nil"/>
              <w:bottom w:val="single" w:sz="4" w:space="0" w:color="auto"/>
              <w:right w:val="nil"/>
            </w:tcBorders>
            <w:shd w:val="clear" w:color="auto" w:fill="auto"/>
            <w:noWrap/>
            <w:vAlign w:val="center"/>
            <w:hideMark/>
          </w:tcPr>
          <w:p w14:paraId="0E4ECBD4"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70</w:t>
            </w:r>
          </w:p>
        </w:tc>
        <w:tc>
          <w:tcPr>
            <w:tcW w:w="481" w:type="pct"/>
            <w:tcBorders>
              <w:top w:val="nil"/>
              <w:left w:val="nil"/>
              <w:bottom w:val="single" w:sz="4" w:space="0" w:color="auto"/>
              <w:right w:val="nil"/>
            </w:tcBorders>
            <w:shd w:val="clear" w:color="auto" w:fill="auto"/>
            <w:noWrap/>
            <w:vAlign w:val="center"/>
            <w:hideMark/>
          </w:tcPr>
          <w:p w14:paraId="7FEE37A3"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1,365</w:t>
            </w:r>
          </w:p>
        </w:tc>
        <w:tc>
          <w:tcPr>
            <w:tcW w:w="520" w:type="pct"/>
            <w:tcBorders>
              <w:top w:val="nil"/>
              <w:left w:val="nil"/>
              <w:bottom w:val="single" w:sz="4" w:space="0" w:color="auto"/>
              <w:right w:val="nil"/>
            </w:tcBorders>
            <w:shd w:val="clear" w:color="auto" w:fill="auto"/>
            <w:noWrap/>
            <w:vAlign w:val="center"/>
            <w:hideMark/>
          </w:tcPr>
          <w:p w14:paraId="70D96E2F"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NA</w:t>
            </w:r>
          </w:p>
        </w:tc>
        <w:tc>
          <w:tcPr>
            <w:tcW w:w="521" w:type="pct"/>
            <w:tcBorders>
              <w:top w:val="nil"/>
              <w:left w:val="nil"/>
              <w:bottom w:val="single" w:sz="4" w:space="0" w:color="auto"/>
              <w:right w:val="nil"/>
            </w:tcBorders>
            <w:shd w:val="clear" w:color="auto" w:fill="auto"/>
            <w:noWrap/>
            <w:vAlign w:val="center"/>
            <w:hideMark/>
          </w:tcPr>
          <w:p w14:paraId="6064F895"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53.0</w:t>
            </w:r>
          </w:p>
        </w:tc>
        <w:tc>
          <w:tcPr>
            <w:tcW w:w="520" w:type="pct"/>
            <w:tcBorders>
              <w:top w:val="nil"/>
              <w:left w:val="nil"/>
              <w:bottom w:val="single" w:sz="4" w:space="0" w:color="auto"/>
              <w:right w:val="nil"/>
            </w:tcBorders>
            <w:shd w:val="clear" w:color="auto" w:fill="auto"/>
            <w:noWrap/>
            <w:vAlign w:val="center"/>
            <w:hideMark/>
          </w:tcPr>
          <w:p w14:paraId="1CA1618B"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37.0</w:t>
            </w:r>
          </w:p>
        </w:tc>
        <w:tc>
          <w:tcPr>
            <w:tcW w:w="521" w:type="pct"/>
            <w:tcBorders>
              <w:top w:val="nil"/>
              <w:left w:val="nil"/>
              <w:bottom w:val="single" w:sz="4" w:space="0" w:color="auto"/>
              <w:right w:val="nil"/>
            </w:tcBorders>
            <w:shd w:val="clear" w:color="auto" w:fill="auto"/>
            <w:noWrap/>
            <w:vAlign w:val="center"/>
            <w:hideMark/>
          </w:tcPr>
          <w:p w14:paraId="7627DD2C"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47.2</w:t>
            </w:r>
          </w:p>
        </w:tc>
        <w:tc>
          <w:tcPr>
            <w:tcW w:w="521" w:type="pct"/>
            <w:tcBorders>
              <w:top w:val="nil"/>
              <w:left w:val="nil"/>
              <w:bottom w:val="single" w:sz="4" w:space="0" w:color="auto"/>
              <w:right w:val="nil"/>
            </w:tcBorders>
            <w:shd w:val="clear" w:color="auto" w:fill="auto"/>
            <w:noWrap/>
            <w:vAlign w:val="center"/>
            <w:hideMark/>
          </w:tcPr>
          <w:p w14:paraId="725CCC5B" w14:textId="77777777" w:rsidR="000F0997" w:rsidRPr="00D24342" w:rsidRDefault="000F0997" w:rsidP="000F099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61.8</w:t>
            </w:r>
          </w:p>
        </w:tc>
      </w:tr>
    </w:tbl>
    <w:p w14:paraId="050B48CF" w14:textId="77777777" w:rsidR="004F228C" w:rsidRPr="00D24342" w:rsidRDefault="00D73302" w:rsidP="000F0997">
      <w:pPr>
        <w:rPr>
          <w:color w:val="auto"/>
          <w:sz w:val="20"/>
          <w:szCs w:val="20"/>
        </w:rPr>
      </w:pPr>
      <w:r w:rsidRPr="00D24342">
        <w:rPr>
          <w:color w:val="auto"/>
          <w:sz w:val="20"/>
          <w:szCs w:val="20"/>
          <w:vertAlign w:val="superscript"/>
        </w:rPr>
        <w:t xml:space="preserve">a </w:t>
      </w:r>
      <w:proofErr w:type="gramStart"/>
      <w:r w:rsidRPr="00D24342">
        <w:rPr>
          <w:color w:val="auto"/>
          <w:sz w:val="20"/>
          <w:szCs w:val="20"/>
        </w:rPr>
        <w:t>Based on</w:t>
      </w:r>
      <w:proofErr w:type="gramEnd"/>
      <w:r w:rsidRPr="00D24342">
        <w:rPr>
          <w:color w:val="auto"/>
          <w:sz w:val="20"/>
          <w:szCs w:val="20"/>
        </w:rPr>
        <w:t xml:space="preserve"> sample aged 12-15 years</w:t>
      </w:r>
    </w:p>
    <w:p w14:paraId="3A3FB1CE" w14:textId="208D3498" w:rsidR="004F228C" w:rsidRPr="00D24342" w:rsidRDefault="000F0997" w:rsidP="000F0997">
      <w:pPr>
        <w:rPr>
          <w:color w:val="auto"/>
          <w:sz w:val="20"/>
          <w:szCs w:val="20"/>
        </w:rPr>
      </w:pPr>
      <w:r w:rsidRPr="00D24342">
        <w:rPr>
          <w:color w:val="auto"/>
          <w:sz w:val="20"/>
          <w:szCs w:val="20"/>
          <w:vertAlign w:val="superscript"/>
        </w:rPr>
        <w:t xml:space="preserve">b </w:t>
      </w:r>
      <w:r w:rsidR="00414C48" w:rsidRPr="00D24342">
        <w:rPr>
          <w:color w:val="auto"/>
          <w:sz w:val="20"/>
          <w:szCs w:val="20"/>
        </w:rPr>
        <w:t>At least one physical attack in the past 12 months.</w:t>
      </w:r>
    </w:p>
    <w:p w14:paraId="45C8A962" w14:textId="5A340D1D" w:rsidR="005837DE" w:rsidRPr="00D24342" w:rsidRDefault="000F0997" w:rsidP="000F0997">
      <w:pPr>
        <w:rPr>
          <w:color w:val="auto"/>
          <w:sz w:val="20"/>
          <w:szCs w:val="20"/>
        </w:rPr>
      </w:pPr>
      <w:r w:rsidRPr="00D24342">
        <w:rPr>
          <w:color w:val="auto"/>
          <w:sz w:val="20"/>
          <w:szCs w:val="20"/>
          <w:vertAlign w:val="superscript"/>
        </w:rPr>
        <w:t>c</w:t>
      </w:r>
      <w:r w:rsidR="00414C48" w:rsidRPr="00D24342">
        <w:rPr>
          <w:color w:val="auto"/>
          <w:sz w:val="20"/>
          <w:szCs w:val="20"/>
          <w:vertAlign w:val="superscript"/>
        </w:rPr>
        <w:t xml:space="preserve"> </w:t>
      </w:r>
      <w:r w:rsidR="00414C48" w:rsidRPr="00D24342">
        <w:rPr>
          <w:color w:val="auto"/>
          <w:sz w:val="20"/>
          <w:szCs w:val="20"/>
        </w:rPr>
        <w:t>At least one physical fight in the past 12 months.</w:t>
      </w:r>
    </w:p>
    <w:p w14:paraId="137DD76E" w14:textId="191CD2CA" w:rsidR="005837DE" w:rsidRPr="00D24342" w:rsidRDefault="000F0997" w:rsidP="000F0997">
      <w:pPr>
        <w:rPr>
          <w:color w:val="auto"/>
          <w:sz w:val="20"/>
          <w:szCs w:val="20"/>
        </w:rPr>
      </w:pPr>
      <w:r w:rsidRPr="00D24342">
        <w:rPr>
          <w:color w:val="auto"/>
          <w:sz w:val="20"/>
          <w:szCs w:val="20"/>
          <w:vertAlign w:val="superscript"/>
        </w:rPr>
        <w:t xml:space="preserve">d </w:t>
      </w:r>
      <w:r w:rsidRPr="00D24342">
        <w:rPr>
          <w:color w:val="auto"/>
          <w:sz w:val="20"/>
          <w:szCs w:val="20"/>
        </w:rPr>
        <w:t>Restricted to those who ever had sex.</w:t>
      </w:r>
    </w:p>
    <w:p w14:paraId="682EFCE0" w14:textId="77777777" w:rsidR="005837DE" w:rsidRPr="00D24342" w:rsidRDefault="005837DE" w:rsidP="005837DE">
      <w:pPr>
        <w:rPr>
          <w:color w:val="auto"/>
        </w:rPr>
      </w:pPr>
    </w:p>
    <w:p w14:paraId="622AEEFA" w14:textId="77777777" w:rsidR="005837DE" w:rsidRPr="00D24342" w:rsidRDefault="005837DE" w:rsidP="005837DE">
      <w:pPr>
        <w:rPr>
          <w:color w:val="auto"/>
        </w:rPr>
      </w:pPr>
    </w:p>
    <w:p w14:paraId="6331023C" w14:textId="77777777" w:rsidR="00EF7671" w:rsidRPr="00D24342" w:rsidRDefault="00EF7671" w:rsidP="005837DE">
      <w:pPr>
        <w:rPr>
          <w:color w:val="auto"/>
        </w:rPr>
        <w:sectPr w:rsidR="00EF7671" w:rsidRPr="00D24342" w:rsidSect="000F0997">
          <w:pgSz w:w="16840" w:h="11900" w:orient="landscape"/>
          <w:pgMar w:top="1440" w:right="1080" w:bottom="1440" w:left="1440" w:header="720" w:footer="720" w:gutter="0"/>
          <w:cols w:space="720"/>
        </w:sectPr>
      </w:pPr>
    </w:p>
    <w:tbl>
      <w:tblPr>
        <w:tblW w:w="5000" w:type="pct"/>
        <w:tblLook w:val="04A0" w:firstRow="1" w:lastRow="0" w:firstColumn="1" w:lastColumn="0" w:noHBand="0" w:noVBand="1"/>
      </w:tblPr>
      <w:tblGrid>
        <w:gridCol w:w="1249"/>
        <w:gridCol w:w="864"/>
        <w:gridCol w:w="1381"/>
        <w:gridCol w:w="1381"/>
        <w:gridCol w:w="1381"/>
        <w:gridCol w:w="1382"/>
        <w:gridCol w:w="1382"/>
      </w:tblGrid>
      <w:tr w:rsidR="00D24342" w:rsidRPr="00D24342" w14:paraId="6766B038" w14:textId="77777777" w:rsidTr="00EF7671">
        <w:trPr>
          <w:trHeight w:val="620"/>
        </w:trPr>
        <w:tc>
          <w:tcPr>
            <w:tcW w:w="5000" w:type="pct"/>
            <w:gridSpan w:val="7"/>
            <w:tcBorders>
              <w:top w:val="nil"/>
              <w:left w:val="nil"/>
              <w:bottom w:val="single" w:sz="4" w:space="0" w:color="auto"/>
              <w:right w:val="nil"/>
            </w:tcBorders>
            <w:shd w:val="clear" w:color="auto" w:fill="auto"/>
            <w:vAlign w:val="center"/>
            <w:hideMark/>
          </w:tcPr>
          <w:p w14:paraId="3A3A3DEE" w14:textId="77777777" w:rsidR="00EF7671" w:rsidRPr="00D24342" w:rsidRDefault="00EF7671" w:rsidP="00EF767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bdr w:val="none" w:sz="0" w:space="0" w:color="auto"/>
                <w:lang w:val="en-GB" w:eastAsia="en-US"/>
              </w:rPr>
            </w:pPr>
            <w:r w:rsidRPr="00D24342">
              <w:rPr>
                <w:rFonts w:eastAsia="Times New Roman" w:cs="Times New Roman"/>
                <w:b/>
                <w:bCs/>
                <w:color w:val="auto"/>
                <w:bdr w:val="none" w:sz="0" w:space="0" w:color="auto"/>
                <w:lang w:val="en-GB" w:eastAsia="en-US"/>
              </w:rPr>
              <w:lastRenderedPageBreak/>
              <w:t xml:space="preserve">Table 2 </w:t>
            </w:r>
            <w:r w:rsidRPr="00D24342">
              <w:rPr>
                <w:rFonts w:eastAsia="Times New Roman" w:cs="Times New Roman"/>
                <w:color w:val="auto"/>
                <w:bdr w:val="none" w:sz="0" w:space="0" w:color="auto"/>
                <w:lang w:val="en-GB" w:eastAsia="en-US"/>
              </w:rPr>
              <w:t>Prevalence of physical attack, physical fight, sexual intercourse, condom non-use, and multiple sex partners by sex and age</w:t>
            </w:r>
          </w:p>
        </w:tc>
      </w:tr>
      <w:tr w:rsidR="00D24342" w:rsidRPr="00D24342" w14:paraId="67639355" w14:textId="77777777" w:rsidTr="00EF7671">
        <w:trPr>
          <w:trHeight w:val="640"/>
        </w:trPr>
        <w:tc>
          <w:tcPr>
            <w:tcW w:w="677" w:type="pct"/>
            <w:tcBorders>
              <w:top w:val="nil"/>
              <w:left w:val="nil"/>
              <w:bottom w:val="double" w:sz="6" w:space="0" w:color="auto"/>
              <w:right w:val="nil"/>
            </w:tcBorders>
            <w:shd w:val="clear" w:color="auto" w:fill="auto"/>
            <w:noWrap/>
            <w:vAlign w:val="center"/>
            <w:hideMark/>
          </w:tcPr>
          <w:p w14:paraId="69834F99" w14:textId="77777777" w:rsidR="00EF7671" w:rsidRPr="00D24342" w:rsidRDefault="00EF7671" w:rsidP="00EF767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 </w:t>
            </w:r>
          </w:p>
        </w:tc>
        <w:tc>
          <w:tcPr>
            <w:tcW w:w="468" w:type="pct"/>
            <w:tcBorders>
              <w:top w:val="nil"/>
              <w:left w:val="nil"/>
              <w:bottom w:val="double" w:sz="6" w:space="0" w:color="auto"/>
              <w:right w:val="nil"/>
            </w:tcBorders>
            <w:shd w:val="clear" w:color="auto" w:fill="auto"/>
            <w:noWrap/>
            <w:vAlign w:val="center"/>
            <w:hideMark/>
          </w:tcPr>
          <w:p w14:paraId="6D919910" w14:textId="77777777" w:rsidR="00EF7671" w:rsidRPr="00D24342" w:rsidRDefault="00EF7671" w:rsidP="00EF767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 </w:t>
            </w:r>
          </w:p>
        </w:tc>
        <w:tc>
          <w:tcPr>
            <w:tcW w:w="771" w:type="pct"/>
            <w:tcBorders>
              <w:top w:val="nil"/>
              <w:left w:val="nil"/>
              <w:bottom w:val="double" w:sz="6" w:space="0" w:color="auto"/>
              <w:right w:val="nil"/>
            </w:tcBorders>
            <w:shd w:val="clear" w:color="auto" w:fill="auto"/>
            <w:vAlign w:val="center"/>
            <w:hideMark/>
          </w:tcPr>
          <w:p w14:paraId="05A9FE04" w14:textId="0D4A7FA6" w:rsidR="00EF7671" w:rsidRPr="00D24342" w:rsidRDefault="00EF7671" w:rsidP="00EF767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 xml:space="preserve">Physical </w:t>
            </w:r>
            <w:proofErr w:type="spellStart"/>
            <w:r w:rsidRPr="00D24342">
              <w:rPr>
                <w:rFonts w:eastAsia="Times New Roman" w:cs="Times New Roman"/>
                <w:color w:val="auto"/>
                <w:sz w:val="22"/>
                <w:szCs w:val="22"/>
                <w:bdr w:val="none" w:sz="0" w:space="0" w:color="auto"/>
                <w:lang w:val="en-GB" w:eastAsia="en-US"/>
              </w:rPr>
              <w:t>attack</w:t>
            </w:r>
            <w:r w:rsidRPr="00D24342">
              <w:rPr>
                <w:rFonts w:eastAsia="Times New Roman" w:cs="Times New Roman"/>
                <w:color w:val="auto"/>
                <w:sz w:val="22"/>
                <w:szCs w:val="22"/>
                <w:bdr w:val="none" w:sz="0" w:space="0" w:color="auto"/>
                <w:vertAlign w:val="superscript"/>
                <w:lang w:val="en-GB" w:eastAsia="en-US"/>
              </w:rPr>
              <w:t>a</w:t>
            </w:r>
            <w:proofErr w:type="spellEnd"/>
          </w:p>
        </w:tc>
        <w:tc>
          <w:tcPr>
            <w:tcW w:w="771" w:type="pct"/>
            <w:tcBorders>
              <w:top w:val="nil"/>
              <w:left w:val="nil"/>
              <w:bottom w:val="double" w:sz="6" w:space="0" w:color="auto"/>
              <w:right w:val="nil"/>
            </w:tcBorders>
            <w:shd w:val="clear" w:color="auto" w:fill="auto"/>
            <w:vAlign w:val="center"/>
            <w:hideMark/>
          </w:tcPr>
          <w:p w14:paraId="65829506" w14:textId="7E0FA8FD" w:rsidR="00EF7671" w:rsidRPr="00D24342" w:rsidRDefault="00EF7671" w:rsidP="00EF767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 xml:space="preserve">Physical </w:t>
            </w:r>
            <w:proofErr w:type="spellStart"/>
            <w:r w:rsidRPr="00D24342">
              <w:rPr>
                <w:rFonts w:eastAsia="Times New Roman" w:cs="Times New Roman"/>
                <w:color w:val="auto"/>
                <w:sz w:val="22"/>
                <w:szCs w:val="22"/>
                <w:bdr w:val="none" w:sz="0" w:space="0" w:color="auto"/>
                <w:lang w:val="en-GB" w:eastAsia="en-US"/>
              </w:rPr>
              <w:t>fight</w:t>
            </w:r>
            <w:r w:rsidRPr="00D24342">
              <w:rPr>
                <w:rFonts w:eastAsia="Times New Roman" w:cs="Times New Roman"/>
                <w:color w:val="auto"/>
                <w:sz w:val="22"/>
                <w:szCs w:val="22"/>
                <w:bdr w:val="none" w:sz="0" w:space="0" w:color="auto"/>
                <w:vertAlign w:val="superscript"/>
                <w:lang w:val="en-GB" w:eastAsia="en-US"/>
              </w:rPr>
              <w:t>b</w:t>
            </w:r>
            <w:proofErr w:type="spellEnd"/>
          </w:p>
        </w:tc>
        <w:tc>
          <w:tcPr>
            <w:tcW w:w="771" w:type="pct"/>
            <w:tcBorders>
              <w:top w:val="nil"/>
              <w:left w:val="nil"/>
              <w:bottom w:val="double" w:sz="6" w:space="0" w:color="auto"/>
              <w:right w:val="nil"/>
            </w:tcBorders>
            <w:shd w:val="clear" w:color="auto" w:fill="auto"/>
            <w:vAlign w:val="center"/>
            <w:hideMark/>
          </w:tcPr>
          <w:p w14:paraId="5D9C0283" w14:textId="77777777" w:rsidR="00EF7671" w:rsidRPr="00D24342" w:rsidRDefault="00EF7671" w:rsidP="00EF767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Sexual intercourse</w:t>
            </w:r>
          </w:p>
        </w:tc>
        <w:tc>
          <w:tcPr>
            <w:tcW w:w="771" w:type="pct"/>
            <w:tcBorders>
              <w:top w:val="nil"/>
              <w:left w:val="nil"/>
              <w:bottom w:val="double" w:sz="6" w:space="0" w:color="auto"/>
              <w:right w:val="nil"/>
            </w:tcBorders>
            <w:shd w:val="clear" w:color="auto" w:fill="auto"/>
            <w:vAlign w:val="center"/>
            <w:hideMark/>
          </w:tcPr>
          <w:p w14:paraId="451934AE" w14:textId="39D30020" w:rsidR="00EF7671" w:rsidRPr="00D24342" w:rsidRDefault="00EF7671" w:rsidP="00EF767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Condom non-</w:t>
            </w:r>
            <w:proofErr w:type="spellStart"/>
            <w:r w:rsidRPr="00D24342">
              <w:rPr>
                <w:rFonts w:eastAsia="Times New Roman" w:cs="Times New Roman"/>
                <w:color w:val="auto"/>
                <w:sz w:val="22"/>
                <w:szCs w:val="22"/>
                <w:bdr w:val="none" w:sz="0" w:space="0" w:color="auto"/>
                <w:lang w:val="en-GB" w:eastAsia="en-US"/>
              </w:rPr>
              <w:t>use</w:t>
            </w:r>
            <w:r w:rsidRPr="00D24342">
              <w:rPr>
                <w:rFonts w:eastAsia="Times New Roman" w:cs="Times New Roman"/>
                <w:color w:val="auto"/>
                <w:sz w:val="22"/>
                <w:szCs w:val="22"/>
                <w:bdr w:val="none" w:sz="0" w:space="0" w:color="auto"/>
                <w:vertAlign w:val="superscript"/>
                <w:lang w:val="en-GB" w:eastAsia="en-US"/>
              </w:rPr>
              <w:t>c</w:t>
            </w:r>
            <w:proofErr w:type="spellEnd"/>
          </w:p>
        </w:tc>
        <w:tc>
          <w:tcPr>
            <w:tcW w:w="772" w:type="pct"/>
            <w:tcBorders>
              <w:top w:val="nil"/>
              <w:left w:val="nil"/>
              <w:bottom w:val="double" w:sz="6" w:space="0" w:color="auto"/>
              <w:right w:val="nil"/>
            </w:tcBorders>
            <w:shd w:val="clear" w:color="auto" w:fill="auto"/>
            <w:vAlign w:val="center"/>
            <w:hideMark/>
          </w:tcPr>
          <w:p w14:paraId="7306CFEC" w14:textId="1D315586" w:rsidR="00EF7671" w:rsidRPr="00D24342" w:rsidRDefault="00EF7671" w:rsidP="00EF767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 xml:space="preserve">Multiple sex </w:t>
            </w:r>
            <w:proofErr w:type="spellStart"/>
            <w:proofErr w:type="gramStart"/>
            <w:r w:rsidRPr="00D24342">
              <w:rPr>
                <w:rFonts w:eastAsia="Times New Roman" w:cs="Times New Roman"/>
                <w:color w:val="auto"/>
                <w:sz w:val="22"/>
                <w:szCs w:val="22"/>
                <w:bdr w:val="none" w:sz="0" w:space="0" w:color="auto"/>
                <w:lang w:val="en-GB" w:eastAsia="en-US"/>
              </w:rPr>
              <w:t>partners</w:t>
            </w:r>
            <w:r w:rsidRPr="00D24342">
              <w:rPr>
                <w:rFonts w:eastAsia="Times New Roman" w:cs="Times New Roman"/>
                <w:color w:val="auto"/>
                <w:sz w:val="22"/>
                <w:szCs w:val="22"/>
                <w:bdr w:val="none" w:sz="0" w:space="0" w:color="auto"/>
                <w:vertAlign w:val="superscript"/>
                <w:lang w:val="en-GB" w:eastAsia="en-US"/>
              </w:rPr>
              <w:t>c,d</w:t>
            </w:r>
            <w:proofErr w:type="spellEnd"/>
            <w:proofErr w:type="gramEnd"/>
          </w:p>
        </w:tc>
      </w:tr>
      <w:tr w:rsidR="00D24342" w:rsidRPr="00D24342" w14:paraId="50DC57A1" w14:textId="77777777" w:rsidTr="00EF7671">
        <w:trPr>
          <w:trHeight w:val="320"/>
        </w:trPr>
        <w:tc>
          <w:tcPr>
            <w:tcW w:w="677" w:type="pct"/>
            <w:tcBorders>
              <w:top w:val="nil"/>
              <w:left w:val="nil"/>
              <w:bottom w:val="nil"/>
              <w:right w:val="nil"/>
            </w:tcBorders>
            <w:shd w:val="clear" w:color="auto" w:fill="auto"/>
            <w:noWrap/>
            <w:vAlign w:val="center"/>
            <w:hideMark/>
          </w:tcPr>
          <w:p w14:paraId="721814CB" w14:textId="77777777" w:rsidR="00EF7671" w:rsidRPr="00D24342" w:rsidRDefault="00EF7671" w:rsidP="00EF767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Sex</w:t>
            </w:r>
          </w:p>
        </w:tc>
        <w:tc>
          <w:tcPr>
            <w:tcW w:w="468" w:type="pct"/>
            <w:tcBorders>
              <w:top w:val="nil"/>
              <w:left w:val="nil"/>
              <w:bottom w:val="nil"/>
              <w:right w:val="nil"/>
            </w:tcBorders>
            <w:shd w:val="clear" w:color="auto" w:fill="auto"/>
            <w:noWrap/>
            <w:vAlign w:val="center"/>
            <w:hideMark/>
          </w:tcPr>
          <w:p w14:paraId="20E2A5AF" w14:textId="77777777" w:rsidR="00EF7671" w:rsidRPr="00D24342" w:rsidRDefault="00EF7671" w:rsidP="00EF767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Female</w:t>
            </w:r>
          </w:p>
        </w:tc>
        <w:tc>
          <w:tcPr>
            <w:tcW w:w="771" w:type="pct"/>
            <w:tcBorders>
              <w:top w:val="nil"/>
              <w:left w:val="nil"/>
              <w:bottom w:val="nil"/>
              <w:right w:val="nil"/>
            </w:tcBorders>
            <w:shd w:val="clear" w:color="auto" w:fill="auto"/>
            <w:noWrap/>
            <w:vAlign w:val="center"/>
            <w:hideMark/>
          </w:tcPr>
          <w:p w14:paraId="31FB00D1" w14:textId="77777777" w:rsidR="00EF7671" w:rsidRPr="00D24342" w:rsidRDefault="00EF7671" w:rsidP="00EF767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31.1</w:t>
            </w:r>
          </w:p>
        </w:tc>
        <w:tc>
          <w:tcPr>
            <w:tcW w:w="771" w:type="pct"/>
            <w:tcBorders>
              <w:top w:val="nil"/>
              <w:left w:val="nil"/>
              <w:bottom w:val="nil"/>
              <w:right w:val="nil"/>
            </w:tcBorders>
            <w:shd w:val="clear" w:color="auto" w:fill="auto"/>
            <w:noWrap/>
            <w:vAlign w:val="center"/>
            <w:hideMark/>
          </w:tcPr>
          <w:p w14:paraId="055B2E64" w14:textId="77777777" w:rsidR="00EF7671" w:rsidRPr="00D24342" w:rsidRDefault="00EF7671" w:rsidP="00EF767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20.1</w:t>
            </w:r>
          </w:p>
        </w:tc>
        <w:tc>
          <w:tcPr>
            <w:tcW w:w="771" w:type="pct"/>
            <w:tcBorders>
              <w:top w:val="nil"/>
              <w:left w:val="nil"/>
              <w:bottom w:val="nil"/>
              <w:right w:val="nil"/>
            </w:tcBorders>
            <w:shd w:val="clear" w:color="auto" w:fill="auto"/>
            <w:noWrap/>
            <w:vAlign w:val="center"/>
            <w:hideMark/>
          </w:tcPr>
          <w:p w14:paraId="160F6B5A" w14:textId="77777777" w:rsidR="00EF7671" w:rsidRPr="00D24342" w:rsidRDefault="00EF7671" w:rsidP="00EF767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9.1</w:t>
            </w:r>
          </w:p>
        </w:tc>
        <w:tc>
          <w:tcPr>
            <w:tcW w:w="771" w:type="pct"/>
            <w:tcBorders>
              <w:top w:val="nil"/>
              <w:left w:val="nil"/>
              <w:bottom w:val="nil"/>
              <w:right w:val="nil"/>
            </w:tcBorders>
            <w:shd w:val="clear" w:color="auto" w:fill="auto"/>
            <w:noWrap/>
            <w:vAlign w:val="center"/>
            <w:hideMark/>
          </w:tcPr>
          <w:p w14:paraId="689617EF" w14:textId="77777777" w:rsidR="00EF7671" w:rsidRPr="00D24342" w:rsidRDefault="00EF7671" w:rsidP="00EF767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44.5</w:t>
            </w:r>
          </w:p>
        </w:tc>
        <w:tc>
          <w:tcPr>
            <w:tcW w:w="772" w:type="pct"/>
            <w:tcBorders>
              <w:top w:val="nil"/>
              <w:left w:val="nil"/>
              <w:bottom w:val="nil"/>
              <w:right w:val="nil"/>
            </w:tcBorders>
            <w:shd w:val="clear" w:color="auto" w:fill="auto"/>
            <w:noWrap/>
            <w:vAlign w:val="center"/>
            <w:hideMark/>
          </w:tcPr>
          <w:p w14:paraId="61212D86" w14:textId="77777777" w:rsidR="00EF7671" w:rsidRPr="00D24342" w:rsidRDefault="00EF7671" w:rsidP="00EF767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43.2</w:t>
            </w:r>
          </w:p>
        </w:tc>
      </w:tr>
      <w:tr w:rsidR="00D24342" w:rsidRPr="00D24342" w14:paraId="1B7FD229" w14:textId="77777777" w:rsidTr="00EF7671">
        <w:trPr>
          <w:trHeight w:val="300"/>
        </w:trPr>
        <w:tc>
          <w:tcPr>
            <w:tcW w:w="677" w:type="pct"/>
            <w:tcBorders>
              <w:top w:val="nil"/>
              <w:left w:val="nil"/>
              <w:bottom w:val="nil"/>
              <w:right w:val="nil"/>
            </w:tcBorders>
            <w:shd w:val="clear" w:color="auto" w:fill="auto"/>
            <w:noWrap/>
            <w:vAlign w:val="center"/>
            <w:hideMark/>
          </w:tcPr>
          <w:p w14:paraId="301A8F2F" w14:textId="77777777" w:rsidR="00EF7671" w:rsidRPr="00D24342" w:rsidRDefault="00EF7671" w:rsidP="00EF767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p>
        </w:tc>
        <w:tc>
          <w:tcPr>
            <w:tcW w:w="468" w:type="pct"/>
            <w:tcBorders>
              <w:top w:val="nil"/>
              <w:left w:val="nil"/>
              <w:bottom w:val="nil"/>
              <w:right w:val="nil"/>
            </w:tcBorders>
            <w:shd w:val="clear" w:color="auto" w:fill="auto"/>
            <w:noWrap/>
            <w:vAlign w:val="center"/>
            <w:hideMark/>
          </w:tcPr>
          <w:p w14:paraId="05F3D3CC" w14:textId="77777777" w:rsidR="00EF7671" w:rsidRPr="00D24342" w:rsidRDefault="00EF7671" w:rsidP="00EF767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Male</w:t>
            </w:r>
          </w:p>
        </w:tc>
        <w:tc>
          <w:tcPr>
            <w:tcW w:w="771" w:type="pct"/>
            <w:tcBorders>
              <w:top w:val="nil"/>
              <w:left w:val="nil"/>
              <w:bottom w:val="nil"/>
              <w:right w:val="nil"/>
            </w:tcBorders>
            <w:shd w:val="clear" w:color="auto" w:fill="auto"/>
            <w:noWrap/>
            <w:vAlign w:val="center"/>
            <w:hideMark/>
          </w:tcPr>
          <w:p w14:paraId="7610E4CA" w14:textId="77777777" w:rsidR="00EF7671" w:rsidRPr="00D24342" w:rsidRDefault="00EF7671" w:rsidP="00EF767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45.7</w:t>
            </w:r>
          </w:p>
        </w:tc>
        <w:tc>
          <w:tcPr>
            <w:tcW w:w="771" w:type="pct"/>
            <w:tcBorders>
              <w:top w:val="nil"/>
              <w:left w:val="nil"/>
              <w:bottom w:val="nil"/>
              <w:right w:val="nil"/>
            </w:tcBorders>
            <w:shd w:val="clear" w:color="auto" w:fill="auto"/>
            <w:noWrap/>
            <w:vAlign w:val="center"/>
            <w:hideMark/>
          </w:tcPr>
          <w:p w14:paraId="0126159E" w14:textId="77777777" w:rsidR="00EF7671" w:rsidRPr="00D24342" w:rsidRDefault="00EF7671" w:rsidP="00EF767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36.6</w:t>
            </w:r>
          </w:p>
        </w:tc>
        <w:tc>
          <w:tcPr>
            <w:tcW w:w="771" w:type="pct"/>
            <w:tcBorders>
              <w:top w:val="nil"/>
              <w:left w:val="nil"/>
              <w:bottom w:val="nil"/>
              <w:right w:val="nil"/>
            </w:tcBorders>
            <w:shd w:val="clear" w:color="auto" w:fill="auto"/>
            <w:noWrap/>
            <w:vAlign w:val="center"/>
            <w:hideMark/>
          </w:tcPr>
          <w:p w14:paraId="2D18082B" w14:textId="77777777" w:rsidR="00EF7671" w:rsidRPr="00D24342" w:rsidRDefault="00EF7671" w:rsidP="00EF767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16.4</w:t>
            </w:r>
          </w:p>
        </w:tc>
        <w:tc>
          <w:tcPr>
            <w:tcW w:w="771" w:type="pct"/>
            <w:tcBorders>
              <w:top w:val="nil"/>
              <w:left w:val="nil"/>
              <w:bottom w:val="nil"/>
              <w:right w:val="nil"/>
            </w:tcBorders>
            <w:shd w:val="clear" w:color="auto" w:fill="auto"/>
            <w:noWrap/>
            <w:vAlign w:val="center"/>
            <w:hideMark/>
          </w:tcPr>
          <w:p w14:paraId="0DFE3530" w14:textId="77777777" w:rsidR="00EF7671" w:rsidRPr="00D24342" w:rsidRDefault="00EF7671" w:rsidP="00EF767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44.4</w:t>
            </w:r>
          </w:p>
        </w:tc>
        <w:tc>
          <w:tcPr>
            <w:tcW w:w="772" w:type="pct"/>
            <w:tcBorders>
              <w:top w:val="nil"/>
              <w:left w:val="nil"/>
              <w:bottom w:val="nil"/>
              <w:right w:val="nil"/>
            </w:tcBorders>
            <w:shd w:val="clear" w:color="auto" w:fill="auto"/>
            <w:noWrap/>
            <w:vAlign w:val="center"/>
            <w:hideMark/>
          </w:tcPr>
          <w:p w14:paraId="6C4B3010" w14:textId="77777777" w:rsidR="00EF7671" w:rsidRPr="00D24342" w:rsidRDefault="00EF7671" w:rsidP="00EF767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56.1</w:t>
            </w:r>
          </w:p>
        </w:tc>
      </w:tr>
      <w:tr w:rsidR="00D24342" w:rsidRPr="00D24342" w14:paraId="783F58E3" w14:textId="77777777" w:rsidTr="00EF7671">
        <w:trPr>
          <w:trHeight w:val="300"/>
        </w:trPr>
        <w:tc>
          <w:tcPr>
            <w:tcW w:w="677" w:type="pct"/>
            <w:tcBorders>
              <w:top w:val="nil"/>
              <w:left w:val="nil"/>
              <w:bottom w:val="nil"/>
              <w:right w:val="nil"/>
            </w:tcBorders>
            <w:shd w:val="clear" w:color="auto" w:fill="auto"/>
            <w:noWrap/>
            <w:vAlign w:val="center"/>
            <w:hideMark/>
          </w:tcPr>
          <w:p w14:paraId="11AE1FD3" w14:textId="77777777" w:rsidR="00EF7671" w:rsidRPr="00D24342" w:rsidRDefault="00EF7671" w:rsidP="00EF767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Age (years)</w:t>
            </w:r>
          </w:p>
        </w:tc>
        <w:tc>
          <w:tcPr>
            <w:tcW w:w="468" w:type="pct"/>
            <w:tcBorders>
              <w:top w:val="nil"/>
              <w:left w:val="nil"/>
              <w:bottom w:val="nil"/>
              <w:right w:val="nil"/>
            </w:tcBorders>
            <w:shd w:val="clear" w:color="auto" w:fill="auto"/>
            <w:noWrap/>
            <w:vAlign w:val="center"/>
            <w:hideMark/>
          </w:tcPr>
          <w:p w14:paraId="6007AC94" w14:textId="77777777" w:rsidR="00EF7671" w:rsidRPr="00D24342" w:rsidRDefault="00EF7671" w:rsidP="00EF767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12-13</w:t>
            </w:r>
          </w:p>
        </w:tc>
        <w:tc>
          <w:tcPr>
            <w:tcW w:w="771" w:type="pct"/>
            <w:tcBorders>
              <w:top w:val="nil"/>
              <w:left w:val="nil"/>
              <w:bottom w:val="nil"/>
              <w:right w:val="nil"/>
            </w:tcBorders>
            <w:shd w:val="clear" w:color="auto" w:fill="auto"/>
            <w:noWrap/>
            <w:vAlign w:val="center"/>
            <w:hideMark/>
          </w:tcPr>
          <w:p w14:paraId="21749C2F" w14:textId="77777777" w:rsidR="00EF7671" w:rsidRPr="00D24342" w:rsidRDefault="00EF7671" w:rsidP="00EF767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41.1</w:t>
            </w:r>
          </w:p>
        </w:tc>
        <w:tc>
          <w:tcPr>
            <w:tcW w:w="771" w:type="pct"/>
            <w:tcBorders>
              <w:top w:val="nil"/>
              <w:left w:val="nil"/>
              <w:bottom w:val="nil"/>
              <w:right w:val="nil"/>
            </w:tcBorders>
            <w:shd w:val="clear" w:color="auto" w:fill="auto"/>
            <w:noWrap/>
            <w:vAlign w:val="center"/>
            <w:hideMark/>
          </w:tcPr>
          <w:p w14:paraId="11987891" w14:textId="77777777" w:rsidR="00EF7671" w:rsidRPr="00D24342" w:rsidRDefault="00EF7671" w:rsidP="00EF767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30.6</w:t>
            </w:r>
          </w:p>
        </w:tc>
        <w:tc>
          <w:tcPr>
            <w:tcW w:w="771" w:type="pct"/>
            <w:tcBorders>
              <w:top w:val="nil"/>
              <w:left w:val="nil"/>
              <w:bottom w:val="nil"/>
              <w:right w:val="nil"/>
            </w:tcBorders>
            <w:shd w:val="clear" w:color="auto" w:fill="auto"/>
            <w:noWrap/>
            <w:vAlign w:val="center"/>
            <w:hideMark/>
          </w:tcPr>
          <w:p w14:paraId="2155FCB6" w14:textId="77777777" w:rsidR="00EF7671" w:rsidRPr="00D24342" w:rsidRDefault="00EF7671" w:rsidP="00EF767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11.0</w:t>
            </w:r>
          </w:p>
        </w:tc>
        <w:tc>
          <w:tcPr>
            <w:tcW w:w="771" w:type="pct"/>
            <w:tcBorders>
              <w:top w:val="nil"/>
              <w:left w:val="nil"/>
              <w:bottom w:val="nil"/>
              <w:right w:val="nil"/>
            </w:tcBorders>
            <w:shd w:val="clear" w:color="auto" w:fill="auto"/>
            <w:noWrap/>
            <w:vAlign w:val="center"/>
            <w:hideMark/>
          </w:tcPr>
          <w:p w14:paraId="7ACCA822" w14:textId="77777777" w:rsidR="00EF7671" w:rsidRPr="00D24342" w:rsidRDefault="00EF7671" w:rsidP="00EF767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50.1</w:t>
            </w:r>
          </w:p>
        </w:tc>
        <w:tc>
          <w:tcPr>
            <w:tcW w:w="772" w:type="pct"/>
            <w:tcBorders>
              <w:top w:val="nil"/>
              <w:left w:val="nil"/>
              <w:bottom w:val="nil"/>
              <w:right w:val="nil"/>
            </w:tcBorders>
            <w:shd w:val="clear" w:color="auto" w:fill="auto"/>
            <w:noWrap/>
            <w:vAlign w:val="center"/>
            <w:hideMark/>
          </w:tcPr>
          <w:p w14:paraId="185B0E46" w14:textId="77777777" w:rsidR="00EF7671" w:rsidRPr="00D24342" w:rsidRDefault="00EF7671" w:rsidP="00EF767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52.1</w:t>
            </w:r>
          </w:p>
        </w:tc>
      </w:tr>
      <w:tr w:rsidR="00D24342" w:rsidRPr="00D24342" w14:paraId="7D930C44" w14:textId="77777777" w:rsidTr="00EF7671">
        <w:trPr>
          <w:trHeight w:val="300"/>
        </w:trPr>
        <w:tc>
          <w:tcPr>
            <w:tcW w:w="677" w:type="pct"/>
            <w:tcBorders>
              <w:top w:val="nil"/>
              <w:left w:val="nil"/>
              <w:bottom w:val="single" w:sz="4" w:space="0" w:color="auto"/>
              <w:right w:val="nil"/>
            </w:tcBorders>
            <w:shd w:val="clear" w:color="auto" w:fill="auto"/>
            <w:noWrap/>
            <w:vAlign w:val="center"/>
            <w:hideMark/>
          </w:tcPr>
          <w:p w14:paraId="3141E4EB" w14:textId="77777777" w:rsidR="00EF7671" w:rsidRPr="00D24342" w:rsidRDefault="00EF7671" w:rsidP="00EF767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 </w:t>
            </w:r>
          </w:p>
        </w:tc>
        <w:tc>
          <w:tcPr>
            <w:tcW w:w="468" w:type="pct"/>
            <w:tcBorders>
              <w:top w:val="nil"/>
              <w:left w:val="nil"/>
              <w:bottom w:val="single" w:sz="4" w:space="0" w:color="auto"/>
              <w:right w:val="nil"/>
            </w:tcBorders>
            <w:shd w:val="clear" w:color="auto" w:fill="auto"/>
            <w:noWrap/>
            <w:vAlign w:val="center"/>
            <w:hideMark/>
          </w:tcPr>
          <w:p w14:paraId="47F7C6F0" w14:textId="77777777" w:rsidR="00EF7671" w:rsidRPr="00D24342" w:rsidRDefault="00EF7671" w:rsidP="00EF767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14-15</w:t>
            </w:r>
          </w:p>
        </w:tc>
        <w:tc>
          <w:tcPr>
            <w:tcW w:w="771" w:type="pct"/>
            <w:tcBorders>
              <w:top w:val="nil"/>
              <w:left w:val="nil"/>
              <w:bottom w:val="single" w:sz="4" w:space="0" w:color="auto"/>
              <w:right w:val="nil"/>
            </w:tcBorders>
            <w:shd w:val="clear" w:color="auto" w:fill="auto"/>
            <w:noWrap/>
            <w:vAlign w:val="center"/>
            <w:hideMark/>
          </w:tcPr>
          <w:p w14:paraId="0797CE8A" w14:textId="77777777" w:rsidR="00EF7671" w:rsidRPr="00D24342" w:rsidRDefault="00EF7671" w:rsidP="00EF767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37.1</w:t>
            </w:r>
          </w:p>
        </w:tc>
        <w:tc>
          <w:tcPr>
            <w:tcW w:w="771" w:type="pct"/>
            <w:tcBorders>
              <w:top w:val="nil"/>
              <w:left w:val="nil"/>
              <w:bottom w:val="single" w:sz="4" w:space="0" w:color="auto"/>
              <w:right w:val="nil"/>
            </w:tcBorders>
            <w:shd w:val="clear" w:color="auto" w:fill="auto"/>
            <w:noWrap/>
            <w:vAlign w:val="center"/>
            <w:hideMark/>
          </w:tcPr>
          <w:p w14:paraId="65DB4671" w14:textId="77777777" w:rsidR="00EF7671" w:rsidRPr="00D24342" w:rsidRDefault="00EF7671" w:rsidP="00EF767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27.3</w:t>
            </w:r>
          </w:p>
        </w:tc>
        <w:tc>
          <w:tcPr>
            <w:tcW w:w="771" w:type="pct"/>
            <w:tcBorders>
              <w:top w:val="nil"/>
              <w:left w:val="nil"/>
              <w:bottom w:val="single" w:sz="4" w:space="0" w:color="auto"/>
              <w:right w:val="nil"/>
            </w:tcBorders>
            <w:shd w:val="clear" w:color="auto" w:fill="auto"/>
            <w:noWrap/>
            <w:vAlign w:val="center"/>
            <w:hideMark/>
          </w:tcPr>
          <w:p w14:paraId="282A53BD" w14:textId="77777777" w:rsidR="00EF7671" w:rsidRPr="00D24342" w:rsidRDefault="00EF7671" w:rsidP="00EF767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13.8</w:t>
            </w:r>
          </w:p>
        </w:tc>
        <w:tc>
          <w:tcPr>
            <w:tcW w:w="771" w:type="pct"/>
            <w:tcBorders>
              <w:top w:val="nil"/>
              <w:left w:val="nil"/>
              <w:bottom w:val="single" w:sz="4" w:space="0" w:color="auto"/>
              <w:right w:val="nil"/>
            </w:tcBorders>
            <w:shd w:val="clear" w:color="auto" w:fill="auto"/>
            <w:noWrap/>
            <w:vAlign w:val="center"/>
            <w:hideMark/>
          </w:tcPr>
          <w:p w14:paraId="7ADB48B5" w14:textId="77777777" w:rsidR="00EF7671" w:rsidRPr="00D24342" w:rsidRDefault="00EF7671" w:rsidP="00EF767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42.5</w:t>
            </w:r>
          </w:p>
        </w:tc>
        <w:tc>
          <w:tcPr>
            <w:tcW w:w="772" w:type="pct"/>
            <w:tcBorders>
              <w:top w:val="nil"/>
              <w:left w:val="nil"/>
              <w:bottom w:val="single" w:sz="4" w:space="0" w:color="auto"/>
              <w:right w:val="nil"/>
            </w:tcBorders>
            <w:shd w:val="clear" w:color="auto" w:fill="auto"/>
            <w:noWrap/>
            <w:vAlign w:val="center"/>
            <w:hideMark/>
          </w:tcPr>
          <w:p w14:paraId="498139CB" w14:textId="77777777" w:rsidR="00EF7671" w:rsidRPr="00D24342" w:rsidRDefault="00EF7671" w:rsidP="00EF7671">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51.9</w:t>
            </w:r>
          </w:p>
        </w:tc>
      </w:tr>
    </w:tbl>
    <w:p w14:paraId="18E0503C" w14:textId="05BF6F31" w:rsidR="00EF7671" w:rsidRPr="00D24342" w:rsidRDefault="00EF7671" w:rsidP="00EF7671">
      <w:pPr>
        <w:rPr>
          <w:color w:val="auto"/>
          <w:sz w:val="20"/>
          <w:szCs w:val="20"/>
        </w:rPr>
      </w:pPr>
      <w:proofErr w:type="spellStart"/>
      <w:r w:rsidRPr="00D24342">
        <w:rPr>
          <w:color w:val="auto"/>
          <w:sz w:val="20"/>
          <w:szCs w:val="20"/>
          <w:vertAlign w:val="superscript"/>
        </w:rPr>
        <w:t>a</w:t>
      </w:r>
      <w:proofErr w:type="spellEnd"/>
      <w:r w:rsidRPr="00D24342">
        <w:rPr>
          <w:color w:val="auto"/>
          <w:sz w:val="20"/>
          <w:szCs w:val="20"/>
          <w:vertAlign w:val="superscript"/>
        </w:rPr>
        <w:t xml:space="preserve"> </w:t>
      </w:r>
      <w:r w:rsidRPr="00D24342">
        <w:rPr>
          <w:color w:val="auto"/>
          <w:sz w:val="20"/>
          <w:szCs w:val="20"/>
        </w:rPr>
        <w:t>At least one physical attack in the past 12 months.</w:t>
      </w:r>
      <w:r w:rsidR="006A215B" w:rsidRPr="00D24342">
        <w:rPr>
          <w:color w:val="auto"/>
          <w:sz w:val="20"/>
          <w:szCs w:val="20"/>
        </w:rPr>
        <w:t xml:space="preserve"> </w:t>
      </w:r>
      <w:r w:rsidR="00330642" w:rsidRPr="00D24342">
        <w:rPr>
          <w:color w:val="auto"/>
          <w:sz w:val="20"/>
          <w:szCs w:val="20"/>
        </w:rPr>
        <w:t>Data from Kenya, Swaziland, Uganda, and Zambia are not included due to lack of data.</w:t>
      </w:r>
    </w:p>
    <w:p w14:paraId="7072DCEB" w14:textId="71A4275C" w:rsidR="00EF7671" w:rsidRPr="00D24342" w:rsidRDefault="00EF7671" w:rsidP="00EF7671">
      <w:pPr>
        <w:rPr>
          <w:color w:val="auto"/>
          <w:sz w:val="20"/>
          <w:szCs w:val="20"/>
        </w:rPr>
      </w:pPr>
      <w:r w:rsidRPr="00D24342">
        <w:rPr>
          <w:color w:val="auto"/>
          <w:sz w:val="20"/>
          <w:szCs w:val="20"/>
          <w:vertAlign w:val="superscript"/>
        </w:rPr>
        <w:t xml:space="preserve">b </w:t>
      </w:r>
      <w:r w:rsidRPr="00D24342">
        <w:rPr>
          <w:color w:val="auto"/>
          <w:sz w:val="20"/>
          <w:szCs w:val="20"/>
        </w:rPr>
        <w:t>At least one physical fight in the past 12 months.</w:t>
      </w:r>
    </w:p>
    <w:p w14:paraId="54B5F918" w14:textId="29203180" w:rsidR="009B2202" w:rsidRPr="00D24342" w:rsidRDefault="00F17CED" w:rsidP="00EF7671">
      <w:pPr>
        <w:rPr>
          <w:color w:val="auto"/>
          <w:sz w:val="20"/>
          <w:szCs w:val="20"/>
        </w:rPr>
      </w:pPr>
      <w:r w:rsidRPr="00D24342">
        <w:rPr>
          <w:color w:val="auto"/>
          <w:sz w:val="20"/>
          <w:szCs w:val="20"/>
          <w:vertAlign w:val="superscript"/>
        </w:rPr>
        <w:t xml:space="preserve">c </w:t>
      </w:r>
      <w:r w:rsidR="00A94444" w:rsidRPr="00D24342">
        <w:rPr>
          <w:color w:val="auto"/>
          <w:sz w:val="20"/>
          <w:szCs w:val="20"/>
        </w:rPr>
        <w:t>Restricted to those who ever had sex.</w:t>
      </w:r>
    </w:p>
    <w:p w14:paraId="5317C24E" w14:textId="3AA4AE39" w:rsidR="00A94444" w:rsidRPr="00D24342" w:rsidRDefault="004D7868" w:rsidP="00EF7671">
      <w:pPr>
        <w:rPr>
          <w:color w:val="auto"/>
          <w:sz w:val="20"/>
          <w:szCs w:val="20"/>
        </w:rPr>
      </w:pPr>
      <w:r w:rsidRPr="00D24342">
        <w:rPr>
          <w:color w:val="auto"/>
          <w:sz w:val="20"/>
          <w:szCs w:val="20"/>
          <w:vertAlign w:val="superscript"/>
        </w:rPr>
        <w:t xml:space="preserve">d </w:t>
      </w:r>
      <w:r w:rsidR="005408A0" w:rsidRPr="00D24342">
        <w:rPr>
          <w:color w:val="auto"/>
          <w:sz w:val="20"/>
          <w:szCs w:val="20"/>
        </w:rPr>
        <w:t>Data from Bangladesh and Kenya are not included due to lack of data</w:t>
      </w:r>
    </w:p>
    <w:p w14:paraId="4BB81311" w14:textId="0EFB8BDB" w:rsidR="005837DE" w:rsidRPr="00D24342" w:rsidRDefault="005837DE" w:rsidP="005837DE">
      <w:pPr>
        <w:rPr>
          <w:color w:val="auto"/>
        </w:rPr>
      </w:pPr>
    </w:p>
    <w:p w14:paraId="3F4624E7" w14:textId="77777777" w:rsidR="005837DE" w:rsidRPr="00D24342" w:rsidRDefault="005837DE" w:rsidP="005837DE">
      <w:pPr>
        <w:rPr>
          <w:color w:val="auto"/>
        </w:rPr>
      </w:pPr>
    </w:p>
    <w:p w14:paraId="579BFB76" w14:textId="77777777" w:rsidR="005837DE" w:rsidRPr="00D24342" w:rsidRDefault="005837DE" w:rsidP="005837DE">
      <w:pPr>
        <w:rPr>
          <w:color w:val="auto"/>
        </w:rPr>
      </w:pPr>
    </w:p>
    <w:p w14:paraId="3544ABBC" w14:textId="77777777" w:rsidR="005837DE" w:rsidRPr="00D24342" w:rsidRDefault="005837DE" w:rsidP="005837DE">
      <w:pPr>
        <w:rPr>
          <w:color w:val="auto"/>
        </w:rPr>
      </w:pPr>
    </w:p>
    <w:p w14:paraId="06D2778C" w14:textId="77777777" w:rsidR="005837DE" w:rsidRPr="00D24342" w:rsidRDefault="005837DE" w:rsidP="005837DE">
      <w:pPr>
        <w:rPr>
          <w:color w:val="auto"/>
        </w:rPr>
        <w:sectPr w:rsidR="005837DE" w:rsidRPr="00D24342" w:rsidSect="00EF7671">
          <w:pgSz w:w="11900" w:h="16840"/>
          <w:pgMar w:top="1440" w:right="1440" w:bottom="1440" w:left="1440" w:header="720" w:footer="720" w:gutter="0"/>
          <w:cols w:space="720"/>
        </w:sectPr>
      </w:pPr>
    </w:p>
    <w:tbl>
      <w:tblPr>
        <w:tblW w:w="0" w:type="auto"/>
        <w:tblInd w:w="65" w:type="dxa"/>
        <w:tblLook w:val="04A0" w:firstRow="1" w:lastRow="0" w:firstColumn="1" w:lastColumn="0" w:noHBand="0" w:noVBand="1"/>
      </w:tblPr>
      <w:tblGrid>
        <w:gridCol w:w="1811"/>
        <w:gridCol w:w="1342"/>
        <w:gridCol w:w="1342"/>
        <w:gridCol w:w="1342"/>
        <w:gridCol w:w="1343"/>
        <w:gridCol w:w="1343"/>
        <w:gridCol w:w="1343"/>
        <w:gridCol w:w="1343"/>
        <w:gridCol w:w="1343"/>
        <w:gridCol w:w="1343"/>
      </w:tblGrid>
      <w:tr w:rsidR="00D24342" w:rsidRPr="00D24342" w14:paraId="3C683C3B" w14:textId="77777777" w:rsidTr="001814BE">
        <w:trPr>
          <w:trHeight w:val="320"/>
        </w:trPr>
        <w:tc>
          <w:tcPr>
            <w:tcW w:w="0" w:type="auto"/>
            <w:gridSpan w:val="10"/>
            <w:tcBorders>
              <w:top w:val="nil"/>
              <w:left w:val="nil"/>
              <w:bottom w:val="nil"/>
              <w:right w:val="nil"/>
            </w:tcBorders>
            <w:shd w:val="clear" w:color="auto" w:fill="auto"/>
            <w:vAlign w:val="center"/>
            <w:hideMark/>
          </w:tcPr>
          <w:p w14:paraId="1A43F705" w14:textId="7727FE9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b/>
                <w:bCs/>
                <w:color w:val="auto"/>
                <w:bdr w:val="none" w:sz="0" w:space="0" w:color="auto"/>
                <w:lang w:val="en-GB" w:eastAsia="en-US"/>
              </w:rPr>
            </w:pPr>
            <w:r w:rsidRPr="00D24342">
              <w:rPr>
                <w:rFonts w:eastAsia="Times New Roman" w:cs="Times New Roman"/>
                <w:b/>
                <w:bCs/>
                <w:color w:val="auto"/>
                <w:bdr w:val="none" w:sz="0" w:space="0" w:color="auto"/>
                <w:lang w:val="en-GB" w:eastAsia="en-US"/>
              </w:rPr>
              <w:lastRenderedPageBreak/>
              <w:t xml:space="preserve">Table 2 </w:t>
            </w:r>
            <w:r w:rsidR="00F105F7" w:rsidRPr="00D24342">
              <w:rPr>
                <w:rFonts w:eastAsia="Times New Roman" w:cs="Times New Roman"/>
                <w:color w:val="auto"/>
                <w:bdr w:val="none" w:sz="0" w:space="0" w:color="auto"/>
                <w:lang w:val="en-GB" w:eastAsia="en-US"/>
              </w:rPr>
              <w:t>Association of physical attack</w:t>
            </w:r>
            <w:r w:rsidRPr="00D24342">
              <w:rPr>
                <w:rFonts w:eastAsia="Times New Roman" w:cs="Times New Roman"/>
                <w:color w:val="auto"/>
                <w:bdr w:val="none" w:sz="0" w:space="0" w:color="auto"/>
                <w:lang w:val="en-GB" w:eastAsia="en-US"/>
              </w:rPr>
              <w:t xml:space="preserve"> and physical fight </w:t>
            </w:r>
            <w:r w:rsidR="00D50CD9" w:rsidRPr="00D24342">
              <w:rPr>
                <w:rFonts w:eastAsia="Times New Roman" w:cs="Times New Roman"/>
                <w:color w:val="auto"/>
                <w:bdr w:val="none" w:sz="0" w:space="0" w:color="auto"/>
                <w:lang w:val="en-GB" w:eastAsia="en-US"/>
              </w:rPr>
              <w:t xml:space="preserve">(exposures) </w:t>
            </w:r>
            <w:r w:rsidRPr="00D24342">
              <w:rPr>
                <w:rFonts w:eastAsia="Times New Roman" w:cs="Times New Roman"/>
                <w:color w:val="auto"/>
                <w:bdr w:val="none" w:sz="0" w:space="0" w:color="auto"/>
                <w:lang w:val="en-GB" w:eastAsia="en-US"/>
              </w:rPr>
              <w:t xml:space="preserve">with sexual intercourse, condom non-use, and multiple sex partners </w:t>
            </w:r>
            <w:r w:rsidR="00D50CD9" w:rsidRPr="00D24342">
              <w:rPr>
                <w:rFonts w:eastAsia="Times New Roman" w:cs="Times New Roman"/>
                <w:color w:val="auto"/>
                <w:bdr w:val="none" w:sz="0" w:space="0" w:color="auto"/>
                <w:lang w:val="en-GB" w:eastAsia="en-US"/>
              </w:rPr>
              <w:t xml:space="preserve">(outcomes) </w:t>
            </w:r>
            <w:r w:rsidRPr="00D24342">
              <w:rPr>
                <w:rFonts w:eastAsia="Times New Roman" w:cs="Times New Roman"/>
                <w:color w:val="auto"/>
                <w:bdr w:val="none" w:sz="0" w:space="0" w:color="auto"/>
                <w:lang w:val="en-GB" w:eastAsia="en-US"/>
              </w:rPr>
              <w:t>estimated by multivariable logistic regression</w:t>
            </w:r>
          </w:p>
        </w:tc>
      </w:tr>
      <w:tr w:rsidR="00D24342" w:rsidRPr="00D24342" w14:paraId="6814811C" w14:textId="77777777" w:rsidTr="001814BE">
        <w:trPr>
          <w:trHeight w:val="300"/>
        </w:trPr>
        <w:tc>
          <w:tcPr>
            <w:tcW w:w="0" w:type="auto"/>
            <w:tcBorders>
              <w:top w:val="single" w:sz="4" w:space="0" w:color="auto"/>
              <w:left w:val="nil"/>
              <w:bottom w:val="nil"/>
              <w:right w:val="nil"/>
            </w:tcBorders>
            <w:shd w:val="clear" w:color="auto" w:fill="auto"/>
            <w:noWrap/>
            <w:vAlign w:val="center"/>
            <w:hideMark/>
          </w:tcPr>
          <w:p w14:paraId="05DB6CDE"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 </w:t>
            </w:r>
          </w:p>
        </w:tc>
        <w:tc>
          <w:tcPr>
            <w:tcW w:w="0" w:type="auto"/>
            <w:gridSpan w:val="3"/>
            <w:tcBorders>
              <w:top w:val="single" w:sz="4" w:space="0" w:color="auto"/>
              <w:left w:val="nil"/>
              <w:bottom w:val="nil"/>
              <w:right w:val="nil"/>
            </w:tcBorders>
            <w:shd w:val="clear" w:color="auto" w:fill="auto"/>
            <w:noWrap/>
            <w:vAlign w:val="center"/>
            <w:hideMark/>
          </w:tcPr>
          <w:p w14:paraId="4DEC346C"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Sexual intercourse</w:t>
            </w:r>
          </w:p>
        </w:tc>
        <w:tc>
          <w:tcPr>
            <w:tcW w:w="0" w:type="auto"/>
            <w:gridSpan w:val="3"/>
            <w:tcBorders>
              <w:top w:val="single" w:sz="4" w:space="0" w:color="auto"/>
              <w:left w:val="nil"/>
              <w:bottom w:val="nil"/>
              <w:right w:val="nil"/>
            </w:tcBorders>
            <w:shd w:val="clear" w:color="auto" w:fill="auto"/>
            <w:noWrap/>
            <w:vAlign w:val="center"/>
            <w:hideMark/>
          </w:tcPr>
          <w:p w14:paraId="79A400C7"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Condom non-</w:t>
            </w:r>
            <w:proofErr w:type="spellStart"/>
            <w:r w:rsidRPr="00D24342">
              <w:rPr>
                <w:rFonts w:eastAsia="Times New Roman" w:cs="Times New Roman"/>
                <w:color w:val="auto"/>
                <w:sz w:val="22"/>
                <w:szCs w:val="22"/>
                <w:bdr w:val="none" w:sz="0" w:space="0" w:color="auto"/>
                <w:lang w:val="en-GB" w:eastAsia="en-US"/>
              </w:rPr>
              <w:t>use</w:t>
            </w:r>
            <w:r w:rsidRPr="00D24342">
              <w:rPr>
                <w:rFonts w:eastAsia="Times New Roman" w:cs="Times New Roman"/>
                <w:color w:val="auto"/>
                <w:sz w:val="22"/>
                <w:szCs w:val="22"/>
                <w:bdr w:val="none" w:sz="0" w:space="0" w:color="auto"/>
                <w:vertAlign w:val="superscript"/>
                <w:lang w:val="en-GB" w:eastAsia="en-US"/>
              </w:rPr>
              <w:t>a</w:t>
            </w:r>
            <w:proofErr w:type="spellEnd"/>
          </w:p>
        </w:tc>
        <w:tc>
          <w:tcPr>
            <w:tcW w:w="0" w:type="auto"/>
            <w:gridSpan w:val="3"/>
            <w:tcBorders>
              <w:top w:val="single" w:sz="4" w:space="0" w:color="auto"/>
              <w:left w:val="nil"/>
              <w:bottom w:val="nil"/>
              <w:right w:val="nil"/>
            </w:tcBorders>
            <w:shd w:val="clear" w:color="auto" w:fill="auto"/>
            <w:noWrap/>
            <w:vAlign w:val="center"/>
            <w:hideMark/>
          </w:tcPr>
          <w:p w14:paraId="23BEC190"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 xml:space="preserve">Multiple sex </w:t>
            </w:r>
            <w:proofErr w:type="spellStart"/>
            <w:proofErr w:type="gramStart"/>
            <w:r w:rsidRPr="00D24342">
              <w:rPr>
                <w:rFonts w:eastAsia="Times New Roman" w:cs="Times New Roman"/>
                <w:color w:val="auto"/>
                <w:sz w:val="22"/>
                <w:szCs w:val="22"/>
                <w:bdr w:val="none" w:sz="0" w:space="0" w:color="auto"/>
                <w:lang w:val="en-GB" w:eastAsia="en-US"/>
              </w:rPr>
              <w:t>partners</w:t>
            </w:r>
            <w:r w:rsidRPr="00D24342">
              <w:rPr>
                <w:rFonts w:eastAsia="Times New Roman" w:cs="Times New Roman"/>
                <w:color w:val="auto"/>
                <w:sz w:val="22"/>
                <w:szCs w:val="22"/>
                <w:bdr w:val="none" w:sz="0" w:space="0" w:color="auto"/>
                <w:vertAlign w:val="superscript"/>
                <w:lang w:val="en-GB" w:eastAsia="en-US"/>
              </w:rPr>
              <w:t>a,b</w:t>
            </w:r>
            <w:proofErr w:type="spellEnd"/>
            <w:proofErr w:type="gramEnd"/>
          </w:p>
        </w:tc>
      </w:tr>
      <w:tr w:rsidR="00D24342" w:rsidRPr="00D24342" w14:paraId="12E18A8D" w14:textId="77777777" w:rsidTr="001814BE">
        <w:trPr>
          <w:trHeight w:val="320"/>
        </w:trPr>
        <w:tc>
          <w:tcPr>
            <w:tcW w:w="0" w:type="auto"/>
            <w:tcBorders>
              <w:top w:val="nil"/>
              <w:left w:val="nil"/>
              <w:bottom w:val="double" w:sz="6" w:space="0" w:color="auto"/>
              <w:right w:val="nil"/>
            </w:tcBorders>
            <w:shd w:val="clear" w:color="auto" w:fill="auto"/>
            <w:noWrap/>
            <w:vAlign w:val="center"/>
            <w:hideMark/>
          </w:tcPr>
          <w:p w14:paraId="75A9FA2B"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 </w:t>
            </w:r>
          </w:p>
        </w:tc>
        <w:tc>
          <w:tcPr>
            <w:tcW w:w="0" w:type="auto"/>
            <w:tcBorders>
              <w:top w:val="nil"/>
              <w:left w:val="nil"/>
              <w:bottom w:val="double" w:sz="6" w:space="0" w:color="auto"/>
              <w:right w:val="nil"/>
            </w:tcBorders>
            <w:shd w:val="clear" w:color="auto" w:fill="auto"/>
            <w:noWrap/>
            <w:vAlign w:val="center"/>
            <w:hideMark/>
          </w:tcPr>
          <w:p w14:paraId="14EF2C26"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Overall</w:t>
            </w:r>
          </w:p>
        </w:tc>
        <w:tc>
          <w:tcPr>
            <w:tcW w:w="0" w:type="auto"/>
            <w:tcBorders>
              <w:top w:val="nil"/>
              <w:left w:val="nil"/>
              <w:bottom w:val="double" w:sz="6" w:space="0" w:color="auto"/>
              <w:right w:val="nil"/>
            </w:tcBorders>
            <w:shd w:val="clear" w:color="auto" w:fill="auto"/>
            <w:noWrap/>
            <w:vAlign w:val="center"/>
            <w:hideMark/>
          </w:tcPr>
          <w:p w14:paraId="367D7044"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Boys</w:t>
            </w:r>
          </w:p>
        </w:tc>
        <w:tc>
          <w:tcPr>
            <w:tcW w:w="0" w:type="auto"/>
            <w:tcBorders>
              <w:top w:val="nil"/>
              <w:left w:val="nil"/>
              <w:bottom w:val="double" w:sz="6" w:space="0" w:color="auto"/>
              <w:right w:val="nil"/>
            </w:tcBorders>
            <w:shd w:val="clear" w:color="auto" w:fill="auto"/>
            <w:noWrap/>
            <w:vAlign w:val="center"/>
            <w:hideMark/>
          </w:tcPr>
          <w:p w14:paraId="0548BEF8"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Girls</w:t>
            </w:r>
          </w:p>
        </w:tc>
        <w:tc>
          <w:tcPr>
            <w:tcW w:w="0" w:type="auto"/>
            <w:tcBorders>
              <w:top w:val="nil"/>
              <w:left w:val="nil"/>
              <w:bottom w:val="double" w:sz="6" w:space="0" w:color="auto"/>
              <w:right w:val="nil"/>
            </w:tcBorders>
            <w:shd w:val="clear" w:color="auto" w:fill="auto"/>
            <w:noWrap/>
            <w:vAlign w:val="center"/>
            <w:hideMark/>
          </w:tcPr>
          <w:p w14:paraId="52D2D089"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Overall</w:t>
            </w:r>
          </w:p>
        </w:tc>
        <w:tc>
          <w:tcPr>
            <w:tcW w:w="0" w:type="auto"/>
            <w:tcBorders>
              <w:top w:val="nil"/>
              <w:left w:val="nil"/>
              <w:bottom w:val="double" w:sz="6" w:space="0" w:color="auto"/>
              <w:right w:val="nil"/>
            </w:tcBorders>
            <w:shd w:val="clear" w:color="auto" w:fill="auto"/>
            <w:noWrap/>
            <w:vAlign w:val="center"/>
            <w:hideMark/>
          </w:tcPr>
          <w:p w14:paraId="7C970A8E"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Boys</w:t>
            </w:r>
          </w:p>
        </w:tc>
        <w:tc>
          <w:tcPr>
            <w:tcW w:w="0" w:type="auto"/>
            <w:tcBorders>
              <w:top w:val="nil"/>
              <w:left w:val="nil"/>
              <w:bottom w:val="double" w:sz="6" w:space="0" w:color="auto"/>
              <w:right w:val="nil"/>
            </w:tcBorders>
            <w:shd w:val="clear" w:color="auto" w:fill="auto"/>
            <w:noWrap/>
            <w:vAlign w:val="center"/>
            <w:hideMark/>
          </w:tcPr>
          <w:p w14:paraId="497CF447"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Girls</w:t>
            </w:r>
          </w:p>
        </w:tc>
        <w:tc>
          <w:tcPr>
            <w:tcW w:w="0" w:type="auto"/>
            <w:tcBorders>
              <w:top w:val="nil"/>
              <w:left w:val="nil"/>
              <w:bottom w:val="double" w:sz="6" w:space="0" w:color="auto"/>
              <w:right w:val="nil"/>
            </w:tcBorders>
            <w:shd w:val="clear" w:color="auto" w:fill="auto"/>
            <w:noWrap/>
            <w:vAlign w:val="center"/>
            <w:hideMark/>
          </w:tcPr>
          <w:p w14:paraId="59B42A06"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Overall</w:t>
            </w:r>
          </w:p>
        </w:tc>
        <w:tc>
          <w:tcPr>
            <w:tcW w:w="0" w:type="auto"/>
            <w:tcBorders>
              <w:top w:val="nil"/>
              <w:left w:val="nil"/>
              <w:bottom w:val="double" w:sz="6" w:space="0" w:color="auto"/>
              <w:right w:val="nil"/>
            </w:tcBorders>
            <w:shd w:val="clear" w:color="auto" w:fill="auto"/>
            <w:noWrap/>
            <w:vAlign w:val="center"/>
            <w:hideMark/>
          </w:tcPr>
          <w:p w14:paraId="6FBD0709"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Boys</w:t>
            </w:r>
          </w:p>
        </w:tc>
        <w:tc>
          <w:tcPr>
            <w:tcW w:w="0" w:type="auto"/>
            <w:tcBorders>
              <w:top w:val="nil"/>
              <w:left w:val="nil"/>
              <w:bottom w:val="double" w:sz="6" w:space="0" w:color="auto"/>
              <w:right w:val="nil"/>
            </w:tcBorders>
            <w:shd w:val="clear" w:color="auto" w:fill="auto"/>
            <w:noWrap/>
            <w:vAlign w:val="center"/>
            <w:hideMark/>
          </w:tcPr>
          <w:p w14:paraId="41C3E2D3"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Girls</w:t>
            </w:r>
          </w:p>
        </w:tc>
      </w:tr>
      <w:tr w:rsidR="00D24342" w:rsidRPr="00D24342" w14:paraId="5B733660" w14:textId="77777777" w:rsidTr="001814BE">
        <w:trPr>
          <w:trHeight w:val="320"/>
        </w:trPr>
        <w:tc>
          <w:tcPr>
            <w:tcW w:w="0" w:type="auto"/>
            <w:tcBorders>
              <w:top w:val="nil"/>
              <w:left w:val="nil"/>
              <w:bottom w:val="nil"/>
              <w:right w:val="nil"/>
            </w:tcBorders>
            <w:shd w:val="clear" w:color="auto" w:fill="auto"/>
            <w:noWrap/>
            <w:vAlign w:val="center"/>
            <w:hideMark/>
          </w:tcPr>
          <w:p w14:paraId="718D0B27" w14:textId="12F538F5"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 xml:space="preserve">Physical </w:t>
            </w:r>
            <w:proofErr w:type="spellStart"/>
            <w:r w:rsidRPr="00D24342">
              <w:rPr>
                <w:rFonts w:eastAsia="Times New Roman" w:cs="Times New Roman"/>
                <w:color w:val="auto"/>
                <w:sz w:val="22"/>
                <w:szCs w:val="22"/>
                <w:bdr w:val="none" w:sz="0" w:space="0" w:color="auto"/>
                <w:lang w:val="en-GB" w:eastAsia="en-US"/>
              </w:rPr>
              <w:t>attack</w:t>
            </w:r>
            <w:r w:rsidRPr="00D24342">
              <w:rPr>
                <w:rFonts w:eastAsia="Times New Roman" w:cs="Times New Roman"/>
                <w:color w:val="auto"/>
                <w:sz w:val="22"/>
                <w:szCs w:val="22"/>
                <w:bdr w:val="none" w:sz="0" w:space="0" w:color="auto"/>
                <w:vertAlign w:val="superscript"/>
                <w:lang w:val="en-GB" w:eastAsia="en-US"/>
              </w:rPr>
              <w:t>c</w:t>
            </w:r>
            <w:proofErr w:type="spellEnd"/>
          </w:p>
        </w:tc>
        <w:tc>
          <w:tcPr>
            <w:tcW w:w="0" w:type="auto"/>
            <w:tcBorders>
              <w:top w:val="nil"/>
              <w:left w:val="nil"/>
              <w:bottom w:val="nil"/>
              <w:right w:val="nil"/>
            </w:tcBorders>
            <w:shd w:val="clear" w:color="auto" w:fill="auto"/>
            <w:noWrap/>
            <w:vAlign w:val="center"/>
            <w:hideMark/>
          </w:tcPr>
          <w:p w14:paraId="4AF1BF65"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p>
        </w:tc>
        <w:tc>
          <w:tcPr>
            <w:tcW w:w="0" w:type="auto"/>
            <w:tcBorders>
              <w:top w:val="nil"/>
              <w:left w:val="nil"/>
              <w:bottom w:val="nil"/>
              <w:right w:val="nil"/>
            </w:tcBorders>
            <w:shd w:val="clear" w:color="auto" w:fill="auto"/>
            <w:noWrap/>
            <w:vAlign w:val="center"/>
            <w:hideMark/>
          </w:tcPr>
          <w:p w14:paraId="374852A5"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p>
        </w:tc>
        <w:tc>
          <w:tcPr>
            <w:tcW w:w="0" w:type="auto"/>
            <w:tcBorders>
              <w:top w:val="nil"/>
              <w:left w:val="nil"/>
              <w:bottom w:val="nil"/>
              <w:right w:val="nil"/>
            </w:tcBorders>
            <w:shd w:val="clear" w:color="auto" w:fill="auto"/>
            <w:noWrap/>
            <w:vAlign w:val="center"/>
            <w:hideMark/>
          </w:tcPr>
          <w:p w14:paraId="6C974C52"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p>
        </w:tc>
        <w:tc>
          <w:tcPr>
            <w:tcW w:w="0" w:type="auto"/>
            <w:tcBorders>
              <w:top w:val="nil"/>
              <w:left w:val="nil"/>
              <w:bottom w:val="nil"/>
              <w:right w:val="nil"/>
            </w:tcBorders>
            <w:shd w:val="clear" w:color="auto" w:fill="auto"/>
            <w:noWrap/>
            <w:vAlign w:val="center"/>
            <w:hideMark/>
          </w:tcPr>
          <w:p w14:paraId="0357D177"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p>
        </w:tc>
        <w:tc>
          <w:tcPr>
            <w:tcW w:w="0" w:type="auto"/>
            <w:tcBorders>
              <w:top w:val="nil"/>
              <w:left w:val="nil"/>
              <w:bottom w:val="nil"/>
              <w:right w:val="nil"/>
            </w:tcBorders>
            <w:shd w:val="clear" w:color="auto" w:fill="auto"/>
            <w:noWrap/>
            <w:vAlign w:val="center"/>
            <w:hideMark/>
          </w:tcPr>
          <w:p w14:paraId="5B0B7674"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p>
        </w:tc>
        <w:tc>
          <w:tcPr>
            <w:tcW w:w="0" w:type="auto"/>
            <w:tcBorders>
              <w:top w:val="nil"/>
              <w:left w:val="nil"/>
              <w:bottom w:val="nil"/>
              <w:right w:val="nil"/>
            </w:tcBorders>
            <w:shd w:val="clear" w:color="auto" w:fill="auto"/>
            <w:noWrap/>
            <w:vAlign w:val="center"/>
            <w:hideMark/>
          </w:tcPr>
          <w:p w14:paraId="61CC3121"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p>
        </w:tc>
        <w:tc>
          <w:tcPr>
            <w:tcW w:w="0" w:type="auto"/>
            <w:tcBorders>
              <w:top w:val="nil"/>
              <w:left w:val="nil"/>
              <w:bottom w:val="nil"/>
              <w:right w:val="nil"/>
            </w:tcBorders>
            <w:shd w:val="clear" w:color="auto" w:fill="auto"/>
            <w:noWrap/>
            <w:vAlign w:val="center"/>
            <w:hideMark/>
          </w:tcPr>
          <w:p w14:paraId="7185BBE4"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p>
        </w:tc>
        <w:tc>
          <w:tcPr>
            <w:tcW w:w="0" w:type="auto"/>
            <w:tcBorders>
              <w:top w:val="nil"/>
              <w:left w:val="nil"/>
              <w:bottom w:val="nil"/>
              <w:right w:val="nil"/>
            </w:tcBorders>
            <w:shd w:val="clear" w:color="auto" w:fill="auto"/>
            <w:noWrap/>
            <w:vAlign w:val="center"/>
            <w:hideMark/>
          </w:tcPr>
          <w:p w14:paraId="3286122A"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p>
        </w:tc>
        <w:tc>
          <w:tcPr>
            <w:tcW w:w="0" w:type="auto"/>
            <w:tcBorders>
              <w:top w:val="nil"/>
              <w:left w:val="nil"/>
              <w:bottom w:val="nil"/>
              <w:right w:val="nil"/>
            </w:tcBorders>
            <w:shd w:val="clear" w:color="auto" w:fill="auto"/>
            <w:noWrap/>
            <w:vAlign w:val="center"/>
            <w:hideMark/>
          </w:tcPr>
          <w:p w14:paraId="5C73A44E"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p>
        </w:tc>
      </w:tr>
      <w:tr w:rsidR="00D24342" w:rsidRPr="00D24342" w14:paraId="289D6089" w14:textId="77777777" w:rsidTr="001814BE">
        <w:trPr>
          <w:trHeight w:val="300"/>
        </w:trPr>
        <w:tc>
          <w:tcPr>
            <w:tcW w:w="0" w:type="auto"/>
            <w:tcBorders>
              <w:top w:val="nil"/>
              <w:left w:val="nil"/>
              <w:bottom w:val="nil"/>
              <w:right w:val="nil"/>
            </w:tcBorders>
            <w:shd w:val="clear" w:color="auto" w:fill="auto"/>
            <w:noWrap/>
            <w:vAlign w:val="center"/>
            <w:hideMark/>
          </w:tcPr>
          <w:p w14:paraId="6DF9EC3F"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None</w:t>
            </w:r>
          </w:p>
        </w:tc>
        <w:tc>
          <w:tcPr>
            <w:tcW w:w="0" w:type="auto"/>
            <w:tcBorders>
              <w:top w:val="nil"/>
              <w:left w:val="nil"/>
              <w:bottom w:val="nil"/>
              <w:right w:val="nil"/>
            </w:tcBorders>
            <w:shd w:val="clear" w:color="auto" w:fill="auto"/>
            <w:noWrap/>
            <w:vAlign w:val="center"/>
            <w:hideMark/>
          </w:tcPr>
          <w:p w14:paraId="27E911E4"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1.00</w:t>
            </w:r>
          </w:p>
        </w:tc>
        <w:tc>
          <w:tcPr>
            <w:tcW w:w="0" w:type="auto"/>
            <w:tcBorders>
              <w:top w:val="nil"/>
              <w:left w:val="nil"/>
              <w:bottom w:val="nil"/>
              <w:right w:val="nil"/>
            </w:tcBorders>
            <w:shd w:val="clear" w:color="auto" w:fill="auto"/>
            <w:noWrap/>
            <w:vAlign w:val="center"/>
            <w:hideMark/>
          </w:tcPr>
          <w:p w14:paraId="33602BF9"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1.00</w:t>
            </w:r>
          </w:p>
        </w:tc>
        <w:tc>
          <w:tcPr>
            <w:tcW w:w="0" w:type="auto"/>
            <w:tcBorders>
              <w:top w:val="nil"/>
              <w:left w:val="nil"/>
              <w:bottom w:val="nil"/>
              <w:right w:val="nil"/>
            </w:tcBorders>
            <w:shd w:val="clear" w:color="auto" w:fill="auto"/>
            <w:noWrap/>
            <w:vAlign w:val="center"/>
            <w:hideMark/>
          </w:tcPr>
          <w:p w14:paraId="0B83C8A0"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1.00</w:t>
            </w:r>
          </w:p>
        </w:tc>
        <w:tc>
          <w:tcPr>
            <w:tcW w:w="0" w:type="auto"/>
            <w:tcBorders>
              <w:top w:val="nil"/>
              <w:left w:val="nil"/>
              <w:bottom w:val="nil"/>
              <w:right w:val="nil"/>
            </w:tcBorders>
            <w:shd w:val="clear" w:color="auto" w:fill="auto"/>
            <w:noWrap/>
            <w:vAlign w:val="center"/>
            <w:hideMark/>
          </w:tcPr>
          <w:p w14:paraId="59B45B72"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1.00</w:t>
            </w:r>
          </w:p>
        </w:tc>
        <w:tc>
          <w:tcPr>
            <w:tcW w:w="0" w:type="auto"/>
            <w:tcBorders>
              <w:top w:val="nil"/>
              <w:left w:val="nil"/>
              <w:bottom w:val="nil"/>
              <w:right w:val="nil"/>
            </w:tcBorders>
            <w:shd w:val="clear" w:color="auto" w:fill="auto"/>
            <w:noWrap/>
            <w:vAlign w:val="center"/>
            <w:hideMark/>
          </w:tcPr>
          <w:p w14:paraId="7724FC87"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1.00</w:t>
            </w:r>
          </w:p>
        </w:tc>
        <w:tc>
          <w:tcPr>
            <w:tcW w:w="0" w:type="auto"/>
            <w:tcBorders>
              <w:top w:val="nil"/>
              <w:left w:val="nil"/>
              <w:bottom w:val="nil"/>
              <w:right w:val="nil"/>
            </w:tcBorders>
            <w:shd w:val="clear" w:color="auto" w:fill="auto"/>
            <w:noWrap/>
            <w:vAlign w:val="center"/>
            <w:hideMark/>
          </w:tcPr>
          <w:p w14:paraId="60F8B842"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1.00</w:t>
            </w:r>
          </w:p>
        </w:tc>
        <w:tc>
          <w:tcPr>
            <w:tcW w:w="0" w:type="auto"/>
            <w:tcBorders>
              <w:top w:val="nil"/>
              <w:left w:val="nil"/>
              <w:bottom w:val="nil"/>
              <w:right w:val="nil"/>
            </w:tcBorders>
            <w:shd w:val="clear" w:color="auto" w:fill="auto"/>
            <w:noWrap/>
            <w:vAlign w:val="center"/>
            <w:hideMark/>
          </w:tcPr>
          <w:p w14:paraId="40C1A780"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1.00</w:t>
            </w:r>
          </w:p>
        </w:tc>
        <w:tc>
          <w:tcPr>
            <w:tcW w:w="0" w:type="auto"/>
            <w:tcBorders>
              <w:top w:val="nil"/>
              <w:left w:val="nil"/>
              <w:bottom w:val="nil"/>
              <w:right w:val="nil"/>
            </w:tcBorders>
            <w:shd w:val="clear" w:color="auto" w:fill="auto"/>
            <w:noWrap/>
            <w:vAlign w:val="center"/>
            <w:hideMark/>
          </w:tcPr>
          <w:p w14:paraId="6043A613"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1.00</w:t>
            </w:r>
          </w:p>
        </w:tc>
        <w:tc>
          <w:tcPr>
            <w:tcW w:w="0" w:type="auto"/>
            <w:tcBorders>
              <w:top w:val="nil"/>
              <w:left w:val="nil"/>
              <w:bottom w:val="nil"/>
              <w:right w:val="nil"/>
            </w:tcBorders>
            <w:shd w:val="clear" w:color="auto" w:fill="auto"/>
            <w:noWrap/>
            <w:vAlign w:val="center"/>
            <w:hideMark/>
          </w:tcPr>
          <w:p w14:paraId="1E47192C"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1.00</w:t>
            </w:r>
          </w:p>
        </w:tc>
      </w:tr>
      <w:tr w:rsidR="00D24342" w:rsidRPr="00D24342" w14:paraId="71AAFAA0" w14:textId="77777777" w:rsidTr="001814BE">
        <w:trPr>
          <w:trHeight w:val="300"/>
        </w:trPr>
        <w:tc>
          <w:tcPr>
            <w:tcW w:w="0" w:type="auto"/>
            <w:tcBorders>
              <w:top w:val="nil"/>
              <w:left w:val="nil"/>
              <w:bottom w:val="nil"/>
              <w:right w:val="nil"/>
            </w:tcBorders>
            <w:shd w:val="clear" w:color="auto" w:fill="auto"/>
            <w:noWrap/>
            <w:vAlign w:val="center"/>
            <w:hideMark/>
          </w:tcPr>
          <w:p w14:paraId="388D4069"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Once</w:t>
            </w:r>
          </w:p>
        </w:tc>
        <w:tc>
          <w:tcPr>
            <w:tcW w:w="0" w:type="auto"/>
            <w:tcBorders>
              <w:top w:val="nil"/>
              <w:left w:val="nil"/>
              <w:bottom w:val="nil"/>
              <w:right w:val="nil"/>
            </w:tcBorders>
            <w:shd w:val="clear" w:color="auto" w:fill="auto"/>
            <w:noWrap/>
            <w:vAlign w:val="center"/>
            <w:hideMark/>
          </w:tcPr>
          <w:p w14:paraId="1DECD16A"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1.10</w:t>
            </w:r>
          </w:p>
        </w:tc>
        <w:tc>
          <w:tcPr>
            <w:tcW w:w="0" w:type="auto"/>
            <w:tcBorders>
              <w:top w:val="nil"/>
              <w:left w:val="nil"/>
              <w:bottom w:val="nil"/>
              <w:right w:val="nil"/>
            </w:tcBorders>
            <w:shd w:val="clear" w:color="auto" w:fill="auto"/>
            <w:noWrap/>
            <w:vAlign w:val="center"/>
            <w:hideMark/>
          </w:tcPr>
          <w:p w14:paraId="212A9E1C"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1.04</w:t>
            </w:r>
          </w:p>
        </w:tc>
        <w:tc>
          <w:tcPr>
            <w:tcW w:w="0" w:type="auto"/>
            <w:tcBorders>
              <w:top w:val="nil"/>
              <w:left w:val="nil"/>
              <w:bottom w:val="nil"/>
              <w:right w:val="nil"/>
            </w:tcBorders>
            <w:shd w:val="clear" w:color="auto" w:fill="auto"/>
            <w:noWrap/>
            <w:vAlign w:val="center"/>
            <w:hideMark/>
          </w:tcPr>
          <w:p w14:paraId="7B006066"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1.24*</w:t>
            </w:r>
          </w:p>
        </w:tc>
        <w:tc>
          <w:tcPr>
            <w:tcW w:w="0" w:type="auto"/>
            <w:tcBorders>
              <w:top w:val="nil"/>
              <w:left w:val="nil"/>
              <w:bottom w:val="nil"/>
              <w:right w:val="nil"/>
            </w:tcBorders>
            <w:shd w:val="clear" w:color="auto" w:fill="auto"/>
            <w:noWrap/>
            <w:vAlign w:val="center"/>
            <w:hideMark/>
          </w:tcPr>
          <w:p w14:paraId="587F2D27"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0.92</w:t>
            </w:r>
          </w:p>
        </w:tc>
        <w:tc>
          <w:tcPr>
            <w:tcW w:w="0" w:type="auto"/>
            <w:tcBorders>
              <w:top w:val="nil"/>
              <w:left w:val="nil"/>
              <w:bottom w:val="nil"/>
              <w:right w:val="nil"/>
            </w:tcBorders>
            <w:shd w:val="clear" w:color="auto" w:fill="auto"/>
            <w:noWrap/>
            <w:vAlign w:val="center"/>
            <w:hideMark/>
          </w:tcPr>
          <w:p w14:paraId="21F41400"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0.94</w:t>
            </w:r>
          </w:p>
        </w:tc>
        <w:tc>
          <w:tcPr>
            <w:tcW w:w="0" w:type="auto"/>
            <w:tcBorders>
              <w:top w:val="nil"/>
              <w:left w:val="nil"/>
              <w:bottom w:val="nil"/>
              <w:right w:val="nil"/>
            </w:tcBorders>
            <w:shd w:val="clear" w:color="auto" w:fill="auto"/>
            <w:noWrap/>
            <w:vAlign w:val="center"/>
            <w:hideMark/>
          </w:tcPr>
          <w:p w14:paraId="2BB00DE2"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0.88</w:t>
            </w:r>
          </w:p>
        </w:tc>
        <w:tc>
          <w:tcPr>
            <w:tcW w:w="0" w:type="auto"/>
            <w:tcBorders>
              <w:top w:val="nil"/>
              <w:left w:val="nil"/>
              <w:bottom w:val="nil"/>
              <w:right w:val="nil"/>
            </w:tcBorders>
            <w:shd w:val="clear" w:color="auto" w:fill="auto"/>
            <w:noWrap/>
            <w:vAlign w:val="center"/>
            <w:hideMark/>
          </w:tcPr>
          <w:p w14:paraId="1C114E54"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1.09</w:t>
            </w:r>
          </w:p>
        </w:tc>
        <w:tc>
          <w:tcPr>
            <w:tcW w:w="0" w:type="auto"/>
            <w:tcBorders>
              <w:top w:val="nil"/>
              <w:left w:val="nil"/>
              <w:bottom w:val="nil"/>
              <w:right w:val="nil"/>
            </w:tcBorders>
            <w:shd w:val="clear" w:color="auto" w:fill="auto"/>
            <w:noWrap/>
            <w:vAlign w:val="center"/>
            <w:hideMark/>
          </w:tcPr>
          <w:p w14:paraId="5EF69AF8"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1.06</w:t>
            </w:r>
          </w:p>
        </w:tc>
        <w:tc>
          <w:tcPr>
            <w:tcW w:w="0" w:type="auto"/>
            <w:tcBorders>
              <w:top w:val="nil"/>
              <w:left w:val="nil"/>
              <w:bottom w:val="nil"/>
              <w:right w:val="nil"/>
            </w:tcBorders>
            <w:shd w:val="clear" w:color="auto" w:fill="auto"/>
            <w:noWrap/>
            <w:vAlign w:val="center"/>
            <w:hideMark/>
          </w:tcPr>
          <w:p w14:paraId="35A40D9C"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1.21</w:t>
            </w:r>
          </w:p>
        </w:tc>
      </w:tr>
      <w:tr w:rsidR="00D24342" w:rsidRPr="00D24342" w14:paraId="0B3547E7" w14:textId="77777777" w:rsidTr="001814BE">
        <w:trPr>
          <w:trHeight w:val="300"/>
        </w:trPr>
        <w:tc>
          <w:tcPr>
            <w:tcW w:w="0" w:type="auto"/>
            <w:tcBorders>
              <w:top w:val="nil"/>
              <w:left w:val="nil"/>
              <w:bottom w:val="nil"/>
              <w:right w:val="nil"/>
            </w:tcBorders>
            <w:shd w:val="clear" w:color="auto" w:fill="auto"/>
            <w:noWrap/>
            <w:vAlign w:val="center"/>
            <w:hideMark/>
          </w:tcPr>
          <w:p w14:paraId="475DCDFA"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p>
        </w:tc>
        <w:tc>
          <w:tcPr>
            <w:tcW w:w="0" w:type="auto"/>
            <w:tcBorders>
              <w:top w:val="nil"/>
              <w:left w:val="nil"/>
              <w:bottom w:val="nil"/>
              <w:right w:val="nil"/>
            </w:tcBorders>
            <w:shd w:val="clear" w:color="auto" w:fill="auto"/>
            <w:noWrap/>
            <w:vAlign w:val="center"/>
            <w:hideMark/>
          </w:tcPr>
          <w:p w14:paraId="74B3C16A"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[0.96,1.27]</w:t>
            </w:r>
          </w:p>
        </w:tc>
        <w:tc>
          <w:tcPr>
            <w:tcW w:w="0" w:type="auto"/>
            <w:tcBorders>
              <w:top w:val="nil"/>
              <w:left w:val="nil"/>
              <w:bottom w:val="nil"/>
              <w:right w:val="nil"/>
            </w:tcBorders>
            <w:shd w:val="clear" w:color="auto" w:fill="auto"/>
            <w:noWrap/>
            <w:vAlign w:val="center"/>
            <w:hideMark/>
          </w:tcPr>
          <w:p w14:paraId="2F0FF84B"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[0.86,1.27]</w:t>
            </w:r>
          </w:p>
        </w:tc>
        <w:tc>
          <w:tcPr>
            <w:tcW w:w="0" w:type="auto"/>
            <w:tcBorders>
              <w:top w:val="nil"/>
              <w:left w:val="nil"/>
              <w:bottom w:val="nil"/>
              <w:right w:val="nil"/>
            </w:tcBorders>
            <w:shd w:val="clear" w:color="auto" w:fill="auto"/>
            <w:noWrap/>
            <w:vAlign w:val="center"/>
            <w:hideMark/>
          </w:tcPr>
          <w:p w14:paraId="12B52798"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[1.05,1.46]</w:t>
            </w:r>
          </w:p>
        </w:tc>
        <w:tc>
          <w:tcPr>
            <w:tcW w:w="0" w:type="auto"/>
            <w:tcBorders>
              <w:top w:val="nil"/>
              <w:left w:val="nil"/>
              <w:bottom w:val="nil"/>
              <w:right w:val="nil"/>
            </w:tcBorders>
            <w:shd w:val="clear" w:color="auto" w:fill="auto"/>
            <w:noWrap/>
            <w:vAlign w:val="center"/>
            <w:hideMark/>
          </w:tcPr>
          <w:p w14:paraId="4ABCBD99"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[0.68,1.25]</w:t>
            </w:r>
          </w:p>
        </w:tc>
        <w:tc>
          <w:tcPr>
            <w:tcW w:w="0" w:type="auto"/>
            <w:tcBorders>
              <w:top w:val="nil"/>
              <w:left w:val="nil"/>
              <w:bottom w:val="nil"/>
              <w:right w:val="nil"/>
            </w:tcBorders>
            <w:shd w:val="clear" w:color="auto" w:fill="auto"/>
            <w:noWrap/>
            <w:vAlign w:val="center"/>
            <w:hideMark/>
          </w:tcPr>
          <w:p w14:paraId="45C26615"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[0.63,1.40]</w:t>
            </w:r>
          </w:p>
        </w:tc>
        <w:tc>
          <w:tcPr>
            <w:tcW w:w="0" w:type="auto"/>
            <w:tcBorders>
              <w:top w:val="nil"/>
              <w:left w:val="nil"/>
              <w:bottom w:val="nil"/>
              <w:right w:val="nil"/>
            </w:tcBorders>
            <w:shd w:val="clear" w:color="auto" w:fill="auto"/>
            <w:noWrap/>
            <w:vAlign w:val="center"/>
            <w:hideMark/>
          </w:tcPr>
          <w:p w14:paraId="4DD302C1"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[0.58,1.33]</w:t>
            </w:r>
          </w:p>
        </w:tc>
        <w:tc>
          <w:tcPr>
            <w:tcW w:w="0" w:type="auto"/>
            <w:tcBorders>
              <w:top w:val="nil"/>
              <w:left w:val="nil"/>
              <w:bottom w:val="nil"/>
              <w:right w:val="nil"/>
            </w:tcBorders>
            <w:shd w:val="clear" w:color="auto" w:fill="auto"/>
            <w:noWrap/>
            <w:vAlign w:val="center"/>
            <w:hideMark/>
          </w:tcPr>
          <w:p w14:paraId="331D78C3"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[0.87,1.37]</w:t>
            </w:r>
          </w:p>
        </w:tc>
        <w:tc>
          <w:tcPr>
            <w:tcW w:w="0" w:type="auto"/>
            <w:tcBorders>
              <w:top w:val="nil"/>
              <w:left w:val="nil"/>
              <w:bottom w:val="nil"/>
              <w:right w:val="nil"/>
            </w:tcBorders>
            <w:shd w:val="clear" w:color="auto" w:fill="auto"/>
            <w:noWrap/>
            <w:vAlign w:val="center"/>
            <w:hideMark/>
          </w:tcPr>
          <w:p w14:paraId="0CAE91BB"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[0.80,1.39]</w:t>
            </w:r>
          </w:p>
        </w:tc>
        <w:tc>
          <w:tcPr>
            <w:tcW w:w="0" w:type="auto"/>
            <w:tcBorders>
              <w:top w:val="nil"/>
              <w:left w:val="nil"/>
              <w:bottom w:val="nil"/>
              <w:right w:val="nil"/>
            </w:tcBorders>
            <w:shd w:val="clear" w:color="auto" w:fill="auto"/>
            <w:noWrap/>
            <w:vAlign w:val="center"/>
            <w:hideMark/>
          </w:tcPr>
          <w:p w14:paraId="201971F3"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[0.77,1.90]</w:t>
            </w:r>
          </w:p>
        </w:tc>
      </w:tr>
      <w:tr w:rsidR="00D24342" w:rsidRPr="00D24342" w14:paraId="7DD664DD" w14:textId="77777777" w:rsidTr="001814BE">
        <w:trPr>
          <w:trHeight w:val="300"/>
        </w:trPr>
        <w:tc>
          <w:tcPr>
            <w:tcW w:w="0" w:type="auto"/>
            <w:tcBorders>
              <w:top w:val="nil"/>
              <w:left w:val="nil"/>
              <w:bottom w:val="nil"/>
              <w:right w:val="nil"/>
            </w:tcBorders>
            <w:shd w:val="clear" w:color="auto" w:fill="auto"/>
            <w:noWrap/>
            <w:vAlign w:val="center"/>
            <w:hideMark/>
          </w:tcPr>
          <w:p w14:paraId="16142D7B"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2-3 times</w:t>
            </w:r>
          </w:p>
        </w:tc>
        <w:tc>
          <w:tcPr>
            <w:tcW w:w="0" w:type="auto"/>
            <w:tcBorders>
              <w:top w:val="nil"/>
              <w:left w:val="nil"/>
              <w:bottom w:val="nil"/>
              <w:right w:val="nil"/>
            </w:tcBorders>
            <w:shd w:val="clear" w:color="auto" w:fill="auto"/>
            <w:noWrap/>
            <w:vAlign w:val="center"/>
            <w:hideMark/>
          </w:tcPr>
          <w:p w14:paraId="1F2182E1"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1.19*</w:t>
            </w:r>
          </w:p>
        </w:tc>
        <w:tc>
          <w:tcPr>
            <w:tcW w:w="0" w:type="auto"/>
            <w:tcBorders>
              <w:top w:val="nil"/>
              <w:left w:val="nil"/>
              <w:bottom w:val="nil"/>
              <w:right w:val="nil"/>
            </w:tcBorders>
            <w:shd w:val="clear" w:color="auto" w:fill="auto"/>
            <w:noWrap/>
            <w:vAlign w:val="center"/>
            <w:hideMark/>
          </w:tcPr>
          <w:p w14:paraId="63A6B83E"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1.12</w:t>
            </w:r>
          </w:p>
        </w:tc>
        <w:tc>
          <w:tcPr>
            <w:tcW w:w="0" w:type="auto"/>
            <w:tcBorders>
              <w:top w:val="nil"/>
              <w:left w:val="nil"/>
              <w:bottom w:val="nil"/>
              <w:right w:val="nil"/>
            </w:tcBorders>
            <w:shd w:val="clear" w:color="auto" w:fill="auto"/>
            <w:noWrap/>
            <w:vAlign w:val="center"/>
            <w:hideMark/>
          </w:tcPr>
          <w:p w14:paraId="0DF71FCF"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1.34**</w:t>
            </w:r>
          </w:p>
        </w:tc>
        <w:tc>
          <w:tcPr>
            <w:tcW w:w="0" w:type="auto"/>
            <w:tcBorders>
              <w:top w:val="nil"/>
              <w:left w:val="nil"/>
              <w:bottom w:val="nil"/>
              <w:right w:val="nil"/>
            </w:tcBorders>
            <w:shd w:val="clear" w:color="auto" w:fill="auto"/>
            <w:noWrap/>
            <w:vAlign w:val="center"/>
            <w:hideMark/>
          </w:tcPr>
          <w:p w14:paraId="5C8BF049"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1.52*</w:t>
            </w:r>
          </w:p>
        </w:tc>
        <w:tc>
          <w:tcPr>
            <w:tcW w:w="0" w:type="auto"/>
            <w:tcBorders>
              <w:top w:val="nil"/>
              <w:left w:val="nil"/>
              <w:bottom w:val="nil"/>
              <w:right w:val="nil"/>
            </w:tcBorders>
            <w:shd w:val="clear" w:color="auto" w:fill="auto"/>
            <w:noWrap/>
            <w:vAlign w:val="center"/>
            <w:hideMark/>
          </w:tcPr>
          <w:p w14:paraId="7F8E012C"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2.08**</w:t>
            </w:r>
          </w:p>
        </w:tc>
        <w:tc>
          <w:tcPr>
            <w:tcW w:w="0" w:type="auto"/>
            <w:tcBorders>
              <w:top w:val="nil"/>
              <w:left w:val="nil"/>
              <w:bottom w:val="nil"/>
              <w:right w:val="nil"/>
            </w:tcBorders>
            <w:shd w:val="clear" w:color="auto" w:fill="auto"/>
            <w:noWrap/>
            <w:vAlign w:val="center"/>
            <w:hideMark/>
          </w:tcPr>
          <w:p w14:paraId="05D00154"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0.71</w:t>
            </w:r>
          </w:p>
        </w:tc>
        <w:tc>
          <w:tcPr>
            <w:tcW w:w="0" w:type="auto"/>
            <w:tcBorders>
              <w:top w:val="nil"/>
              <w:left w:val="nil"/>
              <w:bottom w:val="nil"/>
              <w:right w:val="nil"/>
            </w:tcBorders>
            <w:shd w:val="clear" w:color="auto" w:fill="auto"/>
            <w:noWrap/>
            <w:vAlign w:val="center"/>
            <w:hideMark/>
          </w:tcPr>
          <w:p w14:paraId="17CFAF3C"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1.38*</w:t>
            </w:r>
          </w:p>
        </w:tc>
        <w:tc>
          <w:tcPr>
            <w:tcW w:w="0" w:type="auto"/>
            <w:tcBorders>
              <w:top w:val="nil"/>
              <w:left w:val="nil"/>
              <w:bottom w:val="nil"/>
              <w:right w:val="nil"/>
            </w:tcBorders>
            <w:shd w:val="clear" w:color="auto" w:fill="auto"/>
            <w:noWrap/>
            <w:vAlign w:val="center"/>
            <w:hideMark/>
          </w:tcPr>
          <w:p w14:paraId="158261B9"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1.29</w:t>
            </w:r>
          </w:p>
        </w:tc>
        <w:tc>
          <w:tcPr>
            <w:tcW w:w="0" w:type="auto"/>
            <w:tcBorders>
              <w:top w:val="nil"/>
              <w:left w:val="nil"/>
              <w:bottom w:val="nil"/>
              <w:right w:val="nil"/>
            </w:tcBorders>
            <w:shd w:val="clear" w:color="auto" w:fill="auto"/>
            <w:noWrap/>
            <w:vAlign w:val="center"/>
            <w:hideMark/>
          </w:tcPr>
          <w:p w14:paraId="45EBB047"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1.70*</w:t>
            </w:r>
          </w:p>
        </w:tc>
      </w:tr>
      <w:tr w:rsidR="00D24342" w:rsidRPr="00D24342" w14:paraId="45E0638A" w14:textId="77777777" w:rsidTr="001814BE">
        <w:trPr>
          <w:trHeight w:val="300"/>
        </w:trPr>
        <w:tc>
          <w:tcPr>
            <w:tcW w:w="0" w:type="auto"/>
            <w:tcBorders>
              <w:top w:val="nil"/>
              <w:left w:val="nil"/>
              <w:bottom w:val="nil"/>
              <w:right w:val="nil"/>
            </w:tcBorders>
            <w:shd w:val="clear" w:color="auto" w:fill="auto"/>
            <w:noWrap/>
            <w:vAlign w:val="center"/>
            <w:hideMark/>
          </w:tcPr>
          <w:p w14:paraId="24E860A8"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p>
        </w:tc>
        <w:tc>
          <w:tcPr>
            <w:tcW w:w="0" w:type="auto"/>
            <w:tcBorders>
              <w:top w:val="nil"/>
              <w:left w:val="nil"/>
              <w:bottom w:val="nil"/>
              <w:right w:val="nil"/>
            </w:tcBorders>
            <w:shd w:val="clear" w:color="auto" w:fill="auto"/>
            <w:noWrap/>
            <w:vAlign w:val="center"/>
            <w:hideMark/>
          </w:tcPr>
          <w:p w14:paraId="01D0D5F1"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[1.01,1.41]</w:t>
            </w:r>
          </w:p>
        </w:tc>
        <w:tc>
          <w:tcPr>
            <w:tcW w:w="0" w:type="auto"/>
            <w:tcBorders>
              <w:top w:val="nil"/>
              <w:left w:val="nil"/>
              <w:bottom w:val="nil"/>
              <w:right w:val="nil"/>
            </w:tcBorders>
            <w:shd w:val="clear" w:color="auto" w:fill="auto"/>
            <w:noWrap/>
            <w:vAlign w:val="center"/>
            <w:hideMark/>
          </w:tcPr>
          <w:p w14:paraId="43AC27E9"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[0.89,1.42]</w:t>
            </w:r>
          </w:p>
        </w:tc>
        <w:tc>
          <w:tcPr>
            <w:tcW w:w="0" w:type="auto"/>
            <w:tcBorders>
              <w:top w:val="nil"/>
              <w:left w:val="nil"/>
              <w:bottom w:val="nil"/>
              <w:right w:val="nil"/>
            </w:tcBorders>
            <w:shd w:val="clear" w:color="auto" w:fill="auto"/>
            <w:noWrap/>
            <w:vAlign w:val="center"/>
            <w:hideMark/>
          </w:tcPr>
          <w:p w14:paraId="3E83F9AD"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[1.10,1.64]</w:t>
            </w:r>
          </w:p>
        </w:tc>
        <w:tc>
          <w:tcPr>
            <w:tcW w:w="0" w:type="auto"/>
            <w:tcBorders>
              <w:top w:val="nil"/>
              <w:left w:val="nil"/>
              <w:bottom w:val="nil"/>
              <w:right w:val="nil"/>
            </w:tcBorders>
            <w:shd w:val="clear" w:color="auto" w:fill="auto"/>
            <w:noWrap/>
            <w:vAlign w:val="center"/>
            <w:hideMark/>
          </w:tcPr>
          <w:p w14:paraId="680E3F22"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[1.02,2.26]</w:t>
            </w:r>
          </w:p>
        </w:tc>
        <w:tc>
          <w:tcPr>
            <w:tcW w:w="0" w:type="auto"/>
            <w:tcBorders>
              <w:top w:val="nil"/>
              <w:left w:val="nil"/>
              <w:bottom w:val="nil"/>
              <w:right w:val="nil"/>
            </w:tcBorders>
            <w:shd w:val="clear" w:color="auto" w:fill="auto"/>
            <w:noWrap/>
            <w:vAlign w:val="center"/>
            <w:hideMark/>
          </w:tcPr>
          <w:p w14:paraId="0598DAAA"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[1.26,3.43]</w:t>
            </w:r>
          </w:p>
        </w:tc>
        <w:tc>
          <w:tcPr>
            <w:tcW w:w="0" w:type="auto"/>
            <w:tcBorders>
              <w:top w:val="nil"/>
              <w:left w:val="nil"/>
              <w:bottom w:val="nil"/>
              <w:right w:val="nil"/>
            </w:tcBorders>
            <w:shd w:val="clear" w:color="auto" w:fill="auto"/>
            <w:noWrap/>
            <w:vAlign w:val="center"/>
            <w:hideMark/>
          </w:tcPr>
          <w:p w14:paraId="54096108"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[0.45,1.13]</w:t>
            </w:r>
          </w:p>
        </w:tc>
        <w:tc>
          <w:tcPr>
            <w:tcW w:w="0" w:type="auto"/>
            <w:tcBorders>
              <w:top w:val="nil"/>
              <w:left w:val="nil"/>
              <w:bottom w:val="nil"/>
              <w:right w:val="nil"/>
            </w:tcBorders>
            <w:shd w:val="clear" w:color="auto" w:fill="auto"/>
            <w:noWrap/>
            <w:vAlign w:val="center"/>
            <w:hideMark/>
          </w:tcPr>
          <w:p w14:paraId="06DC4F5E"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[1.04,1.84]</w:t>
            </w:r>
          </w:p>
        </w:tc>
        <w:tc>
          <w:tcPr>
            <w:tcW w:w="0" w:type="auto"/>
            <w:tcBorders>
              <w:top w:val="nil"/>
              <w:left w:val="nil"/>
              <w:bottom w:val="nil"/>
              <w:right w:val="nil"/>
            </w:tcBorders>
            <w:shd w:val="clear" w:color="auto" w:fill="auto"/>
            <w:noWrap/>
            <w:vAlign w:val="center"/>
            <w:hideMark/>
          </w:tcPr>
          <w:p w14:paraId="4CDD8C5C"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[0.92,1.82]</w:t>
            </w:r>
          </w:p>
        </w:tc>
        <w:tc>
          <w:tcPr>
            <w:tcW w:w="0" w:type="auto"/>
            <w:tcBorders>
              <w:top w:val="nil"/>
              <w:left w:val="nil"/>
              <w:bottom w:val="nil"/>
              <w:right w:val="nil"/>
            </w:tcBorders>
            <w:shd w:val="clear" w:color="auto" w:fill="auto"/>
            <w:noWrap/>
            <w:vAlign w:val="center"/>
            <w:hideMark/>
          </w:tcPr>
          <w:p w14:paraId="6A5E7CA3"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[1.14,2.56]</w:t>
            </w:r>
          </w:p>
        </w:tc>
      </w:tr>
      <w:tr w:rsidR="00D24342" w:rsidRPr="00D24342" w14:paraId="5C04E02C" w14:textId="77777777" w:rsidTr="001814BE">
        <w:trPr>
          <w:trHeight w:val="300"/>
        </w:trPr>
        <w:tc>
          <w:tcPr>
            <w:tcW w:w="0" w:type="auto"/>
            <w:tcBorders>
              <w:top w:val="nil"/>
              <w:left w:val="nil"/>
              <w:bottom w:val="nil"/>
              <w:right w:val="nil"/>
            </w:tcBorders>
            <w:shd w:val="clear" w:color="auto" w:fill="auto"/>
            <w:noWrap/>
            <w:vAlign w:val="center"/>
            <w:hideMark/>
          </w:tcPr>
          <w:p w14:paraId="4C57754E"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≥4 times</w:t>
            </w:r>
          </w:p>
        </w:tc>
        <w:tc>
          <w:tcPr>
            <w:tcW w:w="0" w:type="auto"/>
            <w:tcBorders>
              <w:top w:val="nil"/>
              <w:left w:val="nil"/>
              <w:bottom w:val="nil"/>
              <w:right w:val="nil"/>
            </w:tcBorders>
            <w:shd w:val="clear" w:color="auto" w:fill="auto"/>
            <w:noWrap/>
            <w:vAlign w:val="center"/>
            <w:hideMark/>
          </w:tcPr>
          <w:p w14:paraId="523C18D0"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1.42***</w:t>
            </w:r>
          </w:p>
        </w:tc>
        <w:tc>
          <w:tcPr>
            <w:tcW w:w="0" w:type="auto"/>
            <w:tcBorders>
              <w:top w:val="nil"/>
              <w:left w:val="nil"/>
              <w:bottom w:val="nil"/>
              <w:right w:val="nil"/>
            </w:tcBorders>
            <w:shd w:val="clear" w:color="auto" w:fill="auto"/>
            <w:noWrap/>
            <w:vAlign w:val="center"/>
            <w:hideMark/>
          </w:tcPr>
          <w:p w14:paraId="6690B77B"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1.29</w:t>
            </w:r>
          </w:p>
        </w:tc>
        <w:tc>
          <w:tcPr>
            <w:tcW w:w="0" w:type="auto"/>
            <w:tcBorders>
              <w:top w:val="nil"/>
              <w:left w:val="nil"/>
              <w:bottom w:val="nil"/>
              <w:right w:val="nil"/>
            </w:tcBorders>
            <w:shd w:val="clear" w:color="auto" w:fill="auto"/>
            <w:noWrap/>
            <w:vAlign w:val="center"/>
            <w:hideMark/>
          </w:tcPr>
          <w:p w14:paraId="58DBD44E"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1.78***</w:t>
            </w:r>
          </w:p>
        </w:tc>
        <w:tc>
          <w:tcPr>
            <w:tcW w:w="0" w:type="auto"/>
            <w:tcBorders>
              <w:top w:val="nil"/>
              <w:left w:val="nil"/>
              <w:bottom w:val="nil"/>
              <w:right w:val="nil"/>
            </w:tcBorders>
            <w:shd w:val="clear" w:color="auto" w:fill="auto"/>
            <w:noWrap/>
            <w:vAlign w:val="center"/>
            <w:hideMark/>
          </w:tcPr>
          <w:p w14:paraId="046CA063"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2.13***</w:t>
            </w:r>
          </w:p>
        </w:tc>
        <w:tc>
          <w:tcPr>
            <w:tcW w:w="0" w:type="auto"/>
            <w:tcBorders>
              <w:top w:val="nil"/>
              <w:left w:val="nil"/>
              <w:bottom w:val="nil"/>
              <w:right w:val="nil"/>
            </w:tcBorders>
            <w:shd w:val="clear" w:color="auto" w:fill="auto"/>
            <w:noWrap/>
            <w:vAlign w:val="center"/>
            <w:hideMark/>
          </w:tcPr>
          <w:p w14:paraId="5651A698"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2.69***</w:t>
            </w:r>
          </w:p>
        </w:tc>
        <w:tc>
          <w:tcPr>
            <w:tcW w:w="0" w:type="auto"/>
            <w:tcBorders>
              <w:top w:val="nil"/>
              <w:left w:val="nil"/>
              <w:bottom w:val="nil"/>
              <w:right w:val="nil"/>
            </w:tcBorders>
            <w:shd w:val="clear" w:color="auto" w:fill="auto"/>
            <w:noWrap/>
            <w:vAlign w:val="center"/>
            <w:hideMark/>
          </w:tcPr>
          <w:p w14:paraId="1570EAA4"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1.18</w:t>
            </w:r>
          </w:p>
        </w:tc>
        <w:tc>
          <w:tcPr>
            <w:tcW w:w="0" w:type="auto"/>
            <w:tcBorders>
              <w:top w:val="nil"/>
              <w:left w:val="nil"/>
              <w:bottom w:val="nil"/>
              <w:right w:val="nil"/>
            </w:tcBorders>
            <w:shd w:val="clear" w:color="auto" w:fill="auto"/>
            <w:noWrap/>
            <w:vAlign w:val="center"/>
            <w:hideMark/>
          </w:tcPr>
          <w:p w14:paraId="27E64BC1"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1.48**</w:t>
            </w:r>
          </w:p>
        </w:tc>
        <w:tc>
          <w:tcPr>
            <w:tcW w:w="0" w:type="auto"/>
            <w:tcBorders>
              <w:top w:val="nil"/>
              <w:left w:val="nil"/>
              <w:bottom w:val="nil"/>
              <w:right w:val="nil"/>
            </w:tcBorders>
            <w:shd w:val="clear" w:color="auto" w:fill="auto"/>
            <w:noWrap/>
            <w:vAlign w:val="center"/>
            <w:hideMark/>
          </w:tcPr>
          <w:p w14:paraId="48F4EB1A"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1.25</w:t>
            </w:r>
          </w:p>
        </w:tc>
        <w:tc>
          <w:tcPr>
            <w:tcW w:w="0" w:type="auto"/>
            <w:tcBorders>
              <w:top w:val="nil"/>
              <w:left w:val="nil"/>
              <w:bottom w:val="nil"/>
              <w:right w:val="nil"/>
            </w:tcBorders>
            <w:shd w:val="clear" w:color="auto" w:fill="auto"/>
            <w:noWrap/>
            <w:vAlign w:val="center"/>
            <w:hideMark/>
          </w:tcPr>
          <w:p w14:paraId="76EC22ED"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2.12**</w:t>
            </w:r>
          </w:p>
        </w:tc>
      </w:tr>
      <w:tr w:rsidR="00D24342" w:rsidRPr="00D24342" w14:paraId="2F435CB1" w14:textId="77777777" w:rsidTr="001814BE">
        <w:trPr>
          <w:trHeight w:val="300"/>
        </w:trPr>
        <w:tc>
          <w:tcPr>
            <w:tcW w:w="0" w:type="auto"/>
            <w:tcBorders>
              <w:top w:val="nil"/>
              <w:left w:val="nil"/>
              <w:bottom w:val="nil"/>
              <w:right w:val="nil"/>
            </w:tcBorders>
            <w:shd w:val="clear" w:color="auto" w:fill="auto"/>
            <w:noWrap/>
            <w:vAlign w:val="center"/>
            <w:hideMark/>
          </w:tcPr>
          <w:p w14:paraId="4218DE69"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p>
        </w:tc>
        <w:tc>
          <w:tcPr>
            <w:tcW w:w="0" w:type="auto"/>
            <w:tcBorders>
              <w:top w:val="nil"/>
              <w:left w:val="nil"/>
              <w:bottom w:val="nil"/>
              <w:right w:val="nil"/>
            </w:tcBorders>
            <w:shd w:val="clear" w:color="auto" w:fill="auto"/>
            <w:noWrap/>
            <w:vAlign w:val="center"/>
            <w:hideMark/>
          </w:tcPr>
          <w:p w14:paraId="4F194799"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[1.16,1.74]</w:t>
            </w:r>
          </w:p>
        </w:tc>
        <w:tc>
          <w:tcPr>
            <w:tcW w:w="0" w:type="auto"/>
            <w:tcBorders>
              <w:top w:val="nil"/>
              <w:left w:val="nil"/>
              <w:bottom w:val="nil"/>
              <w:right w:val="nil"/>
            </w:tcBorders>
            <w:shd w:val="clear" w:color="auto" w:fill="auto"/>
            <w:noWrap/>
            <w:vAlign w:val="center"/>
            <w:hideMark/>
          </w:tcPr>
          <w:p w14:paraId="17DC902D"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[0.98,1.71]</w:t>
            </w:r>
          </w:p>
        </w:tc>
        <w:tc>
          <w:tcPr>
            <w:tcW w:w="0" w:type="auto"/>
            <w:tcBorders>
              <w:top w:val="nil"/>
              <w:left w:val="nil"/>
              <w:bottom w:val="nil"/>
              <w:right w:val="nil"/>
            </w:tcBorders>
            <w:shd w:val="clear" w:color="auto" w:fill="auto"/>
            <w:noWrap/>
            <w:vAlign w:val="center"/>
            <w:hideMark/>
          </w:tcPr>
          <w:p w14:paraId="0393CECA"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[1.41,2.23]</w:t>
            </w:r>
          </w:p>
        </w:tc>
        <w:tc>
          <w:tcPr>
            <w:tcW w:w="0" w:type="auto"/>
            <w:tcBorders>
              <w:top w:val="nil"/>
              <w:left w:val="nil"/>
              <w:bottom w:val="nil"/>
              <w:right w:val="nil"/>
            </w:tcBorders>
            <w:shd w:val="clear" w:color="auto" w:fill="auto"/>
            <w:noWrap/>
            <w:vAlign w:val="center"/>
            <w:hideMark/>
          </w:tcPr>
          <w:p w14:paraId="5870D6F3"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[1.39,3.27]</w:t>
            </w:r>
          </w:p>
        </w:tc>
        <w:tc>
          <w:tcPr>
            <w:tcW w:w="0" w:type="auto"/>
            <w:tcBorders>
              <w:top w:val="nil"/>
              <w:left w:val="nil"/>
              <w:bottom w:val="nil"/>
              <w:right w:val="nil"/>
            </w:tcBorders>
            <w:shd w:val="clear" w:color="auto" w:fill="auto"/>
            <w:noWrap/>
            <w:vAlign w:val="center"/>
            <w:hideMark/>
          </w:tcPr>
          <w:p w14:paraId="7BF311A0"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[1.57,4.62]</w:t>
            </w:r>
          </w:p>
        </w:tc>
        <w:tc>
          <w:tcPr>
            <w:tcW w:w="0" w:type="auto"/>
            <w:tcBorders>
              <w:top w:val="nil"/>
              <w:left w:val="nil"/>
              <w:bottom w:val="nil"/>
              <w:right w:val="nil"/>
            </w:tcBorders>
            <w:shd w:val="clear" w:color="auto" w:fill="auto"/>
            <w:noWrap/>
            <w:vAlign w:val="center"/>
            <w:hideMark/>
          </w:tcPr>
          <w:p w14:paraId="36F80FCD"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[0.71,1.98]</w:t>
            </w:r>
          </w:p>
        </w:tc>
        <w:tc>
          <w:tcPr>
            <w:tcW w:w="0" w:type="auto"/>
            <w:tcBorders>
              <w:top w:val="nil"/>
              <w:left w:val="nil"/>
              <w:bottom w:val="nil"/>
              <w:right w:val="nil"/>
            </w:tcBorders>
            <w:shd w:val="clear" w:color="auto" w:fill="auto"/>
            <w:noWrap/>
            <w:vAlign w:val="center"/>
            <w:hideMark/>
          </w:tcPr>
          <w:p w14:paraId="6582FBDE"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[1.10,2.00]</w:t>
            </w:r>
          </w:p>
        </w:tc>
        <w:tc>
          <w:tcPr>
            <w:tcW w:w="0" w:type="auto"/>
            <w:tcBorders>
              <w:top w:val="nil"/>
              <w:left w:val="nil"/>
              <w:bottom w:val="nil"/>
              <w:right w:val="nil"/>
            </w:tcBorders>
            <w:shd w:val="clear" w:color="auto" w:fill="auto"/>
            <w:noWrap/>
            <w:vAlign w:val="center"/>
            <w:hideMark/>
          </w:tcPr>
          <w:p w14:paraId="6D057007"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[0.90,1.75]</w:t>
            </w:r>
          </w:p>
        </w:tc>
        <w:tc>
          <w:tcPr>
            <w:tcW w:w="0" w:type="auto"/>
            <w:tcBorders>
              <w:top w:val="nil"/>
              <w:left w:val="nil"/>
              <w:bottom w:val="nil"/>
              <w:right w:val="nil"/>
            </w:tcBorders>
            <w:shd w:val="clear" w:color="auto" w:fill="auto"/>
            <w:noWrap/>
            <w:vAlign w:val="center"/>
            <w:hideMark/>
          </w:tcPr>
          <w:p w14:paraId="04A7AA77"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[1.23,3.68]</w:t>
            </w:r>
          </w:p>
        </w:tc>
      </w:tr>
      <w:tr w:rsidR="00D24342" w:rsidRPr="00D24342" w14:paraId="38BBBACF" w14:textId="77777777" w:rsidTr="001814BE">
        <w:trPr>
          <w:trHeight w:val="300"/>
        </w:trPr>
        <w:tc>
          <w:tcPr>
            <w:tcW w:w="0" w:type="auto"/>
            <w:tcBorders>
              <w:top w:val="nil"/>
              <w:left w:val="nil"/>
              <w:bottom w:val="nil"/>
              <w:right w:val="nil"/>
            </w:tcBorders>
            <w:shd w:val="clear" w:color="auto" w:fill="auto"/>
            <w:noWrap/>
            <w:vAlign w:val="center"/>
            <w:hideMark/>
          </w:tcPr>
          <w:p w14:paraId="4647B463"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Physical fight</w:t>
            </w:r>
          </w:p>
        </w:tc>
        <w:tc>
          <w:tcPr>
            <w:tcW w:w="0" w:type="auto"/>
            <w:tcBorders>
              <w:top w:val="nil"/>
              <w:left w:val="nil"/>
              <w:bottom w:val="nil"/>
              <w:right w:val="nil"/>
            </w:tcBorders>
            <w:shd w:val="clear" w:color="auto" w:fill="auto"/>
            <w:noWrap/>
            <w:vAlign w:val="center"/>
            <w:hideMark/>
          </w:tcPr>
          <w:p w14:paraId="47E01BBF"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p>
        </w:tc>
        <w:tc>
          <w:tcPr>
            <w:tcW w:w="0" w:type="auto"/>
            <w:tcBorders>
              <w:top w:val="nil"/>
              <w:left w:val="nil"/>
              <w:bottom w:val="nil"/>
              <w:right w:val="nil"/>
            </w:tcBorders>
            <w:shd w:val="clear" w:color="auto" w:fill="auto"/>
            <w:noWrap/>
            <w:vAlign w:val="center"/>
            <w:hideMark/>
          </w:tcPr>
          <w:p w14:paraId="7B9549CC"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p>
        </w:tc>
        <w:tc>
          <w:tcPr>
            <w:tcW w:w="0" w:type="auto"/>
            <w:tcBorders>
              <w:top w:val="nil"/>
              <w:left w:val="nil"/>
              <w:bottom w:val="nil"/>
              <w:right w:val="nil"/>
            </w:tcBorders>
            <w:shd w:val="clear" w:color="auto" w:fill="auto"/>
            <w:noWrap/>
            <w:vAlign w:val="center"/>
            <w:hideMark/>
          </w:tcPr>
          <w:p w14:paraId="293D0807"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p>
        </w:tc>
        <w:tc>
          <w:tcPr>
            <w:tcW w:w="0" w:type="auto"/>
            <w:tcBorders>
              <w:top w:val="nil"/>
              <w:left w:val="nil"/>
              <w:bottom w:val="nil"/>
              <w:right w:val="nil"/>
            </w:tcBorders>
            <w:shd w:val="clear" w:color="auto" w:fill="auto"/>
            <w:noWrap/>
            <w:vAlign w:val="center"/>
            <w:hideMark/>
          </w:tcPr>
          <w:p w14:paraId="2569C432"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p>
        </w:tc>
        <w:tc>
          <w:tcPr>
            <w:tcW w:w="0" w:type="auto"/>
            <w:tcBorders>
              <w:top w:val="nil"/>
              <w:left w:val="nil"/>
              <w:bottom w:val="nil"/>
              <w:right w:val="nil"/>
            </w:tcBorders>
            <w:shd w:val="clear" w:color="auto" w:fill="auto"/>
            <w:noWrap/>
            <w:vAlign w:val="center"/>
            <w:hideMark/>
          </w:tcPr>
          <w:p w14:paraId="659868DC"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p>
        </w:tc>
        <w:tc>
          <w:tcPr>
            <w:tcW w:w="0" w:type="auto"/>
            <w:tcBorders>
              <w:top w:val="nil"/>
              <w:left w:val="nil"/>
              <w:bottom w:val="nil"/>
              <w:right w:val="nil"/>
            </w:tcBorders>
            <w:shd w:val="clear" w:color="auto" w:fill="auto"/>
            <w:noWrap/>
            <w:vAlign w:val="center"/>
            <w:hideMark/>
          </w:tcPr>
          <w:p w14:paraId="22FBB0B1"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p>
        </w:tc>
        <w:tc>
          <w:tcPr>
            <w:tcW w:w="0" w:type="auto"/>
            <w:tcBorders>
              <w:top w:val="nil"/>
              <w:left w:val="nil"/>
              <w:bottom w:val="nil"/>
              <w:right w:val="nil"/>
            </w:tcBorders>
            <w:shd w:val="clear" w:color="auto" w:fill="auto"/>
            <w:noWrap/>
            <w:vAlign w:val="center"/>
            <w:hideMark/>
          </w:tcPr>
          <w:p w14:paraId="2CB637F1"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p>
        </w:tc>
        <w:tc>
          <w:tcPr>
            <w:tcW w:w="0" w:type="auto"/>
            <w:tcBorders>
              <w:top w:val="nil"/>
              <w:left w:val="nil"/>
              <w:bottom w:val="nil"/>
              <w:right w:val="nil"/>
            </w:tcBorders>
            <w:shd w:val="clear" w:color="auto" w:fill="auto"/>
            <w:noWrap/>
            <w:vAlign w:val="center"/>
            <w:hideMark/>
          </w:tcPr>
          <w:p w14:paraId="658CD085"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p>
        </w:tc>
        <w:tc>
          <w:tcPr>
            <w:tcW w:w="0" w:type="auto"/>
            <w:tcBorders>
              <w:top w:val="nil"/>
              <w:left w:val="nil"/>
              <w:bottom w:val="nil"/>
              <w:right w:val="nil"/>
            </w:tcBorders>
            <w:shd w:val="clear" w:color="auto" w:fill="auto"/>
            <w:noWrap/>
            <w:vAlign w:val="center"/>
            <w:hideMark/>
          </w:tcPr>
          <w:p w14:paraId="66287274"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p>
        </w:tc>
      </w:tr>
      <w:tr w:rsidR="00D24342" w:rsidRPr="00D24342" w14:paraId="28AD8FD5" w14:textId="77777777" w:rsidTr="001814BE">
        <w:trPr>
          <w:trHeight w:val="300"/>
        </w:trPr>
        <w:tc>
          <w:tcPr>
            <w:tcW w:w="0" w:type="auto"/>
            <w:tcBorders>
              <w:top w:val="nil"/>
              <w:left w:val="nil"/>
              <w:bottom w:val="nil"/>
              <w:right w:val="nil"/>
            </w:tcBorders>
            <w:shd w:val="clear" w:color="auto" w:fill="auto"/>
            <w:noWrap/>
            <w:vAlign w:val="center"/>
            <w:hideMark/>
          </w:tcPr>
          <w:p w14:paraId="14FA7BE8"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None</w:t>
            </w:r>
          </w:p>
        </w:tc>
        <w:tc>
          <w:tcPr>
            <w:tcW w:w="0" w:type="auto"/>
            <w:tcBorders>
              <w:top w:val="nil"/>
              <w:left w:val="nil"/>
              <w:bottom w:val="nil"/>
              <w:right w:val="nil"/>
            </w:tcBorders>
            <w:shd w:val="clear" w:color="auto" w:fill="auto"/>
            <w:noWrap/>
            <w:vAlign w:val="center"/>
            <w:hideMark/>
          </w:tcPr>
          <w:p w14:paraId="68702B8D"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1.00</w:t>
            </w:r>
          </w:p>
        </w:tc>
        <w:tc>
          <w:tcPr>
            <w:tcW w:w="0" w:type="auto"/>
            <w:tcBorders>
              <w:top w:val="nil"/>
              <w:left w:val="nil"/>
              <w:bottom w:val="nil"/>
              <w:right w:val="nil"/>
            </w:tcBorders>
            <w:shd w:val="clear" w:color="auto" w:fill="auto"/>
            <w:noWrap/>
            <w:vAlign w:val="center"/>
            <w:hideMark/>
          </w:tcPr>
          <w:p w14:paraId="3243A9DF"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1.00</w:t>
            </w:r>
          </w:p>
        </w:tc>
        <w:tc>
          <w:tcPr>
            <w:tcW w:w="0" w:type="auto"/>
            <w:tcBorders>
              <w:top w:val="nil"/>
              <w:left w:val="nil"/>
              <w:bottom w:val="nil"/>
              <w:right w:val="nil"/>
            </w:tcBorders>
            <w:shd w:val="clear" w:color="auto" w:fill="auto"/>
            <w:noWrap/>
            <w:vAlign w:val="center"/>
            <w:hideMark/>
          </w:tcPr>
          <w:p w14:paraId="68D8AE32"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1.00</w:t>
            </w:r>
          </w:p>
        </w:tc>
        <w:tc>
          <w:tcPr>
            <w:tcW w:w="0" w:type="auto"/>
            <w:tcBorders>
              <w:top w:val="nil"/>
              <w:left w:val="nil"/>
              <w:bottom w:val="nil"/>
              <w:right w:val="nil"/>
            </w:tcBorders>
            <w:shd w:val="clear" w:color="auto" w:fill="auto"/>
            <w:noWrap/>
            <w:vAlign w:val="center"/>
            <w:hideMark/>
          </w:tcPr>
          <w:p w14:paraId="5B9F9A5D"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1.00</w:t>
            </w:r>
          </w:p>
        </w:tc>
        <w:tc>
          <w:tcPr>
            <w:tcW w:w="0" w:type="auto"/>
            <w:tcBorders>
              <w:top w:val="nil"/>
              <w:left w:val="nil"/>
              <w:bottom w:val="nil"/>
              <w:right w:val="nil"/>
            </w:tcBorders>
            <w:shd w:val="clear" w:color="auto" w:fill="auto"/>
            <w:noWrap/>
            <w:vAlign w:val="center"/>
            <w:hideMark/>
          </w:tcPr>
          <w:p w14:paraId="14F1D8B3"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1.00</w:t>
            </w:r>
          </w:p>
        </w:tc>
        <w:tc>
          <w:tcPr>
            <w:tcW w:w="0" w:type="auto"/>
            <w:tcBorders>
              <w:top w:val="nil"/>
              <w:left w:val="nil"/>
              <w:bottom w:val="nil"/>
              <w:right w:val="nil"/>
            </w:tcBorders>
            <w:shd w:val="clear" w:color="auto" w:fill="auto"/>
            <w:noWrap/>
            <w:vAlign w:val="center"/>
            <w:hideMark/>
          </w:tcPr>
          <w:p w14:paraId="1D13089F"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1.00</w:t>
            </w:r>
          </w:p>
        </w:tc>
        <w:tc>
          <w:tcPr>
            <w:tcW w:w="0" w:type="auto"/>
            <w:tcBorders>
              <w:top w:val="nil"/>
              <w:left w:val="nil"/>
              <w:bottom w:val="nil"/>
              <w:right w:val="nil"/>
            </w:tcBorders>
            <w:shd w:val="clear" w:color="auto" w:fill="auto"/>
            <w:noWrap/>
            <w:vAlign w:val="center"/>
            <w:hideMark/>
          </w:tcPr>
          <w:p w14:paraId="7E3E7B13"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1.00</w:t>
            </w:r>
          </w:p>
        </w:tc>
        <w:tc>
          <w:tcPr>
            <w:tcW w:w="0" w:type="auto"/>
            <w:tcBorders>
              <w:top w:val="nil"/>
              <w:left w:val="nil"/>
              <w:bottom w:val="nil"/>
              <w:right w:val="nil"/>
            </w:tcBorders>
            <w:shd w:val="clear" w:color="auto" w:fill="auto"/>
            <w:noWrap/>
            <w:vAlign w:val="center"/>
            <w:hideMark/>
          </w:tcPr>
          <w:p w14:paraId="3E047466"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1.00</w:t>
            </w:r>
          </w:p>
        </w:tc>
        <w:tc>
          <w:tcPr>
            <w:tcW w:w="0" w:type="auto"/>
            <w:tcBorders>
              <w:top w:val="nil"/>
              <w:left w:val="nil"/>
              <w:bottom w:val="nil"/>
              <w:right w:val="nil"/>
            </w:tcBorders>
            <w:shd w:val="clear" w:color="auto" w:fill="auto"/>
            <w:noWrap/>
            <w:vAlign w:val="center"/>
            <w:hideMark/>
          </w:tcPr>
          <w:p w14:paraId="4BF2477E"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1.00</w:t>
            </w:r>
          </w:p>
        </w:tc>
      </w:tr>
      <w:tr w:rsidR="00D24342" w:rsidRPr="00D24342" w14:paraId="2EC4D0F0" w14:textId="77777777" w:rsidTr="001814BE">
        <w:trPr>
          <w:trHeight w:val="300"/>
        </w:trPr>
        <w:tc>
          <w:tcPr>
            <w:tcW w:w="0" w:type="auto"/>
            <w:tcBorders>
              <w:top w:val="nil"/>
              <w:left w:val="nil"/>
              <w:bottom w:val="nil"/>
              <w:right w:val="nil"/>
            </w:tcBorders>
            <w:shd w:val="clear" w:color="auto" w:fill="auto"/>
            <w:noWrap/>
            <w:vAlign w:val="center"/>
            <w:hideMark/>
          </w:tcPr>
          <w:p w14:paraId="257396CD"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Once</w:t>
            </w:r>
          </w:p>
        </w:tc>
        <w:tc>
          <w:tcPr>
            <w:tcW w:w="0" w:type="auto"/>
            <w:tcBorders>
              <w:top w:val="nil"/>
              <w:left w:val="nil"/>
              <w:bottom w:val="nil"/>
              <w:right w:val="nil"/>
            </w:tcBorders>
            <w:shd w:val="clear" w:color="auto" w:fill="auto"/>
            <w:noWrap/>
            <w:vAlign w:val="center"/>
            <w:hideMark/>
          </w:tcPr>
          <w:p w14:paraId="5E6D07B2"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1.31***</w:t>
            </w:r>
          </w:p>
        </w:tc>
        <w:tc>
          <w:tcPr>
            <w:tcW w:w="0" w:type="auto"/>
            <w:tcBorders>
              <w:top w:val="nil"/>
              <w:left w:val="nil"/>
              <w:bottom w:val="nil"/>
              <w:right w:val="nil"/>
            </w:tcBorders>
            <w:shd w:val="clear" w:color="auto" w:fill="auto"/>
            <w:noWrap/>
            <w:vAlign w:val="center"/>
            <w:hideMark/>
          </w:tcPr>
          <w:p w14:paraId="17CD0D9C"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1.26**</w:t>
            </w:r>
          </w:p>
        </w:tc>
        <w:tc>
          <w:tcPr>
            <w:tcW w:w="0" w:type="auto"/>
            <w:tcBorders>
              <w:top w:val="nil"/>
              <w:left w:val="nil"/>
              <w:bottom w:val="nil"/>
              <w:right w:val="nil"/>
            </w:tcBorders>
            <w:shd w:val="clear" w:color="auto" w:fill="auto"/>
            <w:noWrap/>
            <w:vAlign w:val="center"/>
            <w:hideMark/>
          </w:tcPr>
          <w:p w14:paraId="308FDA43"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1.43***</w:t>
            </w:r>
          </w:p>
        </w:tc>
        <w:tc>
          <w:tcPr>
            <w:tcW w:w="0" w:type="auto"/>
            <w:tcBorders>
              <w:top w:val="nil"/>
              <w:left w:val="nil"/>
              <w:bottom w:val="nil"/>
              <w:right w:val="nil"/>
            </w:tcBorders>
            <w:shd w:val="clear" w:color="auto" w:fill="auto"/>
            <w:noWrap/>
            <w:vAlign w:val="center"/>
            <w:hideMark/>
          </w:tcPr>
          <w:p w14:paraId="19B505D9"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1.17</w:t>
            </w:r>
          </w:p>
        </w:tc>
        <w:tc>
          <w:tcPr>
            <w:tcW w:w="0" w:type="auto"/>
            <w:tcBorders>
              <w:top w:val="nil"/>
              <w:left w:val="nil"/>
              <w:bottom w:val="nil"/>
              <w:right w:val="nil"/>
            </w:tcBorders>
            <w:shd w:val="clear" w:color="auto" w:fill="auto"/>
            <w:noWrap/>
            <w:vAlign w:val="center"/>
            <w:hideMark/>
          </w:tcPr>
          <w:p w14:paraId="50AE1093"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1.41</w:t>
            </w:r>
          </w:p>
        </w:tc>
        <w:tc>
          <w:tcPr>
            <w:tcW w:w="0" w:type="auto"/>
            <w:tcBorders>
              <w:top w:val="nil"/>
              <w:left w:val="nil"/>
              <w:bottom w:val="nil"/>
              <w:right w:val="nil"/>
            </w:tcBorders>
            <w:shd w:val="clear" w:color="auto" w:fill="auto"/>
            <w:noWrap/>
            <w:vAlign w:val="center"/>
            <w:hideMark/>
          </w:tcPr>
          <w:p w14:paraId="40BEC0D4"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0.85</w:t>
            </w:r>
          </w:p>
        </w:tc>
        <w:tc>
          <w:tcPr>
            <w:tcW w:w="0" w:type="auto"/>
            <w:tcBorders>
              <w:top w:val="nil"/>
              <w:left w:val="nil"/>
              <w:bottom w:val="nil"/>
              <w:right w:val="nil"/>
            </w:tcBorders>
            <w:shd w:val="clear" w:color="auto" w:fill="auto"/>
            <w:noWrap/>
            <w:vAlign w:val="center"/>
            <w:hideMark/>
          </w:tcPr>
          <w:p w14:paraId="70F84E4B"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1.11</w:t>
            </w:r>
          </w:p>
        </w:tc>
        <w:tc>
          <w:tcPr>
            <w:tcW w:w="0" w:type="auto"/>
            <w:tcBorders>
              <w:top w:val="nil"/>
              <w:left w:val="nil"/>
              <w:bottom w:val="nil"/>
              <w:right w:val="nil"/>
            </w:tcBorders>
            <w:shd w:val="clear" w:color="auto" w:fill="auto"/>
            <w:noWrap/>
            <w:vAlign w:val="center"/>
            <w:hideMark/>
          </w:tcPr>
          <w:p w14:paraId="00E085D1"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1.03</w:t>
            </w:r>
          </w:p>
        </w:tc>
        <w:tc>
          <w:tcPr>
            <w:tcW w:w="0" w:type="auto"/>
            <w:tcBorders>
              <w:top w:val="nil"/>
              <w:left w:val="nil"/>
              <w:bottom w:val="nil"/>
              <w:right w:val="nil"/>
            </w:tcBorders>
            <w:shd w:val="clear" w:color="auto" w:fill="auto"/>
            <w:noWrap/>
            <w:vAlign w:val="center"/>
            <w:hideMark/>
          </w:tcPr>
          <w:p w14:paraId="407A4C10"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1.24</w:t>
            </w:r>
          </w:p>
        </w:tc>
      </w:tr>
      <w:tr w:rsidR="00D24342" w:rsidRPr="00D24342" w14:paraId="010155CD" w14:textId="77777777" w:rsidTr="001814BE">
        <w:trPr>
          <w:trHeight w:val="300"/>
        </w:trPr>
        <w:tc>
          <w:tcPr>
            <w:tcW w:w="0" w:type="auto"/>
            <w:tcBorders>
              <w:top w:val="nil"/>
              <w:left w:val="nil"/>
              <w:bottom w:val="nil"/>
              <w:right w:val="nil"/>
            </w:tcBorders>
            <w:shd w:val="clear" w:color="auto" w:fill="auto"/>
            <w:noWrap/>
            <w:vAlign w:val="center"/>
            <w:hideMark/>
          </w:tcPr>
          <w:p w14:paraId="4F90654C"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p>
        </w:tc>
        <w:tc>
          <w:tcPr>
            <w:tcW w:w="0" w:type="auto"/>
            <w:tcBorders>
              <w:top w:val="nil"/>
              <w:left w:val="nil"/>
              <w:bottom w:val="nil"/>
              <w:right w:val="nil"/>
            </w:tcBorders>
            <w:shd w:val="clear" w:color="auto" w:fill="auto"/>
            <w:noWrap/>
            <w:vAlign w:val="center"/>
            <w:hideMark/>
          </w:tcPr>
          <w:p w14:paraId="718AF3D7"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[1.17,1.46]</w:t>
            </w:r>
          </w:p>
        </w:tc>
        <w:tc>
          <w:tcPr>
            <w:tcW w:w="0" w:type="auto"/>
            <w:tcBorders>
              <w:top w:val="nil"/>
              <w:left w:val="nil"/>
              <w:bottom w:val="nil"/>
              <w:right w:val="nil"/>
            </w:tcBorders>
            <w:shd w:val="clear" w:color="auto" w:fill="auto"/>
            <w:noWrap/>
            <w:vAlign w:val="center"/>
            <w:hideMark/>
          </w:tcPr>
          <w:p w14:paraId="7AB97A22"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[1.08,1.48]</w:t>
            </w:r>
          </w:p>
        </w:tc>
        <w:tc>
          <w:tcPr>
            <w:tcW w:w="0" w:type="auto"/>
            <w:tcBorders>
              <w:top w:val="nil"/>
              <w:left w:val="nil"/>
              <w:bottom w:val="nil"/>
              <w:right w:val="nil"/>
            </w:tcBorders>
            <w:shd w:val="clear" w:color="auto" w:fill="auto"/>
            <w:noWrap/>
            <w:vAlign w:val="center"/>
            <w:hideMark/>
          </w:tcPr>
          <w:p w14:paraId="388F7472"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[1.22,1.68]</w:t>
            </w:r>
          </w:p>
        </w:tc>
        <w:tc>
          <w:tcPr>
            <w:tcW w:w="0" w:type="auto"/>
            <w:tcBorders>
              <w:top w:val="nil"/>
              <w:left w:val="nil"/>
              <w:bottom w:val="nil"/>
              <w:right w:val="nil"/>
            </w:tcBorders>
            <w:shd w:val="clear" w:color="auto" w:fill="auto"/>
            <w:noWrap/>
            <w:vAlign w:val="center"/>
            <w:hideMark/>
          </w:tcPr>
          <w:p w14:paraId="72730A42"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[0.89,1.54]</w:t>
            </w:r>
          </w:p>
        </w:tc>
        <w:tc>
          <w:tcPr>
            <w:tcW w:w="0" w:type="auto"/>
            <w:tcBorders>
              <w:top w:val="nil"/>
              <w:left w:val="nil"/>
              <w:bottom w:val="nil"/>
              <w:right w:val="nil"/>
            </w:tcBorders>
            <w:shd w:val="clear" w:color="auto" w:fill="auto"/>
            <w:noWrap/>
            <w:vAlign w:val="center"/>
            <w:hideMark/>
          </w:tcPr>
          <w:p w14:paraId="425D85CE"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[0.98,2.03]</w:t>
            </w:r>
          </w:p>
        </w:tc>
        <w:tc>
          <w:tcPr>
            <w:tcW w:w="0" w:type="auto"/>
            <w:tcBorders>
              <w:top w:val="nil"/>
              <w:left w:val="nil"/>
              <w:bottom w:val="nil"/>
              <w:right w:val="nil"/>
            </w:tcBorders>
            <w:shd w:val="clear" w:color="auto" w:fill="auto"/>
            <w:noWrap/>
            <w:vAlign w:val="center"/>
            <w:hideMark/>
          </w:tcPr>
          <w:p w14:paraId="18E3052F"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[0.58,1.24]</w:t>
            </w:r>
          </w:p>
        </w:tc>
        <w:tc>
          <w:tcPr>
            <w:tcW w:w="0" w:type="auto"/>
            <w:tcBorders>
              <w:top w:val="nil"/>
              <w:left w:val="nil"/>
              <w:bottom w:val="nil"/>
              <w:right w:val="nil"/>
            </w:tcBorders>
            <w:shd w:val="clear" w:color="auto" w:fill="auto"/>
            <w:noWrap/>
            <w:vAlign w:val="center"/>
            <w:hideMark/>
          </w:tcPr>
          <w:p w14:paraId="584A8B47"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[0.91,1.37]</w:t>
            </w:r>
          </w:p>
        </w:tc>
        <w:tc>
          <w:tcPr>
            <w:tcW w:w="0" w:type="auto"/>
            <w:tcBorders>
              <w:top w:val="nil"/>
              <w:left w:val="nil"/>
              <w:bottom w:val="nil"/>
              <w:right w:val="nil"/>
            </w:tcBorders>
            <w:shd w:val="clear" w:color="auto" w:fill="auto"/>
            <w:noWrap/>
            <w:vAlign w:val="center"/>
            <w:hideMark/>
          </w:tcPr>
          <w:p w14:paraId="3ECE0D44"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[0.79,1.35]</w:t>
            </w:r>
          </w:p>
        </w:tc>
        <w:tc>
          <w:tcPr>
            <w:tcW w:w="0" w:type="auto"/>
            <w:tcBorders>
              <w:top w:val="nil"/>
              <w:left w:val="nil"/>
              <w:bottom w:val="nil"/>
              <w:right w:val="nil"/>
            </w:tcBorders>
            <w:shd w:val="clear" w:color="auto" w:fill="auto"/>
            <w:noWrap/>
            <w:vAlign w:val="center"/>
            <w:hideMark/>
          </w:tcPr>
          <w:p w14:paraId="01DFC7D1"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[0.88,1.73]</w:t>
            </w:r>
          </w:p>
        </w:tc>
      </w:tr>
      <w:tr w:rsidR="00D24342" w:rsidRPr="00D24342" w14:paraId="2FA42D56" w14:textId="77777777" w:rsidTr="001814BE">
        <w:trPr>
          <w:trHeight w:val="300"/>
        </w:trPr>
        <w:tc>
          <w:tcPr>
            <w:tcW w:w="0" w:type="auto"/>
            <w:tcBorders>
              <w:top w:val="nil"/>
              <w:left w:val="nil"/>
              <w:bottom w:val="nil"/>
              <w:right w:val="nil"/>
            </w:tcBorders>
            <w:shd w:val="clear" w:color="auto" w:fill="auto"/>
            <w:noWrap/>
            <w:vAlign w:val="center"/>
            <w:hideMark/>
          </w:tcPr>
          <w:p w14:paraId="2B4547C8"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2-3 times</w:t>
            </w:r>
          </w:p>
        </w:tc>
        <w:tc>
          <w:tcPr>
            <w:tcW w:w="0" w:type="auto"/>
            <w:tcBorders>
              <w:top w:val="nil"/>
              <w:left w:val="nil"/>
              <w:bottom w:val="nil"/>
              <w:right w:val="nil"/>
            </w:tcBorders>
            <w:shd w:val="clear" w:color="auto" w:fill="auto"/>
            <w:noWrap/>
            <w:vAlign w:val="center"/>
            <w:hideMark/>
          </w:tcPr>
          <w:p w14:paraId="1BDF97DF"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1.59***</w:t>
            </w:r>
          </w:p>
        </w:tc>
        <w:tc>
          <w:tcPr>
            <w:tcW w:w="0" w:type="auto"/>
            <w:tcBorders>
              <w:top w:val="nil"/>
              <w:left w:val="nil"/>
              <w:bottom w:val="nil"/>
              <w:right w:val="nil"/>
            </w:tcBorders>
            <w:shd w:val="clear" w:color="auto" w:fill="auto"/>
            <w:noWrap/>
            <w:vAlign w:val="center"/>
            <w:hideMark/>
          </w:tcPr>
          <w:p w14:paraId="6BD21300"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1.63***</w:t>
            </w:r>
          </w:p>
        </w:tc>
        <w:tc>
          <w:tcPr>
            <w:tcW w:w="0" w:type="auto"/>
            <w:tcBorders>
              <w:top w:val="nil"/>
              <w:left w:val="nil"/>
              <w:bottom w:val="nil"/>
              <w:right w:val="nil"/>
            </w:tcBorders>
            <w:shd w:val="clear" w:color="auto" w:fill="auto"/>
            <w:noWrap/>
            <w:vAlign w:val="center"/>
            <w:hideMark/>
          </w:tcPr>
          <w:p w14:paraId="752FC60B"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1.50***</w:t>
            </w:r>
          </w:p>
        </w:tc>
        <w:tc>
          <w:tcPr>
            <w:tcW w:w="0" w:type="auto"/>
            <w:tcBorders>
              <w:top w:val="nil"/>
              <w:left w:val="nil"/>
              <w:bottom w:val="nil"/>
              <w:right w:val="nil"/>
            </w:tcBorders>
            <w:shd w:val="clear" w:color="auto" w:fill="auto"/>
            <w:noWrap/>
            <w:vAlign w:val="center"/>
            <w:hideMark/>
          </w:tcPr>
          <w:p w14:paraId="44CD90E7"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1.23</w:t>
            </w:r>
          </w:p>
        </w:tc>
        <w:tc>
          <w:tcPr>
            <w:tcW w:w="0" w:type="auto"/>
            <w:tcBorders>
              <w:top w:val="nil"/>
              <w:left w:val="nil"/>
              <w:bottom w:val="nil"/>
              <w:right w:val="nil"/>
            </w:tcBorders>
            <w:shd w:val="clear" w:color="auto" w:fill="auto"/>
            <w:noWrap/>
            <w:vAlign w:val="center"/>
            <w:hideMark/>
          </w:tcPr>
          <w:p w14:paraId="1D3CBFF8"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1.59</w:t>
            </w:r>
          </w:p>
        </w:tc>
        <w:tc>
          <w:tcPr>
            <w:tcW w:w="0" w:type="auto"/>
            <w:tcBorders>
              <w:top w:val="nil"/>
              <w:left w:val="nil"/>
              <w:bottom w:val="nil"/>
              <w:right w:val="nil"/>
            </w:tcBorders>
            <w:shd w:val="clear" w:color="auto" w:fill="auto"/>
            <w:noWrap/>
            <w:vAlign w:val="center"/>
            <w:hideMark/>
          </w:tcPr>
          <w:p w14:paraId="3E9D3C99"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0.73</w:t>
            </w:r>
          </w:p>
        </w:tc>
        <w:tc>
          <w:tcPr>
            <w:tcW w:w="0" w:type="auto"/>
            <w:tcBorders>
              <w:top w:val="nil"/>
              <w:left w:val="nil"/>
              <w:bottom w:val="nil"/>
              <w:right w:val="nil"/>
            </w:tcBorders>
            <w:shd w:val="clear" w:color="auto" w:fill="auto"/>
            <w:noWrap/>
            <w:vAlign w:val="center"/>
            <w:hideMark/>
          </w:tcPr>
          <w:p w14:paraId="312A9991"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1.43**</w:t>
            </w:r>
          </w:p>
        </w:tc>
        <w:tc>
          <w:tcPr>
            <w:tcW w:w="0" w:type="auto"/>
            <w:tcBorders>
              <w:top w:val="nil"/>
              <w:left w:val="nil"/>
              <w:bottom w:val="nil"/>
              <w:right w:val="nil"/>
            </w:tcBorders>
            <w:shd w:val="clear" w:color="auto" w:fill="auto"/>
            <w:noWrap/>
            <w:vAlign w:val="center"/>
            <w:hideMark/>
          </w:tcPr>
          <w:p w14:paraId="4A521D4D"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1.43*</w:t>
            </w:r>
          </w:p>
        </w:tc>
        <w:tc>
          <w:tcPr>
            <w:tcW w:w="0" w:type="auto"/>
            <w:tcBorders>
              <w:top w:val="nil"/>
              <w:left w:val="nil"/>
              <w:bottom w:val="nil"/>
              <w:right w:val="nil"/>
            </w:tcBorders>
            <w:shd w:val="clear" w:color="auto" w:fill="auto"/>
            <w:noWrap/>
            <w:vAlign w:val="center"/>
            <w:hideMark/>
          </w:tcPr>
          <w:p w14:paraId="4B3AF3B4"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1.31</w:t>
            </w:r>
          </w:p>
        </w:tc>
      </w:tr>
      <w:tr w:rsidR="00D24342" w:rsidRPr="00D24342" w14:paraId="594ABBB4" w14:textId="77777777" w:rsidTr="001814BE">
        <w:trPr>
          <w:trHeight w:val="300"/>
        </w:trPr>
        <w:tc>
          <w:tcPr>
            <w:tcW w:w="0" w:type="auto"/>
            <w:tcBorders>
              <w:top w:val="nil"/>
              <w:left w:val="nil"/>
              <w:bottom w:val="nil"/>
              <w:right w:val="nil"/>
            </w:tcBorders>
            <w:shd w:val="clear" w:color="auto" w:fill="auto"/>
            <w:noWrap/>
            <w:vAlign w:val="center"/>
            <w:hideMark/>
          </w:tcPr>
          <w:p w14:paraId="486C1A21"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p>
        </w:tc>
        <w:tc>
          <w:tcPr>
            <w:tcW w:w="0" w:type="auto"/>
            <w:tcBorders>
              <w:top w:val="nil"/>
              <w:left w:val="nil"/>
              <w:bottom w:val="nil"/>
              <w:right w:val="nil"/>
            </w:tcBorders>
            <w:shd w:val="clear" w:color="auto" w:fill="auto"/>
            <w:noWrap/>
            <w:vAlign w:val="center"/>
            <w:hideMark/>
          </w:tcPr>
          <w:p w14:paraId="76332E50"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[1.35,1.87]</w:t>
            </w:r>
          </w:p>
        </w:tc>
        <w:tc>
          <w:tcPr>
            <w:tcW w:w="0" w:type="auto"/>
            <w:tcBorders>
              <w:top w:val="nil"/>
              <w:left w:val="nil"/>
              <w:bottom w:val="nil"/>
              <w:right w:val="nil"/>
            </w:tcBorders>
            <w:shd w:val="clear" w:color="auto" w:fill="auto"/>
            <w:noWrap/>
            <w:vAlign w:val="center"/>
            <w:hideMark/>
          </w:tcPr>
          <w:p w14:paraId="2484BA76"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[1.32,2.02]</w:t>
            </w:r>
          </w:p>
        </w:tc>
        <w:tc>
          <w:tcPr>
            <w:tcW w:w="0" w:type="auto"/>
            <w:tcBorders>
              <w:top w:val="nil"/>
              <w:left w:val="nil"/>
              <w:bottom w:val="nil"/>
              <w:right w:val="nil"/>
            </w:tcBorders>
            <w:shd w:val="clear" w:color="auto" w:fill="auto"/>
            <w:noWrap/>
            <w:vAlign w:val="center"/>
            <w:hideMark/>
          </w:tcPr>
          <w:p w14:paraId="12F1FD0A"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[1.22,1.85]</w:t>
            </w:r>
          </w:p>
        </w:tc>
        <w:tc>
          <w:tcPr>
            <w:tcW w:w="0" w:type="auto"/>
            <w:tcBorders>
              <w:top w:val="nil"/>
              <w:left w:val="nil"/>
              <w:bottom w:val="nil"/>
              <w:right w:val="nil"/>
            </w:tcBorders>
            <w:shd w:val="clear" w:color="auto" w:fill="auto"/>
            <w:noWrap/>
            <w:vAlign w:val="center"/>
            <w:hideMark/>
          </w:tcPr>
          <w:p w14:paraId="688516A3"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[0.82,1.85]</w:t>
            </w:r>
          </w:p>
        </w:tc>
        <w:tc>
          <w:tcPr>
            <w:tcW w:w="0" w:type="auto"/>
            <w:tcBorders>
              <w:top w:val="nil"/>
              <w:left w:val="nil"/>
              <w:bottom w:val="nil"/>
              <w:right w:val="nil"/>
            </w:tcBorders>
            <w:shd w:val="clear" w:color="auto" w:fill="auto"/>
            <w:noWrap/>
            <w:vAlign w:val="center"/>
            <w:hideMark/>
          </w:tcPr>
          <w:p w14:paraId="54C25949"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[0.96,2.63]</w:t>
            </w:r>
          </w:p>
        </w:tc>
        <w:tc>
          <w:tcPr>
            <w:tcW w:w="0" w:type="auto"/>
            <w:tcBorders>
              <w:top w:val="nil"/>
              <w:left w:val="nil"/>
              <w:bottom w:val="nil"/>
              <w:right w:val="nil"/>
            </w:tcBorders>
            <w:shd w:val="clear" w:color="auto" w:fill="auto"/>
            <w:noWrap/>
            <w:vAlign w:val="center"/>
            <w:hideMark/>
          </w:tcPr>
          <w:p w14:paraId="3EE818D7"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[0.47,1.12]</w:t>
            </w:r>
          </w:p>
        </w:tc>
        <w:tc>
          <w:tcPr>
            <w:tcW w:w="0" w:type="auto"/>
            <w:tcBorders>
              <w:top w:val="nil"/>
              <w:left w:val="nil"/>
              <w:bottom w:val="nil"/>
              <w:right w:val="nil"/>
            </w:tcBorders>
            <w:shd w:val="clear" w:color="auto" w:fill="auto"/>
            <w:noWrap/>
            <w:vAlign w:val="center"/>
            <w:hideMark/>
          </w:tcPr>
          <w:p w14:paraId="690DC958"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[1.13,1.81]</w:t>
            </w:r>
          </w:p>
        </w:tc>
        <w:tc>
          <w:tcPr>
            <w:tcW w:w="0" w:type="auto"/>
            <w:tcBorders>
              <w:top w:val="nil"/>
              <w:left w:val="nil"/>
              <w:bottom w:val="nil"/>
              <w:right w:val="nil"/>
            </w:tcBorders>
            <w:shd w:val="clear" w:color="auto" w:fill="auto"/>
            <w:noWrap/>
            <w:vAlign w:val="center"/>
            <w:hideMark/>
          </w:tcPr>
          <w:p w14:paraId="50F21B9F"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[1.05,1.93]</w:t>
            </w:r>
          </w:p>
        </w:tc>
        <w:tc>
          <w:tcPr>
            <w:tcW w:w="0" w:type="auto"/>
            <w:tcBorders>
              <w:top w:val="nil"/>
              <w:left w:val="nil"/>
              <w:bottom w:val="nil"/>
              <w:right w:val="nil"/>
            </w:tcBorders>
            <w:shd w:val="clear" w:color="auto" w:fill="auto"/>
            <w:noWrap/>
            <w:vAlign w:val="center"/>
            <w:hideMark/>
          </w:tcPr>
          <w:p w14:paraId="731A76C1"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[0.86,2.00]</w:t>
            </w:r>
          </w:p>
        </w:tc>
      </w:tr>
      <w:tr w:rsidR="00D24342" w:rsidRPr="00D24342" w14:paraId="7D355330" w14:textId="77777777" w:rsidTr="001814BE">
        <w:trPr>
          <w:trHeight w:val="300"/>
        </w:trPr>
        <w:tc>
          <w:tcPr>
            <w:tcW w:w="0" w:type="auto"/>
            <w:tcBorders>
              <w:top w:val="nil"/>
              <w:left w:val="nil"/>
              <w:bottom w:val="nil"/>
              <w:right w:val="nil"/>
            </w:tcBorders>
            <w:shd w:val="clear" w:color="auto" w:fill="auto"/>
            <w:noWrap/>
            <w:vAlign w:val="center"/>
            <w:hideMark/>
          </w:tcPr>
          <w:p w14:paraId="230FD051"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≥4 times</w:t>
            </w:r>
          </w:p>
        </w:tc>
        <w:tc>
          <w:tcPr>
            <w:tcW w:w="0" w:type="auto"/>
            <w:tcBorders>
              <w:top w:val="nil"/>
              <w:left w:val="nil"/>
              <w:bottom w:val="nil"/>
              <w:right w:val="nil"/>
            </w:tcBorders>
            <w:shd w:val="clear" w:color="auto" w:fill="auto"/>
            <w:noWrap/>
            <w:vAlign w:val="center"/>
            <w:hideMark/>
          </w:tcPr>
          <w:p w14:paraId="30B78ACB"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2.34***</w:t>
            </w:r>
          </w:p>
        </w:tc>
        <w:tc>
          <w:tcPr>
            <w:tcW w:w="0" w:type="auto"/>
            <w:tcBorders>
              <w:top w:val="nil"/>
              <w:left w:val="nil"/>
              <w:bottom w:val="nil"/>
              <w:right w:val="nil"/>
            </w:tcBorders>
            <w:shd w:val="clear" w:color="auto" w:fill="auto"/>
            <w:noWrap/>
            <w:vAlign w:val="center"/>
            <w:hideMark/>
          </w:tcPr>
          <w:p w14:paraId="0C545FA5"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2.42***</w:t>
            </w:r>
          </w:p>
        </w:tc>
        <w:tc>
          <w:tcPr>
            <w:tcW w:w="0" w:type="auto"/>
            <w:tcBorders>
              <w:top w:val="nil"/>
              <w:left w:val="nil"/>
              <w:bottom w:val="nil"/>
              <w:right w:val="nil"/>
            </w:tcBorders>
            <w:shd w:val="clear" w:color="auto" w:fill="auto"/>
            <w:noWrap/>
            <w:vAlign w:val="center"/>
            <w:hideMark/>
          </w:tcPr>
          <w:p w14:paraId="1BE604E0"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2.21***</w:t>
            </w:r>
          </w:p>
        </w:tc>
        <w:tc>
          <w:tcPr>
            <w:tcW w:w="0" w:type="auto"/>
            <w:tcBorders>
              <w:top w:val="nil"/>
              <w:left w:val="nil"/>
              <w:bottom w:val="nil"/>
              <w:right w:val="nil"/>
            </w:tcBorders>
            <w:shd w:val="clear" w:color="auto" w:fill="auto"/>
            <w:noWrap/>
            <w:vAlign w:val="center"/>
            <w:hideMark/>
          </w:tcPr>
          <w:p w14:paraId="6255C73C"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0.85</w:t>
            </w:r>
          </w:p>
        </w:tc>
        <w:tc>
          <w:tcPr>
            <w:tcW w:w="0" w:type="auto"/>
            <w:tcBorders>
              <w:top w:val="nil"/>
              <w:left w:val="nil"/>
              <w:bottom w:val="nil"/>
              <w:right w:val="nil"/>
            </w:tcBorders>
            <w:shd w:val="clear" w:color="auto" w:fill="auto"/>
            <w:noWrap/>
            <w:vAlign w:val="center"/>
            <w:hideMark/>
          </w:tcPr>
          <w:p w14:paraId="0FC93C0A"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0.96</w:t>
            </w:r>
          </w:p>
        </w:tc>
        <w:tc>
          <w:tcPr>
            <w:tcW w:w="0" w:type="auto"/>
            <w:tcBorders>
              <w:top w:val="nil"/>
              <w:left w:val="nil"/>
              <w:bottom w:val="nil"/>
              <w:right w:val="nil"/>
            </w:tcBorders>
            <w:shd w:val="clear" w:color="auto" w:fill="auto"/>
            <w:noWrap/>
            <w:vAlign w:val="center"/>
            <w:hideMark/>
          </w:tcPr>
          <w:p w14:paraId="36110D0C"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0.76</w:t>
            </w:r>
          </w:p>
        </w:tc>
        <w:tc>
          <w:tcPr>
            <w:tcW w:w="0" w:type="auto"/>
            <w:tcBorders>
              <w:top w:val="nil"/>
              <w:left w:val="nil"/>
              <w:bottom w:val="nil"/>
              <w:right w:val="nil"/>
            </w:tcBorders>
            <w:shd w:val="clear" w:color="auto" w:fill="auto"/>
            <w:noWrap/>
            <w:vAlign w:val="center"/>
            <w:hideMark/>
          </w:tcPr>
          <w:p w14:paraId="472E4ECA"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1.98***</w:t>
            </w:r>
          </w:p>
        </w:tc>
        <w:tc>
          <w:tcPr>
            <w:tcW w:w="0" w:type="auto"/>
            <w:tcBorders>
              <w:top w:val="nil"/>
              <w:left w:val="nil"/>
              <w:bottom w:val="nil"/>
              <w:right w:val="nil"/>
            </w:tcBorders>
            <w:shd w:val="clear" w:color="auto" w:fill="auto"/>
            <w:noWrap/>
            <w:vAlign w:val="center"/>
            <w:hideMark/>
          </w:tcPr>
          <w:p w14:paraId="56917585"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1.76***</w:t>
            </w:r>
          </w:p>
        </w:tc>
        <w:tc>
          <w:tcPr>
            <w:tcW w:w="0" w:type="auto"/>
            <w:tcBorders>
              <w:top w:val="nil"/>
              <w:left w:val="nil"/>
              <w:bottom w:val="nil"/>
              <w:right w:val="nil"/>
            </w:tcBorders>
            <w:shd w:val="clear" w:color="auto" w:fill="auto"/>
            <w:noWrap/>
            <w:vAlign w:val="center"/>
            <w:hideMark/>
          </w:tcPr>
          <w:p w14:paraId="25565CDD"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2.55***</w:t>
            </w:r>
          </w:p>
        </w:tc>
      </w:tr>
      <w:tr w:rsidR="00D24342" w:rsidRPr="00D24342" w14:paraId="7821CFC0" w14:textId="77777777" w:rsidTr="001814BE">
        <w:trPr>
          <w:trHeight w:val="300"/>
        </w:trPr>
        <w:tc>
          <w:tcPr>
            <w:tcW w:w="0" w:type="auto"/>
            <w:tcBorders>
              <w:top w:val="nil"/>
              <w:left w:val="nil"/>
              <w:bottom w:val="single" w:sz="4" w:space="0" w:color="auto"/>
              <w:right w:val="nil"/>
            </w:tcBorders>
            <w:shd w:val="clear" w:color="auto" w:fill="auto"/>
            <w:noWrap/>
            <w:vAlign w:val="center"/>
            <w:hideMark/>
          </w:tcPr>
          <w:p w14:paraId="01C54E87"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 </w:t>
            </w:r>
          </w:p>
        </w:tc>
        <w:tc>
          <w:tcPr>
            <w:tcW w:w="0" w:type="auto"/>
            <w:tcBorders>
              <w:top w:val="nil"/>
              <w:left w:val="nil"/>
              <w:bottom w:val="single" w:sz="4" w:space="0" w:color="auto"/>
              <w:right w:val="nil"/>
            </w:tcBorders>
            <w:shd w:val="clear" w:color="auto" w:fill="auto"/>
            <w:noWrap/>
            <w:vAlign w:val="center"/>
            <w:hideMark/>
          </w:tcPr>
          <w:p w14:paraId="09624EB6"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[2.03,2.70]</w:t>
            </w:r>
          </w:p>
        </w:tc>
        <w:tc>
          <w:tcPr>
            <w:tcW w:w="0" w:type="auto"/>
            <w:tcBorders>
              <w:top w:val="nil"/>
              <w:left w:val="nil"/>
              <w:bottom w:val="single" w:sz="4" w:space="0" w:color="auto"/>
              <w:right w:val="nil"/>
            </w:tcBorders>
            <w:shd w:val="clear" w:color="auto" w:fill="auto"/>
            <w:noWrap/>
            <w:vAlign w:val="center"/>
            <w:hideMark/>
          </w:tcPr>
          <w:p w14:paraId="1B726268"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[1.98,2.97]</w:t>
            </w:r>
          </w:p>
        </w:tc>
        <w:tc>
          <w:tcPr>
            <w:tcW w:w="0" w:type="auto"/>
            <w:tcBorders>
              <w:top w:val="nil"/>
              <w:left w:val="nil"/>
              <w:bottom w:val="single" w:sz="4" w:space="0" w:color="auto"/>
              <w:right w:val="nil"/>
            </w:tcBorders>
            <w:shd w:val="clear" w:color="auto" w:fill="auto"/>
            <w:noWrap/>
            <w:vAlign w:val="center"/>
            <w:hideMark/>
          </w:tcPr>
          <w:p w14:paraId="0E35E26D"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[1.81,2.71]</w:t>
            </w:r>
          </w:p>
        </w:tc>
        <w:tc>
          <w:tcPr>
            <w:tcW w:w="0" w:type="auto"/>
            <w:tcBorders>
              <w:top w:val="nil"/>
              <w:left w:val="nil"/>
              <w:bottom w:val="single" w:sz="4" w:space="0" w:color="auto"/>
              <w:right w:val="nil"/>
            </w:tcBorders>
            <w:shd w:val="clear" w:color="auto" w:fill="auto"/>
            <w:noWrap/>
            <w:vAlign w:val="center"/>
            <w:hideMark/>
          </w:tcPr>
          <w:p w14:paraId="443C3219"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[0.64,1.12]</w:t>
            </w:r>
          </w:p>
        </w:tc>
        <w:tc>
          <w:tcPr>
            <w:tcW w:w="0" w:type="auto"/>
            <w:tcBorders>
              <w:top w:val="nil"/>
              <w:left w:val="nil"/>
              <w:bottom w:val="single" w:sz="4" w:space="0" w:color="auto"/>
              <w:right w:val="nil"/>
            </w:tcBorders>
            <w:shd w:val="clear" w:color="auto" w:fill="auto"/>
            <w:noWrap/>
            <w:vAlign w:val="center"/>
            <w:hideMark/>
          </w:tcPr>
          <w:p w14:paraId="545AB7A5"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[0.67,1.37]</w:t>
            </w:r>
          </w:p>
        </w:tc>
        <w:tc>
          <w:tcPr>
            <w:tcW w:w="0" w:type="auto"/>
            <w:tcBorders>
              <w:top w:val="nil"/>
              <w:left w:val="nil"/>
              <w:bottom w:val="single" w:sz="4" w:space="0" w:color="auto"/>
              <w:right w:val="nil"/>
            </w:tcBorders>
            <w:shd w:val="clear" w:color="auto" w:fill="auto"/>
            <w:noWrap/>
            <w:vAlign w:val="center"/>
            <w:hideMark/>
          </w:tcPr>
          <w:p w14:paraId="37440CE8"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[0.48,1.20]</w:t>
            </w:r>
          </w:p>
        </w:tc>
        <w:tc>
          <w:tcPr>
            <w:tcW w:w="0" w:type="auto"/>
            <w:tcBorders>
              <w:top w:val="nil"/>
              <w:left w:val="nil"/>
              <w:bottom w:val="single" w:sz="4" w:space="0" w:color="auto"/>
              <w:right w:val="nil"/>
            </w:tcBorders>
            <w:shd w:val="clear" w:color="auto" w:fill="auto"/>
            <w:noWrap/>
            <w:vAlign w:val="center"/>
            <w:hideMark/>
          </w:tcPr>
          <w:p w14:paraId="48B00390"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[1.56,2.52]</w:t>
            </w:r>
          </w:p>
        </w:tc>
        <w:tc>
          <w:tcPr>
            <w:tcW w:w="0" w:type="auto"/>
            <w:tcBorders>
              <w:top w:val="nil"/>
              <w:left w:val="nil"/>
              <w:bottom w:val="single" w:sz="4" w:space="0" w:color="auto"/>
              <w:right w:val="nil"/>
            </w:tcBorders>
            <w:shd w:val="clear" w:color="auto" w:fill="auto"/>
            <w:noWrap/>
            <w:vAlign w:val="center"/>
            <w:hideMark/>
          </w:tcPr>
          <w:p w14:paraId="238578A4"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[1.35,2.31]</w:t>
            </w:r>
          </w:p>
        </w:tc>
        <w:tc>
          <w:tcPr>
            <w:tcW w:w="0" w:type="auto"/>
            <w:tcBorders>
              <w:top w:val="nil"/>
              <w:left w:val="nil"/>
              <w:bottom w:val="single" w:sz="4" w:space="0" w:color="auto"/>
              <w:right w:val="nil"/>
            </w:tcBorders>
            <w:shd w:val="clear" w:color="auto" w:fill="auto"/>
            <w:noWrap/>
            <w:vAlign w:val="center"/>
            <w:hideMark/>
          </w:tcPr>
          <w:p w14:paraId="5271F070" w14:textId="77777777" w:rsidR="00910239" w:rsidRPr="00D24342" w:rsidRDefault="00910239" w:rsidP="0091023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s="Times New Roman"/>
                <w:color w:val="auto"/>
                <w:sz w:val="22"/>
                <w:szCs w:val="22"/>
                <w:bdr w:val="none" w:sz="0" w:space="0" w:color="auto"/>
                <w:lang w:val="en-GB" w:eastAsia="en-US"/>
              </w:rPr>
            </w:pPr>
            <w:r w:rsidRPr="00D24342">
              <w:rPr>
                <w:rFonts w:eastAsia="Times New Roman" w:cs="Times New Roman"/>
                <w:color w:val="auto"/>
                <w:sz w:val="22"/>
                <w:szCs w:val="22"/>
                <w:bdr w:val="none" w:sz="0" w:space="0" w:color="auto"/>
                <w:lang w:val="en-GB" w:eastAsia="en-US"/>
              </w:rPr>
              <w:t>[1.61,4.03]</w:t>
            </w:r>
          </w:p>
        </w:tc>
      </w:tr>
    </w:tbl>
    <w:p w14:paraId="18133DF6" w14:textId="77777777" w:rsidR="004F228C" w:rsidRPr="00D24342" w:rsidRDefault="00D73302">
      <w:pPr>
        <w:rPr>
          <w:color w:val="auto"/>
          <w:sz w:val="20"/>
          <w:szCs w:val="20"/>
        </w:rPr>
      </w:pPr>
      <w:r w:rsidRPr="00D24342">
        <w:rPr>
          <w:color w:val="auto"/>
          <w:sz w:val="20"/>
          <w:szCs w:val="20"/>
        </w:rPr>
        <w:t>Data are odds ratio [95% confidence interval].</w:t>
      </w:r>
    </w:p>
    <w:p w14:paraId="353CD618" w14:textId="77777777" w:rsidR="004F228C" w:rsidRPr="00D24342" w:rsidRDefault="00D73302">
      <w:pPr>
        <w:rPr>
          <w:color w:val="auto"/>
          <w:sz w:val="20"/>
          <w:szCs w:val="20"/>
        </w:rPr>
      </w:pPr>
      <w:r w:rsidRPr="00D24342">
        <w:rPr>
          <w:color w:val="auto"/>
          <w:sz w:val="20"/>
          <w:szCs w:val="20"/>
          <w:vertAlign w:val="superscript"/>
        </w:rPr>
        <w:t xml:space="preserve">a </w:t>
      </w:r>
      <w:r w:rsidRPr="00D24342">
        <w:rPr>
          <w:color w:val="auto"/>
          <w:sz w:val="20"/>
          <w:szCs w:val="20"/>
        </w:rPr>
        <w:t>Restricted to those who ever had sex.</w:t>
      </w:r>
    </w:p>
    <w:p w14:paraId="79EE1462" w14:textId="77777777" w:rsidR="004F228C" w:rsidRPr="00D24342" w:rsidRDefault="00D73302">
      <w:pPr>
        <w:rPr>
          <w:color w:val="auto"/>
          <w:sz w:val="20"/>
          <w:szCs w:val="20"/>
        </w:rPr>
      </w:pPr>
      <w:r w:rsidRPr="00D24342">
        <w:rPr>
          <w:color w:val="auto"/>
          <w:sz w:val="20"/>
          <w:szCs w:val="20"/>
          <w:vertAlign w:val="superscript"/>
        </w:rPr>
        <w:t xml:space="preserve">b </w:t>
      </w:r>
      <w:r w:rsidRPr="00D24342">
        <w:rPr>
          <w:color w:val="auto"/>
          <w:sz w:val="20"/>
          <w:szCs w:val="20"/>
        </w:rPr>
        <w:t>Data from Bangladesh and Kenya are not included due to lack of data.</w:t>
      </w:r>
    </w:p>
    <w:p w14:paraId="79F7B969" w14:textId="0E9B3F4D" w:rsidR="004F228C" w:rsidRPr="00D24342" w:rsidRDefault="00910239">
      <w:pPr>
        <w:rPr>
          <w:color w:val="auto"/>
          <w:sz w:val="20"/>
          <w:szCs w:val="20"/>
        </w:rPr>
      </w:pPr>
      <w:r w:rsidRPr="00D24342">
        <w:rPr>
          <w:color w:val="auto"/>
          <w:sz w:val="20"/>
          <w:szCs w:val="20"/>
          <w:vertAlign w:val="superscript"/>
        </w:rPr>
        <w:t>c</w:t>
      </w:r>
      <w:r w:rsidR="00D73302" w:rsidRPr="00D24342">
        <w:rPr>
          <w:color w:val="auto"/>
          <w:sz w:val="20"/>
          <w:szCs w:val="20"/>
          <w:vertAlign w:val="superscript"/>
        </w:rPr>
        <w:t xml:space="preserve"> </w:t>
      </w:r>
      <w:r w:rsidR="00D73302" w:rsidRPr="00D24342">
        <w:rPr>
          <w:color w:val="auto"/>
          <w:sz w:val="20"/>
          <w:szCs w:val="20"/>
        </w:rPr>
        <w:t>Data from Kenya, Swaziland, Uganda, and Zambia are not included due to lack of data.</w:t>
      </w:r>
    </w:p>
    <w:p w14:paraId="2F90D9E5" w14:textId="77777777" w:rsidR="004F228C" w:rsidRPr="00D24342" w:rsidRDefault="00D73302">
      <w:pPr>
        <w:rPr>
          <w:color w:val="auto"/>
          <w:sz w:val="20"/>
          <w:szCs w:val="20"/>
        </w:rPr>
      </w:pPr>
      <w:r w:rsidRPr="00D24342">
        <w:rPr>
          <w:color w:val="auto"/>
          <w:sz w:val="20"/>
          <w:szCs w:val="20"/>
        </w:rPr>
        <w:t>Models are adjusted for sex, age, food insecurity (as a proxy of socio-economic status), alcohol consumption, and country with the exception of the sex-stratified analysis which is not adjusted for sex.</w:t>
      </w:r>
    </w:p>
    <w:p w14:paraId="2B2608B8" w14:textId="3C445044" w:rsidR="00C04FB6" w:rsidRPr="00D24342" w:rsidRDefault="00D73302" w:rsidP="00C04FB6">
      <w:pPr>
        <w:rPr>
          <w:color w:val="auto"/>
          <w:sz w:val="20"/>
          <w:szCs w:val="20"/>
        </w:rPr>
      </w:pPr>
      <w:r w:rsidRPr="00D24342">
        <w:rPr>
          <w:color w:val="auto"/>
          <w:sz w:val="20"/>
          <w:szCs w:val="20"/>
        </w:rPr>
        <w:t>* p&lt;0.05, ** p&lt;0.01, *** p&lt;0.001</w:t>
      </w:r>
    </w:p>
    <w:p w14:paraId="28C89109" w14:textId="77777777" w:rsidR="00C04FB6" w:rsidRPr="00D24342" w:rsidRDefault="00C04FB6" w:rsidP="00C04FB6">
      <w:pPr>
        <w:rPr>
          <w:color w:val="auto"/>
          <w:sz w:val="20"/>
          <w:szCs w:val="20"/>
        </w:rPr>
      </w:pPr>
    </w:p>
    <w:p w14:paraId="4EB7AD5B" w14:textId="77777777" w:rsidR="00C04FB6" w:rsidRPr="00D24342" w:rsidRDefault="00C04FB6" w:rsidP="00C04FB6">
      <w:pPr>
        <w:rPr>
          <w:color w:val="auto"/>
          <w:sz w:val="20"/>
          <w:szCs w:val="20"/>
        </w:rPr>
      </w:pPr>
    </w:p>
    <w:p w14:paraId="60DAEB0F" w14:textId="77777777" w:rsidR="00C04FB6" w:rsidRPr="00D24342" w:rsidRDefault="00C04FB6" w:rsidP="00C04FB6">
      <w:pPr>
        <w:rPr>
          <w:color w:val="auto"/>
          <w:sz w:val="20"/>
          <w:szCs w:val="20"/>
        </w:rPr>
      </w:pPr>
    </w:p>
    <w:p w14:paraId="2E40F9D5" w14:textId="77777777" w:rsidR="00C04FB6" w:rsidRPr="00D24342" w:rsidRDefault="00C04FB6" w:rsidP="00C04FB6">
      <w:pPr>
        <w:rPr>
          <w:color w:val="auto"/>
          <w:sz w:val="20"/>
          <w:szCs w:val="20"/>
        </w:rPr>
      </w:pPr>
    </w:p>
    <w:p w14:paraId="2BFFAF97" w14:textId="77777777" w:rsidR="00C04FB6" w:rsidRPr="00D24342" w:rsidRDefault="00C04FB6" w:rsidP="00C04FB6">
      <w:pPr>
        <w:rPr>
          <w:color w:val="auto"/>
          <w:sz w:val="20"/>
          <w:szCs w:val="20"/>
        </w:rPr>
      </w:pPr>
    </w:p>
    <w:sectPr w:rsidR="00C04FB6" w:rsidRPr="00D24342" w:rsidSect="00ED6568">
      <w:pgSz w:w="16840" w:h="11900" w:orient="landscape"/>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3ED1B8" w14:textId="77777777" w:rsidR="00C41DA2" w:rsidRDefault="00C41DA2">
      <w:r>
        <w:separator/>
      </w:r>
    </w:p>
  </w:endnote>
  <w:endnote w:type="continuationSeparator" w:id="0">
    <w:p w14:paraId="1827D22B" w14:textId="77777777" w:rsidR="00C41DA2" w:rsidRDefault="00C41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B91CB" w14:textId="143FDBD1" w:rsidR="004D7CAC" w:rsidRDefault="004D7CAC">
    <w:pPr>
      <w:pStyle w:val="Footer"/>
      <w:jc w:val="right"/>
    </w:pPr>
    <w:r>
      <w:fldChar w:fldCharType="begin"/>
    </w:r>
    <w:r>
      <w:instrText xml:space="preserve"> PAGE </w:instrText>
    </w:r>
    <w:r>
      <w:fldChar w:fldCharType="separate"/>
    </w:r>
    <w:r>
      <w:rPr>
        <w:noProof/>
      </w:rPr>
      <w:t>22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80DB96" w14:textId="77777777" w:rsidR="00C41DA2" w:rsidRDefault="00C41DA2">
      <w:r>
        <w:separator/>
      </w:r>
    </w:p>
  </w:footnote>
  <w:footnote w:type="continuationSeparator" w:id="0">
    <w:p w14:paraId="1ACD0468" w14:textId="77777777" w:rsidR="00C41DA2" w:rsidRDefault="00C41D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3D60A5"/>
    <w:multiLevelType w:val="hybridMultilevel"/>
    <w:tmpl w:val="AD5653F0"/>
    <w:styleLink w:val="Stileimportato1"/>
    <w:lvl w:ilvl="0" w:tplc="8CCE60C8">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CECED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10C5556">
      <w:start w:val="1"/>
      <w:numFmt w:val="lowerRoman"/>
      <w:lvlText w:val="%3."/>
      <w:lvlJc w:val="left"/>
      <w:pPr>
        <w:ind w:left="216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F4EC6BE">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FA3122">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46A6A2">
      <w:start w:val="1"/>
      <w:numFmt w:val="lowerRoman"/>
      <w:lvlText w:val="%6."/>
      <w:lvlJc w:val="left"/>
      <w:pPr>
        <w:ind w:left="432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ECA35E8">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94C2130">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5BAA7DE">
      <w:start w:val="1"/>
      <w:numFmt w:val="lowerRoman"/>
      <w:lvlText w:val="%9."/>
      <w:lvlJc w:val="left"/>
      <w:pPr>
        <w:ind w:left="6480" w:hanging="28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3D150DAD"/>
    <w:multiLevelType w:val="hybridMultilevel"/>
    <w:tmpl w:val="AD5653F0"/>
    <w:numStyleLink w:val="Stileimportato1"/>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228C"/>
    <w:rsid w:val="00012DFB"/>
    <w:rsid w:val="00022D25"/>
    <w:rsid w:val="000336B2"/>
    <w:rsid w:val="00034F9F"/>
    <w:rsid w:val="00035584"/>
    <w:rsid w:val="0003673D"/>
    <w:rsid w:val="0004029F"/>
    <w:rsid w:val="0005223C"/>
    <w:rsid w:val="000526F7"/>
    <w:rsid w:val="000612FA"/>
    <w:rsid w:val="00063B34"/>
    <w:rsid w:val="0007368B"/>
    <w:rsid w:val="00074E18"/>
    <w:rsid w:val="00082D26"/>
    <w:rsid w:val="0008639E"/>
    <w:rsid w:val="000926C9"/>
    <w:rsid w:val="000A4605"/>
    <w:rsid w:val="000A4FE1"/>
    <w:rsid w:val="000B1659"/>
    <w:rsid w:val="000C1813"/>
    <w:rsid w:val="000C3CCB"/>
    <w:rsid w:val="000C531D"/>
    <w:rsid w:val="000C6E54"/>
    <w:rsid w:val="000D17A2"/>
    <w:rsid w:val="000D74A4"/>
    <w:rsid w:val="000F0997"/>
    <w:rsid w:val="000F58A0"/>
    <w:rsid w:val="000F70D1"/>
    <w:rsid w:val="00104DCB"/>
    <w:rsid w:val="00107586"/>
    <w:rsid w:val="00110361"/>
    <w:rsid w:val="00112C7E"/>
    <w:rsid w:val="0011675F"/>
    <w:rsid w:val="001323BF"/>
    <w:rsid w:val="0013359C"/>
    <w:rsid w:val="001435C4"/>
    <w:rsid w:val="0014367C"/>
    <w:rsid w:val="00150E35"/>
    <w:rsid w:val="00161EA9"/>
    <w:rsid w:val="0016706C"/>
    <w:rsid w:val="00177643"/>
    <w:rsid w:val="001814BE"/>
    <w:rsid w:val="00185CC3"/>
    <w:rsid w:val="001950E6"/>
    <w:rsid w:val="001A2AA2"/>
    <w:rsid w:val="001C0810"/>
    <w:rsid w:val="001C23CF"/>
    <w:rsid w:val="001C745E"/>
    <w:rsid w:val="001C7A72"/>
    <w:rsid w:val="001F6BBF"/>
    <w:rsid w:val="00210A2D"/>
    <w:rsid w:val="00212B85"/>
    <w:rsid w:val="00235E00"/>
    <w:rsid w:val="00237CFB"/>
    <w:rsid w:val="0025643F"/>
    <w:rsid w:val="00257256"/>
    <w:rsid w:val="0026624D"/>
    <w:rsid w:val="00275ADC"/>
    <w:rsid w:val="002846DD"/>
    <w:rsid w:val="0028536E"/>
    <w:rsid w:val="00291A90"/>
    <w:rsid w:val="00291D39"/>
    <w:rsid w:val="00294529"/>
    <w:rsid w:val="002A5328"/>
    <w:rsid w:val="002C55CD"/>
    <w:rsid w:val="002D203E"/>
    <w:rsid w:val="002E09B2"/>
    <w:rsid w:val="002E43CC"/>
    <w:rsid w:val="002F174C"/>
    <w:rsid w:val="002F2D11"/>
    <w:rsid w:val="00307963"/>
    <w:rsid w:val="00325D75"/>
    <w:rsid w:val="00327E0F"/>
    <w:rsid w:val="00330642"/>
    <w:rsid w:val="003360A1"/>
    <w:rsid w:val="00346A5C"/>
    <w:rsid w:val="00387395"/>
    <w:rsid w:val="00391BB3"/>
    <w:rsid w:val="00391E43"/>
    <w:rsid w:val="003976CB"/>
    <w:rsid w:val="003A2E74"/>
    <w:rsid w:val="003A36D6"/>
    <w:rsid w:val="003A4822"/>
    <w:rsid w:val="003A4A8D"/>
    <w:rsid w:val="003B0993"/>
    <w:rsid w:val="003B4E93"/>
    <w:rsid w:val="003B536E"/>
    <w:rsid w:val="003B6C3A"/>
    <w:rsid w:val="003C4F36"/>
    <w:rsid w:val="003E33BE"/>
    <w:rsid w:val="003F4A87"/>
    <w:rsid w:val="003F674D"/>
    <w:rsid w:val="004045A6"/>
    <w:rsid w:val="004060C2"/>
    <w:rsid w:val="00414C48"/>
    <w:rsid w:val="004312E6"/>
    <w:rsid w:val="00431746"/>
    <w:rsid w:val="00433695"/>
    <w:rsid w:val="00433F5D"/>
    <w:rsid w:val="00446AA1"/>
    <w:rsid w:val="004523C8"/>
    <w:rsid w:val="004537B7"/>
    <w:rsid w:val="0046736B"/>
    <w:rsid w:val="004766D8"/>
    <w:rsid w:val="004829DA"/>
    <w:rsid w:val="00487DDD"/>
    <w:rsid w:val="00494A3F"/>
    <w:rsid w:val="00497E5E"/>
    <w:rsid w:val="004B602E"/>
    <w:rsid w:val="004C12BE"/>
    <w:rsid w:val="004D37F7"/>
    <w:rsid w:val="004D7674"/>
    <w:rsid w:val="004D7868"/>
    <w:rsid w:val="004D7CAC"/>
    <w:rsid w:val="004F228C"/>
    <w:rsid w:val="004F7A36"/>
    <w:rsid w:val="00502998"/>
    <w:rsid w:val="0050762E"/>
    <w:rsid w:val="0051102D"/>
    <w:rsid w:val="00514636"/>
    <w:rsid w:val="00515D49"/>
    <w:rsid w:val="0052302F"/>
    <w:rsid w:val="00527C58"/>
    <w:rsid w:val="00527ED6"/>
    <w:rsid w:val="00531C55"/>
    <w:rsid w:val="005408A0"/>
    <w:rsid w:val="005427A9"/>
    <w:rsid w:val="00542F28"/>
    <w:rsid w:val="00560209"/>
    <w:rsid w:val="00560AFB"/>
    <w:rsid w:val="0056436D"/>
    <w:rsid w:val="0056638F"/>
    <w:rsid w:val="005837DE"/>
    <w:rsid w:val="0059107D"/>
    <w:rsid w:val="00592824"/>
    <w:rsid w:val="0059433C"/>
    <w:rsid w:val="00594CC5"/>
    <w:rsid w:val="00596AC7"/>
    <w:rsid w:val="005A4B72"/>
    <w:rsid w:val="005C2566"/>
    <w:rsid w:val="005C411F"/>
    <w:rsid w:val="005C6801"/>
    <w:rsid w:val="005F42DF"/>
    <w:rsid w:val="0061259F"/>
    <w:rsid w:val="0062606F"/>
    <w:rsid w:val="00643AED"/>
    <w:rsid w:val="0064403C"/>
    <w:rsid w:val="00663EEA"/>
    <w:rsid w:val="00665FA8"/>
    <w:rsid w:val="0066601D"/>
    <w:rsid w:val="00667B37"/>
    <w:rsid w:val="00670985"/>
    <w:rsid w:val="00683210"/>
    <w:rsid w:val="00683DE2"/>
    <w:rsid w:val="00684209"/>
    <w:rsid w:val="006843C7"/>
    <w:rsid w:val="006A215B"/>
    <w:rsid w:val="006B586A"/>
    <w:rsid w:val="006B6F0B"/>
    <w:rsid w:val="006D0830"/>
    <w:rsid w:val="006D238A"/>
    <w:rsid w:val="006D4D85"/>
    <w:rsid w:val="006E04C6"/>
    <w:rsid w:val="006F09B2"/>
    <w:rsid w:val="006F4194"/>
    <w:rsid w:val="006F4279"/>
    <w:rsid w:val="006F490F"/>
    <w:rsid w:val="0070136F"/>
    <w:rsid w:val="0070397F"/>
    <w:rsid w:val="007176C5"/>
    <w:rsid w:val="00721640"/>
    <w:rsid w:val="00726490"/>
    <w:rsid w:val="00726AC8"/>
    <w:rsid w:val="0073054F"/>
    <w:rsid w:val="00743169"/>
    <w:rsid w:val="0076144A"/>
    <w:rsid w:val="0076174A"/>
    <w:rsid w:val="0076197B"/>
    <w:rsid w:val="00767379"/>
    <w:rsid w:val="00797BCF"/>
    <w:rsid w:val="007A104B"/>
    <w:rsid w:val="007B3B42"/>
    <w:rsid w:val="007C694E"/>
    <w:rsid w:val="007D0A9F"/>
    <w:rsid w:val="007E1CA6"/>
    <w:rsid w:val="007F50A8"/>
    <w:rsid w:val="007F64CC"/>
    <w:rsid w:val="008170C1"/>
    <w:rsid w:val="00820132"/>
    <w:rsid w:val="00823428"/>
    <w:rsid w:val="008260C5"/>
    <w:rsid w:val="00832140"/>
    <w:rsid w:val="0083386C"/>
    <w:rsid w:val="008348DF"/>
    <w:rsid w:val="008421FE"/>
    <w:rsid w:val="00842532"/>
    <w:rsid w:val="008443DB"/>
    <w:rsid w:val="008470D3"/>
    <w:rsid w:val="00870947"/>
    <w:rsid w:val="008716A4"/>
    <w:rsid w:val="00873157"/>
    <w:rsid w:val="0087334F"/>
    <w:rsid w:val="008765A2"/>
    <w:rsid w:val="00887D52"/>
    <w:rsid w:val="00893007"/>
    <w:rsid w:val="00896971"/>
    <w:rsid w:val="008A127F"/>
    <w:rsid w:val="008A1434"/>
    <w:rsid w:val="008A3008"/>
    <w:rsid w:val="008B1033"/>
    <w:rsid w:val="008B7E72"/>
    <w:rsid w:val="008C102E"/>
    <w:rsid w:val="008D3BD6"/>
    <w:rsid w:val="008D409F"/>
    <w:rsid w:val="008D77DF"/>
    <w:rsid w:val="008E17F2"/>
    <w:rsid w:val="008E61CA"/>
    <w:rsid w:val="008F2C14"/>
    <w:rsid w:val="008F3B00"/>
    <w:rsid w:val="00910239"/>
    <w:rsid w:val="00915E5B"/>
    <w:rsid w:val="0092605E"/>
    <w:rsid w:val="00927198"/>
    <w:rsid w:val="009303B6"/>
    <w:rsid w:val="00934D09"/>
    <w:rsid w:val="009447C0"/>
    <w:rsid w:val="00945753"/>
    <w:rsid w:val="00946931"/>
    <w:rsid w:val="009550B7"/>
    <w:rsid w:val="009551D0"/>
    <w:rsid w:val="0095573E"/>
    <w:rsid w:val="00956C06"/>
    <w:rsid w:val="009710F7"/>
    <w:rsid w:val="009723E9"/>
    <w:rsid w:val="00974645"/>
    <w:rsid w:val="009860B3"/>
    <w:rsid w:val="009870A3"/>
    <w:rsid w:val="009A6F5E"/>
    <w:rsid w:val="009B2202"/>
    <w:rsid w:val="009B7BDC"/>
    <w:rsid w:val="009E28CA"/>
    <w:rsid w:val="009E3C8A"/>
    <w:rsid w:val="009F38D1"/>
    <w:rsid w:val="009F42DD"/>
    <w:rsid w:val="00A057E7"/>
    <w:rsid w:val="00A2074F"/>
    <w:rsid w:val="00A20EC5"/>
    <w:rsid w:val="00A22732"/>
    <w:rsid w:val="00A241F5"/>
    <w:rsid w:val="00A35463"/>
    <w:rsid w:val="00A47CF5"/>
    <w:rsid w:val="00A550BF"/>
    <w:rsid w:val="00A612B3"/>
    <w:rsid w:val="00A61DAE"/>
    <w:rsid w:val="00A65E59"/>
    <w:rsid w:val="00A72969"/>
    <w:rsid w:val="00A852C4"/>
    <w:rsid w:val="00A853A6"/>
    <w:rsid w:val="00A92260"/>
    <w:rsid w:val="00A94444"/>
    <w:rsid w:val="00AB67D8"/>
    <w:rsid w:val="00AC2B75"/>
    <w:rsid w:val="00AC4CBC"/>
    <w:rsid w:val="00AE3F3A"/>
    <w:rsid w:val="00AF1D8E"/>
    <w:rsid w:val="00AF3F8D"/>
    <w:rsid w:val="00AF7E9C"/>
    <w:rsid w:val="00B16F96"/>
    <w:rsid w:val="00B22A9E"/>
    <w:rsid w:val="00B30AF7"/>
    <w:rsid w:val="00B375E0"/>
    <w:rsid w:val="00B4550A"/>
    <w:rsid w:val="00B463E6"/>
    <w:rsid w:val="00B60427"/>
    <w:rsid w:val="00B754C3"/>
    <w:rsid w:val="00B77AEE"/>
    <w:rsid w:val="00B83F18"/>
    <w:rsid w:val="00BC3874"/>
    <w:rsid w:val="00BC6298"/>
    <w:rsid w:val="00BD6463"/>
    <w:rsid w:val="00BD6C64"/>
    <w:rsid w:val="00BE05D8"/>
    <w:rsid w:val="00BE2506"/>
    <w:rsid w:val="00BE4C9C"/>
    <w:rsid w:val="00C04FB6"/>
    <w:rsid w:val="00C1746C"/>
    <w:rsid w:val="00C41DA2"/>
    <w:rsid w:val="00C55C10"/>
    <w:rsid w:val="00C738B2"/>
    <w:rsid w:val="00C7710F"/>
    <w:rsid w:val="00C77166"/>
    <w:rsid w:val="00C83DB9"/>
    <w:rsid w:val="00C936F4"/>
    <w:rsid w:val="00C9503F"/>
    <w:rsid w:val="00CA7D15"/>
    <w:rsid w:val="00CB1614"/>
    <w:rsid w:val="00CD5D10"/>
    <w:rsid w:val="00CE61AB"/>
    <w:rsid w:val="00CE7A2B"/>
    <w:rsid w:val="00CE7C6F"/>
    <w:rsid w:val="00CF5150"/>
    <w:rsid w:val="00D051F6"/>
    <w:rsid w:val="00D1424D"/>
    <w:rsid w:val="00D1531F"/>
    <w:rsid w:val="00D20CA1"/>
    <w:rsid w:val="00D24342"/>
    <w:rsid w:val="00D3030B"/>
    <w:rsid w:val="00D44AC3"/>
    <w:rsid w:val="00D50CD9"/>
    <w:rsid w:val="00D56B3A"/>
    <w:rsid w:val="00D61432"/>
    <w:rsid w:val="00D62857"/>
    <w:rsid w:val="00D7281A"/>
    <w:rsid w:val="00D73302"/>
    <w:rsid w:val="00D80109"/>
    <w:rsid w:val="00D95F69"/>
    <w:rsid w:val="00DA0DA6"/>
    <w:rsid w:val="00DD0268"/>
    <w:rsid w:val="00DE7306"/>
    <w:rsid w:val="00DE7E7C"/>
    <w:rsid w:val="00DF2DA2"/>
    <w:rsid w:val="00DF3176"/>
    <w:rsid w:val="00E02308"/>
    <w:rsid w:val="00E026F0"/>
    <w:rsid w:val="00E028C7"/>
    <w:rsid w:val="00E052A9"/>
    <w:rsid w:val="00E0778A"/>
    <w:rsid w:val="00E10906"/>
    <w:rsid w:val="00E125FE"/>
    <w:rsid w:val="00E12948"/>
    <w:rsid w:val="00E276D7"/>
    <w:rsid w:val="00E44B66"/>
    <w:rsid w:val="00E64BF6"/>
    <w:rsid w:val="00EB2A1A"/>
    <w:rsid w:val="00EB2FDD"/>
    <w:rsid w:val="00EC6339"/>
    <w:rsid w:val="00EC7AAA"/>
    <w:rsid w:val="00ED30AE"/>
    <w:rsid w:val="00ED6568"/>
    <w:rsid w:val="00EE689E"/>
    <w:rsid w:val="00EF443A"/>
    <w:rsid w:val="00EF46F2"/>
    <w:rsid w:val="00EF7671"/>
    <w:rsid w:val="00F015AC"/>
    <w:rsid w:val="00F015E8"/>
    <w:rsid w:val="00F105F7"/>
    <w:rsid w:val="00F17CED"/>
    <w:rsid w:val="00F27E30"/>
    <w:rsid w:val="00F30951"/>
    <w:rsid w:val="00F3520F"/>
    <w:rsid w:val="00F36713"/>
    <w:rsid w:val="00F44936"/>
    <w:rsid w:val="00F4686A"/>
    <w:rsid w:val="00F56D8C"/>
    <w:rsid w:val="00F71DB5"/>
    <w:rsid w:val="00F7238E"/>
    <w:rsid w:val="00F93BD0"/>
    <w:rsid w:val="00F95AD8"/>
    <w:rsid w:val="00FB63F2"/>
    <w:rsid w:val="00FC3C37"/>
    <w:rsid w:val="00FF3E98"/>
    <w:rsid w:val="00FF63ED"/>
    <w:rsid w:val="00FF6E8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2BD5EF"/>
  <w15:docId w15:val="{14F3607F-096A-4FF7-AB68-5EADBCDFE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Arial Unicode MS"/>
      <w:color w:val="000000"/>
      <w:sz w:val="24"/>
      <w:szCs w:val="24"/>
      <w:u w:color="000000"/>
      <w:lang w:val="en-US"/>
    </w:rPr>
  </w:style>
  <w:style w:type="paragraph" w:styleId="Heading1">
    <w:name w:val="heading 1"/>
    <w:basedOn w:val="Normal"/>
    <w:next w:val="Normal"/>
    <w:link w:val="Heading1Char"/>
    <w:uiPriority w:val="9"/>
    <w:qFormat/>
    <w:rsid w:val="00726490"/>
    <w:pPr>
      <w:spacing w:line="480" w:lineRule="auto"/>
      <w:jc w:val="center"/>
      <w:outlineLvl w:val="0"/>
    </w:pPr>
    <w:rPr>
      <w:b/>
      <w:bCs/>
      <w:color w:val="auto"/>
    </w:rPr>
  </w:style>
  <w:style w:type="paragraph" w:styleId="Heading2">
    <w:name w:val="heading 2"/>
    <w:basedOn w:val="Normal"/>
    <w:next w:val="Normal"/>
    <w:link w:val="Heading2Char"/>
    <w:uiPriority w:val="9"/>
    <w:unhideWhenUsed/>
    <w:qFormat/>
    <w:rsid w:val="00592824"/>
    <w:pPr>
      <w:spacing w:line="480" w:lineRule="auto"/>
      <w:outlineLvl w:val="1"/>
    </w:pPr>
    <w:rPr>
      <w:b/>
      <w:bCs/>
      <w:iCs/>
      <w:color w:val="auto"/>
      <w:u w:color="14141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Intestazioneepidipagina">
    <w:name w:val="Intestazione e piè di pagina"/>
    <w:pPr>
      <w:tabs>
        <w:tab w:val="right" w:pos="9020"/>
      </w:tabs>
    </w:pPr>
    <w:rPr>
      <w:rFonts w:ascii="Helvetica" w:hAnsi="Helvetica" w:cs="Arial Unicode MS"/>
      <w:color w:val="000000"/>
      <w:sz w:val="24"/>
      <w:szCs w:val="24"/>
    </w:rPr>
  </w:style>
  <w:style w:type="paragraph" w:styleId="Footer">
    <w:name w:val="footer"/>
    <w:pPr>
      <w:tabs>
        <w:tab w:val="center" w:pos="4320"/>
        <w:tab w:val="right" w:pos="8640"/>
      </w:tabs>
    </w:pPr>
    <w:rPr>
      <w:rFonts w:cs="Arial Unicode MS"/>
      <w:color w:val="000000"/>
      <w:sz w:val="24"/>
      <w:szCs w:val="24"/>
      <w:u w:color="000000"/>
      <w:lang w:val="en-US"/>
    </w:rPr>
  </w:style>
  <w:style w:type="paragraph" w:styleId="ListParagraph">
    <w:name w:val="List Paragraph"/>
    <w:pPr>
      <w:ind w:left="720"/>
    </w:pPr>
    <w:rPr>
      <w:rFonts w:cs="Arial Unicode MS"/>
      <w:color w:val="000000"/>
      <w:sz w:val="24"/>
      <w:szCs w:val="24"/>
      <w:u w:color="000000"/>
      <w:lang w:val="en-US"/>
    </w:rPr>
  </w:style>
  <w:style w:type="numbering" w:customStyle="1" w:styleId="Stileimportato1">
    <w:name w:val="Stile importato 1"/>
    <w:pPr>
      <w:numPr>
        <w:numId w:val="1"/>
      </w:numPr>
    </w:pPr>
  </w:style>
  <w:style w:type="character" w:customStyle="1" w:styleId="Hyperlink0">
    <w:name w:val="Hyperlink.0"/>
    <w:basedOn w:val="Hyperlink"/>
    <w:rPr>
      <w:color w:val="0000FF"/>
      <w:u w:val="single" w:color="0000FF"/>
    </w:rPr>
  </w:style>
  <w:style w:type="paragraph" w:customStyle="1" w:styleId="Didefault">
    <w:name w:val="Di default"/>
    <w:rPr>
      <w:rFonts w:ascii="Helvetica" w:eastAsia="Helvetica" w:hAnsi="Helvetica" w:cs="Helvetica"/>
      <w:color w:val="000000"/>
      <w:sz w:val="22"/>
      <w:szCs w:val="22"/>
    </w:rPr>
  </w:style>
  <w:style w:type="paragraph" w:customStyle="1" w:styleId="Default">
    <w:name w:val="Default"/>
    <w:pPr>
      <w:widowControl w:val="0"/>
    </w:pPr>
    <w:rPr>
      <w:rFonts w:ascii="Arial" w:hAnsi="Arial" w:cs="Arial Unicode MS"/>
      <w:color w:val="000000"/>
      <w:sz w:val="24"/>
      <w:szCs w:val="24"/>
      <w:u w:color="000000"/>
      <w:lang w:val="en-US"/>
    </w:rPr>
  </w:style>
  <w:style w:type="paragraph" w:customStyle="1" w:styleId="EndNoteBibliography">
    <w:name w:val="EndNote Bibliography"/>
    <w:rPr>
      <w:rFonts w:eastAsia="Times New Roman"/>
      <w:color w:val="000000"/>
      <w:sz w:val="24"/>
      <w:szCs w:val="24"/>
      <w:u w:color="000000"/>
      <w:lang w:val="en-US"/>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cs="Arial Unicode MS"/>
      <w:color w:val="000000"/>
      <w:u w:color="000000"/>
      <w:lang w:val="en-US"/>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D7330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3302"/>
    <w:rPr>
      <w:rFonts w:ascii="Segoe UI" w:hAnsi="Segoe UI" w:cs="Segoe UI"/>
      <w:color w:val="000000"/>
      <w:sz w:val="18"/>
      <w:szCs w:val="18"/>
      <w:u w:color="000000"/>
      <w:lang w:val="en-US"/>
    </w:rPr>
  </w:style>
  <w:style w:type="paragraph" w:styleId="CommentSubject">
    <w:name w:val="annotation subject"/>
    <w:basedOn w:val="CommentText"/>
    <w:next w:val="CommentText"/>
    <w:link w:val="CommentSubjectChar"/>
    <w:uiPriority w:val="99"/>
    <w:semiHidden/>
    <w:unhideWhenUsed/>
    <w:rsid w:val="004766D8"/>
    <w:rPr>
      <w:b/>
      <w:bCs/>
    </w:rPr>
  </w:style>
  <w:style w:type="character" w:customStyle="1" w:styleId="CommentSubjectChar">
    <w:name w:val="Comment Subject Char"/>
    <w:basedOn w:val="CommentTextChar"/>
    <w:link w:val="CommentSubject"/>
    <w:uiPriority w:val="99"/>
    <w:semiHidden/>
    <w:rsid w:val="004766D8"/>
    <w:rPr>
      <w:rFonts w:cs="Arial Unicode MS"/>
      <w:b/>
      <w:bCs/>
      <w:color w:val="000000"/>
      <w:u w:color="000000"/>
      <w:lang w:val="en-US"/>
    </w:rPr>
  </w:style>
  <w:style w:type="character" w:customStyle="1" w:styleId="UnresolvedMention1">
    <w:name w:val="Unresolved Mention1"/>
    <w:basedOn w:val="DefaultParagraphFont"/>
    <w:uiPriority w:val="99"/>
    <w:semiHidden/>
    <w:unhideWhenUsed/>
    <w:rsid w:val="008D3BD6"/>
    <w:rPr>
      <w:color w:val="605E5C"/>
      <w:shd w:val="clear" w:color="auto" w:fill="E1DFDD"/>
    </w:rPr>
  </w:style>
  <w:style w:type="paragraph" w:styleId="Header">
    <w:name w:val="header"/>
    <w:basedOn w:val="Normal"/>
    <w:link w:val="HeaderChar"/>
    <w:uiPriority w:val="99"/>
    <w:unhideWhenUsed/>
    <w:rsid w:val="005837DE"/>
    <w:pPr>
      <w:tabs>
        <w:tab w:val="center" w:pos="4513"/>
        <w:tab w:val="right" w:pos="9026"/>
      </w:tabs>
    </w:pPr>
  </w:style>
  <w:style w:type="character" w:customStyle="1" w:styleId="HeaderChar">
    <w:name w:val="Header Char"/>
    <w:basedOn w:val="DefaultParagraphFont"/>
    <w:link w:val="Header"/>
    <w:uiPriority w:val="99"/>
    <w:rsid w:val="005837DE"/>
    <w:rPr>
      <w:rFonts w:cs="Arial Unicode MS"/>
      <w:color w:val="000000"/>
      <w:sz w:val="24"/>
      <w:szCs w:val="24"/>
      <w:u w:color="000000"/>
      <w:lang w:val="en-US"/>
    </w:rPr>
  </w:style>
  <w:style w:type="character" w:styleId="Emphasis">
    <w:name w:val="Emphasis"/>
    <w:basedOn w:val="DefaultParagraphFont"/>
    <w:uiPriority w:val="20"/>
    <w:qFormat/>
    <w:rsid w:val="0005223C"/>
    <w:rPr>
      <w:i/>
      <w:iCs/>
    </w:rPr>
  </w:style>
  <w:style w:type="character" w:customStyle="1" w:styleId="UnresolvedMention2">
    <w:name w:val="Unresolved Mention2"/>
    <w:basedOn w:val="DefaultParagraphFont"/>
    <w:uiPriority w:val="99"/>
    <w:semiHidden/>
    <w:unhideWhenUsed/>
    <w:rsid w:val="0087334F"/>
    <w:rPr>
      <w:color w:val="605E5C"/>
      <w:shd w:val="clear" w:color="auto" w:fill="E1DFDD"/>
    </w:rPr>
  </w:style>
  <w:style w:type="character" w:styleId="UnresolvedMention">
    <w:name w:val="Unresolved Mention"/>
    <w:basedOn w:val="DefaultParagraphFont"/>
    <w:uiPriority w:val="99"/>
    <w:semiHidden/>
    <w:unhideWhenUsed/>
    <w:rsid w:val="00161EA9"/>
    <w:rPr>
      <w:color w:val="605E5C"/>
      <w:shd w:val="clear" w:color="auto" w:fill="E1DFDD"/>
    </w:rPr>
  </w:style>
  <w:style w:type="paragraph" w:styleId="Title">
    <w:name w:val="Title"/>
    <w:basedOn w:val="Normal"/>
    <w:next w:val="Normal"/>
    <w:link w:val="TitleChar"/>
    <w:uiPriority w:val="10"/>
    <w:qFormat/>
    <w:rsid w:val="00726490"/>
    <w:pPr>
      <w:spacing w:line="480" w:lineRule="auto"/>
    </w:pPr>
    <w:rPr>
      <w:rFonts w:eastAsia="Times New Roman" w:cs="Times New Roman"/>
      <w:color w:val="auto"/>
      <w:lang w:val="en-GB"/>
    </w:rPr>
  </w:style>
  <w:style w:type="character" w:customStyle="1" w:styleId="TitleChar">
    <w:name w:val="Title Char"/>
    <w:basedOn w:val="DefaultParagraphFont"/>
    <w:link w:val="Title"/>
    <w:uiPriority w:val="10"/>
    <w:rsid w:val="00726490"/>
    <w:rPr>
      <w:rFonts w:eastAsia="Times New Roman"/>
      <w:sz w:val="24"/>
      <w:szCs w:val="24"/>
      <w:u w:color="000000"/>
    </w:rPr>
  </w:style>
  <w:style w:type="character" w:customStyle="1" w:styleId="Heading1Char">
    <w:name w:val="Heading 1 Char"/>
    <w:basedOn w:val="DefaultParagraphFont"/>
    <w:link w:val="Heading1"/>
    <w:uiPriority w:val="9"/>
    <w:rsid w:val="00726490"/>
    <w:rPr>
      <w:rFonts w:cs="Arial Unicode MS"/>
      <w:b/>
      <w:bCs/>
      <w:sz w:val="24"/>
      <w:szCs w:val="24"/>
      <w:u w:color="000000"/>
      <w:lang w:val="en-US"/>
    </w:rPr>
  </w:style>
  <w:style w:type="character" w:customStyle="1" w:styleId="Heading2Char">
    <w:name w:val="Heading 2 Char"/>
    <w:basedOn w:val="DefaultParagraphFont"/>
    <w:link w:val="Heading2"/>
    <w:uiPriority w:val="9"/>
    <w:rsid w:val="00592824"/>
    <w:rPr>
      <w:rFonts w:cs="Arial Unicode MS"/>
      <w:b/>
      <w:bCs/>
      <w:iCs/>
      <w:sz w:val="24"/>
      <w:szCs w:val="24"/>
      <w:u w:color="141413"/>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003223">
      <w:bodyDiv w:val="1"/>
      <w:marLeft w:val="0"/>
      <w:marRight w:val="0"/>
      <w:marTop w:val="0"/>
      <w:marBottom w:val="0"/>
      <w:divBdr>
        <w:top w:val="none" w:sz="0" w:space="0" w:color="auto"/>
        <w:left w:val="none" w:sz="0" w:space="0" w:color="auto"/>
        <w:bottom w:val="none" w:sz="0" w:space="0" w:color="auto"/>
        <w:right w:val="none" w:sz="0" w:space="0" w:color="auto"/>
      </w:divBdr>
    </w:div>
    <w:div w:id="397048118">
      <w:bodyDiv w:val="1"/>
      <w:marLeft w:val="0"/>
      <w:marRight w:val="0"/>
      <w:marTop w:val="0"/>
      <w:marBottom w:val="0"/>
      <w:divBdr>
        <w:top w:val="none" w:sz="0" w:space="0" w:color="auto"/>
        <w:left w:val="none" w:sz="0" w:space="0" w:color="auto"/>
        <w:bottom w:val="none" w:sz="0" w:space="0" w:color="auto"/>
        <w:right w:val="none" w:sz="0" w:space="0" w:color="auto"/>
      </w:divBdr>
    </w:div>
    <w:div w:id="657461374">
      <w:bodyDiv w:val="1"/>
      <w:marLeft w:val="0"/>
      <w:marRight w:val="0"/>
      <w:marTop w:val="0"/>
      <w:marBottom w:val="0"/>
      <w:divBdr>
        <w:top w:val="none" w:sz="0" w:space="0" w:color="auto"/>
        <w:left w:val="none" w:sz="0" w:space="0" w:color="auto"/>
        <w:bottom w:val="none" w:sz="0" w:space="0" w:color="auto"/>
        <w:right w:val="none" w:sz="0" w:space="0" w:color="auto"/>
      </w:divBdr>
    </w:div>
    <w:div w:id="814838025">
      <w:bodyDiv w:val="1"/>
      <w:marLeft w:val="0"/>
      <w:marRight w:val="0"/>
      <w:marTop w:val="0"/>
      <w:marBottom w:val="0"/>
      <w:divBdr>
        <w:top w:val="none" w:sz="0" w:space="0" w:color="auto"/>
        <w:left w:val="none" w:sz="0" w:space="0" w:color="auto"/>
        <w:bottom w:val="none" w:sz="0" w:space="0" w:color="auto"/>
        <w:right w:val="none" w:sz="0" w:space="0" w:color="auto"/>
      </w:divBdr>
    </w:div>
    <w:div w:id="1005792370">
      <w:bodyDiv w:val="1"/>
      <w:marLeft w:val="0"/>
      <w:marRight w:val="0"/>
      <w:marTop w:val="0"/>
      <w:marBottom w:val="0"/>
      <w:divBdr>
        <w:top w:val="none" w:sz="0" w:space="0" w:color="auto"/>
        <w:left w:val="none" w:sz="0" w:space="0" w:color="auto"/>
        <w:bottom w:val="none" w:sz="0" w:space="0" w:color="auto"/>
        <w:right w:val="none" w:sz="0" w:space="0" w:color="auto"/>
      </w:divBdr>
    </w:div>
    <w:div w:id="1506284625">
      <w:bodyDiv w:val="1"/>
      <w:marLeft w:val="0"/>
      <w:marRight w:val="0"/>
      <w:marTop w:val="0"/>
      <w:marBottom w:val="0"/>
      <w:divBdr>
        <w:top w:val="none" w:sz="0" w:space="0" w:color="auto"/>
        <w:left w:val="none" w:sz="0" w:space="0" w:color="auto"/>
        <w:bottom w:val="none" w:sz="0" w:space="0" w:color="auto"/>
        <w:right w:val="none" w:sz="0" w:space="0" w:color="auto"/>
      </w:divBdr>
    </w:div>
    <w:div w:id="20213952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who.int/violence_injury_prevention/violence/activities/intimate/en/" TargetMode="External"/><Relationship Id="rId18" Type="http://schemas.openxmlformats.org/officeDocument/2006/relationships/hyperlink" Target="https://www.who.int/violence_injury_prevention/violence/youth/youth_violence/en/"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www.cdc.gov/gshs" TargetMode="External"/><Relationship Id="rId17" Type="http://schemas.openxmlformats.org/officeDocument/2006/relationships/hyperlink" Target="https://www.who.int/news-room/fact-sheets/detail/adolescent-pregnancy" TargetMode="External"/><Relationship Id="rId2" Type="http://schemas.openxmlformats.org/officeDocument/2006/relationships/customXml" Target="../customXml/item2.xml"/><Relationship Id="rId16" Type="http://schemas.openxmlformats.org/officeDocument/2006/relationships/hyperlink" Target="https://www.who.int/violence_injury_prevention/violence/status_report/2014/en/"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who.int/chp/gshs" TargetMode="External"/><Relationship Id="rId5" Type="http://schemas.openxmlformats.org/officeDocument/2006/relationships/styles" Target="styles.xml"/><Relationship Id="rId15" Type="http://schemas.openxmlformats.org/officeDocument/2006/relationships/hyperlink" Target="https://www.cdc.gov/std/stats17/adolescents.htm" TargetMode="External"/><Relationship Id="rId10" Type="http://schemas.openxmlformats.org/officeDocument/2006/relationships/footer" Target="footer1.xml"/><Relationship Id="rId19"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aihw.gov.au/reports/children-youth/australias-children/contents/health/injurie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DC940401B443446950E83787B62815D" ma:contentTypeVersion="8" ma:contentTypeDescription="Create a new document." ma:contentTypeScope="" ma:versionID="c39ae0940943f7c7f84e1b93cc3807db">
  <xsd:schema xmlns:xsd="http://www.w3.org/2001/XMLSchema" xmlns:xs="http://www.w3.org/2001/XMLSchema" xmlns:p="http://schemas.microsoft.com/office/2006/metadata/properties" xmlns:ns3="6b494f05-939f-47b7-827f-de1e15f7b078" targetNamespace="http://schemas.microsoft.com/office/2006/metadata/properties" ma:root="true" ma:fieldsID="33cc0528b89aeb44a352a0adaa39f7b9" ns3:_="">
    <xsd:import namespace="6b494f05-939f-47b7-827f-de1e15f7b07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494f05-939f-47b7-827f-de1e15f7b0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D7D222A-684D-4E24-B3AC-5183718B9023}">
  <ds:schemaRefs>
    <ds:schemaRef ds:uri="http://schemas.microsoft.com/sharepoint/v3/contenttype/forms"/>
  </ds:schemaRefs>
</ds:datastoreItem>
</file>

<file path=customXml/itemProps2.xml><?xml version="1.0" encoding="utf-8"?>
<ds:datastoreItem xmlns:ds="http://schemas.openxmlformats.org/officeDocument/2006/customXml" ds:itemID="{ACB2F7BF-EDBD-4AFD-9460-47ED72174C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494f05-939f-47b7-827f-de1e15f7b0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E2CE0E-A39E-4665-B49B-B591A8FF4F8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27</Pages>
  <Words>7355</Words>
  <Characters>41929</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zain</dc:creator>
  <cp:lastModifiedBy>Blanshard, Lisa</cp:lastModifiedBy>
  <cp:revision>7</cp:revision>
  <dcterms:created xsi:type="dcterms:W3CDTF">2020-04-24T18:54:00Z</dcterms:created>
  <dcterms:modified xsi:type="dcterms:W3CDTF">2022-02-10T16:23:00Z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0x0101002DC940401B443446950E83787B62815D</vt:lpwstr>
  </property>
</Properties>
</file>