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A22D07" w14:textId="77777777" w:rsidR="00385613" w:rsidRPr="00214102" w:rsidRDefault="00385613" w:rsidP="00385613">
      <w:pPr>
        <w:spacing w:after="0" w:line="240" w:lineRule="auto"/>
        <w:rPr>
          <w:rFonts w:eastAsia="Times New Roman" w:cs="Times New Roman"/>
          <w:b/>
        </w:rPr>
      </w:pPr>
      <w:r w:rsidRPr="00214102">
        <w:rPr>
          <w:rFonts w:eastAsia="Times New Roman" w:cs="Times New Roman"/>
          <w:b/>
        </w:rPr>
        <w:t>Introduction</w:t>
      </w:r>
    </w:p>
    <w:p w14:paraId="13A63738" w14:textId="77777777" w:rsidR="00385613" w:rsidRPr="00214102" w:rsidRDefault="00385613" w:rsidP="00385613">
      <w:pPr>
        <w:spacing w:after="0" w:line="240" w:lineRule="auto"/>
        <w:rPr>
          <w:rFonts w:eastAsia="Times New Roman" w:cs="Times New Roman"/>
        </w:rPr>
      </w:pPr>
      <w:r w:rsidRPr="00214102">
        <w:rPr>
          <w:rFonts w:eastAsia="Times New Roman" w:cs="Times New Roman"/>
        </w:rPr>
        <w:t>National Student Survey (NSS) data indicates that the student experience on undergraduate major projects is not always positive.  Student satisfaction as expressed in module evaluation surveys and in NSS scores often lags behind those on other modules within their courses. Similarly, students’ academic outcomes (marks) on their projects are often lower than the aggregate marks on other modules at undergraduate levels 5 and 6. In some courses, they</w:t>
      </w:r>
      <w:r>
        <w:rPr>
          <w:rFonts w:eastAsia="Times New Roman" w:cs="Times New Roman"/>
        </w:rPr>
        <w:t xml:space="preserve"> are more likely to reduce than</w:t>
      </w:r>
      <w:r w:rsidRPr="00214102">
        <w:rPr>
          <w:rFonts w:eastAsia="Times New Roman" w:cs="Times New Roman"/>
        </w:rPr>
        <w:t xml:space="preserve"> add value in terms of the final classification mark.  Successful completion of the project/dissertation module is important as it is often </w:t>
      </w:r>
      <w:bookmarkStart w:id="0" w:name="_GoBack"/>
      <w:bookmarkEnd w:id="0"/>
      <w:r w:rsidRPr="00214102">
        <w:rPr>
          <w:rFonts w:eastAsia="Times New Roman" w:cs="Times New Roman"/>
        </w:rPr>
        <w:t>double-weighted (i.e. it often carries</w:t>
      </w:r>
      <w:r>
        <w:rPr>
          <w:rFonts w:eastAsia="Times New Roman" w:cs="Times New Roman"/>
        </w:rPr>
        <w:t xml:space="preserve"> twice the amount of </w:t>
      </w:r>
      <w:r w:rsidRPr="009158CE">
        <w:rPr>
          <w:rFonts w:eastAsia="Times New Roman" w:cs="Times New Roman"/>
        </w:rPr>
        <w:t>credits a</w:t>
      </w:r>
      <w:r w:rsidRPr="00214102">
        <w:rPr>
          <w:rFonts w:eastAsia="Times New Roman" w:cs="Times New Roman"/>
        </w:rPr>
        <w:t xml:space="preserve">s a standard module) which means that the negative impact of lower than average marks can have a disproportionate impact on final classification. However, the importance attached to the project by both students and their supervisors varies. This article presents a case study focusing on work undertaken by the authors at one UK university to enhance the practice of undergraduate supervisors and the subsequent quality of their supervision of student projects. </w:t>
      </w:r>
    </w:p>
    <w:p w14:paraId="6AA1125E" w14:textId="77777777" w:rsidR="00385613" w:rsidRPr="00214102" w:rsidRDefault="00385613" w:rsidP="00385613">
      <w:pPr>
        <w:spacing w:after="0" w:line="240" w:lineRule="auto"/>
        <w:rPr>
          <w:rFonts w:eastAsia="Times New Roman" w:cs="Times New Roman"/>
        </w:rPr>
      </w:pPr>
    </w:p>
    <w:p w14:paraId="404A94BD" w14:textId="77777777" w:rsidR="00385613" w:rsidRPr="00214102" w:rsidRDefault="00385613" w:rsidP="00385613">
      <w:pPr>
        <w:spacing w:after="0" w:line="240" w:lineRule="auto"/>
        <w:rPr>
          <w:rFonts w:eastAsia="Times New Roman" w:cs="Times New Roman"/>
          <w:b/>
        </w:rPr>
      </w:pPr>
      <w:r w:rsidRPr="00214102">
        <w:rPr>
          <w:rFonts w:eastAsia="Times New Roman" w:cs="Times New Roman"/>
          <w:b/>
        </w:rPr>
        <w:t xml:space="preserve">Background </w:t>
      </w:r>
    </w:p>
    <w:p w14:paraId="0838E26B" w14:textId="77777777" w:rsidR="00385613" w:rsidRPr="00214102" w:rsidRDefault="00385613" w:rsidP="00385613">
      <w:pPr>
        <w:spacing w:after="0" w:line="240" w:lineRule="auto"/>
        <w:rPr>
          <w:rFonts w:eastAsia="Times New Roman" w:cs="Times New Roman"/>
        </w:rPr>
      </w:pPr>
      <w:r w:rsidRPr="00214102">
        <w:rPr>
          <w:rFonts w:eastAsia="Times New Roman" w:cs="Times New Roman"/>
        </w:rPr>
        <w:t>The undergraduate major project is an extended piece of work, to develop further student knowledge and experience in a discipline area. It involves independently exploring a specific question in depth. Students are required to demonstrate research and project skills, critique their own and others’ work and underpin their work with a range of relevant sources. It is an opportunity for students, through sustained enquiry, to make a contribution to their discipline area that may include developing research skills, analysing data and making judgements. Indeed, many courses also offer research methods focused teaching content either during Level 5 or at the start of Level 6 in preparation for completing the undergraduate major project.</w:t>
      </w:r>
    </w:p>
    <w:p w14:paraId="0952C87D" w14:textId="77777777" w:rsidR="00385613" w:rsidRPr="00214102" w:rsidRDefault="00385613" w:rsidP="00385613">
      <w:pPr>
        <w:spacing w:after="0" w:line="240" w:lineRule="auto"/>
        <w:rPr>
          <w:rFonts w:eastAsia="Times New Roman" w:cs="Times New Roman"/>
        </w:rPr>
      </w:pPr>
    </w:p>
    <w:p w14:paraId="47E21DEE" w14:textId="77777777" w:rsidR="00385613" w:rsidRPr="00214102" w:rsidRDefault="00385613" w:rsidP="00385613">
      <w:pPr>
        <w:spacing w:after="0" w:line="240" w:lineRule="auto"/>
        <w:rPr>
          <w:rFonts w:eastAsia="Times New Roman" w:cs="Times New Roman"/>
        </w:rPr>
      </w:pPr>
      <w:r w:rsidRPr="00214102">
        <w:rPr>
          <w:rFonts w:eastAsia="Times New Roman" w:cs="Times New Roman"/>
        </w:rPr>
        <w:t xml:space="preserve">Whilst the authors found </w:t>
      </w:r>
      <w:r>
        <w:rPr>
          <w:rFonts w:eastAsia="Times New Roman" w:cs="Times New Roman"/>
        </w:rPr>
        <w:t>that some F</w:t>
      </w:r>
      <w:r w:rsidRPr="00214102">
        <w:rPr>
          <w:rFonts w:eastAsia="Times New Roman" w:cs="Times New Roman"/>
        </w:rPr>
        <w:t xml:space="preserve">aculties in their institution have recently begun a process of reducing the number of major project modules, they continue to feature prominently as a final capstone module on undergraduate degree courses across all Faculties. Indeed, they are (arguably) one of the defining characteristics of the student experience at many universities, being the compulsory culmination of the degree and providing students the opportunity to amalgamate what they have learned, applying and using different kinds of skills including </w:t>
      </w:r>
      <w:r>
        <w:rPr>
          <w:rFonts w:eastAsia="Times New Roman" w:cs="Times New Roman"/>
        </w:rPr>
        <w:t>higher-</w:t>
      </w:r>
      <w:r w:rsidRPr="00214102">
        <w:rPr>
          <w:rFonts w:eastAsia="Times New Roman" w:cs="Times New Roman"/>
        </w:rPr>
        <w:t xml:space="preserve">order HE skills such as communication, problem-solving, criticality and reflection as well as linking theory to practice.  </w:t>
      </w:r>
    </w:p>
    <w:p w14:paraId="48A307FB" w14:textId="77777777" w:rsidR="00385613" w:rsidRPr="00214102" w:rsidRDefault="00385613" w:rsidP="00385613">
      <w:pPr>
        <w:spacing w:after="0" w:line="240" w:lineRule="auto"/>
        <w:rPr>
          <w:rFonts w:eastAsia="Times New Roman" w:cs="Times New Roman"/>
        </w:rPr>
      </w:pPr>
    </w:p>
    <w:p w14:paraId="3175FDD4" w14:textId="77777777" w:rsidR="00385613" w:rsidRDefault="00385613" w:rsidP="00385613">
      <w:pPr>
        <w:spacing w:after="0" w:line="240" w:lineRule="auto"/>
        <w:rPr>
          <w:rFonts w:eastAsia="Times New Roman" w:cs="Times New Roman"/>
        </w:rPr>
      </w:pPr>
      <w:r w:rsidRPr="00214102">
        <w:rPr>
          <w:rFonts w:eastAsia="Times New Roman" w:cs="Times New Roman"/>
        </w:rPr>
        <w:t xml:space="preserve">The authors were presented with the challenge of thinking about how best to support undergraduate major project supervisors. </w:t>
      </w:r>
    </w:p>
    <w:p w14:paraId="16977919" w14:textId="77777777" w:rsidR="00385613" w:rsidRDefault="00385613" w:rsidP="00385613">
      <w:pPr>
        <w:pStyle w:val="ListParagraph"/>
        <w:numPr>
          <w:ilvl w:val="0"/>
          <w:numId w:val="8"/>
        </w:numPr>
        <w:spacing w:after="0" w:line="240" w:lineRule="auto"/>
        <w:rPr>
          <w:rFonts w:eastAsia="Times New Roman" w:cs="Times New Roman"/>
        </w:rPr>
      </w:pPr>
      <w:r w:rsidRPr="007E2EDB">
        <w:rPr>
          <w:rFonts w:eastAsia="Times New Roman" w:cs="Times New Roman"/>
        </w:rPr>
        <w:t xml:space="preserve">What kind of approach would work best? </w:t>
      </w:r>
    </w:p>
    <w:p w14:paraId="4C0D67B5" w14:textId="77777777" w:rsidR="00385613" w:rsidRDefault="00385613" w:rsidP="00385613">
      <w:pPr>
        <w:pStyle w:val="ListParagraph"/>
        <w:numPr>
          <w:ilvl w:val="0"/>
          <w:numId w:val="8"/>
        </w:numPr>
        <w:spacing w:after="0" w:line="240" w:lineRule="auto"/>
        <w:rPr>
          <w:rFonts w:eastAsia="Times New Roman" w:cs="Times New Roman"/>
        </w:rPr>
      </w:pPr>
      <w:r w:rsidRPr="007E2EDB">
        <w:rPr>
          <w:rFonts w:eastAsia="Times New Roman" w:cs="Times New Roman"/>
        </w:rPr>
        <w:t xml:space="preserve">What kind of outputs or takeaways should be prioritised? </w:t>
      </w:r>
    </w:p>
    <w:p w14:paraId="39506A5D" w14:textId="77777777" w:rsidR="00385613" w:rsidRDefault="00385613" w:rsidP="00385613">
      <w:pPr>
        <w:pStyle w:val="ListParagraph"/>
        <w:numPr>
          <w:ilvl w:val="0"/>
          <w:numId w:val="8"/>
        </w:numPr>
        <w:spacing w:after="0" w:line="240" w:lineRule="auto"/>
        <w:rPr>
          <w:rFonts w:eastAsia="Times New Roman" w:cs="Times New Roman"/>
        </w:rPr>
      </w:pPr>
      <w:r w:rsidRPr="007E2EDB">
        <w:rPr>
          <w:rFonts w:eastAsia="Times New Roman" w:cs="Times New Roman"/>
        </w:rPr>
        <w:t xml:space="preserve">Should the intervention be face-to-face, or online? </w:t>
      </w:r>
    </w:p>
    <w:p w14:paraId="5D0D42EE" w14:textId="77777777" w:rsidR="00385613" w:rsidRDefault="00385613" w:rsidP="00385613">
      <w:pPr>
        <w:pStyle w:val="ListParagraph"/>
        <w:numPr>
          <w:ilvl w:val="0"/>
          <w:numId w:val="8"/>
        </w:numPr>
        <w:spacing w:after="0" w:line="240" w:lineRule="auto"/>
        <w:rPr>
          <w:rFonts w:eastAsia="Times New Roman" w:cs="Times New Roman"/>
        </w:rPr>
      </w:pPr>
      <w:r w:rsidRPr="007E2EDB">
        <w:rPr>
          <w:rFonts w:eastAsia="Times New Roman" w:cs="Times New Roman"/>
        </w:rPr>
        <w:t xml:space="preserve">Should a blended approach be employed? </w:t>
      </w:r>
    </w:p>
    <w:p w14:paraId="60CD99CC" w14:textId="77777777" w:rsidR="00385613" w:rsidRDefault="00385613" w:rsidP="00385613">
      <w:pPr>
        <w:spacing w:after="0" w:line="240" w:lineRule="auto"/>
        <w:rPr>
          <w:rFonts w:eastAsia="Times New Roman" w:cs="Times New Roman"/>
        </w:rPr>
      </w:pPr>
    </w:p>
    <w:p w14:paraId="4A92122E" w14:textId="77777777" w:rsidR="00385613" w:rsidRPr="007E2EDB" w:rsidRDefault="00385613" w:rsidP="00385613">
      <w:pPr>
        <w:spacing w:after="0" w:line="240" w:lineRule="auto"/>
        <w:rPr>
          <w:rFonts w:eastAsia="Times New Roman" w:cs="Times New Roman"/>
        </w:rPr>
      </w:pPr>
      <w:r w:rsidRPr="007E2EDB">
        <w:rPr>
          <w:rFonts w:eastAsia="Times New Roman" w:cs="Times New Roman"/>
        </w:rPr>
        <w:t xml:space="preserve">To what extent should the focus of development be on developing colleagues’ understanding of the purpose and benefits of projects for students’ academic and professional development (and their preparedness for the world of work) or, by contrast, on developing the skills, strategies and attributes of an effective supervisor, including providing concrete supervision tools and tips that colleagues might subsequently apply in their own practice? </w:t>
      </w:r>
    </w:p>
    <w:p w14:paraId="60D05E34" w14:textId="77777777" w:rsidR="00385613" w:rsidRDefault="00385613" w:rsidP="00385613">
      <w:pPr>
        <w:spacing w:after="0" w:line="240" w:lineRule="auto"/>
        <w:rPr>
          <w:rFonts w:eastAsia="Times New Roman" w:cs="Times New Roman"/>
        </w:rPr>
      </w:pPr>
    </w:p>
    <w:p w14:paraId="34BAD585" w14:textId="77777777" w:rsidR="00385613" w:rsidRPr="00214102" w:rsidRDefault="00385613" w:rsidP="00385613">
      <w:pPr>
        <w:spacing w:after="0" w:line="240" w:lineRule="auto"/>
        <w:rPr>
          <w:rFonts w:eastAsia="Times New Roman" w:cs="Times New Roman"/>
        </w:rPr>
      </w:pPr>
      <w:r w:rsidRPr="007E2EDB">
        <w:rPr>
          <w:rFonts w:eastAsia="Times New Roman" w:cs="Times New Roman"/>
        </w:rPr>
        <w:t xml:space="preserve">Eventually the authors’ embraced an approach which addressed all of these, and </w:t>
      </w:r>
      <w:r>
        <w:rPr>
          <w:rFonts w:eastAsia="Times New Roman" w:cs="Times New Roman"/>
        </w:rPr>
        <w:t>i</w:t>
      </w:r>
      <w:r w:rsidRPr="00214102">
        <w:rPr>
          <w:rFonts w:eastAsia="Times New Roman" w:cs="Times New Roman"/>
        </w:rPr>
        <w:t>ncluded four different types of academic development: generic face-to-face workshops (open to and attended by staff from across the University), Faculty-specific workshops (tailored to the needs of specific Faculties)</w:t>
      </w:r>
      <w:r>
        <w:rPr>
          <w:rFonts w:eastAsia="Times New Roman" w:cs="Times New Roman"/>
        </w:rPr>
        <w:t xml:space="preserve">, online webinars and informal </w:t>
      </w:r>
      <w:r w:rsidRPr="00780138">
        <w:rPr>
          <w:rFonts w:eastAsia="Times New Roman" w:cs="Times New Roman"/>
          <w:i/>
        </w:rPr>
        <w:t>drop-in</w:t>
      </w:r>
      <w:r w:rsidRPr="00214102">
        <w:rPr>
          <w:rFonts w:eastAsia="Times New Roman" w:cs="Times New Roman"/>
        </w:rPr>
        <w:t xml:space="preserve"> sessions wherein academic supervisors could come along to seek advice and guidance of a general or very specific nature. The emphasis was on </w:t>
      </w:r>
      <w:r>
        <w:rPr>
          <w:rFonts w:eastAsia="Times New Roman" w:cs="Times New Roman"/>
        </w:rPr>
        <w:t>exploring both the principle</w:t>
      </w:r>
      <w:r w:rsidRPr="00214102">
        <w:rPr>
          <w:rFonts w:eastAsia="Times New Roman" w:cs="Times New Roman"/>
        </w:rPr>
        <w:t xml:space="preserve">s of good supervisory practice, clarifying roles and responsibilities and </w:t>
      </w:r>
      <w:r w:rsidRPr="00214102">
        <w:rPr>
          <w:rFonts w:eastAsia="Times New Roman" w:cs="Times New Roman"/>
        </w:rPr>
        <w:lastRenderedPageBreak/>
        <w:t>developing colleagues’ insights into the pedagogies most likely to encourage</w:t>
      </w:r>
      <w:r>
        <w:rPr>
          <w:rFonts w:eastAsia="Times New Roman" w:cs="Times New Roman"/>
        </w:rPr>
        <w:t xml:space="preserve"> and support positive outcomes,</w:t>
      </w:r>
      <w:r w:rsidRPr="00214102">
        <w:rPr>
          <w:rFonts w:eastAsia="Times New Roman" w:cs="Times New Roman"/>
        </w:rPr>
        <w:t xml:space="preserve"> whilst </w:t>
      </w:r>
      <w:r>
        <w:rPr>
          <w:rFonts w:eastAsia="Times New Roman" w:cs="Times New Roman"/>
        </w:rPr>
        <w:t xml:space="preserve">also </w:t>
      </w:r>
      <w:r w:rsidRPr="00214102">
        <w:rPr>
          <w:rFonts w:eastAsia="Times New Roman" w:cs="Times New Roman"/>
        </w:rPr>
        <w:t>providing a rich and diverse array of ‘tools’ that supervisors could use with their students to enhance the latter’s experience of the project development process.</w:t>
      </w:r>
    </w:p>
    <w:p w14:paraId="7E9E26FB" w14:textId="77777777" w:rsidR="00385613" w:rsidRPr="00214102" w:rsidRDefault="00385613" w:rsidP="00385613">
      <w:pPr>
        <w:spacing w:after="0" w:line="240" w:lineRule="auto"/>
        <w:rPr>
          <w:rFonts w:eastAsia="Times New Roman" w:cs="Times New Roman"/>
        </w:rPr>
      </w:pPr>
    </w:p>
    <w:p w14:paraId="144A58F5" w14:textId="77777777" w:rsidR="00385613" w:rsidRPr="00214102" w:rsidRDefault="00385613" w:rsidP="00385613">
      <w:pPr>
        <w:spacing w:after="0" w:line="240" w:lineRule="auto"/>
        <w:rPr>
          <w:rFonts w:eastAsia="Times New Roman" w:cs="Times New Roman"/>
          <w:b/>
          <w:bCs/>
          <w:color w:val="000000" w:themeColor="text1"/>
        </w:rPr>
      </w:pPr>
      <w:r w:rsidRPr="00214102">
        <w:rPr>
          <w:rFonts w:eastAsia="Times New Roman" w:cs="Times New Roman"/>
          <w:b/>
          <w:bCs/>
          <w:color w:val="000000" w:themeColor="text1"/>
        </w:rPr>
        <w:t>Context</w:t>
      </w:r>
    </w:p>
    <w:p w14:paraId="03436688" w14:textId="77777777" w:rsidR="00385613" w:rsidRDefault="00385613" w:rsidP="00385613">
      <w:pPr>
        <w:spacing w:after="0" w:line="240" w:lineRule="auto"/>
        <w:rPr>
          <w:rFonts w:eastAsia="Times New Roman" w:cs="Times New Roman"/>
          <w:color w:val="000000" w:themeColor="text1"/>
        </w:rPr>
      </w:pPr>
      <w:r w:rsidRPr="00214102">
        <w:rPr>
          <w:rFonts w:eastAsia="Times New Roman" w:cs="Times New Roman"/>
          <w:color w:val="000000" w:themeColor="text1"/>
        </w:rPr>
        <w:t>The need for some dedicated staff development focused around the supervision of students undertaking undergraduate Major Project Modules was identified during early discussions between the authors, Deputy Deans and Directors of Learning, Teaching and Assessment in each of the Faculties. Academic staff who were often highly adept at delivering standard undergraduate modules sometimes struggled to achieve either the high module evaluation (satisfaction) scores on their project modules, and student academic outcomes were often less positive than on other modules, with marks sometimes impacting negatively on Good Degree outcomes (i.e. the proportion of students achieving a 1</w:t>
      </w:r>
      <w:r w:rsidRPr="00214102">
        <w:rPr>
          <w:rFonts w:eastAsia="Times New Roman" w:cs="Times New Roman"/>
          <w:color w:val="000000" w:themeColor="text1"/>
          <w:vertAlign w:val="superscript"/>
        </w:rPr>
        <w:t>st</w:t>
      </w:r>
      <w:r w:rsidRPr="00214102">
        <w:rPr>
          <w:rFonts w:eastAsia="Times New Roman" w:cs="Times New Roman"/>
          <w:color w:val="000000" w:themeColor="text1"/>
        </w:rPr>
        <w:t xml:space="preserve"> or 2(1) degree classification). This problem was common to all the Faculties and partner colleges. </w:t>
      </w:r>
    </w:p>
    <w:p w14:paraId="4BC1135F" w14:textId="77777777" w:rsidR="00385613" w:rsidRDefault="00385613" w:rsidP="00385613">
      <w:pPr>
        <w:spacing w:after="0" w:line="240" w:lineRule="auto"/>
        <w:rPr>
          <w:rFonts w:eastAsia="Times New Roman" w:cs="Times New Roman"/>
          <w:color w:val="000000" w:themeColor="text1"/>
        </w:rPr>
      </w:pPr>
    </w:p>
    <w:p w14:paraId="4911048C" w14:textId="77777777" w:rsidR="00385613" w:rsidRPr="00214102" w:rsidRDefault="00385613" w:rsidP="00385613">
      <w:pPr>
        <w:spacing w:after="0" w:line="240" w:lineRule="auto"/>
        <w:rPr>
          <w:rFonts w:eastAsia="Times New Roman" w:cs="Times New Roman"/>
          <w:color w:val="000000" w:themeColor="text1"/>
        </w:rPr>
      </w:pPr>
      <w:r w:rsidRPr="00214102">
        <w:rPr>
          <w:rFonts w:eastAsia="Times New Roman" w:cs="Times New Roman"/>
          <w:color w:val="000000" w:themeColor="text1"/>
        </w:rPr>
        <w:t>The authors set about developing a clearer insight into the use of the undergraduate project module across the University and discovered that project modules were, indeed, a very common feature of degree programmes, and often had a double weighting (i.e. they had a 30 or 45 credit load, rather than the normal 15 credits)</w:t>
      </w:r>
      <w:r>
        <w:rPr>
          <w:rFonts w:eastAsia="Times New Roman" w:cs="Times New Roman"/>
          <w:color w:val="000000" w:themeColor="text1"/>
        </w:rPr>
        <w:t>. T</w:t>
      </w:r>
      <w:r w:rsidRPr="00214102">
        <w:rPr>
          <w:rFonts w:eastAsia="Times New Roman" w:cs="Times New Roman"/>
          <w:color w:val="000000" w:themeColor="text1"/>
        </w:rPr>
        <w:t>he length of the project varied, but most took a written form and were between 8-12, 000 words in total. So</w:t>
      </w:r>
      <w:r>
        <w:rPr>
          <w:rFonts w:eastAsia="Times New Roman" w:cs="Times New Roman"/>
          <w:color w:val="000000" w:themeColor="text1"/>
        </w:rPr>
        <w:t>me courses provided opportunitie</w:t>
      </w:r>
      <w:r w:rsidRPr="00214102">
        <w:rPr>
          <w:rFonts w:eastAsia="Times New Roman" w:cs="Times New Roman"/>
          <w:color w:val="000000" w:themeColor="text1"/>
        </w:rPr>
        <w:t xml:space="preserve">s for alternative forms of </w:t>
      </w:r>
      <w:r>
        <w:rPr>
          <w:rFonts w:eastAsia="Times New Roman" w:cs="Times New Roman"/>
          <w:color w:val="000000" w:themeColor="text1"/>
        </w:rPr>
        <w:t>submission, such as an extended</w:t>
      </w:r>
      <w:r w:rsidRPr="00214102">
        <w:rPr>
          <w:rFonts w:eastAsia="Times New Roman" w:cs="Times New Roman"/>
          <w:color w:val="000000" w:themeColor="text1"/>
        </w:rPr>
        <w:t xml:space="preserve"> literature review, a piece of software or an artefact or practical component with a commentary. There was also some variation in the form of the submission, with some courses requiring a proposal, research plan or draft chapter to be submitted first, or some of the assessment to be in the form of an oral presentation or a poster. Most work was marked by tutors but some courses involved student peer assessment or presentation to local employers. However, the main project accounted for the majority of the marks</w:t>
      </w:r>
      <w:r>
        <w:rPr>
          <w:rFonts w:eastAsia="Times New Roman" w:cs="Times New Roman"/>
          <w:color w:val="000000" w:themeColor="text1"/>
        </w:rPr>
        <w:t xml:space="preserve"> in all cases</w:t>
      </w:r>
      <w:r w:rsidRPr="00214102">
        <w:rPr>
          <w:rFonts w:eastAsia="Times New Roman" w:cs="Times New Roman"/>
          <w:color w:val="000000" w:themeColor="text1"/>
        </w:rPr>
        <w:t xml:space="preserve">. </w:t>
      </w:r>
    </w:p>
    <w:p w14:paraId="2CE841F5" w14:textId="77777777" w:rsidR="00385613" w:rsidRPr="00214102" w:rsidRDefault="00385613" w:rsidP="00385613">
      <w:pPr>
        <w:spacing w:after="0" w:line="240" w:lineRule="auto"/>
        <w:rPr>
          <w:rFonts w:eastAsia="Times New Roman" w:cs="Times New Roman"/>
          <w:color w:val="000000" w:themeColor="text1"/>
        </w:rPr>
      </w:pPr>
    </w:p>
    <w:p w14:paraId="65371856" w14:textId="77777777" w:rsidR="00385613" w:rsidRDefault="00385613" w:rsidP="00385613">
      <w:pPr>
        <w:spacing w:after="0" w:line="240" w:lineRule="auto"/>
        <w:rPr>
          <w:rFonts w:eastAsia="Times New Roman" w:cs="Times New Roman"/>
          <w:color w:val="000000" w:themeColor="text1"/>
        </w:rPr>
      </w:pPr>
      <w:r w:rsidRPr="00214102">
        <w:rPr>
          <w:rFonts w:eastAsia="Times New Roman" w:cs="Times New Roman"/>
          <w:color w:val="000000" w:themeColor="text1"/>
        </w:rPr>
        <w:t>Discussions with senior academic managers about the appropriate approach and likely content of staff development interventions on this theme resulted in a set of requirements that the authors were able to draw upon to build a three-hour</w:t>
      </w:r>
      <w:r>
        <w:rPr>
          <w:rFonts w:eastAsia="Times New Roman" w:cs="Times New Roman"/>
          <w:color w:val="000000" w:themeColor="text1"/>
        </w:rPr>
        <w:t xml:space="preserve"> workshop, with </w:t>
      </w:r>
      <w:r w:rsidRPr="00214102">
        <w:rPr>
          <w:rFonts w:eastAsia="Times New Roman" w:cs="Times New Roman"/>
          <w:color w:val="000000" w:themeColor="text1"/>
        </w:rPr>
        <w:t xml:space="preserve">associated pedagogic materials, that drew on best practice and research in the UK higher education sector. Delivery of the workshops took place at the institution’s core campuses, but also at the campuses of regional partners. The workshops also integrated technological tools such as Poll Everywhere, to capture ideas and feedback in each workshop, and to promote a pedagogical approach founded on active learning and engagement. The emphasis was on providing academic staff with concrete, tangible and practical ideas and tools that they could take away and utilise in their own supervision practice. </w:t>
      </w:r>
    </w:p>
    <w:p w14:paraId="0DAD8E43" w14:textId="77777777" w:rsidR="00385613" w:rsidRDefault="00385613" w:rsidP="00385613">
      <w:pPr>
        <w:spacing w:after="0" w:line="240" w:lineRule="auto"/>
        <w:rPr>
          <w:rFonts w:eastAsia="Times New Roman" w:cs="Times New Roman"/>
          <w:color w:val="000000" w:themeColor="text1"/>
        </w:rPr>
      </w:pPr>
    </w:p>
    <w:p w14:paraId="56374CD9" w14:textId="77777777" w:rsidR="00385613" w:rsidRPr="00214102" w:rsidRDefault="00385613" w:rsidP="00385613">
      <w:pPr>
        <w:spacing w:after="0" w:line="240" w:lineRule="auto"/>
        <w:rPr>
          <w:rFonts w:eastAsia="Times New Roman" w:cs="Times New Roman"/>
          <w:color w:val="000000" w:themeColor="text1"/>
        </w:rPr>
      </w:pPr>
      <w:r w:rsidRPr="00214102">
        <w:rPr>
          <w:rFonts w:eastAsia="Times New Roman" w:cs="Times New Roman"/>
          <w:color w:val="000000" w:themeColor="text1"/>
        </w:rPr>
        <w:t>The audience for the staff development interventions included experienced academic staff who were actively involved in supervising undergraduate projects, project module leaders, staff recently appointed to the supervisor role by their departmental heads, new staff who had no prior experience of supervising students, and (m</w:t>
      </w:r>
      <w:r>
        <w:rPr>
          <w:rFonts w:eastAsia="Times New Roman" w:cs="Times New Roman"/>
          <w:color w:val="000000" w:themeColor="text1"/>
        </w:rPr>
        <w:t xml:space="preserve">ostly young) staff just setting </w:t>
      </w:r>
      <w:r w:rsidRPr="00214102">
        <w:rPr>
          <w:rFonts w:eastAsia="Times New Roman" w:cs="Times New Roman"/>
          <w:color w:val="000000" w:themeColor="text1"/>
        </w:rPr>
        <w:t>out on their academic careers who were both new to working in higher education, and new to the role of the undergraduate supervisor. In reality, the workshops also attracted some Course Leaders, responsible for ensuring the effective delivery of all modules within their programmes.</w:t>
      </w:r>
    </w:p>
    <w:p w14:paraId="228BF6A1" w14:textId="77777777" w:rsidR="00385613" w:rsidRPr="00214102" w:rsidRDefault="00385613" w:rsidP="00385613">
      <w:pPr>
        <w:spacing w:after="0" w:line="240" w:lineRule="auto"/>
        <w:rPr>
          <w:rFonts w:eastAsia="Times New Roman" w:cs="Times New Roman"/>
        </w:rPr>
      </w:pPr>
    </w:p>
    <w:p w14:paraId="6E813123" w14:textId="77777777" w:rsidR="00385613" w:rsidRPr="00214102" w:rsidRDefault="00385613" w:rsidP="00385613">
      <w:pPr>
        <w:spacing w:after="0" w:line="240" w:lineRule="auto"/>
        <w:rPr>
          <w:rFonts w:eastAsia="Times New Roman" w:cs="Times New Roman"/>
          <w:b/>
        </w:rPr>
      </w:pPr>
      <w:r w:rsidRPr="00214102">
        <w:rPr>
          <w:rFonts w:eastAsia="Times New Roman" w:cs="Times New Roman"/>
          <w:b/>
        </w:rPr>
        <w:t xml:space="preserve">Literature Review </w:t>
      </w:r>
    </w:p>
    <w:p w14:paraId="6D4703D3" w14:textId="77777777" w:rsidR="00385613" w:rsidRPr="00214102" w:rsidRDefault="00385613" w:rsidP="00385613">
      <w:pPr>
        <w:spacing w:after="0" w:line="240" w:lineRule="auto"/>
        <w:rPr>
          <w:rFonts w:eastAsia="Times New Roman" w:cs="Times New Roman"/>
        </w:rPr>
      </w:pPr>
      <w:r w:rsidRPr="00214102">
        <w:rPr>
          <w:rFonts w:eastAsia="Times New Roman" w:cs="Times New Roman"/>
        </w:rPr>
        <w:t xml:space="preserve">It was important to establish whether there was an existing body of literature on the topic of supervision of UG projects. A literature search revealed that, in fact, whilst there was a significant body of literature aimed at students on </w:t>
      </w:r>
      <w:r w:rsidRPr="00780138">
        <w:rPr>
          <w:rFonts w:eastAsia="Times New Roman" w:cs="Times New Roman"/>
          <w:i/>
        </w:rPr>
        <w:t>How to write a pr</w:t>
      </w:r>
      <w:r>
        <w:rPr>
          <w:rFonts w:eastAsia="Times New Roman" w:cs="Times New Roman"/>
          <w:i/>
        </w:rPr>
        <w:t>oject</w:t>
      </w:r>
      <w:r w:rsidRPr="00780138">
        <w:rPr>
          <w:rFonts w:eastAsia="Times New Roman" w:cs="Times New Roman"/>
          <w:i/>
        </w:rPr>
        <w:t xml:space="preserve"> </w:t>
      </w:r>
      <w:r w:rsidRPr="00780138">
        <w:rPr>
          <w:rFonts w:eastAsia="Times New Roman" w:cs="Times New Roman"/>
        </w:rPr>
        <w:t>or</w:t>
      </w:r>
      <w:r>
        <w:rPr>
          <w:rFonts w:eastAsia="Times New Roman" w:cs="Times New Roman"/>
          <w:i/>
        </w:rPr>
        <w:t xml:space="preserve"> How to write a dissertation</w:t>
      </w:r>
      <w:r w:rsidRPr="00214102">
        <w:rPr>
          <w:rFonts w:eastAsia="Times New Roman" w:cs="Times New Roman"/>
        </w:rPr>
        <w:t>, and there was a well-established discourse around the particula</w:t>
      </w:r>
      <w:r>
        <w:rPr>
          <w:rFonts w:eastAsia="Times New Roman" w:cs="Times New Roman"/>
        </w:rPr>
        <w:t xml:space="preserve">r challenges of supervising post graduate </w:t>
      </w:r>
      <w:r w:rsidRPr="00214102">
        <w:rPr>
          <w:rFonts w:eastAsia="Times New Roman" w:cs="Times New Roman"/>
        </w:rPr>
        <w:t xml:space="preserve">student theses (PhDs, MPhils, </w:t>
      </w:r>
      <w:proofErr w:type="spellStart"/>
      <w:r w:rsidRPr="00214102">
        <w:rPr>
          <w:rFonts w:eastAsia="Times New Roman" w:cs="Times New Roman"/>
        </w:rPr>
        <w:t>EdDs</w:t>
      </w:r>
      <w:proofErr w:type="spellEnd"/>
      <w:r w:rsidRPr="00214102">
        <w:rPr>
          <w:rFonts w:eastAsia="Times New Roman" w:cs="Times New Roman"/>
        </w:rPr>
        <w:t>), there was</w:t>
      </w:r>
      <w:r>
        <w:rPr>
          <w:rFonts w:eastAsia="Times New Roman" w:cs="Times New Roman"/>
        </w:rPr>
        <w:t xml:space="preserve">, according to </w:t>
      </w:r>
      <w:proofErr w:type="spellStart"/>
      <w:r>
        <w:rPr>
          <w:rFonts w:eastAsia="Times New Roman" w:cs="Times New Roman"/>
        </w:rPr>
        <w:t>Greenbank</w:t>
      </w:r>
      <w:proofErr w:type="spellEnd"/>
      <w:r>
        <w:rPr>
          <w:rFonts w:eastAsia="Times New Roman" w:cs="Times New Roman"/>
        </w:rPr>
        <w:t xml:space="preserve"> et al (2008)</w:t>
      </w:r>
      <w:r w:rsidRPr="00214102">
        <w:rPr>
          <w:rFonts w:eastAsia="Times New Roman" w:cs="Times New Roman"/>
        </w:rPr>
        <w:t xml:space="preserve"> surprisingly </w:t>
      </w:r>
      <w:r w:rsidRPr="00214102">
        <w:rPr>
          <w:rFonts w:eastAsia="Times New Roman" w:cs="Times New Roman"/>
        </w:rPr>
        <w:lastRenderedPageBreak/>
        <w:t xml:space="preserve">little research on the </w:t>
      </w:r>
      <w:r>
        <w:rPr>
          <w:rFonts w:eastAsia="Times New Roman" w:cs="Times New Roman"/>
        </w:rPr>
        <w:t xml:space="preserve">project </w:t>
      </w:r>
      <w:r w:rsidRPr="00214102">
        <w:rPr>
          <w:rFonts w:eastAsia="Times New Roman" w:cs="Times New Roman"/>
        </w:rPr>
        <w:t>or specifically mat</w:t>
      </w:r>
      <w:r>
        <w:rPr>
          <w:rFonts w:eastAsia="Times New Roman" w:cs="Times New Roman"/>
        </w:rPr>
        <w:t>erial aimed at supervisors of undergraduate</w:t>
      </w:r>
      <w:r w:rsidRPr="00214102">
        <w:rPr>
          <w:rFonts w:eastAsia="Times New Roman" w:cs="Times New Roman"/>
        </w:rPr>
        <w:t xml:space="preserve"> projects. Two exceptions worth noting were firstly </w:t>
      </w:r>
      <w:r w:rsidRPr="007E2EDB">
        <w:rPr>
          <w:rFonts w:eastAsia="Times New Roman" w:cs="Times New Roman"/>
          <w:i/>
        </w:rPr>
        <w:t>The Good Supervisor</w:t>
      </w:r>
      <w:r w:rsidRPr="00214102">
        <w:rPr>
          <w:rFonts w:eastAsia="Times New Roman" w:cs="Times New Roman"/>
        </w:rPr>
        <w:t xml:space="preserve"> (</w:t>
      </w:r>
      <w:proofErr w:type="spellStart"/>
      <w:r w:rsidRPr="00214102">
        <w:rPr>
          <w:rFonts w:eastAsia="Times New Roman" w:cs="Times New Roman"/>
        </w:rPr>
        <w:t>Wisker</w:t>
      </w:r>
      <w:proofErr w:type="spellEnd"/>
      <w:r>
        <w:rPr>
          <w:rFonts w:eastAsia="Times New Roman" w:cs="Times New Roman"/>
        </w:rPr>
        <w:t>,</w:t>
      </w:r>
      <w:r w:rsidRPr="00214102">
        <w:rPr>
          <w:rFonts w:eastAsia="Times New Roman" w:cs="Times New Roman"/>
        </w:rPr>
        <w:t xml:space="preserve"> 2012)  which draws upon a research base to discuss and reflect on both undergraduate and postgraduate dissertation supervision and exchange good practice, and secondly a study by the HEA which focused on enhancing final year projects (Healey et al, 2014). Despite recent research in the sector on enhancing final year projects (Healey et al, 2013), universities have been slow to recognise that research supervision at undergraduate level involves a different relationship between supervisors and their supervisees, requires a different skillset and pedagogical approach on the part of academic staff, and involves inducting students into a new and often alien and unsettling approach to learning. Yet in 2004 Rowley and Slack indicated in their article </w:t>
      </w:r>
      <w:r w:rsidRPr="007E2EDB">
        <w:rPr>
          <w:rFonts w:eastAsia="Times New Roman" w:cs="Times New Roman"/>
        </w:rPr>
        <w:t>What is the future of undergraduate dissertations?</w:t>
      </w:r>
      <w:r>
        <w:rPr>
          <w:rFonts w:eastAsia="Times New Roman" w:cs="Times New Roman"/>
          <w:i/>
        </w:rPr>
        <w:t xml:space="preserve"> </w:t>
      </w:r>
      <w:r w:rsidRPr="00214102">
        <w:rPr>
          <w:rFonts w:eastAsia="Times New Roman" w:cs="Times New Roman"/>
        </w:rPr>
        <w:t xml:space="preserve">that a more proactive approach to supervision development was needed along with the changing nature of final year projects. In terms of institutional strategies to develop undergraduate research and enquiry, Healey and Jenkins (2009) propose that academic staff are provided with professional development to support them becoming more aware and engaged in undergraduate research. </w:t>
      </w:r>
    </w:p>
    <w:p w14:paraId="586A9615" w14:textId="77777777" w:rsidR="00385613" w:rsidRPr="00214102" w:rsidRDefault="00385613" w:rsidP="00385613">
      <w:pPr>
        <w:spacing w:after="0" w:line="240" w:lineRule="auto"/>
        <w:rPr>
          <w:rFonts w:eastAsia="Times New Roman" w:cs="Times New Roman"/>
          <w:b/>
          <w:highlight w:val="yellow"/>
        </w:rPr>
      </w:pPr>
    </w:p>
    <w:p w14:paraId="0C0C9B25" w14:textId="77777777" w:rsidR="00385613" w:rsidRDefault="00385613" w:rsidP="00385613">
      <w:pPr>
        <w:spacing w:after="0" w:line="240" w:lineRule="auto"/>
        <w:rPr>
          <w:rFonts w:eastAsia="Times New Roman" w:cs="Times New Roman"/>
        </w:rPr>
      </w:pPr>
      <w:r w:rsidRPr="00214102">
        <w:rPr>
          <w:rFonts w:eastAsia="Times New Roman" w:cs="Times New Roman"/>
        </w:rPr>
        <w:t>Project supervision needs to be recognised as</w:t>
      </w:r>
      <w:r>
        <w:rPr>
          <w:rFonts w:eastAsia="Times New Roman" w:cs="Times New Roman"/>
        </w:rPr>
        <w:t xml:space="preserve"> a respected and </w:t>
      </w:r>
      <w:r w:rsidRPr="00214102">
        <w:rPr>
          <w:rFonts w:eastAsia="Times New Roman" w:cs="Times New Roman"/>
        </w:rPr>
        <w:t>skilled teaching role unlike any other form of pedagogy. Supervision draws on a distinct form of pedagogy and academic practice refer</w:t>
      </w:r>
      <w:r>
        <w:rPr>
          <w:rFonts w:eastAsia="Times New Roman" w:cs="Times New Roman"/>
        </w:rPr>
        <w:t>r</w:t>
      </w:r>
      <w:r w:rsidRPr="00214102">
        <w:rPr>
          <w:rFonts w:eastAsia="Times New Roman" w:cs="Times New Roman"/>
        </w:rPr>
        <w:t>ed to as a distinctive blend of teaching, learning and research in supporting students to develop as independent learners through research and enquiry (</w:t>
      </w:r>
      <w:proofErr w:type="spellStart"/>
      <w:r>
        <w:rPr>
          <w:rFonts w:eastAsia="Times New Roman" w:cs="Times New Roman"/>
        </w:rPr>
        <w:t>W</w:t>
      </w:r>
      <w:r w:rsidRPr="00214102">
        <w:rPr>
          <w:rFonts w:eastAsia="Times New Roman" w:cs="Times New Roman"/>
        </w:rPr>
        <w:t>isker</w:t>
      </w:r>
      <w:proofErr w:type="spellEnd"/>
      <w:r w:rsidRPr="00214102">
        <w:rPr>
          <w:rFonts w:eastAsia="Times New Roman" w:cs="Times New Roman"/>
        </w:rPr>
        <w:t>, 2012; Fung, 2017; Jenkins and Healey, 2005)</w:t>
      </w:r>
      <w:r>
        <w:rPr>
          <w:rFonts w:eastAsia="Times New Roman" w:cs="Times New Roman"/>
        </w:rPr>
        <w:t xml:space="preserve">.  Its </w:t>
      </w:r>
      <w:r w:rsidRPr="00214102">
        <w:rPr>
          <w:rFonts w:eastAsia="Times New Roman" w:cs="Times New Roman"/>
        </w:rPr>
        <w:t xml:space="preserve">uniqueness </w:t>
      </w:r>
      <w:r>
        <w:rPr>
          <w:rFonts w:eastAsia="Times New Roman" w:cs="Times New Roman"/>
        </w:rPr>
        <w:t xml:space="preserve">arises </w:t>
      </w:r>
      <w:r w:rsidRPr="00214102">
        <w:rPr>
          <w:rFonts w:eastAsia="Times New Roman" w:cs="Times New Roman"/>
        </w:rPr>
        <w:t xml:space="preserve">from supporting students in their first formal steps in research, to ask research questions and take an exploratory, critical, problem-solving approach to their work in the creation of new knowledge and insights. This approach, sometimes referred to </w:t>
      </w:r>
      <w:r w:rsidRPr="0040550C">
        <w:rPr>
          <w:rFonts w:eastAsia="Times New Roman" w:cs="Times New Roman"/>
        </w:rPr>
        <w:t>as research-led teaching or research-based education</w:t>
      </w:r>
      <w:r>
        <w:rPr>
          <w:rFonts w:eastAsia="Times New Roman" w:cs="Times New Roman"/>
        </w:rPr>
        <w:t>,</w:t>
      </w:r>
      <w:r w:rsidRPr="0040550C">
        <w:rPr>
          <w:rFonts w:eastAsia="Times New Roman" w:cs="Times New Roman"/>
        </w:rPr>
        <w:t xml:space="preserve"> </w:t>
      </w:r>
      <w:r w:rsidRPr="00214102">
        <w:rPr>
          <w:rFonts w:eastAsia="Times New Roman" w:cs="Times New Roman"/>
        </w:rPr>
        <w:t>is the point of connection of resea</w:t>
      </w:r>
      <w:r>
        <w:rPr>
          <w:rFonts w:eastAsia="Times New Roman" w:cs="Times New Roman"/>
        </w:rPr>
        <w:t>r</w:t>
      </w:r>
      <w:r w:rsidRPr="00214102">
        <w:rPr>
          <w:rFonts w:eastAsia="Times New Roman" w:cs="Times New Roman"/>
        </w:rPr>
        <w:t>ch and teaching, although the alignment between teaching and research isn’t always recognised and one may be valued over the other, rather than fully integrated (</w:t>
      </w:r>
      <w:r>
        <w:rPr>
          <w:rFonts w:eastAsia="Times New Roman" w:cs="Times New Roman"/>
        </w:rPr>
        <w:t xml:space="preserve">Brew, 2006, </w:t>
      </w:r>
      <w:r w:rsidRPr="00214102">
        <w:rPr>
          <w:rFonts w:eastAsia="Times New Roman" w:cs="Times New Roman"/>
        </w:rPr>
        <w:t xml:space="preserve">Mayson and </w:t>
      </w:r>
      <w:proofErr w:type="spellStart"/>
      <w:r w:rsidRPr="00214102">
        <w:rPr>
          <w:rFonts w:eastAsia="Times New Roman" w:cs="Times New Roman"/>
        </w:rPr>
        <w:t>Schapper</w:t>
      </w:r>
      <w:proofErr w:type="spellEnd"/>
      <w:r w:rsidRPr="00214102">
        <w:rPr>
          <w:rFonts w:eastAsia="Times New Roman" w:cs="Times New Roman"/>
        </w:rPr>
        <w:t xml:space="preserve">, 2012). However, the undergraduate major project is one of the experiences where universities can develop students as researchers and students can actively engage with research as a core part of their studies (Healey, 2005). </w:t>
      </w:r>
    </w:p>
    <w:p w14:paraId="5AA8830D" w14:textId="77777777" w:rsidR="00385613" w:rsidRDefault="00385613" w:rsidP="00385613">
      <w:pPr>
        <w:spacing w:after="0" w:line="240" w:lineRule="auto"/>
        <w:rPr>
          <w:rFonts w:eastAsia="Times New Roman" w:cs="Times New Roman"/>
        </w:rPr>
      </w:pPr>
    </w:p>
    <w:p w14:paraId="0DB874CC" w14:textId="77777777" w:rsidR="00385613" w:rsidRPr="00214102" w:rsidRDefault="00385613" w:rsidP="00385613">
      <w:pPr>
        <w:spacing w:after="0" w:line="240" w:lineRule="auto"/>
        <w:rPr>
          <w:rFonts w:eastAsia="Times New Roman" w:cs="Times New Roman"/>
        </w:rPr>
      </w:pPr>
      <w:r>
        <w:rPr>
          <w:rFonts w:eastAsia="Times New Roman" w:cs="Times New Roman"/>
        </w:rPr>
        <w:t xml:space="preserve">Such an approach </w:t>
      </w:r>
      <w:r w:rsidRPr="00214102">
        <w:rPr>
          <w:rFonts w:eastAsia="Times New Roman" w:cs="Times New Roman"/>
        </w:rPr>
        <w:t>requires academics to recognise research as an aspect of their teaching and an area of scholarship to which students can meaningfully contribute and share (Brew, 2010). Furthermore, academics can also consider how the major project output can be extended to become</w:t>
      </w:r>
      <w:r>
        <w:rPr>
          <w:rFonts w:eastAsia="Times New Roman" w:cs="Times New Roman"/>
        </w:rPr>
        <w:t xml:space="preserve"> more outward-</w:t>
      </w:r>
      <w:r w:rsidRPr="009158CE">
        <w:rPr>
          <w:rFonts w:eastAsia="Times New Roman" w:cs="Times New Roman"/>
        </w:rPr>
        <w:t>facing</w:t>
      </w:r>
      <w:r w:rsidRPr="00214102">
        <w:rPr>
          <w:rFonts w:eastAsia="Times New Roman" w:cs="Times New Roman"/>
        </w:rPr>
        <w:t xml:space="preserve"> such as through submission of journal articles and reports (Healey et al, 2013). The project enables students to </w:t>
      </w:r>
      <w:r>
        <w:rPr>
          <w:rFonts w:eastAsia="Times New Roman" w:cs="Times New Roman"/>
        </w:rPr>
        <w:t>participate in i</w:t>
      </w:r>
      <w:r w:rsidRPr="00214102">
        <w:rPr>
          <w:rFonts w:eastAsia="Times New Roman" w:cs="Times New Roman"/>
        </w:rPr>
        <w:t>nquiry-based learning and produce knowledge as well as being the receiver of knowledge (</w:t>
      </w:r>
      <w:proofErr w:type="spellStart"/>
      <w:r w:rsidRPr="00214102">
        <w:rPr>
          <w:rFonts w:eastAsia="Times New Roman" w:cs="Times New Roman"/>
        </w:rPr>
        <w:t>Neary</w:t>
      </w:r>
      <w:proofErr w:type="spellEnd"/>
      <w:r w:rsidRPr="00214102">
        <w:rPr>
          <w:rFonts w:eastAsia="Times New Roman" w:cs="Times New Roman"/>
        </w:rPr>
        <w:t xml:space="preserve"> and Winn, 2009). It allows the student to take responsibility for their learning, a pedagogy that </w:t>
      </w:r>
      <w:proofErr w:type="spellStart"/>
      <w:r w:rsidRPr="00214102">
        <w:rPr>
          <w:rFonts w:eastAsia="Times New Roman" w:cs="Times New Roman"/>
        </w:rPr>
        <w:t>Neary</w:t>
      </w:r>
      <w:proofErr w:type="spellEnd"/>
      <w:r w:rsidRPr="00214102">
        <w:rPr>
          <w:rFonts w:eastAsia="Times New Roman" w:cs="Times New Roman"/>
        </w:rPr>
        <w:t xml:space="preserve"> refers to as </w:t>
      </w:r>
      <w:r>
        <w:rPr>
          <w:rFonts w:eastAsia="Times New Roman" w:cs="Times New Roman"/>
          <w:i/>
        </w:rPr>
        <w:t>Student as Producer</w:t>
      </w:r>
      <w:r w:rsidRPr="000744C6">
        <w:rPr>
          <w:rFonts w:eastAsia="Times New Roman" w:cs="Times New Roman"/>
          <w:i/>
        </w:rPr>
        <w:t xml:space="preserve"> </w:t>
      </w:r>
      <w:r>
        <w:rPr>
          <w:rFonts w:eastAsia="Times New Roman" w:cs="Times New Roman"/>
        </w:rPr>
        <w:t>(</w:t>
      </w:r>
      <w:r w:rsidRPr="00214102">
        <w:rPr>
          <w:rFonts w:eastAsia="Times New Roman" w:cs="Times New Roman"/>
        </w:rPr>
        <w:t>2010). The student is supported in the process by their supervisor using some features of collaboration on a real research project that can develop student curiosity and build engaged learning, with the potential to integrate students into the learning and research communities (Brew, 2006).</w:t>
      </w:r>
    </w:p>
    <w:p w14:paraId="78657F3C" w14:textId="77777777" w:rsidR="00385613" w:rsidRPr="00214102" w:rsidRDefault="00385613" w:rsidP="00385613">
      <w:pPr>
        <w:spacing w:after="0" w:line="240" w:lineRule="auto"/>
        <w:rPr>
          <w:rFonts w:eastAsia="Times New Roman" w:cs="Times New Roman"/>
        </w:rPr>
      </w:pPr>
    </w:p>
    <w:p w14:paraId="68CF2BC9" w14:textId="77777777" w:rsidR="00385613" w:rsidRPr="00214102" w:rsidRDefault="00385613" w:rsidP="00385613">
      <w:pPr>
        <w:spacing w:after="0" w:line="240" w:lineRule="auto"/>
        <w:rPr>
          <w:rFonts w:eastAsia="Times New Roman" w:cs="Times New Roman"/>
          <w:b/>
          <w:color w:val="000000" w:themeColor="text1"/>
        </w:rPr>
      </w:pPr>
      <w:r w:rsidRPr="00214102">
        <w:rPr>
          <w:rFonts w:eastAsia="Times New Roman" w:cs="Times New Roman"/>
          <w:b/>
          <w:color w:val="000000" w:themeColor="text1"/>
        </w:rPr>
        <w:t>The interventions</w:t>
      </w:r>
    </w:p>
    <w:p w14:paraId="6ECFBC1F" w14:textId="77777777" w:rsidR="00385613" w:rsidRPr="00214102" w:rsidRDefault="00385613" w:rsidP="00385613">
      <w:pPr>
        <w:spacing w:after="0" w:line="240" w:lineRule="auto"/>
        <w:rPr>
          <w:rFonts w:eastAsia="Times New Roman" w:cs="Times New Roman"/>
        </w:rPr>
      </w:pPr>
      <w:r>
        <w:rPr>
          <w:rFonts w:eastAsia="Times New Roman" w:cs="Times New Roman"/>
        </w:rPr>
        <w:t>The</w:t>
      </w:r>
      <w:r w:rsidRPr="009158CE">
        <w:rPr>
          <w:rFonts w:eastAsia="Times New Roman" w:cs="Times New Roman"/>
        </w:rPr>
        <w:t xml:space="preserve"> window</w:t>
      </w:r>
      <w:r w:rsidRPr="000744C6">
        <w:rPr>
          <w:rFonts w:eastAsia="Times New Roman" w:cs="Times New Roman"/>
          <w:i/>
        </w:rPr>
        <w:t xml:space="preserve"> </w:t>
      </w:r>
      <w:r w:rsidRPr="00214102">
        <w:rPr>
          <w:rFonts w:eastAsia="Times New Roman" w:cs="Times New Roman"/>
        </w:rPr>
        <w:t xml:space="preserve">for implementing the </w:t>
      </w:r>
      <w:r>
        <w:rPr>
          <w:rFonts w:eastAsia="Times New Roman" w:cs="Times New Roman"/>
        </w:rPr>
        <w:t xml:space="preserve">staff development </w:t>
      </w:r>
      <w:r w:rsidRPr="00214102">
        <w:rPr>
          <w:rFonts w:eastAsia="Times New Roman" w:cs="Times New Roman"/>
        </w:rPr>
        <w:t xml:space="preserve">interventions was a narrow one. In an ideal world these would begin in September and extend to March, thereby providing timely support at all stages of the supervision process, right up to the project submission deadline in early May. However, in reality, the timing of the interventions was constrained by the fact that this was a new area of staff development, with a new team working together for the first time. Time was needed to understand the problem, to prioritise the nature of the intervention, and to organise dates/venues, and to liaise with </w:t>
      </w:r>
      <w:r>
        <w:rPr>
          <w:rFonts w:eastAsia="Times New Roman" w:cs="Times New Roman"/>
        </w:rPr>
        <w:t>F</w:t>
      </w:r>
      <w:r w:rsidRPr="00214102">
        <w:rPr>
          <w:rFonts w:eastAsia="Times New Roman" w:cs="Times New Roman"/>
        </w:rPr>
        <w:t>a</w:t>
      </w:r>
      <w:r>
        <w:rPr>
          <w:rFonts w:eastAsia="Times New Roman" w:cs="Times New Roman"/>
        </w:rPr>
        <w:t xml:space="preserve">culty Directors of Learning, </w:t>
      </w:r>
      <w:r w:rsidRPr="00214102">
        <w:rPr>
          <w:rFonts w:eastAsia="Times New Roman" w:cs="Times New Roman"/>
        </w:rPr>
        <w:t>Teaching</w:t>
      </w:r>
      <w:r>
        <w:rPr>
          <w:rFonts w:eastAsia="Times New Roman" w:cs="Times New Roman"/>
        </w:rPr>
        <w:t xml:space="preserve"> and Assessment</w:t>
      </w:r>
      <w:r w:rsidRPr="00214102">
        <w:rPr>
          <w:rFonts w:eastAsia="Times New Roman" w:cs="Times New Roman"/>
        </w:rPr>
        <w:t>. Planning took up three vital months (Sept</w:t>
      </w:r>
      <w:r>
        <w:rPr>
          <w:rFonts w:eastAsia="Times New Roman" w:cs="Times New Roman"/>
        </w:rPr>
        <w:t>ember</w:t>
      </w:r>
      <w:r w:rsidRPr="00214102">
        <w:rPr>
          <w:rFonts w:eastAsia="Times New Roman" w:cs="Times New Roman"/>
        </w:rPr>
        <w:t>-November), meaning that it was not possible to run the first workshop until December. The remainder of the interventions had to be ‘squeezed’ into the period from Jan</w:t>
      </w:r>
      <w:r>
        <w:rPr>
          <w:rFonts w:eastAsia="Times New Roman" w:cs="Times New Roman"/>
        </w:rPr>
        <w:t>uary</w:t>
      </w:r>
      <w:r w:rsidRPr="00214102">
        <w:rPr>
          <w:rFonts w:eastAsia="Times New Roman" w:cs="Times New Roman"/>
        </w:rPr>
        <w:t xml:space="preserve">-March of the next year. The nature of the interventions was designed specifically to provide </w:t>
      </w:r>
      <w:r w:rsidRPr="00214102">
        <w:rPr>
          <w:rFonts w:eastAsia="Times New Roman" w:cs="Times New Roman"/>
        </w:rPr>
        <w:lastRenderedPageBreak/>
        <w:t>the most useful kind of support for supervisors – i.e. that reflected the stages of the supervision process itself and the kinds of challenges that each stage posed for them. It was important to ensure that staff were offered a sound</w:t>
      </w:r>
      <w:r>
        <w:rPr>
          <w:rFonts w:eastAsia="Times New Roman" w:cs="Times New Roman"/>
        </w:rPr>
        <w:t xml:space="preserve"> set of foundation blocks early </w:t>
      </w:r>
      <w:r w:rsidRPr="00214102">
        <w:rPr>
          <w:rFonts w:eastAsia="Times New Roman" w:cs="Times New Roman"/>
        </w:rPr>
        <w:t xml:space="preserve">on, but then subsequently had opportunities to seek more tailored advice and guidance as the nature of their work with their supervisees shifted. </w:t>
      </w:r>
    </w:p>
    <w:p w14:paraId="3270E600" w14:textId="77777777" w:rsidR="00385613" w:rsidRPr="00214102" w:rsidRDefault="00385613" w:rsidP="00385613">
      <w:pPr>
        <w:spacing w:after="0" w:line="240" w:lineRule="auto"/>
        <w:rPr>
          <w:rFonts w:eastAsia="Times New Roman" w:cs="Times New Roman"/>
        </w:rPr>
      </w:pPr>
    </w:p>
    <w:p w14:paraId="303467D7" w14:textId="77777777" w:rsidR="00385613" w:rsidRPr="00214102" w:rsidRDefault="00385613" w:rsidP="00385613">
      <w:pPr>
        <w:spacing w:after="0" w:line="240" w:lineRule="auto"/>
        <w:rPr>
          <w:rFonts w:eastAsia="Times New Roman" w:cs="Times New Roman"/>
        </w:rPr>
      </w:pPr>
      <w:r w:rsidRPr="00214102">
        <w:rPr>
          <w:rFonts w:eastAsia="Times New Roman" w:cs="Times New Roman"/>
        </w:rPr>
        <w:t>The authors drew on existing research into academic development within the sector, and developed a blended, multi-dimensional a</w:t>
      </w:r>
      <w:r>
        <w:rPr>
          <w:rFonts w:eastAsia="Times New Roman" w:cs="Times New Roman"/>
        </w:rPr>
        <w:t xml:space="preserve">pproach which brought together </w:t>
      </w:r>
      <w:r w:rsidRPr="00214102">
        <w:rPr>
          <w:rFonts w:eastAsia="Times New Roman" w:cs="Times New Roman"/>
        </w:rPr>
        <w:t>key components. Firstly they developed materials for a face-to-face 3 hour workshop. These workshops were run on multiple occasions and in different locations so as to maximise the opportunities for staff to engage. The se</w:t>
      </w:r>
      <w:r>
        <w:rPr>
          <w:rFonts w:eastAsia="Times New Roman" w:cs="Times New Roman"/>
        </w:rPr>
        <w:t xml:space="preserve">cond component was a series of </w:t>
      </w:r>
      <w:r w:rsidRPr="009158CE">
        <w:rPr>
          <w:rFonts w:eastAsia="Times New Roman" w:cs="Times New Roman"/>
        </w:rPr>
        <w:t>drop-in</w:t>
      </w:r>
      <w:r w:rsidRPr="00214102">
        <w:rPr>
          <w:rFonts w:eastAsia="Times New Roman" w:cs="Times New Roman"/>
        </w:rPr>
        <w:t xml:space="preserve"> advice and guidance sessions. These were run on four separate occasions and provided an informal opportunity for supervisors to discuss their concerns or to seek advice from the authors. The take-up was small, with only a handful of attendees at each, but those who came along really wanted to engage because they were grappling with a particular challenge and wanted to seek solutions or ideas that might help them overcome it. The final element of the intervention was a webinar, which took place roughly four weeks before the normal submission deadlines for most project modules. The timing was quite deliberate since the authors wanted to ensure that supervisors we</w:t>
      </w:r>
      <w:r>
        <w:rPr>
          <w:rFonts w:eastAsia="Times New Roman" w:cs="Times New Roman"/>
        </w:rPr>
        <w:t xml:space="preserve">re supported to maximise </w:t>
      </w:r>
      <w:r w:rsidRPr="0035790F">
        <w:rPr>
          <w:rFonts w:eastAsia="Times New Roman" w:cs="Times New Roman"/>
        </w:rPr>
        <w:t>their impact</w:t>
      </w:r>
      <w:r w:rsidRPr="00214102">
        <w:rPr>
          <w:rFonts w:eastAsia="Times New Roman" w:cs="Times New Roman"/>
        </w:rPr>
        <w:t xml:space="preserve"> on students in the final, crucial few weeks leading up to the deadline. Experience indicated that this was often a period of frenetic and intense activity both for students and their supervisors, and that it was </w:t>
      </w:r>
      <w:r>
        <w:rPr>
          <w:rFonts w:eastAsia="Times New Roman" w:cs="Times New Roman"/>
        </w:rPr>
        <w:t xml:space="preserve">a </w:t>
      </w:r>
      <w:r w:rsidRPr="00214102">
        <w:rPr>
          <w:rFonts w:eastAsia="Times New Roman" w:cs="Times New Roman"/>
        </w:rPr>
        <w:t>period when supervisors were well-placed to provide not only much needed reassurance, but also to give crucial feedback a</w:t>
      </w:r>
      <w:r>
        <w:rPr>
          <w:rFonts w:eastAsia="Times New Roman" w:cs="Times New Roman"/>
        </w:rPr>
        <w:t xml:space="preserve">nd advice on some of the final </w:t>
      </w:r>
      <w:r w:rsidRPr="000F3102">
        <w:rPr>
          <w:rFonts w:eastAsia="Times New Roman" w:cs="Times New Roman"/>
          <w:i/>
        </w:rPr>
        <w:t>sections</w:t>
      </w:r>
      <w:r w:rsidRPr="00214102">
        <w:rPr>
          <w:rFonts w:eastAsia="Times New Roman" w:cs="Times New Roman"/>
        </w:rPr>
        <w:t xml:space="preserve"> of text, and to provide advice about structure, composition, presentational issues, proofing and submission. </w:t>
      </w:r>
    </w:p>
    <w:p w14:paraId="658074C6" w14:textId="77777777" w:rsidR="00385613" w:rsidRPr="00214102" w:rsidRDefault="00385613" w:rsidP="00385613">
      <w:pPr>
        <w:spacing w:after="0" w:line="240" w:lineRule="auto"/>
        <w:rPr>
          <w:rFonts w:eastAsia="Times New Roman" w:cs="Times New Roman"/>
        </w:rPr>
      </w:pPr>
    </w:p>
    <w:p w14:paraId="0C0CCFB0" w14:textId="77777777" w:rsidR="00385613" w:rsidRPr="00214102" w:rsidRDefault="00385613" w:rsidP="00385613">
      <w:pPr>
        <w:spacing w:after="0" w:line="240" w:lineRule="auto"/>
        <w:rPr>
          <w:rFonts w:eastAsia="Times New Roman" w:cs="Times New Roman"/>
          <w:color w:val="000000" w:themeColor="text1"/>
        </w:rPr>
      </w:pPr>
      <w:r w:rsidRPr="00214102">
        <w:rPr>
          <w:rFonts w:eastAsia="Times New Roman" w:cs="Times New Roman"/>
          <w:color w:val="000000" w:themeColor="text1"/>
        </w:rPr>
        <w:t>Each workshop involved close collaborative working between the authors, including the inclu</w:t>
      </w:r>
      <w:r>
        <w:rPr>
          <w:rFonts w:eastAsia="Times New Roman" w:cs="Times New Roman"/>
          <w:color w:val="000000" w:themeColor="text1"/>
        </w:rPr>
        <w:t>sion of a highly choreographed role-</w:t>
      </w:r>
      <w:r w:rsidRPr="000F3102">
        <w:rPr>
          <w:rFonts w:eastAsia="Times New Roman" w:cs="Times New Roman"/>
          <w:color w:val="000000" w:themeColor="text1"/>
        </w:rPr>
        <w:t>play</w:t>
      </w:r>
      <w:r w:rsidRPr="00214102">
        <w:rPr>
          <w:rFonts w:eastAsia="Times New Roman" w:cs="Times New Roman"/>
          <w:color w:val="000000" w:themeColor="text1"/>
        </w:rPr>
        <w:t xml:space="preserve"> element where the authors </w:t>
      </w:r>
      <w:r>
        <w:rPr>
          <w:rFonts w:eastAsia="Times New Roman" w:cs="Times New Roman"/>
          <w:color w:val="000000" w:themeColor="text1"/>
        </w:rPr>
        <w:t xml:space="preserve">acted </w:t>
      </w:r>
      <w:r w:rsidRPr="00214102">
        <w:rPr>
          <w:rFonts w:eastAsia="Times New Roman" w:cs="Times New Roman"/>
          <w:color w:val="000000" w:themeColor="text1"/>
        </w:rPr>
        <w:t xml:space="preserve">out the role of supervisor and student in the context </w:t>
      </w:r>
      <w:r>
        <w:rPr>
          <w:rFonts w:eastAsia="Times New Roman" w:cs="Times New Roman"/>
          <w:color w:val="000000" w:themeColor="text1"/>
        </w:rPr>
        <w:t>of a carefully designed set of</w:t>
      </w:r>
      <w:r w:rsidRPr="000F3102">
        <w:rPr>
          <w:rFonts w:eastAsia="Times New Roman" w:cs="Times New Roman"/>
          <w:color w:val="000000" w:themeColor="text1"/>
        </w:rPr>
        <w:t xml:space="preserve"> scenarios</w:t>
      </w:r>
      <w:r w:rsidRPr="00214102">
        <w:rPr>
          <w:rFonts w:eastAsia="Times New Roman" w:cs="Times New Roman"/>
          <w:color w:val="000000" w:themeColor="text1"/>
        </w:rPr>
        <w:t xml:space="preserve">. Practicing for these role play scenarios certainly revealed hitherto hidden talents for amateur dramatics, but much more importantly provided attendees with what proved to be a </w:t>
      </w:r>
      <w:r>
        <w:rPr>
          <w:rFonts w:eastAsia="Times New Roman" w:cs="Times New Roman"/>
          <w:color w:val="000000" w:themeColor="text1"/>
        </w:rPr>
        <w:t xml:space="preserve">welcome element of humour, and </w:t>
      </w:r>
      <w:r w:rsidRPr="00214102">
        <w:rPr>
          <w:rFonts w:eastAsia="Times New Roman" w:cs="Times New Roman"/>
          <w:color w:val="000000" w:themeColor="text1"/>
        </w:rPr>
        <w:t>triggers for further discussion. Many were quick to identify with the behaviours and challenges that the scen</w:t>
      </w:r>
      <w:r>
        <w:rPr>
          <w:rFonts w:eastAsia="Times New Roman" w:cs="Times New Roman"/>
          <w:color w:val="000000" w:themeColor="text1"/>
        </w:rPr>
        <w:t>arios embodied. This helped to anchor</w:t>
      </w:r>
      <w:r w:rsidRPr="00214102">
        <w:rPr>
          <w:rFonts w:eastAsia="Times New Roman" w:cs="Times New Roman"/>
          <w:color w:val="000000" w:themeColor="text1"/>
        </w:rPr>
        <w:t xml:space="preserve"> the workshop in the realities of the supervision experiences of those colleagues in attendance, and generated further collective reflection on possible solutions and how certain behaviours, problems and challenges could b</w:t>
      </w:r>
      <w:r>
        <w:rPr>
          <w:rFonts w:eastAsia="Times New Roman" w:cs="Times New Roman"/>
          <w:color w:val="000000" w:themeColor="text1"/>
        </w:rPr>
        <w:t>e effectively managed. The role-</w:t>
      </w:r>
      <w:r w:rsidRPr="00214102">
        <w:rPr>
          <w:rFonts w:eastAsia="Times New Roman" w:cs="Times New Roman"/>
          <w:color w:val="000000" w:themeColor="text1"/>
        </w:rPr>
        <w:t xml:space="preserve">play elements focused not just on problematic student behaviours, but also problematic staff behaviours which might undermine or diminish the constructive relationship between supervisor and supervisee. </w:t>
      </w:r>
    </w:p>
    <w:p w14:paraId="62883ACC" w14:textId="77777777" w:rsidR="00385613" w:rsidRPr="00214102" w:rsidRDefault="00385613" w:rsidP="00385613">
      <w:pPr>
        <w:spacing w:after="0" w:line="240" w:lineRule="auto"/>
        <w:rPr>
          <w:rFonts w:eastAsia="Times New Roman" w:cs="Times New Roman"/>
          <w:color w:val="000000" w:themeColor="text1"/>
        </w:rPr>
      </w:pPr>
    </w:p>
    <w:p w14:paraId="1F44963A" w14:textId="77777777" w:rsidR="00385613" w:rsidRDefault="00385613" w:rsidP="00385613">
      <w:pPr>
        <w:spacing w:after="0" w:line="240" w:lineRule="auto"/>
        <w:rPr>
          <w:rFonts w:eastAsia="Times New Roman" w:cs="Times New Roman"/>
          <w:color w:val="000000" w:themeColor="text1"/>
        </w:rPr>
      </w:pPr>
      <w:r w:rsidRPr="00214102">
        <w:rPr>
          <w:rFonts w:eastAsia="Times New Roman" w:cs="Times New Roman"/>
          <w:color w:val="000000" w:themeColor="text1"/>
        </w:rPr>
        <w:t>It quickly became apparent that the workshop was throwing into sharp focus not only the practicalities of supervision, but the need for more consistent approaches within supervisory course teams, including establishing appropriate mutual expectations, clarifying roles, providing feedback and feed-forwards, managing and monitoring progress, and recording supervision sessions. A series o</w:t>
      </w:r>
      <w:r>
        <w:rPr>
          <w:rFonts w:eastAsia="Times New Roman" w:cs="Times New Roman"/>
          <w:color w:val="000000" w:themeColor="text1"/>
        </w:rPr>
        <w:t>f practical ideas and workable tools</w:t>
      </w:r>
      <w:r w:rsidRPr="00214102">
        <w:rPr>
          <w:rFonts w:eastAsia="Times New Roman" w:cs="Times New Roman"/>
          <w:color w:val="000000" w:themeColor="text1"/>
        </w:rPr>
        <w:t xml:space="preserve"> were shared with colleagues in order to equip them to change the way in whic</w:t>
      </w:r>
      <w:r>
        <w:rPr>
          <w:rFonts w:eastAsia="Times New Roman" w:cs="Times New Roman"/>
          <w:color w:val="000000" w:themeColor="text1"/>
        </w:rPr>
        <w:t>h they worked as teams</w:t>
      </w:r>
      <w:r w:rsidRPr="00214102">
        <w:rPr>
          <w:rFonts w:eastAsia="Times New Roman" w:cs="Times New Roman"/>
          <w:color w:val="000000" w:themeColor="text1"/>
        </w:rPr>
        <w:t xml:space="preserve"> and to enhance the way they supported and supervised their students.  Following each workshop, electronic copies of the PowerPoint slides employed were forwarded to attendees by email,</w:t>
      </w:r>
      <w:r>
        <w:rPr>
          <w:rFonts w:eastAsia="Times New Roman" w:cs="Times New Roman"/>
          <w:color w:val="000000" w:themeColor="text1"/>
        </w:rPr>
        <w:t xml:space="preserve"> along with a set of practical tools</w:t>
      </w:r>
      <w:r w:rsidRPr="00214102">
        <w:rPr>
          <w:rFonts w:eastAsia="Times New Roman" w:cs="Times New Roman"/>
          <w:color w:val="000000" w:themeColor="text1"/>
        </w:rPr>
        <w:t xml:space="preserve"> in Word format that they could adapt for their own use. Use of Poll Everywhere enabled the authors to capture feedback from attendees which revealed those practical ideas, tips, and tools the attendees felt they would definitely be using in future in their own practice. This demonstrated that the wo</w:t>
      </w:r>
      <w:r>
        <w:rPr>
          <w:rFonts w:eastAsia="Times New Roman" w:cs="Times New Roman"/>
          <w:color w:val="000000" w:themeColor="text1"/>
        </w:rPr>
        <w:t>rkshops had a highly practical outcome in terms of shifting thinking</w:t>
      </w:r>
      <w:r w:rsidRPr="00214102">
        <w:rPr>
          <w:rFonts w:eastAsia="Times New Roman" w:cs="Times New Roman"/>
          <w:color w:val="000000" w:themeColor="text1"/>
        </w:rPr>
        <w:t xml:space="preserve"> and providing academic colleagues with the tools they needed to enhance their practice and effectiveness as supervisors. </w:t>
      </w:r>
    </w:p>
    <w:p w14:paraId="2543FB0D" w14:textId="77777777" w:rsidR="00385613" w:rsidRDefault="00385613" w:rsidP="00385613">
      <w:pPr>
        <w:spacing w:after="0" w:line="240" w:lineRule="auto"/>
        <w:rPr>
          <w:rFonts w:eastAsia="Times New Roman" w:cs="Times New Roman"/>
          <w:color w:val="000000" w:themeColor="text1"/>
        </w:rPr>
      </w:pPr>
    </w:p>
    <w:p w14:paraId="3C02DC3E" w14:textId="77777777" w:rsidR="00385613" w:rsidRPr="00214102" w:rsidRDefault="00385613" w:rsidP="00385613">
      <w:pPr>
        <w:spacing w:after="0" w:line="240" w:lineRule="auto"/>
        <w:rPr>
          <w:rFonts w:eastAsia="Times New Roman" w:cs="Times New Roman"/>
        </w:rPr>
      </w:pPr>
      <w:r w:rsidRPr="00214102">
        <w:rPr>
          <w:rFonts w:eastAsia="Times New Roman" w:cs="Times New Roman"/>
        </w:rPr>
        <w:lastRenderedPageBreak/>
        <w:t>On reflection, the authors could have asked more experienced supervisors if t</w:t>
      </w:r>
      <w:r>
        <w:rPr>
          <w:rFonts w:eastAsia="Times New Roman" w:cs="Times New Roman"/>
        </w:rPr>
        <w:t>hey would be happy to serve as mentors</w:t>
      </w:r>
      <w:r w:rsidRPr="00214102">
        <w:rPr>
          <w:rFonts w:eastAsia="Times New Roman" w:cs="Times New Roman"/>
        </w:rPr>
        <w:t xml:space="preserve"> to less experienced colleagues. This could have helped to build a more robust community of practice around the undergraduate supervision process, and is an action point for the future. Creating a community of practice must be a priority in order to ensure that best practice is most effectively shared in sustainable ways.  The authors believe th</w:t>
      </w:r>
      <w:r>
        <w:rPr>
          <w:rFonts w:eastAsia="Times New Roman" w:cs="Times New Roman"/>
        </w:rPr>
        <w:t xml:space="preserve">at whilst there is </w:t>
      </w:r>
      <w:r w:rsidRPr="00214102">
        <w:rPr>
          <w:rFonts w:eastAsia="Times New Roman" w:cs="Times New Roman"/>
        </w:rPr>
        <w:t>value in matching experienced and novice supervisors within Faculties, there is likely to be even more value in facilitating pairings between Faculties – a process which would help to address the</w:t>
      </w:r>
      <w:r>
        <w:rPr>
          <w:rFonts w:eastAsia="Times New Roman" w:cs="Times New Roman"/>
        </w:rPr>
        <w:t xml:space="preserve"> entrenched silos</w:t>
      </w:r>
      <w:r w:rsidRPr="00214102">
        <w:rPr>
          <w:rFonts w:eastAsia="Times New Roman" w:cs="Times New Roman"/>
        </w:rPr>
        <w:t xml:space="preserve"> that often develop and which unhelpfully constrain the experiences of academic staff.</w:t>
      </w:r>
    </w:p>
    <w:p w14:paraId="54C80B0B" w14:textId="77777777" w:rsidR="00385613" w:rsidRPr="00214102" w:rsidRDefault="00385613" w:rsidP="00385613">
      <w:pPr>
        <w:spacing w:after="0" w:line="240" w:lineRule="auto"/>
        <w:rPr>
          <w:rFonts w:eastAsia="Times New Roman" w:cs="Times New Roman"/>
        </w:rPr>
      </w:pPr>
    </w:p>
    <w:p w14:paraId="195C7AA4" w14:textId="77777777" w:rsidR="00385613" w:rsidRDefault="00385613" w:rsidP="00385613">
      <w:pPr>
        <w:spacing w:after="0" w:line="240" w:lineRule="auto"/>
        <w:rPr>
          <w:rFonts w:eastAsia="Times New Roman" w:cs="Times New Roman"/>
        </w:rPr>
      </w:pPr>
      <w:r w:rsidRPr="00214102">
        <w:rPr>
          <w:rFonts w:eastAsia="Times New Roman" w:cs="Times New Roman"/>
        </w:rPr>
        <w:t xml:space="preserve">The authors were of the view that the development of supervision could not and should </w:t>
      </w:r>
      <w:r>
        <w:rPr>
          <w:rFonts w:eastAsia="Times New Roman" w:cs="Times New Roman"/>
        </w:rPr>
        <w:t>not be addressed in a critical vacuum</w:t>
      </w:r>
      <w:r w:rsidRPr="00214102">
        <w:rPr>
          <w:rFonts w:eastAsia="Times New Roman" w:cs="Times New Roman"/>
        </w:rPr>
        <w:t xml:space="preserve"> – i.e. it was felt to be important to place the concept of the undergraduate major project module into a meaningful academic context.  One of the first questions that the authors posed to supervisors was therefore a philosophical one: ‘What purpose does the project module s</w:t>
      </w:r>
      <w:r>
        <w:rPr>
          <w:rFonts w:eastAsia="Times New Roman" w:cs="Times New Roman"/>
        </w:rPr>
        <w:t>erve in your degree programme?’</w:t>
      </w:r>
      <w:r w:rsidRPr="00214102">
        <w:rPr>
          <w:rFonts w:eastAsia="Times New Roman" w:cs="Times New Roman"/>
        </w:rPr>
        <w:t xml:space="preserve"> This deceptively simple question prompted a surprisingly wide range of responses. For some colleagues, the project was primarily an opportunity for students to engage as active re</w:t>
      </w:r>
      <w:r>
        <w:rPr>
          <w:rFonts w:eastAsia="Times New Roman" w:cs="Times New Roman"/>
        </w:rPr>
        <w:t>searchers and to develop their research-mindedness</w:t>
      </w:r>
      <w:r w:rsidRPr="00214102">
        <w:rPr>
          <w:rFonts w:eastAsia="Times New Roman" w:cs="Times New Roman"/>
        </w:rPr>
        <w:t>. For others its key purpose was to provide students with opportunities to demonstrate their critical and analytical skills, or to develop deeper insights into a topic. For others it was about empowering students to identify improvements to processes, protocols, service or practice in the professional</w:t>
      </w:r>
      <w:r>
        <w:rPr>
          <w:rFonts w:eastAsia="Times New Roman" w:cs="Times New Roman"/>
        </w:rPr>
        <w:t xml:space="preserve"> workplace. One of the principal</w:t>
      </w:r>
      <w:r w:rsidRPr="00214102">
        <w:rPr>
          <w:rFonts w:eastAsia="Times New Roman" w:cs="Times New Roman"/>
        </w:rPr>
        <w:t xml:space="preserve"> purposes was to enabl</w:t>
      </w:r>
      <w:r>
        <w:rPr>
          <w:rFonts w:eastAsia="Times New Roman" w:cs="Times New Roman"/>
        </w:rPr>
        <w:t>e students to synthesize</w:t>
      </w:r>
      <w:r w:rsidRPr="00214102">
        <w:rPr>
          <w:rFonts w:eastAsia="Times New Roman" w:cs="Times New Roman"/>
        </w:rPr>
        <w:t xml:space="preserve"> their learning and to draw together and create linkages between disparate elements of the curriculum within a focused study. Some recognised that it enabled students to focus on what they found interesting – i.e. it facilitated an alignment between their passions (interests) and </w:t>
      </w:r>
      <w:r>
        <w:rPr>
          <w:rFonts w:eastAsia="Times New Roman" w:cs="Times New Roman"/>
        </w:rPr>
        <w:t xml:space="preserve">what they were able to study. The project </w:t>
      </w:r>
      <w:r w:rsidRPr="00214102">
        <w:rPr>
          <w:rFonts w:eastAsia="Times New Roman" w:cs="Times New Roman"/>
        </w:rPr>
        <w:t xml:space="preserve">therefore constituted a good example of negotiated learning. </w:t>
      </w:r>
    </w:p>
    <w:p w14:paraId="0BD9B0A9" w14:textId="77777777" w:rsidR="00385613" w:rsidRDefault="00385613" w:rsidP="00385613">
      <w:pPr>
        <w:spacing w:after="0" w:line="240" w:lineRule="auto"/>
        <w:rPr>
          <w:rFonts w:eastAsia="Times New Roman" w:cs="Times New Roman"/>
        </w:rPr>
      </w:pPr>
    </w:p>
    <w:p w14:paraId="395AF705" w14:textId="77777777" w:rsidR="00385613" w:rsidRPr="00214102" w:rsidRDefault="00385613" w:rsidP="00385613">
      <w:pPr>
        <w:spacing w:after="0" w:line="240" w:lineRule="auto"/>
        <w:rPr>
          <w:rFonts w:eastAsia="Times New Roman" w:cs="Times New Roman"/>
        </w:rPr>
      </w:pPr>
      <w:r w:rsidRPr="00214102">
        <w:rPr>
          <w:rFonts w:eastAsia="Times New Roman" w:cs="Times New Roman"/>
        </w:rPr>
        <w:t>Some supervisors emphasised the importance of the project as a vehicle for developing students’ autonomy and building their independent learning skills, whilst others flagged the role of the project (in cases where students were engaged in primary data collection from human participants) as a means by which students developed their social capital (networks) prior to transit</w:t>
      </w:r>
      <w:r>
        <w:rPr>
          <w:rFonts w:eastAsia="Times New Roman" w:cs="Times New Roman"/>
        </w:rPr>
        <w:t>ioning into graduate roles, or showcased</w:t>
      </w:r>
      <w:r w:rsidRPr="00214102">
        <w:rPr>
          <w:rFonts w:eastAsia="Times New Roman" w:cs="Times New Roman"/>
        </w:rPr>
        <w:t xml:space="preserve"> their work. For some, the project created </w:t>
      </w:r>
      <w:r>
        <w:rPr>
          <w:rFonts w:eastAsia="Times New Roman" w:cs="Times New Roman"/>
        </w:rPr>
        <w:t>an opportunity for students to stand out</w:t>
      </w:r>
      <w:r w:rsidRPr="00214102">
        <w:rPr>
          <w:rFonts w:eastAsia="Times New Roman" w:cs="Times New Roman"/>
        </w:rPr>
        <w:t xml:space="preserve"> in job interviews, </w:t>
      </w:r>
      <w:r>
        <w:rPr>
          <w:rFonts w:eastAsia="Times New Roman" w:cs="Times New Roman"/>
        </w:rPr>
        <w:t>or a springboard from which to launch</w:t>
      </w:r>
      <w:r w:rsidRPr="00214102">
        <w:rPr>
          <w:rFonts w:eastAsia="Times New Roman" w:cs="Times New Roman"/>
        </w:rPr>
        <w:t xml:space="preserve"> their professional career. Interestingly, one colleague felt</w:t>
      </w:r>
      <w:r>
        <w:rPr>
          <w:rFonts w:eastAsia="Times New Roman" w:cs="Times New Roman"/>
        </w:rPr>
        <w:t xml:space="preserve"> that it validated</w:t>
      </w:r>
      <w:r w:rsidRPr="00214102">
        <w:rPr>
          <w:rFonts w:eastAsia="Times New Roman" w:cs="Times New Roman"/>
        </w:rPr>
        <w:t xml:space="preserve"> the degree course and the teaching in it – although presumably only in cases where the students did well.</w:t>
      </w:r>
    </w:p>
    <w:p w14:paraId="71C35A6C" w14:textId="77777777" w:rsidR="00385613" w:rsidRPr="00214102" w:rsidRDefault="00385613" w:rsidP="00385613">
      <w:pPr>
        <w:spacing w:after="0" w:line="240" w:lineRule="auto"/>
        <w:rPr>
          <w:rFonts w:eastAsia="Times New Roman" w:cs="Times New Roman"/>
        </w:rPr>
      </w:pPr>
    </w:p>
    <w:p w14:paraId="6E70D8BE" w14:textId="77777777" w:rsidR="00385613" w:rsidRPr="00214102" w:rsidRDefault="00385613" w:rsidP="00385613">
      <w:pPr>
        <w:spacing w:after="0" w:line="240" w:lineRule="auto"/>
        <w:rPr>
          <w:rFonts w:eastAsia="Times New Roman" w:cs="Times New Roman"/>
        </w:rPr>
      </w:pPr>
      <w:r w:rsidRPr="00214102">
        <w:rPr>
          <w:rFonts w:eastAsia="Times New Roman" w:cs="Times New Roman"/>
        </w:rPr>
        <w:t>It is therefore quite clear that even in a relatively small sample of less than a hundred supervisors, there exist diverse and contrasting perspectives on the function of the project within degree programmes. The conclusion one must draw from the feedback from staff is that the major project (and the module it sits within) serves not one purpose, but many different and often complementary purposes, from developing autonomy to facilitating a successful progression into a graduate role or profession. What also became clear from the authors’ discussions with supervisors is that perceptions of the purpose of projects often varied greatly even within a single supervisory team on one module. No clear differences were discernible between different disciplines.</w:t>
      </w:r>
    </w:p>
    <w:p w14:paraId="7A37E66F" w14:textId="77777777" w:rsidR="00385613" w:rsidRPr="00214102" w:rsidRDefault="00385613" w:rsidP="00385613">
      <w:pPr>
        <w:spacing w:after="0" w:line="240" w:lineRule="auto"/>
        <w:rPr>
          <w:rFonts w:eastAsia="Times New Roman" w:cs="Times New Roman"/>
        </w:rPr>
      </w:pPr>
    </w:p>
    <w:p w14:paraId="4D902271" w14:textId="77777777" w:rsidR="00385613" w:rsidRDefault="00385613" w:rsidP="00385613">
      <w:pPr>
        <w:spacing w:after="0" w:line="240" w:lineRule="auto"/>
        <w:rPr>
          <w:rFonts w:eastAsia="Times New Roman" w:cs="Times New Roman"/>
        </w:rPr>
      </w:pPr>
      <w:r w:rsidRPr="00214102">
        <w:rPr>
          <w:rFonts w:eastAsia="Times New Roman" w:cs="Times New Roman"/>
        </w:rPr>
        <w:t xml:space="preserve">The timing of the webinar proved to be particularly useful in relation to supporting supervisors to help their students refine three particularly important elements of their projects - the introduction, the concluding section, and the section (where appropriate) on recommendations. Experience suggests that these are often left until last by students, and frequently fail to receive the careful attention they deserve. The webinar explored how supervisors could help students to conceptualise the purpose and focus of these three sections of the project. The webinar also provided the authors with an opportunity to explore with supervisors how they could ‘target’ their support and maximise their impact on the drafting of the final product. </w:t>
      </w:r>
    </w:p>
    <w:p w14:paraId="2D86151B" w14:textId="77777777" w:rsidR="00385613" w:rsidRDefault="00385613" w:rsidP="00385613">
      <w:pPr>
        <w:spacing w:after="0" w:line="240" w:lineRule="auto"/>
        <w:rPr>
          <w:rFonts w:eastAsia="Times New Roman" w:cs="Times New Roman"/>
        </w:rPr>
      </w:pPr>
    </w:p>
    <w:p w14:paraId="0BE46E4D" w14:textId="77777777" w:rsidR="00385613" w:rsidRPr="00214102" w:rsidRDefault="00385613" w:rsidP="00385613">
      <w:pPr>
        <w:spacing w:after="0" w:line="240" w:lineRule="auto"/>
        <w:rPr>
          <w:rFonts w:eastAsia="Times New Roman" w:cs="Times New Roman"/>
        </w:rPr>
      </w:pPr>
      <w:r>
        <w:rPr>
          <w:rFonts w:eastAsia="Times New Roman" w:cs="Times New Roman"/>
        </w:rPr>
        <w:t>Twelve</w:t>
      </w:r>
      <w:r w:rsidRPr="00214102">
        <w:rPr>
          <w:rFonts w:eastAsia="Times New Roman" w:cs="Times New Roman"/>
        </w:rPr>
        <w:t xml:space="preserve"> supervisor colleagues engaged with the webinar and completed a Poll Everywhere poll at the end wherein they ident</w:t>
      </w:r>
      <w:r>
        <w:rPr>
          <w:rFonts w:eastAsia="Times New Roman" w:cs="Times New Roman"/>
        </w:rPr>
        <w:t>ified the key ideas, tools, or tips</w:t>
      </w:r>
      <w:r w:rsidRPr="00214102">
        <w:rPr>
          <w:rFonts w:eastAsia="Times New Roman" w:cs="Times New Roman"/>
        </w:rPr>
        <w:t xml:space="preserve"> they would take away and apply with their supervisees. Although attendance at webinars and drop-ins was small, the colleagues who attended gained a great deal from working with the workshop leaders in such an intimate context. Feedback from them was overwhelmingly positive.</w:t>
      </w:r>
    </w:p>
    <w:p w14:paraId="55682A02" w14:textId="77777777" w:rsidR="00385613" w:rsidRPr="00214102" w:rsidRDefault="00385613" w:rsidP="00385613">
      <w:pPr>
        <w:spacing w:after="0" w:line="240" w:lineRule="auto"/>
        <w:rPr>
          <w:rFonts w:eastAsia="Times New Roman" w:cs="Times New Roman"/>
          <w:b/>
        </w:rPr>
      </w:pPr>
    </w:p>
    <w:p w14:paraId="182064BF" w14:textId="77777777" w:rsidR="00385613" w:rsidRPr="00214102" w:rsidRDefault="00385613" w:rsidP="00385613">
      <w:pPr>
        <w:spacing w:after="0" w:line="240" w:lineRule="auto"/>
        <w:rPr>
          <w:rFonts w:eastAsia="Times New Roman" w:cs="Times New Roman"/>
          <w:b/>
        </w:rPr>
      </w:pPr>
      <w:r w:rsidRPr="00214102">
        <w:rPr>
          <w:rFonts w:eastAsia="Times New Roman" w:cs="Times New Roman"/>
          <w:b/>
        </w:rPr>
        <w:t xml:space="preserve">Different benefits of workshops, drop-ins and webinars. </w:t>
      </w:r>
    </w:p>
    <w:tbl>
      <w:tblPr>
        <w:tblStyle w:val="TableGrid"/>
        <w:tblW w:w="0" w:type="auto"/>
        <w:tblLook w:val="04A0" w:firstRow="1" w:lastRow="0" w:firstColumn="1" w:lastColumn="0" w:noHBand="0" w:noVBand="1"/>
      </w:tblPr>
      <w:tblGrid>
        <w:gridCol w:w="1838"/>
        <w:gridCol w:w="3544"/>
        <w:gridCol w:w="3634"/>
      </w:tblGrid>
      <w:tr w:rsidR="00385613" w:rsidRPr="00214102" w14:paraId="7D711C41" w14:textId="77777777" w:rsidTr="00402AD7">
        <w:tc>
          <w:tcPr>
            <w:tcW w:w="1838" w:type="dxa"/>
            <w:shd w:val="clear" w:color="auto" w:fill="DEEAF6" w:themeFill="accent1" w:themeFillTint="33"/>
          </w:tcPr>
          <w:p w14:paraId="2DC5BAF2" w14:textId="77777777" w:rsidR="00385613" w:rsidRPr="00214102" w:rsidRDefault="00385613" w:rsidP="00402AD7">
            <w:pPr>
              <w:rPr>
                <w:b/>
              </w:rPr>
            </w:pPr>
            <w:r w:rsidRPr="00214102">
              <w:rPr>
                <w:b/>
              </w:rPr>
              <w:t>Interventions</w:t>
            </w:r>
          </w:p>
        </w:tc>
        <w:tc>
          <w:tcPr>
            <w:tcW w:w="3544" w:type="dxa"/>
            <w:shd w:val="clear" w:color="auto" w:fill="DEEAF6" w:themeFill="accent1" w:themeFillTint="33"/>
          </w:tcPr>
          <w:p w14:paraId="15A19B4D" w14:textId="77777777" w:rsidR="00385613" w:rsidRPr="00214102" w:rsidRDefault="00385613" w:rsidP="00402AD7">
            <w:pPr>
              <w:rPr>
                <w:b/>
              </w:rPr>
            </w:pPr>
            <w:r w:rsidRPr="00214102">
              <w:rPr>
                <w:b/>
              </w:rPr>
              <w:t>Advantages</w:t>
            </w:r>
          </w:p>
        </w:tc>
        <w:tc>
          <w:tcPr>
            <w:tcW w:w="3634" w:type="dxa"/>
            <w:shd w:val="clear" w:color="auto" w:fill="DEEAF6" w:themeFill="accent1" w:themeFillTint="33"/>
          </w:tcPr>
          <w:p w14:paraId="73CF9417" w14:textId="77777777" w:rsidR="00385613" w:rsidRPr="00214102" w:rsidRDefault="00385613" w:rsidP="00402AD7">
            <w:pPr>
              <w:rPr>
                <w:b/>
              </w:rPr>
            </w:pPr>
            <w:r w:rsidRPr="00214102">
              <w:rPr>
                <w:b/>
              </w:rPr>
              <w:t>Disadvantages</w:t>
            </w:r>
          </w:p>
        </w:tc>
      </w:tr>
      <w:tr w:rsidR="00385613" w:rsidRPr="00214102" w14:paraId="0D8A0A33" w14:textId="77777777" w:rsidTr="00402AD7">
        <w:tc>
          <w:tcPr>
            <w:tcW w:w="1838" w:type="dxa"/>
            <w:shd w:val="clear" w:color="auto" w:fill="FBE4D5" w:themeFill="accent2" w:themeFillTint="33"/>
          </w:tcPr>
          <w:p w14:paraId="7755EB03" w14:textId="77777777" w:rsidR="00385613" w:rsidRPr="00214102" w:rsidRDefault="00385613" w:rsidP="00402AD7">
            <w:pPr>
              <w:rPr>
                <w:b/>
              </w:rPr>
            </w:pPr>
            <w:r w:rsidRPr="00214102">
              <w:rPr>
                <w:b/>
              </w:rPr>
              <w:t>Generic workshops (cross-disciplinary attendees)</w:t>
            </w:r>
          </w:p>
        </w:tc>
        <w:tc>
          <w:tcPr>
            <w:tcW w:w="3544" w:type="dxa"/>
          </w:tcPr>
          <w:p w14:paraId="3625C69B" w14:textId="77777777" w:rsidR="00385613" w:rsidRPr="00214102" w:rsidRDefault="00385613" w:rsidP="00385613">
            <w:pPr>
              <w:numPr>
                <w:ilvl w:val="0"/>
                <w:numId w:val="2"/>
              </w:numPr>
              <w:ind w:left="143" w:hanging="142"/>
              <w:contextualSpacing/>
            </w:pPr>
            <w:r w:rsidRPr="00214102">
              <w:t>Inter-disciplinary by nature</w:t>
            </w:r>
          </w:p>
          <w:p w14:paraId="6240ED2A" w14:textId="77777777" w:rsidR="00385613" w:rsidRPr="00214102" w:rsidRDefault="00385613" w:rsidP="00385613">
            <w:pPr>
              <w:numPr>
                <w:ilvl w:val="0"/>
                <w:numId w:val="2"/>
              </w:numPr>
              <w:ind w:left="143" w:hanging="142"/>
              <w:contextualSpacing/>
            </w:pPr>
            <w:r w:rsidRPr="00214102">
              <w:t xml:space="preserve">Breaks down barriers between Faculties – sharing of practice across a wider range of disciplines. </w:t>
            </w:r>
          </w:p>
          <w:p w14:paraId="6FD761AF" w14:textId="77777777" w:rsidR="00385613" w:rsidRPr="00214102" w:rsidRDefault="00385613" w:rsidP="00385613">
            <w:pPr>
              <w:numPr>
                <w:ilvl w:val="0"/>
                <w:numId w:val="2"/>
              </w:numPr>
              <w:ind w:left="143" w:hanging="142"/>
              <w:contextualSpacing/>
            </w:pPr>
            <w:r w:rsidRPr="00214102">
              <w:t>Opportunities to learn from other disciplines with different approaches/traditions.</w:t>
            </w:r>
          </w:p>
          <w:p w14:paraId="34CB7953" w14:textId="77777777" w:rsidR="00385613" w:rsidRPr="00214102" w:rsidRDefault="00385613" w:rsidP="00385613">
            <w:pPr>
              <w:numPr>
                <w:ilvl w:val="0"/>
                <w:numId w:val="2"/>
              </w:numPr>
              <w:ind w:left="143" w:hanging="142"/>
              <w:contextualSpacing/>
            </w:pPr>
            <w:r w:rsidRPr="00214102">
              <w:t>Reassurance regarding the commonalities of practice.</w:t>
            </w:r>
          </w:p>
          <w:p w14:paraId="7CFA3DA4" w14:textId="77777777" w:rsidR="00385613" w:rsidRPr="00214102" w:rsidRDefault="00385613" w:rsidP="00385613">
            <w:pPr>
              <w:numPr>
                <w:ilvl w:val="0"/>
                <w:numId w:val="2"/>
              </w:numPr>
              <w:ind w:left="143" w:hanging="142"/>
              <w:contextualSpacing/>
            </w:pPr>
            <w:r w:rsidRPr="00214102">
              <w:t>Recognition that there are tools and strategies that are readily transferable between disciplines.</w:t>
            </w:r>
          </w:p>
          <w:p w14:paraId="271BAA46" w14:textId="77777777" w:rsidR="00385613" w:rsidRPr="00214102" w:rsidRDefault="00385613" w:rsidP="00385613">
            <w:pPr>
              <w:numPr>
                <w:ilvl w:val="0"/>
                <w:numId w:val="2"/>
              </w:numPr>
              <w:ind w:left="143" w:hanging="142"/>
              <w:contextualSpacing/>
            </w:pPr>
            <w:r w:rsidRPr="00214102">
              <w:t>Issues and challenges are not just related to a single department or Faculty – they are often shared across the entire institution.</w:t>
            </w:r>
          </w:p>
          <w:p w14:paraId="6B601645" w14:textId="77777777" w:rsidR="00385613" w:rsidRPr="00214102" w:rsidRDefault="00385613" w:rsidP="00385613">
            <w:pPr>
              <w:numPr>
                <w:ilvl w:val="0"/>
                <w:numId w:val="2"/>
              </w:numPr>
              <w:ind w:left="143" w:hanging="142"/>
              <w:contextualSpacing/>
            </w:pPr>
            <w:r w:rsidRPr="00214102">
              <w:t>Enhanced awareness of different outputs can exist – e.g. artefacts, performances, objects accompanied by a critical narrative etc.</w:t>
            </w:r>
          </w:p>
          <w:p w14:paraId="604342E9" w14:textId="77777777" w:rsidR="00385613" w:rsidRPr="00214102" w:rsidRDefault="00385613" w:rsidP="00385613">
            <w:pPr>
              <w:numPr>
                <w:ilvl w:val="0"/>
                <w:numId w:val="2"/>
              </w:numPr>
              <w:ind w:left="143" w:hanging="142"/>
              <w:contextualSpacing/>
            </w:pPr>
            <w:r w:rsidRPr="00214102">
              <w:t>Builds a more inclusive and all-embracing community of practice around this aspect of pedagogy.</w:t>
            </w:r>
          </w:p>
          <w:p w14:paraId="0F6AC994" w14:textId="77777777" w:rsidR="00385613" w:rsidRPr="00214102" w:rsidRDefault="00385613" w:rsidP="00402AD7"/>
        </w:tc>
        <w:tc>
          <w:tcPr>
            <w:tcW w:w="3634" w:type="dxa"/>
          </w:tcPr>
          <w:p w14:paraId="0EC3D995" w14:textId="77777777" w:rsidR="00385613" w:rsidRPr="00214102" w:rsidRDefault="00385613" w:rsidP="00385613">
            <w:pPr>
              <w:numPr>
                <w:ilvl w:val="0"/>
                <w:numId w:val="2"/>
              </w:numPr>
              <w:ind w:left="114" w:hanging="141"/>
              <w:contextualSpacing/>
            </w:pPr>
            <w:r w:rsidRPr="00214102">
              <w:t>There are some specific issues or aspects of practice that are not relevant to all attendees (e.g. artefacts or performances as outputs).</w:t>
            </w:r>
          </w:p>
          <w:p w14:paraId="0A7EE00E" w14:textId="77777777" w:rsidR="00385613" w:rsidRPr="00214102" w:rsidRDefault="00385613" w:rsidP="00385613">
            <w:pPr>
              <w:numPr>
                <w:ilvl w:val="0"/>
                <w:numId w:val="2"/>
              </w:numPr>
              <w:ind w:left="114" w:hanging="141"/>
              <w:contextualSpacing/>
            </w:pPr>
            <w:r w:rsidRPr="00214102">
              <w:t>Fails to focus on addressing CPD of specific departmental or course teams.</w:t>
            </w:r>
          </w:p>
          <w:p w14:paraId="40663208" w14:textId="77777777" w:rsidR="00385613" w:rsidRPr="00214102" w:rsidRDefault="00385613" w:rsidP="00385613">
            <w:pPr>
              <w:numPr>
                <w:ilvl w:val="0"/>
                <w:numId w:val="2"/>
              </w:numPr>
              <w:ind w:left="114" w:hanging="141"/>
              <w:contextualSpacing/>
            </w:pPr>
            <w:r w:rsidRPr="00214102">
              <w:t>Some courses/departments can dominate the training sessions – e.g. 4 colleagues from one department in a group of 10 attendees. Requires careful management by workshops leaders.</w:t>
            </w:r>
          </w:p>
          <w:p w14:paraId="2B9A388C" w14:textId="77777777" w:rsidR="00385613" w:rsidRPr="00214102" w:rsidRDefault="00385613" w:rsidP="00385613">
            <w:pPr>
              <w:numPr>
                <w:ilvl w:val="0"/>
                <w:numId w:val="2"/>
              </w:numPr>
              <w:ind w:left="114" w:hanging="141"/>
              <w:contextualSpacing/>
            </w:pPr>
            <w:r w:rsidRPr="00214102">
              <w:t>Some courses or departments have no representation at the workshops at all.</w:t>
            </w:r>
          </w:p>
          <w:p w14:paraId="56780BF4" w14:textId="77777777" w:rsidR="00385613" w:rsidRPr="00214102" w:rsidRDefault="00385613" w:rsidP="00385613">
            <w:pPr>
              <w:numPr>
                <w:ilvl w:val="0"/>
                <w:numId w:val="2"/>
              </w:numPr>
              <w:ind w:left="114" w:hanging="141"/>
              <w:contextualSpacing/>
            </w:pPr>
            <w:r w:rsidRPr="00214102">
              <w:t>Assumptions about exclusion – i.e. that because colleagues from other disciplines are present, that the workshop will not be of value to them personally.</w:t>
            </w:r>
          </w:p>
          <w:p w14:paraId="566F7937" w14:textId="77777777" w:rsidR="00385613" w:rsidRPr="00214102" w:rsidRDefault="00385613" w:rsidP="00385613">
            <w:pPr>
              <w:numPr>
                <w:ilvl w:val="0"/>
                <w:numId w:val="2"/>
              </w:numPr>
              <w:ind w:left="114" w:hanging="141"/>
              <w:contextualSpacing/>
            </w:pPr>
            <w:r w:rsidRPr="00214102">
              <w:t xml:space="preserve">Timing of the workshops will not suit everyone – e.g. courses which run on a trimester basis will have different deadlines and patterns of study to semester-based courses. </w:t>
            </w:r>
          </w:p>
        </w:tc>
      </w:tr>
      <w:tr w:rsidR="00385613" w:rsidRPr="00214102" w14:paraId="1D415A81" w14:textId="77777777" w:rsidTr="00402AD7">
        <w:tc>
          <w:tcPr>
            <w:tcW w:w="1838" w:type="dxa"/>
            <w:shd w:val="clear" w:color="auto" w:fill="FBE4D5" w:themeFill="accent2" w:themeFillTint="33"/>
          </w:tcPr>
          <w:p w14:paraId="03B60A7E" w14:textId="77777777" w:rsidR="00385613" w:rsidRPr="00214102" w:rsidRDefault="00385613" w:rsidP="00402AD7">
            <w:pPr>
              <w:rPr>
                <w:b/>
              </w:rPr>
            </w:pPr>
            <w:r w:rsidRPr="00214102">
              <w:rPr>
                <w:b/>
              </w:rPr>
              <w:t>Faculty-specific workshops (attendees from only one Faculty)</w:t>
            </w:r>
          </w:p>
        </w:tc>
        <w:tc>
          <w:tcPr>
            <w:tcW w:w="3544" w:type="dxa"/>
          </w:tcPr>
          <w:p w14:paraId="79BD2D95" w14:textId="77777777" w:rsidR="00385613" w:rsidRPr="00214102" w:rsidRDefault="00385613" w:rsidP="00385613">
            <w:pPr>
              <w:pStyle w:val="ListParagraph"/>
              <w:numPr>
                <w:ilvl w:val="0"/>
                <w:numId w:val="3"/>
              </w:numPr>
              <w:ind w:left="143" w:hanging="143"/>
            </w:pPr>
            <w:r w:rsidRPr="00214102">
              <w:t>Promotes positive perceptions of the responsiveness of the service.</w:t>
            </w:r>
          </w:p>
          <w:p w14:paraId="698A949A" w14:textId="77777777" w:rsidR="00385613" w:rsidRPr="00214102" w:rsidRDefault="00385613" w:rsidP="00385613">
            <w:pPr>
              <w:pStyle w:val="ListParagraph"/>
              <w:numPr>
                <w:ilvl w:val="0"/>
                <w:numId w:val="3"/>
              </w:numPr>
              <w:ind w:left="143" w:hanging="143"/>
            </w:pPr>
            <w:r w:rsidRPr="00214102">
              <w:t>Needs effective co-working with senior managers, role holders in the Faculty.</w:t>
            </w:r>
          </w:p>
          <w:p w14:paraId="0473D24F" w14:textId="77777777" w:rsidR="00385613" w:rsidRPr="00214102" w:rsidRDefault="00385613" w:rsidP="00385613">
            <w:pPr>
              <w:pStyle w:val="ListParagraph"/>
              <w:numPr>
                <w:ilvl w:val="0"/>
                <w:numId w:val="3"/>
              </w:numPr>
              <w:ind w:left="143" w:hanging="143"/>
            </w:pPr>
            <w:r w:rsidRPr="00214102">
              <w:t>Potential to achieve a strong alignment between workshop delivery and perceived needs of the Faculty in question.</w:t>
            </w:r>
          </w:p>
          <w:p w14:paraId="6A57C590" w14:textId="77777777" w:rsidR="00385613" w:rsidRPr="00214102" w:rsidRDefault="00385613" w:rsidP="00385613">
            <w:pPr>
              <w:pStyle w:val="ListParagraph"/>
              <w:numPr>
                <w:ilvl w:val="0"/>
                <w:numId w:val="3"/>
              </w:numPr>
              <w:ind w:left="143" w:hanging="143"/>
            </w:pPr>
            <w:r w:rsidRPr="00214102">
              <w:t>Similar reference points and traditions of research.</w:t>
            </w:r>
          </w:p>
          <w:p w14:paraId="44430D3D" w14:textId="77777777" w:rsidR="00385613" w:rsidRPr="00214102" w:rsidRDefault="00385613" w:rsidP="00385613">
            <w:pPr>
              <w:pStyle w:val="ListParagraph"/>
              <w:numPr>
                <w:ilvl w:val="0"/>
                <w:numId w:val="3"/>
              </w:numPr>
              <w:ind w:left="143" w:hanging="143"/>
            </w:pPr>
            <w:r w:rsidRPr="00214102">
              <w:t>Shared cultures around the supervision process.</w:t>
            </w:r>
          </w:p>
          <w:p w14:paraId="5B5FB486" w14:textId="77777777" w:rsidR="00385613" w:rsidRPr="00214102" w:rsidRDefault="00385613" w:rsidP="00385613">
            <w:pPr>
              <w:pStyle w:val="ListParagraph"/>
              <w:numPr>
                <w:ilvl w:val="0"/>
                <w:numId w:val="3"/>
              </w:numPr>
              <w:ind w:left="143" w:hanging="143"/>
            </w:pPr>
            <w:r w:rsidRPr="00214102">
              <w:lastRenderedPageBreak/>
              <w:t>Shared understandings of the purpose of projects and dissertations.</w:t>
            </w:r>
          </w:p>
          <w:p w14:paraId="019D70F2" w14:textId="77777777" w:rsidR="00385613" w:rsidRPr="00214102" w:rsidRDefault="00385613" w:rsidP="00385613">
            <w:pPr>
              <w:pStyle w:val="ListParagraph"/>
              <w:numPr>
                <w:ilvl w:val="0"/>
                <w:numId w:val="3"/>
              </w:numPr>
              <w:ind w:left="143" w:hanging="143"/>
            </w:pPr>
            <w:r w:rsidRPr="00214102">
              <w:t>Higher likelihood of strong attendance if tailored to identified needs.</w:t>
            </w:r>
          </w:p>
          <w:p w14:paraId="1002957C" w14:textId="77777777" w:rsidR="00385613" w:rsidRPr="00214102" w:rsidRDefault="00385613" w:rsidP="00385613">
            <w:pPr>
              <w:pStyle w:val="ListParagraph"/>
              <w:numPr>
                <w:ilvl w:val="0"/>
                <w:numId w:val="3"/>
              </w:numPr>
              <w:ind w:left="143" w:hanging="143"/>
            </w:pPr>
            <w:r w:rsidRPr="00214102">
              <w:t>Enhanced relevance.</w:t>
            </w:r>
          </w:p>
          <w:p w14:paraId="4E2D77E9" w14:textId="77777777" w:rsidR="00385613" w:rsidRPr="00214102" w:rsidRDefault="00385613" w:rsidP="00385613">
            <w:pPr>
              <w:pStyle w:val="ListParagraph"/>
              <w:numPr>
                <w:ilvl w:val="0"/>
                <w:numId w:val="3"/>
              </w:numPr>
              <w:ind w:left="143" w:hanging="143"/>
            </w:pPr>
            <w:r w:rsidRPr="00214102">
              <w:t>Specific Faculty issues and priorities can be targeted and addressed.</w:t>
            </w:r>
          </w:p>
        </w:tc>
        <w:tc>
          <w:tcPr>
            <w:tcW w:w="3634" w:type="dxa"/>
          </w:tcPr>
          <w:p w14:paraId="415DFE06" w14:textId="77777777" w:rsidR="00385613" w:rsidRPr="00214102" w:rsidRDefault="00385613" w:rsidP="00385613">
            <w:pPr>
              <w:pStyle w:val="ListParagraph"/>
              <w:numPr>
                <w:ilvl w:val="0"/>
                <w:numId w:val="3"/>
              </w:numPr>
              <w:ind w:left="114" w:hanging="114"/>
            </w:pPr>
            <w:r w:rsidRPr="00214102">
              <w:lastRenderedPageBreak/>
              <w:t>Fails to develop cross-disciplinary communities of practice</w:t>
            </w:r>
          </w:p>
          <w:p w14:paraId="4DE6FC34" w14:textId="77777777" w:rsidR="00385613" w:rsidRPr="00214102" w:rsidRDefault="00385613" w:rsidP="00385613">
            <w:pPr>
              <w:pStyle w:val="ListParagraph"/>
              <w:numPr>
                <w:ilvl w:val="0"/>
                <w:numId w:val="3"/>
              </w:numPr>
              <w:ind w:left="114" w:hanging="114"/>
            </w:pPr>
            <w:r w:rsidRPr="00214102">
              <w:t>Fails to facilitate cross-fertilisation of ideas between Faculties.</w:t>
            </w:r>
          </w:p>
          <w:p w14:paraId="3166306E" w14:textId="77777777" w:rsidR="00385613" w:rsidRPr="00214102" w:rsidRDefault="00385613" w:rsidP="00385613">
            <w:pPr>
              <w:pStyle w:val="ListParagraph"/>
              <w:numPr>
                <w:ilvl w:val="0"/>
                <w:numId w:val="3"/>
              </w:numPr>
              <w:ind w:left="114" w:hanging="114"/>
            </w:pPr>
            <w:r w:rsidRPr="00214102">
              <w:t>Undermines opportunities for academics to challenge their own ways of working and their dis</w:t>
            </w:r>
            <w:r>
              <w:t xml:space="preserve">ciplinary traditions. Promotes </w:t>
            </w:r>
            <w:r w:rsidRPr="0035790F">
              <w:rPr>
                <w:i/>
              </w:rPr>
              <w:t>silo</w:t>
            </w:r>
            <w:r w:rsidRPr="00214102">
              <w:t xml:space="preserve"> thinking.</w:t>
            </w:r>
          </w:p>
          <w:p w14:paraId="385CC820" w14:textId="77777777" w:rsidR="00385613" w:rsidRPr="00214102" w:rsidRDefault="00385613" w:rsidP="00385613">
            <w:pPr>
              <w:pStyle w:val="ListParagraph"/>
              <w:numPr>
                <w:ilvl w:val="0"/>
                <w:numId w:val="3"/>
              </w:numPr>
              <w:ind w:left="114" w:hanging="114"/>
            </w:pPr>
            <w:r w:rsidRPr="00214102">
              <w:t>It requires running more workshops.</w:t>
            </w:r>
          </w:p>
          <w:p w14:paraId="5A763722" w14:textId="77777777" w:rsidR="00385613" w:rsidRPr="00214102" w:rsidRDefault="00385613" w:rsidP="00385613">
            <w:pPr>
              <w:pStyle w:val="ListParagraph"/>
              <w:numPr>
                <w:ilvl w:val="0"/>
                <w:numId w:val="3"/>
              </w:numPr>
              <w:ind w:left="114" w:hanging="114"/>
            </w:pPr>
            <w:r w:rsidRPr="00214102">
              <w:t>Can limit likelihood of attracting satisfactory attendance and engagement.</w:t>
            </w:r>
          </w:p>
          <w:p w14:paraId="042E0672" w14:textId="77777777" w:rsidR="00385613" w:rsidRPr="00214102" w:rsidRDefault="00385613" w:rsidP="00385613">
            <w:pPr>
              <w:pStyle w:val="ListParagraph"/>
              <w:numPr>
                <w:ilvl w:val="0"/>
                <w:numId w:val="3"/>
              </w:numPr>
              <w:ind w:left="114" w:hanging="114"/>
            </w:pPr>
            <w:r w:rsidRPr="00214102">
              <w:lastRenderedPageBreak/>
              <w:t xml:space="preserve">Requires strong buy-in from senior role holders, managers </w:t>
            </w:r>
            <w:proofErr w:type="spellStart"/>
            <w:r w:rsidRPr="00214102">
              <w:t>etc</w:t>
            </w:r>
            <w:proofErr w:type="spellEnd"/>
            <w:r w:rsidRPr="00214102">
              <w:t xml:space="preserve"> who are critical in promoting engagement.</w:t>
            </w:r>
          </w:p>
          <w:p w14:paraId="74B9F6E3" w14:textId="77777777" w:rsidR="00385613" w:rsidRPr="00214102" w:rsidRDefault="00385613" w:rsidP="00402AD7"/>
        </w:tc>
      </w:tr>
      <w:tr w:rsidR="00385613" w:rsidRPr="00214102" w14:paraId="3096A0F0" w14:textId="77777777" w:rsidTr="00402AD7">
        <w:tc>
          <w:tcPr>
            <w:tcW w:w="1838" w:type="dxa"/>
            <w:shd w:val="clear" w:color="auto" w:fill="FBE4D5" w:themeFill="accent2" w:themeFillTint="33"/>
          </w:tcPr>
          <w:p w14:paraId="6F39BA09" w14:textId="77777777" w:rsidR="00385613" w:rsidRPr="00214102" w:rsidRDefault="00385613" w:rsidP="00402AD7">
            <w:pPr>
              <w:rPr>
                <w:b/>
              </w:rPr>
            </w:pPr>
            <w:r w:rsidRPr="00214102">
              <w:rPr>
                <w:b/>
              </w:rPr>
              <w:lastRenderedPageBreak/>
              <w:t>Drop-Ins</w:t>
            </w:r>
          </w:p>
        </w:tc>
        <w:tc>
          <w:tcPr>
            <w:tcW w:w="3544" w:type="dxa"/>
          </w:tcPr>
          <w:p w14:paraId="14A2EDCC" w14:textId="77777777" w:rsidR="00385613" w:rsidRPr="00214102" w:rsidRDefault="00385613" w:rsidP="00385613">
            <w:pPr>
              <w:pStyle w:val="ListParagraph"/>
              <w:numPr>
                <w:ilvl w:val="0"/>
                <w:numId w:val="4"/>
              </w:numPr>
              <w:ind w:left="143" w:hanging="143"/>
            </w:pPr>
            <w:r w:rsidRPr="00214102">
              <w:t>Can be scheduled at relatively short notice.</w:t>
            </w:r>
          </w:p>
          <w:p w14:paraId="49896EC5" w14:textId="77777777" w:rsidR="00385613" w:rsidRPr="00214102" w:rsidRDefault="00385613" w:rsidP="00385613">
            <w:pPr>
              <w:pStyle w:val="ListParagraph"/>
              <w:numPr>
                <w:ilvl w:val="0"/>
                <w:numId w:val="4"/>
              </w:numPr>
              <w:ind w:left="143" w:hanging="143"/>
            </w:pPr>
            <w:r w:rsidRPr="00214102">
              <w:t>Can be tailored ‘on the hoof’ to the needs of the small number of attendees.</w:t>
            </w:r>
          </w:p>
          <w:p w14:paraId="386B563B" w14:textId="77777777" w:rsidR="00385613" w:rsidRPr="00214102" w:rsidRDefault="00385613" w:rsidP="00385613">
            <w:pPr>
              <w:pStyle w:val="ListParagraph"/>
              <w:numPr>
                <w:ilvl w:val="0"/>
                <w:numId w:val="4"/>
              </w:numPr>
              <w:ind w:left="143" w:hanging="143"/>
            </w:pPr>
            <w:r w:rsidRPr="00214102">
              <w:t>Only one facilitator needs to be present.</w:t>
            </w:r>
          </w:p>
          <w:p w14:paraId="08D7E709" w14:textId="77777777" w:rsidR="00385613" w:rsidRPr="00214102" w:rsidRDefault="00385613" w:rsidP="00385613">
            <w:pPr>
              <w:pStyle w:val="ListParagraph"/>
              <w:numPr>
                <w:ilvl w:val="0"/>
                <w:numId w:val="4"/>
              </w:numPr>
              <w:ind w:left="143" w:hanging="143"/>
            </w:pPr>
            <w:r w:rsidRPr="00214102">
              <w:t>Colleagues can seek and acquire answers to specific questions.</w:t>
            </w:r>
          </w:p>
          <w:p w14:paraId="5DC6F053" w14:textId="77777777" w:rsidR="00385613" w:rsidRPr="00214102" w:rsidRDefault="00385613" w:rsidP="00385613">
            <w:pPr>
              <w:pStyle w:val="ListParagraph"/>
              <w:numPr>
                <w:ilvl w:val="0"/>
                <w:numId w:val="4"/>
              </w:numPr>
              <w:ind w:left="143" w:hanging="143"/>
            </w:pPr>
            <w:r w:rsidRPr="00214102">
              <w:t>Can fit around unusual working patterns and schedules.</w:t>
            </w:r>
          </w:p>
          <w:p w14:paraId="33FE98DD" w14:textId="77777777" w:rsidR="00385613" w:rsidRPr="00214102" w:rsidRDefault="00385613" w:rsidP="00385613">
            <w:pPr>
              <w:pStyle w:val="ListParagraph"/>
              <w:numPr>
                <w:ilvl w:val="0"/>
                <w:numId w:val="4"/>
              </w:numPr>
              <w:ind w:left="143" w:hanging="143"/>
            </w:pPr>
            <w:r w:rsidRPr="00214102">
              <w:t>No large room is required – easier to identify and book suitable venues.</w:t>
            </w:r>
          </w:p>
          <w:p w14:paraId="493B21AA" w14:textId="77777777" w:rsidR="00385613" w:rsidRPr="00214102" w:rsidRDefault="00385613" w:rsidP="00385613">
            <w:pPr>
              <w:pStyle w:val="ListParagraph"/>
              <w:numPr>
                <w:ilvl w:val="0"/>
                <w:numId w:val="4"/>
              </w:numPr>
              <w:ind w:left="143" w:hanging="143"/>
            </w:pPr>
            <w:r w:rsidRPr="00214102">
              <w:t>Perceived value to attendees  can be greater than a workshop because their priorities and concerns have been addressed.</w:t>
            </w:r>
          </w:p>
        </w:tc>
        <w:tc>
          <w:tcPr>
            <w:tcW w:w="3634" w:type="dxa"/>
          </w:tcPr>
          <w:p w14:paraId="7C874641" w14:textId="77777777" w:rsidR="00385613" w:rsidRPr="00214102" w:rsidRDefault="00385613" w:rsidP="00385613">
            <w:pPr>
              <w:pStyle w:val="ListParagraph"/>
              <w:numPr>
                <w:ilvl w:val="0"/>
                <w:numId w:val="4"/>
              </w:numPr>
              <w:ind w:left="114" w:hanging="114"/>
            </w:pPr>
            <w:r w:rsidRPr="00214102">
              <w:t>From a facilitator’s perspective, it is difficult to be prepared for the wide range of queries brought to the session by colleagues.</w:t>
            </w:r>
          </w:p>
          <w:p w14:paraId="6C9F2119" w14:textId="77777777" w:rsidR="00385613" w:rsidRPr="00214102" w:rsidRDefault="00385613" w:rsidP="00385613">
            <w:pPr>
              <w:pStyle w:val="ListParagraph"/>
              <w:numPr>
                <w:ilvl w:val="0"/>
                <w:numId w:val="4"/>
              </w:numPr>
              <w:ind w:left="114" w:hanging="114"/>
            </w:pPr>
            <w:r w:rsidRPr="00214102">
              <w:t>They can be labour intensive in relation to the small numbers attending.</w:t>
            </w:r>
          </w:p>
          <w:p w14:paraId="2FC5B518" w14:textId="77777777" w:rsidR="00385613" w:rsidRPr="00214102" w:rsidRDefault="00385613" w:rsidP="00385613">
            <w:pPr>
              <w:pStyle w:val="ListParagraph"/>
              <w:numPr>
                <w:ilvl w:val="0"/>
                <w:numId w:val="4"/>
              </w:numPr>
              <w:ind w:left="114" w:hanging="114"/>
            </w:pPr>
            <w:r w:rsidRPr="00214102">
              <w:t>High effort, but low impact.</w:t>
            </w:r>
          </w:p>
          <w:p w14:paraId="4EC11AAE" w14:textId="77777777" w:rsidR="00385613" w:rsidRPr="00214102" w:rsidRDefault="00385613" w:rsidP="00385613">
            <w:pPr>
              <w:pStyle w:val="ListParagraph"/>
              <w:numPr>
                <w:ilvl w:val="0"/>
                <w:numId w:val="4"/>
              </w:numPr>
              <w:ind w:left="114" w:hanging="114"/>
            </w:pPr>
            <w:r w:rsidRPr="00214102">
              <w:t>Can result in repetition of same issues during a 2hr drop-in.</w:t>
            </w:r>
          </w:p>
          <w:p w14:paraId="6129718E" w14:textId="77777777" w:rsidR="00385613" w:rsidRPr="00214102" w:rsidRDefault="00385613" w:rsidP="00385613">
            <w:pPr>
              <w:pStyle w:val="ListParagraph"/>
              <w:numPr>
                <w:ilvl w:val="0"/>
                <w:numId w:val="4"/>
              </w:numPr>
              <w:ind w:left="114" w:hanging="114"/>
            </w:pPr>
            <w:r w:rsidRPr="00214102">
              <w:t>Attendees may not arrive with specific queries or questions.</w:t>
            </w:r>
          </w:p>
          <w:p w14:paraId="0DF64774" w14:textId="77777777" w:rsidR="00385613" w:rsidRPr="00214102" w:rsidRDefault="00385613" w:rsidP="00385613">
            <w:pPr>
              <w:pStyle w:val="ListParagraph"/>
              <w:numPr>
                <w:ilvl w:val="0"/>
                <w:numId w:val="4"/>
              </w:numPr>
              <w:ind w:left="114" w:hanging="114"/>
            </w:pPr>
            <w:r w:rsidRPr="00214102">
              <w:t xml:space="preserve">Staff can sometimes </w:t>
            </w:r>
            <w:proofErr w:type="spellStart"/>
            <w:r w:rsidRPr="00214102">
              <w:t>mis</w:t>
            </w:r>
            <w:proofErr w:type="spellEnd"/>
            <w:r w:rsidRPr="00214102">
              <w:t>-interpret the function of the drop-in – purpose needs to be clarified in advance.</w:t>
            </w:r>
          </w:p>
          <w:p w14:paraId="3C1FF213" w14:textId="77777777" w:rsidR="00385613" w:rsidRPr="00214102" w:rsidRDefault="00385613" w:rsidP="00402AD7"/>
        </w:tc>
      </w:tr>
      <w:tr w:rsidR="00385613" w:rsidRPr="00214102" w14:paraId="3A07BC55" w14:textId="77777777" w:rsidTr="00402AD7">
        <w:tc>
          <w:tcPr>
            <w:tcW w:w="1838" w:type="dxa"/>
            <w:shd w:val="clear" w:color="auto" w:fill="FBE4D5" w:themeFill="accent2" w:themeFillTint="33"/>
          </w:tcPr>
          <w:p w14:paraId="1DA8EF75" w14:textId="77777777" w:rsidR="00385613" w:rsidRPr="00214102" w:rsidRDefault="00385613" w:rsidP="00402AD7">
            <w:pPr>
              <w:rPr>
                <w:b/>
              </w:rPr>
            </w:pPr>
            <w:r w:rsidRPr="00214102">
              <w:rPr>
                <w:b/>
              </w:rPr>
              <w:t>Webinars</w:t>
            </w:r>
          </w:p>
        </w:tc>
        <w:tc>
          <w:tcPr>
            <w:tcW w:w="3544" w:type="dxa"/>
          </w:tcPr>
          <w:p w14:paraId="74F70DEE" w14:textId="77777777" w:rsidR="00385613" w:rsidRPr="00214102" w:rsidRDefault="00385613" w:rsidP="00385613">
            <w:pPr>
              <w:pStyle w:val="ListParagraph"/>
              <w:numPr>
                <w:ilvl w:val="0"/>
                <w:numId w:val="5"/>
              </w:numPr>
              <w:ind w:left="143" w:hanging="143"/>
            </w:pPr>
            <w:r w:rsidRPr="00214102">
              <w:t>Colleagues can access the CPD in a location remote from the University (e.g. home).</w:t>
            </w:r>
          </w:p>
          <w:p w14:paraId="44DE46AB" w14:textId="77777777" w:rsidR="00385613" w:rsidRPr="00214102" w:rsidRDefault="00385613" w:rsidP="00385613">
            <w:pPr>
              <w:pStyle w:val="ListParagraph"/>
              <w:numPr>
                <w:ilvl w:val="0"/>
                <w:numId w:val="5"/>
              </w:numPr>
              <w:ind w:left="143" w:hanging="143"/>
            </w:pPr>
            <w:r w:rsidRPr="00214102">
              <w:t>Can be recorded.</w:t>
            </w:r>
          </w:p>
          <w:p w14:paraId="1E49D47B" w14:textId="77777777" w:rsidR="00385613" w:rsidRPr="00214102" w:rsidRDefault="00385613" w:rsidP="00385613">
            <w:pPr>
              <w:pStyle w:val="ListParagraph"/>
              <w:numPr>
                <w:ilvl w:val="0"/>
                <w:numId w:val="5"/>
              </w:numPr>
              <w:ind w:left="143" w:hanging="143"/>
            </w:pPr>
            <w:r w:rsidRPr="00214102">
              <w:t>Can be provided in accessible format online (via an archive, website or VLE) so participants can return to the discussion.</w:t>
            </w:r>
          </w:p>
          <w:p w14:paraId="11693BAB" w14:textId="77777777" w:rsidR="00385613" w:rsidRPr="00214102" w:rsidRDefault="00385613" w:rsidP="00385613">
            <w:pPr>
              <w:pStyle w:val="ListParagraph"/>
              <w:numPr>
                <w:ilvl w:val="0"/>
                <w:numId w:val="5"/>
              </w:numPr>
              <w:ind w:left="143" w:hanging="143"/>
            </w:pPr>
            <w:r w:rsidRPr="00214102">
              <w:t>Colleagues who are unable to attend/participate, can also access the record of the webinar.</w:t>
            </w:r>
          </w:p>
          <w:p w14:paraId="0D22BF74" w14:textId="77777777" w:rsidR="00385613" w:rsidRPr="00214102" w:rsidRDefault="00385613" w:rsidP="00385613">
            <w:pPr>
              <w:pStyle w:val="ListParagraph"/>
              <w:numPr>
                <w:ilvl w:val="0"/>
                <w:numId w:val="5"/>
              </w:numPr>
              <w:ind w:left="143" w:hanging="143"/>
            </w:pPr>
            <w:r w:rsidRPr="00214102">
              <w:t>The inclusive nature of the format – easier to facilitate engagement by staff colleagues in regional or international partners.</w:t>
            </w:r>
          </w:p>
          <w:p w14:paraId="09177EB0" w14:textId="77777777" w:rsidR="00385613" w:rsidRPr="00214102" w:rsidRDefault="00385613" w:rsidP="00385613">
            <w:pPr>
              <w:pStyle w:val="ListParagraph"/>
              <w:numPr>
                <w:ilvl w:val="0"/>
                <w:numId w:val="5"/>
              </w:numPr>
              <w:ind w:left="143" w:hanging="143"/>
            </w:pPr>
            <w:r w:rsidRPr="00214102">
              <w:t xml:space="preserve">Colleagues lacking experience in practice are less ‘exposed’ than they would be in a face-to-face session. </w:t>
            </w:r>
          </w:p>
          <w:p w14:paraId="6563EC98" w14:textId="77777777" w:rsidR="00385613" w:rsidRPr="00214102" w:rsidRDefault="00385613" w:rsidP="00385613">
            <w:pPr>
              <w:pStyle w:val="ListParagraph"/>
              <w:numPr>
                <w:ilvl w:val="0"/>
                <w:numId w:val="5"/>
              </w:numPr>
              <w:ind w:left="143" w:hanging="143"/>
            </w:pPr>
            <w:r w:rsidRPr="00214102">
              <w:t xml:space="preserve">Asynchronous delivery in future would enable colleagues to engage at a time that suited them (thereby </w:t>
            </w:r>
            <w:r w:rsidRPr="00214102">
              <w:lastRenderedPageBreak/>
              <w:t>avoiding diary clashes with other commitments)</w:t>
            </w:r>
          </w:p>
        </w:tc>
        <w:tc>
          <w:tcPr>
            <w:tcW w:w="3634" w:type="dxa"/>
          </w:tcPr>
          <w:p w14:paraId="45786812" w14:textId="77777777" w:rsidR="00385613" w:rsidRPr="00214102" w:rsidRDefault="00385613" w:rsidP="00385613">
            <w:pPr>
              <w:pStyle w:val="ListParagraph"/>
              <w:numPr>
                <w:ilvl w:val="0"/>
                <w:numId w:val="5"/>
              </w:numPr>
              <w:ind w:left="114" w:hanging="114"/>
            </w:pPr>
            <w:r w:rsidRPr="00214102">
              <w:lastRenderedPageBreak/>
              <w:t>Colleagues sometimes inexperienced in engaging in webinars.</w:t>
            </w:r>
          </w:p>
          <w:p w14:paraId="373D671C" w14:textId="77777777" w:rsidR="00385613" w:rsidRPr="00214102" w:rsidRDefault="00385613" w:rsidP="00385613">
            <w:pPr>
              <w:pStyle w:val="ListParagraph"/>
              <w:numPr>
                <w:ilvl w:val="0"/>
                <w:numId w:val="5"/>
              </w:numPr>
              <w:ind w:left="114" w:hanging="114"/>
            </w:pPr>
            <w:r w:rsidRPr="00214102">
              <w:t>Lack of face to face contact between the attendees/participants can undermine the dynamic of the session.</w:t>
            </w:r>
          </w:p>
          <w:p w14:paraId="49A97E94" w14:textId="77777777" w:rsidR="00385613" w:rsidRPr="00214102" w:rsidRDefault="00385613" w:rsidP="00385613">
            <w:pPr>
              <w:pStyle w:val="ListParagraph"/>
              <w:numPr>
                <w:ilvl w:val="0"/>
                <w:numId w:val="5"/>
              </w:numPr>
              <w:ind w:left="114" w:hanging="114"/>
            </w:pPr>
            <w:r w:rsidRPr="00214102">
              <w:t>The variation in engagement from participants – some are passive, some a strongly engaged or even dominate sessions/discussions.</w:t>
            </w:r>
          </w:p>
          <w:p w14:paraId="0669D2B4" w14:textId="77777777" w:rsidR="00385613" w:rsidRPr="00214102" w:rsidRDefault="00385613" w:rsidP="00385613">
            <w:pPr>
              <w:pStyle w:val="ListParagraph"/>
              <w:numPr>
                <w:ilvl w:val="0"/>
                <w:numId w:val="5"/>
              </w:numPr>
              <w:ind w:left="114" w:hanging="114"/>
            </w:pPr>
            <w:r w:rsidRPr="00214102">
              <w:t>IT, and technical glitches are not uncommon, and need to be resolved by the participant or the facilitator quickly in real time.</w:t>
            </w:r>
          </w:p>
          <w:p w14:paraId="24C4FC30" w14:textId="77777777" w:rsidR="00385613" w:rsidRPr="00214102" w:rsidRDefault="00385613" w:rsidP="00385613">
            <w:pPr>
              <w:pStyle w:val="ListParagraph"/>
              <w:numPr>
                <w:ilvl w:val="0"/>
                <w:numId w:val="5"/>
              </w:numPr>
              <w:ind w:left="114" w:hanging="114"/>
            </w:pPr>
            <w:r w:rsidRPr="00214102">
              <w:t>Specialised IT support may sometimes be essential to address any IT glitches.</w:t>
            </w:r>
          </w:p>
          <w:p w14:paraId="340B8B24" w14:textId="77777777" w:rsidR="00385613" w:rsidRPr="00214102" w:rsidRDefault="00385613" w:rsidP="00385613">
            <w:pPr>
              <w:pStyle w:val="ListParagraph"/>
              <w:numPr>
                <w:ilvl w:val="0"/>
                <w:numId w:val="5"/>
              </w:numPr>
              <w:ind w:left="114" w:hanging="114"/>
            </w:pPr>
            <w:r w:rsidRPr="00214102">
              <w:t>Strong facilitator-led approach can result in reduced engagement by participants.</w:t>
            </w:r>
          </w:p>
          <w:p w14:paraId="39E5A56B" w14:textId="77777777" w:rsidR="00385613" w:rsidRPr="00214102" w:rsidRDefault="00385613" w:rsidP="00402AD7"/>
        </w:tc>
      </w:tr>
    </w:tbl>
    <w:p w14:paraId="55D0E723" w14:textId="77777777" w:rsidR="00385613" w:rsidRPr="00214102" w:rsidRDefault="00385613" w:rsidP="00385613">
      <w:pPr>
        <w:spacing w:after="0"/>
        <w:rPr>
          <w:rFonts w:eastAsia="Times New Roman" w:cs="Times New Roman"/>
        </w:rPr>
      </w:pPr>
    </w:p>
    <w:p w14:paraId="4A4016E3" w14:textId="77777777" w:rsidR="00385613" w:rsidRPr="00214102" w:rsidRDefault="00385613" w:rsidP="00385613">
      <w:pPr>
        <w:spacing w:after="0" w:line="240" w:lineRule="auto"/>
        <w:rPr>
          <w:rFonts w:eastAsia="Times New Roman" w:cs="Times New Roman"/>
        </w:rPr>
      </w:pPr>
    </w:p>
    <w:p w14:paraId="17BACEE5" w14:textId="77777777" w:rsidR="00385613" w:rsidRPr="00214102" w:rsidRDefault="00385613" w:rsidP="00385613">
      <w:pPr>
        <w:spacing w:after="0" w:line="240" w:lineRule="auto"/>
        <w:rPr>
          <w:rFonts w:eastAsia="Times New Roman" w:cs="Times New Roman"/>
          <w:b/>
        </w:rPr>
      </w:pPr>
      <w:r>
        <w:rPr>
          <w:rFonts w:eastAsia="Times New Roman" w:cs="Times New Roman"/>
          <w:b/>
        </w:rPr>
        <w:t>Lessons Learned</w:t>
      </w:r>
    </w:p>
    <w:p w14:paraId="749FE527" w14:textId="77777777" w:rsidR="00385613" w:rsidRDefault="00385613" w:rsidP="00385613">
      <w:pPr>
        <w:spacing w:after="0" w:line="240" w:lineRule="auto"/>
        <w:rPr>
          <w:rFonts w:eastAsia="Times New Roman" w:cs="Times New Roman"/>
        </w:rPr>
      </w:pPr>
      <w:r w:rsidRPr="00214102">
        <w:rPr>
          <w:rFonts w:eastAsia="Times New Roman" w:cs="Times New Roman"/>
        </w:rPr>
        <w:t>At the end of the workshop supervisors were asked, using a Poll Everywhere poll, t</w:t>
      </w:r>
      <w:r>
        <w:rPr>
          <w:rFonts w:eastAsia="Times New Roman" w:cs="Times New Roman"/>
        </w:rPr>
        <w:t>o identify the key insights or tools</w:t>
      </w:r>
      <w:r w:rsidRPr="00214102">
        <w:rPr>
          <w:rFonts w:eastAsia="Times New Roman" w:cs="Times New Roman"/>
        </w:rPr>
        <w:t xml:space="preserve"> they would take away and apply in their own work with their supervisees. Colleag</w:t>
      </w:r>
      <w:r>
        <w:rPr>
          <w:rFonts w:eastAsia="Times New Roman" w:cs="Times New Roman"/>
        </w:rPr>
        <w:t>ues identified a wide range of ideas</w:t>
      </w:r>
      <w:r w:rsidRPr="00214102">
        <w:rPr>
          <w:rFonts w:eastAsia="Times New Roman" w:cs="Times New Roman"/>
        </w:rPr>
        <w:t xml:space="preserve"> or pedagogical strategies that they could import immediately or in the longer term into their own practice. These included the idea of having a whole group briefi</w:t>
      </w:r>
      <w:r>
        <w:rPr>
          <w:rFonts w:eastAsia="Times New Roman" w:cs="Times New Roman"/>
        </w:rPr>
        <w:t xml:space="preserve">ng session </w:t>
      </w:r>
      <w:r w:rsidRPr="00214102">
        <w:rPr>
          <w:rFonts w:eastAsia="Times New Roman" w:cs="Times New Roman"/>
        </w:rPr>
        <w:t>at the start of the module where expectations, timeframes, deadlines, roles, assessment, and a host of other key themes could be explored collectively, thereby also ensuring the key messages were conveyed consistently to all students at the same time (e.g. number, duration, and function of tut</w:t>
      </w:r>
      <w:r>
        <w:rPr>
          <w:rFonts w:eastAsia="Times New Roman" w:cs="Times New Roman"/>
        </w:rPr>
        <w:t>orials/supervisions, number of drafts</w:t>
      </w:r>
      <w:r w:rsidRPr="00214102">
        <w:rPr>
          <w:rFonts w:eastAsia="Times New Roman" w:cs="Times New Roman"/>
        </w:rPr>
        <w:t xml:space="preserve"> which would be read </w:t>
      </w:r>
      <w:r>
        <w:rPr>
          <w:rFonts w:eastAsia="Times New Roman" w:cs="Times New Roman"/>
        </w:rPr>
        <w:t>and commented on by supervisors</w:t>
      </w:r>
      <w:r w:rsidRPr="00214102">
        <w:rPr>
          <w:rFonts w:eastAsia="Times New Roman" w:cs="Times New Roman"/>
        </w:rPr>
        <w:t xml:space="preserve">). </w:t>
      </w:r>
    </w:p>
    <w:p w14:paraId="352711B0" w14:textId="77777777" w:rsidR="00385613" w:rsidRDefault="00385613" w:rsidP="00385613">
      <w:pPr>
        <w:spacing w:after="0" w:line="240" w:lineRule="auto"/>
        <w:rPr>
          <w:rFonts w:eastAsia="Times New Roman" w:cs="Times New Roman"/>
        </w:rPr>
      </w:pPr>
    </w:p>
    <w:p w14:paraId="36DE64FB" w14:textId="77777777" w:rsidR="00385613" w:rsidRPr="00214102" w:rsidRDefault="00385613" w:rsidP="00385613">
      <w:pPr>
        <w:spacing w:after="0" w:line="240" w:lineRule="auto"/>
        <w:rPr>
          <w:rFonts w:eastAsia="Times New Roman" w:cs="Times New Roman"/>
        </w:rPr>
      </w:pPr>
      <w:r w:rsidRPr="00214102">
        <w:rPr>
          <w:rFonts w:eastAsia="Times New Roman" w:cs="Times New Roman"/>
        </w:rPr>
        <w:t>It transpired that some modules had a dedicated handbook, whilst some did not. Examples of handbooks were shared with attendees. Those lacking a handbook instantly recognised the value of having one and committed themselves to exploring how one could be developed by their module team(s). One of the ideas proposed by the</w:t>
      </w:r>
      <w:r>
        <w:rPr>
          <w:rFonts w:eastAsia="Times New Roman" w:cs="Times New Roman"/>
        </w:rPr>
        <w:t xml:space="preserve"> authors was having a small-</w:t>
      </w:r>
      <w:r w:rsidRPr="00214102">
        <w:rPr>
          <w:rFonts w:eastAsia="Times New Roman" w:cs="Times New Roman"/>
        </w:rPr>
        <w:t xml:space="preserve">group supervision first (i.e. with 4-5 students) prior to breaking down into one-to-one sessions in subsequent weeks – as a way of again ensuring communication of consistent messages and managing expectations. This idea found a warm reception amongst supervisors who realised that, in reality, it wasn’t always necessary to meet students individually, especially in the early stages of a project module. </w:t>
      </w:r>
    </w:p>
    <w:p w14:paraId="0CD4B512" w14:textId="77777777" w:rsidR="00385613" w:rsidRPr="00214102" w:rsidRDefault="00385613" w:rsidP="00385613">
      <w:pPr>
        <w:spacing w:after="0" w:line="240" w:lineRule="auto"/>
        <w:rPr>
          <w:rFonts w:eastAsia="Times New Roman" w:cs="Times New Roman"/>
          <w:color w:val="833C0B" w:themeColor="accent2" w:themeShade="80"/>
        </w:rPr>
      </w:pPr>
    </w:p>
    <w:p w14:paraId="57333CBE" w14:textId="77777777" w:rsidR="00385613" w:rsidRPr="00214102" w:rsidRDefault="00385613" w:rsidP="00385613">
      <w:pPr>
        <w:spacing w:after="0" w:line="240" w:lineRule="auto"/>
        <w:rPr>
          <w:rFonts w:eastAsia="Times New Roman" w:cs="Times New Roman"/>
          <w:color w:val="000000" w:themeColor="text1"/>
        </w:rPr>
      </w:pPr>
      <w:r w:rsidRPr="00214102">
        <w:rPr>
          <w:rFonts w:eastAsia="Times New Roman" w:cs="Times New Roman"/>
          <w:color w:val="000000" w:themeColor="text1"/>
        </w:rPr>
        <w:t xml:space="preserve">The </w:t>
      </w:r>
      <w:proofErr w:type="spellStart"/>
      <w:r w:rsidRPr="00214102">
        <w:rPr>
          <w:rFonts w:eastAsia="Times New Roman" w:cs="Times New Roman"/>
          <w:color w:val="000000" w:themeColor="text1"/>
        </w:rPr>
        <w:t>PollEverywhere</w:t>
      </w:r>
      <w:proofErr w:type="spellEnd"/>
      <w:r w:rsidRPr="00214102">
        <w:rPr>
          <w:rFonts w:eastAsia="Times New Roman" w:cs="Times New Roman"/>
          <w:color w:val="000000" w:themeColor="text1"/>
        </w:rPr>
        <w:t xml:space="preserve"> feedback identified a number of changes that attendees would make in future in their own practices:</w:t>
      </w:r>
    </w:p>
    <w:p w14:paraId="63AE309E" w14:textId="77777777" w:rsidR="00385613" w:rsidRPr="00214102" w:rsidRDefault="00385613" w:rsidP="00385613">
      <w:pPr>
        <w:numPr>
          <w:ilvl w:val="0"/>
          <w:numId w:val="1"/>
        </w:numPr>
        <w:spacing w:after="0" w:line="240" w:lineRule="auto"/>
        <w:rPr>
          <w:rFonts w:eastAsia="Times New Roman" w:cs="Times New Roman"/>
          <w:color w:val="000000" w:themeColor="text1"/>
          <w:lang w:eastAsia="en-GB"/>
        </w:rPr>
      </w:pPr>
      <w:r w:rsidRPr="00214102">
        <w:rPr>
          <w:rFonts w:eastAsia="Times New Roman" w:cs="Times New Roman"/>
          <w:color w:val="000000" w:themeColor="text1"/>
          <w:lang w:eastAsia="en-GB"/>
        </w:rPr>
        <w:t>Clarifying sup</w:t>
      </w:r>
      <w:r>
        <w:rPr>
          <w:rFonts w:eastAsia="Times New Roman" w:cs="Times New Roman"/>
          <w:color w:val="000000" w:themeColor="text1"/>
          <w:lang w:eastAsia="en-GB"/>
        </w:rPr>
        <w:t xml:space="preserve">ervision expectations - </w:t>
      </w:r>
      <w:r w:rsidRPr="00214102">
        <w:rPr>
          <w:rFonts w:eastAsia="Times New Roman" w:cs="Times New Roman"/>
          <w:color w:val="000000" w:themeColor="text1"/>
          <w:lang w:eastAsia="en-GB"/>
        </w:rPr>
        <w:t>both sup</w:t>
      </w:r>
      <w:r>
        <w:rPr>
          <w:rFonts w:eastAsia="Times New Roman" w:cs="Times New Roman"/>
          <w:color w:val="000000" w:themeColor="text1"/>
          <w:lang w:eastAsia="en-GB"/>
        </w:rPr>
        <w:t xml:space="preserve">ervisor and supervisee complete a fill out a short questionnaire </w:t>
      </w:r>
      <w:r w:rsidRPr="00214102">
        <w:rPr>
          <w:rFonts w:eastAsia="Times New Roman" w:cs="Times New Roman"/>
          <w:color w:val="000000" w:themeColor="text1"/>
          <w:lang w:eastAsia="en-GB"/>
        </w:rPr>
        <w:t>to start</w:t>
      </w:r>
      <w:r>
        <w:rPr>
          <w:rFonts w:eastAsia="Times New Roman" w:cs="Times New Roman"/>
          <w:color w:val="000000" w:themeColor="text1"/>
          <w:lang w:eastAsia="en-GB"/>
        </w:rPr>
        <w:t xml:space="preserve"> discussion on responsibilities</w:t>
      </w:r>
    </w:p>
    <w:p w14:paraId="2C8C174F" w14:textId="77777777" w:rsidR="00385613" w:rsidRPr="00214102" w:rsidRDefault="00385613" w:rsidP="00385613">
      <w:pPr>
        <w:numPr>
          <w:ilvl w:val="0"/>
          <w:numId w:val="1"/>
        </w:numPr>
        <w:spacing w:after="0" w:line="240" w:lineRule="auto"/>
        <w:rPr>
          <w:rFonts w:eastAsia="Times New Roman" w:cs="Times New Roman"/>
          <w:color w:val="000000" w:themeColor="text1"/>
          <w:lang w:eastAsia="en-GB"/>
        </w:rPr>
      </w:pPr>
      <w:r w:rsidRPr="00214102">
        <w:rPr>
          <w:rFonts w:eastAsia="Times New Roman" w:cs="Times New Roman"/>
          <w:color w:val="000000" w:themeColor="text1"/>
          <w:lang w:eastAsia="en-GB"/>
        </w:rPr>
        <w:t>Using audits and surveys to gain insights into a cohort's confidence and ability</w:t>
      </w:r>
    </w:p>
    <w:p w14:paraId="1566F97C" w14:textId="77777777" w:rsidR="00385613" w:rsidRPr="00214102" w:rsidRDefault="00385613" w:rsidP="00385613">
      <w:pPr>
        <w:numPr>
          <w:ilvl w:val="0"/>
          <w:numId w:val="1"/>
        </w:numPr>
        <w:spacing w:after="0" w:line="240" w:lineRule="auto"/>
        <w:rPr>
          <w:rFonts w:eastAsia="Times New Roman" w:cs="Times New Roman"/>
          <w:color w:val="000000" w:themeColor="text1"/>
          <w:lang w:eastAsia="en-GB"/>
        </w:rPr>
      </w:pPr>
      <w:r w:rsidRPr="00214102">
        <w:rPr>
          <w:rFonts w:eastAsia="Times New Roman" w:cs="Times New Roman"/>
          <w:color w:val="000000" w:themeColor="text1"/>
          <w:lang w:eastAsia="en-GB"/>
        </w:rPr>
        <w:t>Arranging student support groups</w:t>
      </w:r>
    </w:p>
    <w:p w14:paraId="2A7DBDF9" w14:textId="77777777" w:rsidR="00385613" w:rsidRPr="00214102" w:rsidRDefault="00385613" w:rsidP="00385613">
      <w:pPr>
        <w:numPr>
          <w:ilvl w:val="0"/>
          <w:numId w:val="1"/>
        </w:numPr>
        <w:spacing w:after="0" w:line="240" w:lineRule="auto"/>
        <w:rPr>
          <w:rFonts w:eastAsia="Times New Roman" w:cs="Times New Roman"/>
          <w:color w:val="000000" w:themeColor="text1"/>
          <w:lang w:eastAsia="en-GB"/>
        </w:rPr>
      </w:pPr>
      <w:r w:rsidRPr="00214102">
        <w:rPr>
          <w:rFonts w:eastAsia="Times New Roman" w:cs="Times New Roman"/>
          <w:color w:val="000000" w:themeColor="text1"/>
          <w:lang w:eastAsia="en-GB"/>
        </w:rPr>
        <w:t>Idea of doing the initial meeting as a group</w:t>
      </w:r>
    </w:p>
    <w:p w14:paraId="34EDCE94" w14:textId="77777777" w:rsidR="00385613" w:rsidRPr="00214102" w:rsidRDefault="00385613" w:rsidP="00385613">
      <w:pPr>
        <w:numPr>
          <w:ilvl w:val="0"/>
          <w:numId w:val="1"/>
        </w:numPr>
        <w:spacing w:after="0" w:line="240" w:lineRule="auto"/>
        <w:rPr>
          <w:rFonts w:eastAsia="Times New Roman" w:cs="Times New Roman"/>
          <w:color w:val="000000" w:themeColor="text1"/>
          <w:lang w:eastAsia="en-GB"/>
        </w:rPr>
      </w:pPr>
      <w:r w:rsidRPr="00214102">
        <w:rPr>
          <w:rFonts w:eastAsia="Times New Roman" w:cs="Times New Roman"/>
          <w:color w:val="000000" w:themeColor="text1"/>
          <w:lang w:eastAsia="en-GB"/>
        </w:rPr>
        <w:t>Focusing on feed-forward rather than feed-back</w:t>
      </w:r>
    </w:p>
    <w:p w14:paraId="221AC46E" w14:textId="77777777" w:rsidR="00385613" w:rsidRPr="00214102" w:rsidRDefault="00385613" w:rsidP="00385613">
      <w:pPr>
        <w:numPr>
          <w:ilvl w:val="0"/>
          <w:numId w:val="1"/>
        </w:numPr>
        <w:spacing w:after="0" w:line="240" w:lineRule="auto"/>
        <w:rPr>
          <w:rFonts w:eastAsia="Times New Roman" w:cs="Times New Roman"/>
          <w:color w:val="000000" w:themeColor="text1"/>
          <w:lang w:eastAsia="en-GB"/>
        </w:rPr>
      </w:pPr>
      <w:r w:rsidRPr="00214102">
        <w:rPr>
          <w:rFonts w:eastAsia="Times New Roman" w:cs="Times New Roman"/>
          <w:color w:val="000000" w:themeColor="text1"/>
          <w:lang w:eastAsia="en-GB"/>
        </w:rPr>
        <w:t>Jointly negotiating a learning contract</w:t>
      </w:r>
    </w:p>
    <w:p w14:paraId="77EE806E" w14:textId="77777777" w:rsidR="00385613" w:rsidRPr="00214102" w:rsidRDefault="00385613" w:rsidP="00385613">
      <w:pPr>
        <w:numPr>
          <w:ilvl w:val="0"/>
          <w:numId w:val="1"/>
        </w:numPr>
        <w:spacing w:after="0" w:line="240" w:lineRule="auto"/>
        <w:rPr>
          <w:rFonts w:eastAsia="Times New Roman" w:cs="Times New Roman"/>
          <w:color w:val="000000" w:themeColor="text1"/>
          <w:lang w:eastAsia="en-GB"/>
        </w:rPr>
      </w:pPr>
      <w:r w:rsidRPr="00214102">
        <w:rPr>
          <w:rFonts w:eastAsia="Times New Roman" w:cs="Times New Roman"/>
          <w:color w:val="000000" w:themeColor="text1"/>
          <w:lang w:eastAsia="en-GB"/>
        </w:rPr>
        <w:t>Publishing a profile of supervisors and their areas of experience</w:t>
      </w:r>
    </w:p>
    <w:p w14:paraId="13C1FF50" w14:textId="77777777" w:rsidR="00385613" w:rsidRPr="00214102" w:rsidRDefault="00385613" w:rsidP="00385613">
      <w:pPr>
        <w:numPr>
          <w:ilvl w:val="0"/>
          <w:numId w:val="1"/>
        </w:numPr>
        <w:spacing w:after="0" w:line="240" w:lineRule="auto"/>
        <w:rPr>
          <w:rFonts w:eastAsia="Times New Roman" w:cs="Times New Roman"/>
          <w:color w:val="000000" w:themeColor="text1"/>
          <w:lang w:eastAsia="en-GB"/>
        </w:rPr>
      </w:pPr>
      <w:r w:rsidRPr="00214102">
        <w:rPr>
          <w:rFonts w:eastAsia="Times New Roman" w:cs="Times New Roman"/>
          <w:color w:val="000000" w:themeColor="text1"/>
          <w:lang w:eastAsia="en-GB"/>
        </w:rPr>
        <w:t>Sensitising learners to their responsibilities</w:t>
      </w:r>
    </w:p>
    <w:p w14:paraId="146C6393" w14:textId="77777777" w:rsidR="00385613" w:rsidRPr="00214102" w:rsidRDefault="00385613" w:rsidP="00385613">
      <w:pPr>
        <w:numPr>
          <w:ilvl w:val="0"/>
          <w:numId w:val="1"/>
        </w:numPr>
        <w:spacing w:after="0" w:line="240" w:lineRule="auto"/>
        <w:rPr>
          <w:rFonts w:eastAsia="Times New Roman" w:cs="Times New Roman"/>
          <w:color w:val="000000" w:themeColor="text1"/>
          <w:lang w:eastAsia="en-GB"/>
        </w:rPr>
      </w:pPr>
      <w:r w:rsidRPr="00214102">
        <w:rPr>
          <w:rFonts w:eastAsia="Times New Roman" w:cs="Times New Roman"/>
          <w:color w:val="000000" w:themeColor="text1"/>
          <w:lang w:eastAsia="en-GB"/>
        </w:rPr>
        <w:t>Using role play to clarify and demonstrate expectations</w:t>
      </w:r>
    </w:p>
    <w:p w14:paraId="1D34CB22" w14:textId="77777777" w:rsidR="00385613" w:rsidRPr="00214102" w:rsidRDefault="00385613" w:rsidP="00385613">
      <w:pPr>
        <w:numPr>
          <w:ilvl w:val="0"/>
          <w:numId w:val="1"/>
        </w:numPr>
        <w:spacing w:after="0" w:line="240" w:lineRule="auto"/>
        <w:rPr>
          <w:rFonts w:eastAsia="Times New Roman" w:cs="Times New Roman"/>
          <w:color w:val="000000" w:themeColor="text1"/>
          <w:lang w:eastAsia="en-GB"/>
        </w:rPr>
      </w:pPr>
      <w:r w:rsidRPr="00214102">
        <w:rPr>
          <w:rFonts w:eastAsia="Times New Roman" w:cs="Times New Roman"/>
          <w:color w:val="000000" w:themeColor="text1"/>
          <w:lang w:eastAsia="en-GB"/>
        </w:rPr>
        <w:t>Employing checklists and supervision exemplar for use with students</w:t>
      </w:r>
    </w:p>
    <w:p w14:paraId="0D618AD5" w14:textId="77777777" w:rsidR="00385613" w:rsidRPr="00214102" w:rsidRDefault="00385613" w:rsidP="00385613">
      <w:pPr>
        <w:numPr>
          <w:ilvl w:val="0"/>
          <w:numId w:val="1"/>
        </w:numPr>
        <w:spacing w:after="0" w:line="240" w:lineRule="auto"/>
        <w:rPr>
          <w:rFonts w:eastAsia="Times New Roman" w:cs="Times New Roman"/>
          <w:color w:val="000000" w:themeColor="text1"/>
        </w:rPr>
      </w:pPr>
      <w:r w:rsidRPr="00214102">
        <w:rPr>
          <w:rFonts w:eastAsia="Times New Roman" w:cs="Times New Roman"/>
          <w:color w:val="000000" w:themeColor="text1"/>
          <w:lang w:eastAsia="en-GB"/>
        </w:rPr>
        <w:t>Making the link with the students about the skills they are developing and how this relates to the industry demand</w:t>
      </w:r>
    </w:p>
    <w:p w14:paraId="7217B8AF" w14:textId="77777777" w:rsidR="00385613" w:rsidRPr="00214102" w:rsidRDefault="00385613" w:rsidP="00385613">
      <w:pPr>
        <w:numPr>
          <w:ilvl w:val="0"/>
          <w:numId w:val="1"/>
        </w:numPr>
        <w:spacing w:after="0" w:line="240" w:lineRule="auto"/>
        <w:rPr>
          <w:rFonts w:eastAsia="Times New Roman" w:cs="Times New Roman"/>
          <w:color w:val="000000" w:themeColor="text1"/>
          <w:lang w:eastAsia="en-GB"/>
        </w:rPr>
      </w:pPr>
      <w:r w:rsidRPr="00214102">
        <w:rPr>
          <w:rFonts w:eastAsia="Times New Roman" w:cs="Times New Roman"/>
          <w:color w:val="000000" w:themeColor="text1"/>
          <w:lang w:eastAsia="en-GB"/>
        </w:rPr>
        <w:t>Using a ver</w:t>
      </w:r>
      <w:r>
        <w:rPr>
          <w:rFonts w:eastAsia="Times New Roman" w:cs="Times New Roman"/>
          <w:color w:val="000000" w:themeColor="text1"/>
          <w:lang w:eastAsia="en-GB"/>
        </w:rPr>
        <w:t xml:space="preserve">sion of the Gibbs, </w:t>
      </w:r>
      <w:proofErr w:type="spellStart"/>
      <w:r>
        <w:rPr>
          <w:rFonts w:eastAsia="Times New Roman" w:cs="Times New Roman"/>
          <w:color w:val="000000" w:themeColor="text1"/>
          <w:lang w:eastAsia="en-GB"/>
        </w:rPr>
        <w:t>Habeshaw</w:t>
      </w:r>
      <w:proofErr w:type="spellEnd"/>
      <w:r>
        <w:rPr>
          <w:rFonts w:eastAsia="Times New Roman" w:cs="Times New Roman"/>
          <w:color w:val="000000" w:themeColor="text1"/>
          <w:lang w:eastAsia="en-GB"/>
        </w:rPr>
        <w:t xml:space="preserve"> and </w:t>
      </w:r>
      <w:proofErr w:type="spellStart"/>
      <w:r>
        <w:rPr>
          <w:rFonts w:eastAsia="Times New Roman" w:cs="Times New Roman"/>
          <w:color w:val="000000" w:themeColor="text1"/>
          <w:lang w:eastAsia="en-GB"/>
        </w:rPr>
        <w:t>Habeshaw’s</w:t>
      </w:r>
      <w:proofErr w:type="spellEnd"/>
      <w:r>
        <w:rPr>
          <w:rFonts w:eastAsia="Times New Roman" w:cs="Times New Roman"/>
          <w:color w:val="000000" w:themeColor="text1"/>
          <w:lang w:eastAsia="en-GB"/>
        </w:rPr>
        <w:t xml:space="preserve"> (1992) </w:t>
      </w:r>
      <w:r w:rsidRPr="00F83836">
        <w:rPr>
          <w:rFonts w:eastAsia="Times New Roman" w:cs="Times New Roman"/>
          <w:color w:val="000000" w:themeColor="text1"/>
          <w:lang w:eastAsia="en-GB"/>
        </w:rPr>
        <w:t>One-year Process Model</w:t>
      </w:r>
      <w:r w:rsidRPr="00214102">
        <w:rPr>
          <w:rFonts w:eastAsia="Times New Roman" w:cs="Times New Roman"/>
          <w:color w:val="000000" w:themeColor="text1"/>
          <w:lang w:eastAsia="en-GB"/>
        </w:rPr>
        <w:t xml:space="preserve"> to explain to students what should happen and when, and the kinds of activities they would engage with at different stages in the research process.</w:t>
      </w:r>
    </w:p>
    <w:p w14:paraId="13151154" w14:textId="77777777" w:rsidR="00385613" w:rsidRPr="00214102" w:rsidRDefault="00385613" w:rsidP="00385613">
      <w:pPr>
        <w:numPr>
          <w:ilvl w:val="0"/>
          <w:numId w:val="1"/>
        </w:numPr>
        <w:spacing w:after="0" w:line="240" w:lineRule="auto"/>
        <w:rPr>
          <w:rFonts w:eastAsia="Times New Roman" w:cs="Times New Roman"/>
          <w:color w:val="000000" w:themeColor="text1"/>
          <w:lang w:eastAsia="en-GB"/>
        </w:rPr>
      </w:pPr>
      <w:r w:rsidRPr="00214102">
        <w:rPr>
          <w:rFonts w:eastAsia="Times New Roman" w:cs="Times New Roman"/>
          <w:color w:val="000000" w:themeColor="text1"/>
          <w:lang w:eastAsia="en-GB"/>
        </w:rPr>
        <w:t>Using a questionnaire in first supervision to gain insights into skills development and possible needs for additional support.</w:t>
      </w:r>
    </w:p>
    <w:p w14:paraId="2A4691D1" w14:textId="77777777" w:rsidR="00385613" w:rsidRPr="00214102" w:rsidRDefault="00385613" w:rsidP="00385613">
      <w:pPr>
        <w:spacing w:after="0" w:line="240" w:lineRule="auto"/>
        <w:rPr>
          <w:rFonts w:eastAsia="Times New Roman" w:cs="Times New Roman"/>
        </w:rPr>
      </w:pPr>
    </w:p>
    <w:p w14:paraId="7054D1A5" w14:textId="77777777" w:rsidR="00385613" w:rsidRDefault="00385613" w:rsidP="00385613">
      <w:pPr>
        <w:spacing w:after="0" w:line="240" w:lineRule="auto"/>
        <w:rPr>
          <w:rFonts w:eastAsia="Times New Roman" w:cs="Times New Roman"/>
        </w:rPr>
      </w:pPr>
      <w:r w:rsidRPr="00214102">
        <w:rPr>
          <w:rFonts w:eastAsia="Times New Roman" w:cs="Times New Roman"/>
        </w:rPr>
        <w:t xml:space="preserve">One of the key issues discussed within the workshop was how to provide feedback. It quickly became evident that many supervisors dedicated a large amount of time and energy to providing lengthy diagnostic feedback once the project had been submitted for marking. It also became evident that the value of this was questionable since it came too late to influence the quality of the project and at a </w:t>
      </w:r>
      <w:r>
        <w:rPr>
          <w:rFonts w:eastAsia="Times New Roman" w:cs="Times New Roman"/>
        </w:rPr>
        <w:t>time when students had already moved on</w:t>
      </w:r>
      <w:r w:rsidRPr="00214102">
        <w:rPr>
          <w:rFonts w:eastAsia="Times New Roman" w:cs="Times New Roman"/>
        </w:rPr>
        <w:t xml:space="preserve"> mentally and in many cases physically, and were in no positio</w:t>
      </w:r>
      <w:r>
        <w:rPr>
          <w:rFonts w:eastAsia="Times New Roman" w:cs="Times New Roman"/>
        </w:rPr>
        <w:t xml:space="preserve">n to act on the feedback. It </w:t>
      </w:r>
      <w:r w:rsidRPr="00214102">
        <w:rPr>
          <w:rFonts w:eastAsia="Times New Roman" w:cs="Times New Roman"/>
        </w:rPr>
        <w:t xml:space="preserve">was often redundant anyway since the project was </w:t>
      </w:r>
      <w:r w:rsidRPr="00214102">
        <w:rPr>
          <w:rFonts w:eastAsia="Times New Roman" w:cs="Times New Roman"/>
        </w:rPr>
        <w:lastRenderedPageBreak/>
        <w:t>the last assessment of their</w:t>
      </w:r>
      <w:r>
        <w:rPr>
          <w:rFonts w:eastAsia="Times New Roman" w:cs="Times New Roman"/>
        </w:rPr>
        <w:t xml:space="preserve"> degree course. As feed-forward</w:t>
      </w:r>
      <w:r w:rsidRPr="00214102">
        <w:rPr>
          <w:rFonts w:eastAsia="Times New Roman" w:cs="Times New Roman"/>
        </w:rPr>
        <w:t xml:space="preserve"> it was largely irrelevant and non-productive.  </w:t>
      </w:r>
    </w:p>
    <w:p w14:paraId="00FB952A" w14:textId="77777777" w:rsidR="00385613" w:rsidRDefault="00385613" w:rsidP="00385613">
      <w:pPr>
        <w:spacing w:after="0" w:line="240" w:lineRule="auto"/>
        <w:rPr>
          <w:rFonts w:eastAsia="Times New Roman" w:cs="Times New Roman"/>
        </w:rPr>
      </w:pPr>
    </w:p>
    <w:p w14:paraId="4E96273A" w14:textId="77777777" w:rsidR="00385613" w:rsidRPr="00214102" w:rsidRDefault="00385613" w:rsidP="00385613">
      <w:pPr>
        <w:spacing w:after="0" w:line="240" w:lineRule="auto"/>
        <w:rPr>
          <w:rFonts w:eastAsia="Times New Roman" w:cs="Times New Roman"/>
        </w:rPr>
      </w:pPr>
      <w:r w:rsidRPr="00214102">
        <w:rPr>
          <w:rFonts w:eastAsia="Times New Roman" w:cs="Times New Roman"/>
        </w:rPr>
        <w:t>Discussion with supervisors revealed some interesting cultural issues. One of the most pronounced was the tendency for supervisors to work independently, rather than cooperating and working collegially as a supervisory team. Th</w:t>
      </w:r>
      <w:r>
        <w:rPr>
          <w:rFonts w:eastAsia="Times New Roman" w:cs="Times New Roman"/>
        </w:rPr>
        <w:t xml:space="preserve">e authors emphasised that working as a team on a project module was at least as important as on </w:t>
      </w:r>
      <w:r w:rsidRPr="00214102">
        <w:rPr>
          <w:rFonts w:eastAsia="Times New Roman" w:cs="Times New Roman"/>
        </w:rPr>
        <w:t xml:space="preserve">team-taught modules </w:t>
      </w:r>
      <w:r>
        <w:rPr>
          <w:rFonts w:eastAsia="Times New Roman" w:cs="Times New Roman"/>
        </w:rPr>
        <w:t xml:space="preserve">within the curriculum, particularly </w:t>
      </w:r>
      <w:r w:rsidRPr="00214102">
        <w:rPr>
          <w:rFonts w:eastAsia="Times New Roman" w:cs="Times New Roman"/>
        </w:rPr>
        <w:t>in ensuring not only more consistent approaches to the supervision process, and managing expectations.</w:t>
      </w:r>
    </w:p>
    <w:p w14:paraId="716BB409" w14:textId="77777777" w:rsidR="00385613" w:rsidRPr="00214102" w:rsidRDefault="00385613" w:rsidP="00385613">
      <w:pPr>
        <w:spacing w:after="0" w:line="240" w:lineRule="auto"/>
        <w:rPr>
          <w:rFonts w:eastAsia="Times New Roman" w:cs="Times New Roman"/>
        </w:rPr>
      </w:pPr>
    </w:p>
    <w:p w14:paraId="4BE6AC03" w14:textId="77777777" w:rsidR="00385613" w:rsidRDefault="00385613" w:rsidP="00385613">
      <w:pPr>
        <w:spacing w:after="0" w:line="240" w:lineRule="auto"/>
        <w:rPr>
          <w:rFonts w:eastAsia="Times New Roman" w:cs="Times New Roman"/>
        </w:rPr>
      </w:pPr>
      <w:r>
        <w:rPr>
          <w:rFonts w:eastAsia="Times New Roman" w:cs="Times New Roman"/>
        </w:rPr>
        <w:t>Colleagues identified a range of tools they would take away and utilise in their own supervisions. S</w:t>
      </w:r>
      <w:r w:rsidRPr="00214102">
        <w:rPr>
          <w:rFonts w:eastAsia="Times New Roman" w:cs="Times New Roman"/>
        </w:rPr>
        <w:t>ome attendees identified that they would be using the e</w:t>
      </w:r>
      <w:r>
        <w:rPr>
          <w:rFonts w:eastAsia="Times New Roman" w:cs="Times New Roman"/>
        </w:rPr>
        <w:t xml:space="preserve">xemplar </w:t>
      </w:r>
      <w:r w:rsidRPr="00214102">
        <w:rPr>
          <w:rFonts w:eastAsia="Times New Roman" w:cs="Times New Roman"/>
        </w:rPr>
        <w:t>Sup</w:t>
      </w:r>
      <w:r>
        <w:rPr>
          <w:rFonts w:eastAsia="Times New Roman" w:cs="Times New Roman"/>
        </w:rPr>
        <w:t>ervision Log</w:t>
      </w:r>
      <w:r w:rsidRPr="00214102">
        <w:rPr>
          <w:rFonts w:eastAsia="Times New Roman" w:cs="Times New Roman"/>
        </w:rPr>
        <w:t xml:space="preserve"> that was provided in the workshop, whilst others were ex</w:t>
      </w:r>
      <w:r>
        <w:rPr>
          <w:rFonts w:eastAsia="Times New Roman" w:cs="Times New Roman"/>
        </w:rPr>
        <w:t xml:space="preserve">cited by the idea of using the </w:t>
      </w:r>
      <w:r w:rsidRPr="009158CE">
        <w:rPr>
          <w:rFonts w:eastAsia="Times New Roman" w:cs="Times New Roman"/>
          <w:i/>
        </w:rPr>
        <w:t>Managing Roles and Expectations</w:t>
      </w:r>
      <w:r w:rsidRPr="00214102">
        <w:rPr>
          <w:rFonts w:eastAsia="Times New Roman" w:cs="Times New Roman"/>
        </w:rPr>
        <w:t xml:space="preserve"> tool that the author’s adapted from the 2014 HEA report</w:t>
      </w:r>
      <w:r>
        <w:rPr>
          <w:rFonts w:eastAsia="Times New Roman" w:cs="Times New Roman"/>
        </w:rPr>
        <w:t xml:space="preserve"> (Healey et al, 2014)</w:t>
      </w:r>
      <w:r w:rsidRPr="00214102">
        <w:rPr>
          <w:rFonts w:eastAsia="Times New Roman" w:cs="Times New Roman"/>
        </w:rPr>
        <w:t xml:space="preserve">.  Others identified the development of clear ground rules as a key priority and were keen to negotiate a learning contract or agreement with their students. Others felt happy to simply use the exemplar contract provided by the authors. The concept of a skills audit – drawing on an example designed by the authors – was favoured by several as a useful means of getting an immediate insight into the position their students were in – in terms of their skills development – at the start of the course. Others were unfamiliar with the concept of the Gantt Chart and wanted to use this in future. </w:t>
      </w:r>
      <w:r>
        <w:rPr>
          <w:rFonts w:eastAsia="Times New Roman" w:cs="Times New Roman"/>
        </w:rPr>
        <w:t>T</w:t>
      </w:r>
      <w:r w:rsidRPr="00214102">
        <w:rPr>
          <w:rFonts w:eastAsia="Times New Roman" w:cs="Times New Roman"/>
        </w:rPr>
        <w:t xml:space="preserve">he authors have used these with their own students and both tools help to focus students’ minds on the right things at the right time. </w:t>
      </w:r>
    </w:p>
    <w:p w14:paraId="6B61DAE9" w14:textId="77777777" w:rsidR="00385613" w:rsidRDefault="00385613" w:rsidP="00385613">
      <w:pPr>
        <w:spacing w:after="0" w:line="240" w:lineRule="auto"/>
        <w:rPr>
          <w:rFonts w:eastAsia="Times New Roman" w:cs="Times New Roman"/>
        </w:rPr>
      </w:pPr>
    </w:p>
    <w:p w14:paraId="24180519" w14:textId="77777777" w:rsidR="00385613" w:rsidRPr="00214102" w:rsidRDefault="00385613" w:rsidP="00385613">
      <w:pPr>
        <w:spacing w:after="0" w:line="240" w:lineRule="auto"/>
        <w:rPr>
          <w:rFonts w:eastAsia="Times New Roman" w:cs="Times New Roman"/>
        </w:rPr>
      </w:pPr>
      <w:r w:rsidRPr="00214102">
        <w:rPr>
          <w:rFonts w:eastAsia="Times New Roman" w:cs="Times New Roman"/>
        </w:rPr>
        <w:t>One of the initiatives the authors encouraged supervisors to consider was the idea of a published profile of the supervisory team</w:t>
      </w:r>
      <w:r>
        <w:rPr>
          <w:rFonts w:eastAsia="Times New Roman" w:cs="Times New Roman"/>
        </w:rPr>
        <w:t>,</w:t>
      </w:r>
      <w:r w:rsidRPr="00214102">
        <w:rPr>
          <w:rFonts w:eastAsia="Times New Roman" w:cs="Times New Roman"/>
        </w:rPr>
        <w:t xml:space="preserve"> i.e. 150-200 words describing the interests, research and publications of supervisors, and why they enjoyed supervising undergraduate students. This was identified as</w:t>
      </w:r>
      <w:r>
        <w:rPr>
          <w:rFonts w:eastAsia="Times New Roman" w:cs="Times New Roman"/>
        </w:rPr>
        <w:t xml:space="preserve"> a take-away</w:t>
      </w:r>
      <w:r w:rsidRPr="00214102">
        <w:rPr>
          <w:rFonts w:eastAsia="Times New Roman" w:cs="Times New Roman"/>
        </w:rPr>
        <w:t xml:space="preserve"> tool by several attendees. Attendees were almost unanimous in liking the fac</w:t>
      </w:r>
      <w:r>
        <w:rPr>
          <w:rFonts w:eastAsia="Times New Roman" w:cs="Times New Roman"/>
        </w:rPr>
        <w:t>t that the authors built a role-</w:t>
      </w:r>
      <w:r w:rsidRPr="00214102">
        <w:rPr>
          <w:rFonts w:eastAsia="Times New Roman" w:cs="Times New Roman"/>
        </w:rPr>
        <w:t xml:space="preserve">play session into the workshop. Negative student behaviours and negative supervisor behaviours were </w:t>
      </w:r>
      <w:r>
        <w:rPr>
          <w:rFonts w:eastAsia="Times New Roman" w:cs="Times New Roman"/>
        </w:rPr>
        <w:t>unpacked</w:t>
      </w:r>
      <w:r w:rsidRPr="00214102">
        <w:rPr>
          <w:rFonts w:eastAsia="Times New Roman" w:cs="Times New Roman"/>
        </w:rPr>
        <w:t xml:space="preserve"> and explored collectively so colleagues could see how they might manage their students more effectively whilst also understanding better how they can build trust and mutual respect. Several said that they wanted to replicate aspects of this with their colleagues and students as a way not only of engaging them, but also modelling how real tutorials and supervisions would work. Several were also keen to utilise the 20-point checklist provided by the authors which highlighted the key reasons or areas where students tended to lose marks on their dissertations and projects. By avoiding these common mistakes or flaws, students could ensure that they avoided losing marks unnecessarily. </w:t>
      </w:r>
    </w:p>
    <w:p w14:paraId="48884BA6" w14:textId="77777777" w:rsidR="00385613" w:rsidRPr="00214102" w:rsidRDefault="00385613" w:rsidP="00385613">
      <w:pPr>
        <w:spacing w:after="0" w:line="240" w:lineRule="auto"/>
        <w:rPr>
          <w:rFonts w:eastAsia="Times New Roman" w:cs="Times New Roman"/>
          <w:color w:val="000000" w:themeColor="text1"/>
          <w:lang w:eastAsia="en-GB"/>
        </w:rPr>
      </w:pPr>
    </w:p>
    <w:p w14:paraId="2FCB08A8" w14:textId="77777777" w:rsidR="00385613" w:rsidRPr="00214102" w:rsidRDefault="00385613" w:rsidP="00385613">
      <w:pPr>
        <w:spacing w:after="0" w:line="240" w:lineRule="auto"/>
        <w:rPr>
          <w:rFonts w:eastAsia="Times New Roman" w:cs="Times New Roman"/>
          <w:color w:val="000000" w:themeColor="text1"/>
          <w:lang w:eastAsia="en-GB"/>
        </w:rPr>
      </w:pPr>
      <w:r w:rsidRPr="00214102">
        <w:rPr>
          <w:rFonts w:eastAsia="Times New Roman" w:cs="Times New Roman"/>
          <w:color w:val="000000" w:themeColor="text1"/>
          <w:lang w:eastAsia="en-GB"/>
        </w:rPr>
        <w:t>At the end of each workshop, attend</w:t>
      </w:r>
      <w:r>
        <w:rPr>
          <w:rFonts w:eastAsia="Times New Roman" w:cs="Times New Roman"/>
          <w:color w:val="000000" w:themeColor="text1"/>
          <w:lang w:eastAsia="en-GB"/>
        </w:rPr>
        <w:t>ees also completed a formal</w:t>
      </w:r>
      <w:r w:rsidRPr="00214102">
        <w:rPr>
          <w:rFonts w:eastAsia="Times New Roman" w:cs="Times New Roman"/>
          <w:color w:val="000000" w:themeColor="text1"/>
          <w:lang w:eastAsia="en-GB"/>
        </w:rPr>
        <w:t xml:space="preserve"> evaluation form, which records how satisfied they were with key aspects of the workshop.</w:t>
      </w:r>
      <w:r>
        <w:rPr>
          <w:rFonts w:eastAsia="Times New Roman" w:cs="Times New Roman"/>
          <w:color w:val="000000" w:themeColor="text1"/>
          <w:lang w:eastAsia="en-GB"/>
        </w:rPr>
        <w:t xml:space="preserve"> </w:t>
      </w:r>
      <w:r w:rsidRPr="00214102">
        <w:rPr>
          <w:rFonts w:eastAsia="Times New Roman" w:cs="Times New Roman"/>
          <w:color w:val="000000" w:themeColor="text1"/>
        </w:rPr>
        <w:t>Average satisfaction scores were extremely high, normally in the 4.5+ range (out of a m</w:t>
      </w:r>
      <w:r>
        <w:rPr>
          <w:rFonts w:eastAsia="Times New Roman" w:cs="Times New Roman"/>
          <w:color w:val="000000" w:themeColor="text1"/>
        </w:rPr>
        <w:t>a</w:t>
      </w:r>
      <w:r w:rsidRPr="00214102">
        <w:rPr>
          <w:rFonts w:eastAsia="Times New Roman" w:cs="Times New Roman"/>
          <w:color w:val="000000" w:themeColor="text1"/>
        </w:rPr>
        <w:t>x</w:t>
      </w:r>
      <w:r>
        <w:rPr>
          <w:rFonts w:eastAsia="Times New Roman" w:cs="Times New Roman"/>
          <w:color w:val="000000" w:themeColor="text1"/>
        </w:rPr>
        <w:t>imum</w:t>
      </w:r>
      <w:r w:rsidRPr="00214102">
        <w:rPr>
          <w:rFonts w:eastAsia="Times New Roman" w:cs="Times New Roman"/>
          <w:color w:val="000000" w:themeColor="text1"/>
        </w:rPr>
        <w:t xml:space="preserve"> score of 5.0), and qualitative feedback was very positive. Some examples are provided below:</w:t>
      </w:r>
    </w:p>
    <w:p w14:paraId="1B17D758" w14:textId="77777777" w:rsidR="00385613" w:rsidRPr="00214102" w:rsidRDefault="00385613" w:rsidP="00385613">
      <w:pPr>
        <w:pStyle w:val="ListParagraph"/>
        <w:numPr>
          <w:ilvl w:val="0"/>
          <w:numId w:val="6"/>
        </w:numPr>
        <w:spacing w:after="0" w:line="240" w:lineRule="auto"/>
        <w:rPr>
          <w:rFonts w:eastAsia="Times New Roman" w:cs="Times New Roman"/>
          <w:i/>
          <w:iCs/>
          <w:color w:val="000000" w:themeColor="text1"/>
        </w:rPr>
      </w:pPr>
      <w:r w:rsidRPr="00214102">
        <w:rPr>
          <w:rFonts w:eastAsia="Times New Roman" w:cs="Times New Roman"/>
          <w:i/>
          <w:iCs/>
          <w:color w:val="000000" w:themeColor="text1"/>
        </w:rPr>
        <w:t>“This is something that needs to continue – to ensure student/supervisor engagement”</w:t>
      </w:r>
    </w:p>
    <w:p w14:paraId="7CAD1B4A" w14:textId="77777777" w:rsidR="00385613" w:rsidRPr="00214102" w:rsidRDefault="00385613" w:rsidP="00385613">
      <w:pPr>
        <w:pStyle w:val="ListParagraph"/>
        <w:numPr>
          <w:ilvl w:val="0"/>
          <w:numId w:val="6"/>
        </w:numPr>
        <w:spacing w:after="0" w:line="240" w:lineRule="auto"/>
        <w:rPr>
          <w:rFonts w:eastAsia="Times New Roman" w:cs="Times New Roman"/>
          <w:i/>
          <w:iCs/>
          <w:color w:val="000000" w:themeColor="text1"/>
        </w:rPr>
      </w:pPr>
      <w:r w:rsidRPr="00214102">
        <w:rPr>
          <w:rFonts w:eastAsia="Times New Roman" w:cs="Times New Roman"/>
          <w:i/>
          <w:iCs/>
          <w:color w:val="000000" w:themeColor="text1"/>
        </w:rPr>
        <w:t>“The workshop showed me how to conduct supervisions with undergraduate students”</w:t>
      </w:r>
    </w:p>
    <w:p w14:paraId="17FCDB4C" w14:textId="77777777" w:rsidR="00385613" w:rsidRPr="00214102" w:rsidRDefault="00385613" w:rsidP="00385613">
      <w:pPr>
        <w:pStyle w:val="ListParagraph"/>
        <w:numPr>
          <w:ilvl w:val="0"/>
          <w:numId w:val="6"/>
        </w:numPr>
        <w:spacing w:after="0" w:line="240" w:lineRule="auto"/>
        <w:rPr>
          <w:rFonts w:eastAsia="Times New Roman" w:cs="Times New Roman"/>
          <w:i/>
          <w:iCs/>
          <w:color w:val="000000" w:themeColor="text1"/>
        </w:rPr>
      </w:pPr>
      <w:r>
        <w:rPr>
          <w:rFonts w:eastAsia="Times New Roman" w:cs="Times New Roman"/>
          <w:i/>
          <w:iCs/>
          <w:color w:val="000000" w:themeColor="text1"/>
        </w:rPr>
        <w:t xml:space="preserve">“XXXX and XXXX </w:t>
      </w:r>
      <w:r w:rsidRPr="00214102">
        <w:rPr>
          <w:rFonts w:eastAsia="Times New Roman" w:cs="Times New Roman"/>
          <w:i/>
          <w:iCs/>
          <w:color w:val="000000" w:themeColor="text1"/>
        </w:rPr>
        <w:t>were good on the role play session”</w:t>
      </w:r>
    </w:p>
    <w:p w14:paraId="5A75BE5C" w14:textId="77777777" w:rsidR="00385613" w:rsidRPr="00214102" w:rsidRDefault="00385613" w:rsidP="00385613">
      <w:pPr>
        <w:pStyle w:val="ListParagraph"/>
        <w:numPr>
          <w:ilvl w:val="0"/>
          <w:numId w:val="6"/>
        </w:numPr>
        <w:spacing w:after="0" w:line="240" w:lineRule="auto"/>
        <w:rPr>
          <w:rFonts w:eastAsia="Times New Roman" w:cs="Times New Roman"/>
          <w:i/>
          <w:iCs/>
          <w:color w:val="000000" w:themeColor="text1"/>
        </w:rPr>
      </w:pPr>
      <w:r w:rsidRPr="00214102">
        <w:rPr>
          <w:rFonts w:eastAsia="Times New Roman" w:cs="Times New Roman"/>
          <w:i/>
          <w:iCs/>
          <w:color w:val="000000" w:themeColor="text1"/>
        </w:rPr>
        <w:t>“The role play offered a nice change of pace”</w:t>
      </w:r>
    </w:p>
    <w:p w14:paraId="7214C1C2" w14:textId="77777777" w:rsidR="00385613" w:rsidRPr="00214102" w:rsidRDefault="00385613" w:rsidP="00385613">
      <w:pPr>
        <w:pStyle w:val="ListParagraph"/>
        <w:numPr>
          <w:ilvl w:val="0"/>
          <w:numId w:val="6"/>
        </w:numPr>
        <w:spacing w:after="0" w:line="240" w:lineRule="auto"/>
        <w:rPr>
          <w:rFonts w:eastAsia="Times New Roman" w:cs="Times New Roman"/>
          <w:i/>
          <w:iCs/>
          <w:color w:val="000000" w:themeColor="text1"/>
        </w:rPr>
      </w:pPr>
      <w:r w:rsidRPr="00214102">
        <w:rPr>
          <w:rFonts w:eastAsia="Times New Roman" w:cs="Times New Roman"/>
          <w:color w:val="000000" w:themeColor="text1"/>
        </w:rPr>
        <w:t>“</w:t>
      </w:r>
      <w:r w:rsidRPr="00214102">
        <w:rPr>
          <w:rFonts w:eastAsia="Times New Roman" w:cs="Times New Roman"/>
          <w:i/>
          <w:iCs/>
          <w:color w:val="000000" w:themeColor="text1"/>
        </w:rPr>
        <w:t>Lots of useful exemplars for supervisors and students”</w:t>
      </w:r>
    </w:p>
    <w:p w14:paraId="215A36B9" w14:textId="77777777" w:rsidR="00385613" w:rsidRPr="00214102" w:rsidRDefault="00385613" w:rsidP="00385613">
      <w:pPr>
        <w:pStyle w:val="ListParagraph"/>
        <w:numPr>
          <w:ilvl w:val="0"/>
          <w:numId w:val="6"/>
        </w:numPr>
        <w:spacing w:after="0" w:line="240" w:lineRule="auto"/>
        <w:rPr>
          <w:rFonts w:eastAsia="Times New Roman" w:cs="Times New Roman"/>
          <w:i/>
          <w:iCs/>
          <w:color w:val="000000" w:themeColor="text1"/>
        </w:rPr>
      </w:pPr>
      <w:r w:rsidRPr="00214102">
        <w:rPr>
          <w:rFonts w:eastAsia="Times New Roman" w:cs="Times New Roman"/>
          <w:i/>
          <w:iCs/>
          <w:color w:val="000000" w:themeColor="text1"/>
        </w:rPr>
        <w:t>“The role play made it more interactive”</w:t>
      </w:r>
    </w:p>
    <w:p w14:paraId="1CF22BCE" w14:textId="77777777" w:rsidR="00385613" w:rsidRPr="00214102" w:rsidRDefault="00385613" w:rsidP="00385613">
      <w:pPr>
        <w:pStyle w:val="ListParagraph"/>
        <w:numPr>
          <w:ilvl w:val="0"/>
          <w:numId w:val="6"/>
        </w:numPr>
        <w:spacing w:after="0" w:line="240" w:lineRule="auto"/>
        <w:rPr>
          <w:rFonts w:eastAsia="Times New Roman" w:cs="Times New Roman"/>
          <w:i/>
          <w:iCs/>
          <w:color w:val="000000" w:themeColor="text1"/>
        </w:rPr>
      </w:pPr>
      <w:r w:rsidRPr="00214102">
        <w:rPr>
          <w:rFonts w:eastAsia="Times New Roman" w:cs="Times New Roman"/>
          <w:i/>
          <w:iCs/>
          <w:color w:val="000000" w:themeColor="text1"/>
        </w:rPr>
        <w:t>“Lots of resources to adapt and re-use”</w:t>
      </w:r>
    </w:p>
    <w:p w14:paraId="11873416" w14:textId="77777777" w:rsidR="00385613" w:rsidRPr="00214102" w:rsidRDefault="00385613" w:rsidP="00385613">
      <w:pPr>
        <w:pStyle w:val="ListParagraph"/>
        <w:numPr>
          <w:ilvl w:val="0"/>
          <w:numId w:val="6"/>
        </w:numPr>
        <w:spacing w:after="0" w:line="240" w:lineRule="auto"/>
        <w:rPr>
          <w:rFonts w:eastAsia="Times New Roman" w:cs="Times New Roman"/>
          <w:i/>
          <w:iCs/>
          <w:color w:val="000000" w:themeColor="text1"/>
        </w:rPr>
      </w:pPr>
      <w:r w:rsidRPr="00214102">
        <w:rPr>
          <w:rFonts w:eastAsia="Times New Roman" w:cs="Times New Roman"/>
          <w:i/>
          <w:iCs/>
          <w:color w:val="000000" w:themeColor="text1"/>
        </w:rPr>
        <w:t>“Good examples were used and introduction of new forms and procedures discussed”</w:t>
      </w:r>
    </w:p>
    <w:p w14:paraId="0AE5F6F4" w14:textId="77777777" w:rsidR="00385613" w:rsidRPr="00214102" w:rsidRDefault="00385613" w:rsidP="00385613">
      <w:pPr>
        <w:pStyle w:val="ListParagraph"/>
        <w:numPr>
          <w:ilvl w:val="0"/>
          <w:numId w:val="6"/>
        </w:numPr>
        <w:spacing w:after="0" w:line="240" w:lineRule="auto"/>
        <w:rPr>
          <w:rFonts w:eastAsia="Times New Roman" w:cs="Times New Roman"/>
          <w:i/>
          <w:iCs/>
          <w:color w:val="000000" w:themeColor="text1"/>
        </w:rPr>
      </w:pPr>
      <w:r w:rsidRPr="00214102">
        <w:rPr>
          <w:rFonts w:eastAsia="Times New Roman" w:cs="Times New Roman"/>
          <w:i/>
          <w:iCs/>
          <w:color w:val="000000" w:themeColor="text1"/>
        </w:rPr>
        <w:t>“An excellent mix, and very engaging”</w:t>
      </w:r>
    </w:p>
    <w:p w14:paraId="333FA2A4" w14:textId="77777777" w:rsidR="00385613" w:rsidRPr="00214102" w:rsidRDefault="00385613" w:rsidP="00385613">
      <w:pPr>
        <w:pStyle w:val="ListParagraph"/>
        <w:numPr>
          <w:ilvl w:val="0"/>
          <w:numId w:val="6"/>
        </w:numPr>
        <w:spacing w:after="0" w:line="240" w:lineRule="auto"/>
        <w:rPr>
          <w:rFonts w:eastAsia="Times New Roman" w:cs="Times New Roman"/>
          <w:i/>
          <w:iCs/>
          <w:color w:val="000000" w:themeColor="text1"/>
        </w:rPr>
      </w:pPr>
      <w:r w:rsidRPr="00214102">
        <w:rPr>
          <w:rFonts w:eastAsia="Times New Roman" w:cs="Times New Roman"/>
          <w:i/>
          <w:iCs/>
          <w:color w:val="000000" w:themeColor="text1"/>
        </w:rPr>
        <w:t>“Everything was very helpful. Thank you for coming and sharing with us”</w:t>
      </w:r>
    </w:p>
    <w:p w14:paraId="2B4F49AB" w14:textId="77777777" w:rsidR="00385613" w:rsidRPr="00214102" w:rsidRDefault="00385613" w:rsidP="00385613">
      <w:pPr>
        <w:spacing w:after="0" w:line="240" w:lineRule="auto"/>
        <w:rPr>
          <w:rFonts w:eastAsia="Times New Roman" w:cs="Times New Roman"/>
          <w:color w:val="000000" w:themeColor="text1"/>
        </w:rPr>
      </w:pPr>
    </w:p>
    <w:p w14:paraId="1BC9E1AA" w14:textId="77777777" w:rsidR="00385613" w:rsidRPr="00214102" w:rsidRDefault="00385613" w:rsidP="00385613">
      <w:pPr>
        <w:spacing w:after="0" w:line="240" w:lineRule="auto"/>
        <w:rPr>
          <w:rFonts w:eastAsia="Times New Roman" w:cs="Times New Roman"/>
          <w:color w:val="000000" w:themeColor="text1"/>
        </w:rPr>
      </w:pPr>
      <w:r w:rsidRPr="00214102">
        <w:rPr>
          <w:rFonts w:eastAsia="Times New Roman" w:cs="Times New Roman"/>
          <w:color w:val="000000" w:themeColor="text1"/>
        </w:rPr>
        <w:t>Most frequent</w:t>
      </w:r>
      <w:r>
        <w:rPr>
          <w:rFonts w:eastAsia="Times New Roman" w:cs="Times New Roman"/>
          <w:color w:val="000000" w:themeColor="text1"/>
        </w:rPr>
        <w:t xml:space="preserve"> words</w:t>
      </w:r>
      <w:r w:rsidRPr="00214102">
        <w:rPr>
          <w:rFonts w:eastAsia="Times New Roman" w:cs="Times New Roman"/>
          <w:color w:val="000000" w:themeColor="text1"/>
        </w:rPr>
        <w:t xml:space="preserve"> or phrases used to describe the workshops were:</w:t>
      </w:r>
    </w:p>
    <w:tbl>
      <w:tblPr>
        <w:tblW w:w="0" w:type="auto"/>
        <w:tblCellMar>
          <w:left w:w="0" w:type="dxa"/>
          <w:right w:w="0" w:type="dxa"/>
        </w:tblCellMar>
        <w:tblLook w:val="04A0" w:firstRow="1" w:lastRow="0" w:firstColumn="1" w:lastColumn="0" w:noHBand="0" w:noVBand="1"/>
      </w:tblPr>
      <w:tblGrid>
        <w:gridCol w:w="1802"/>
        <w:gridCol w:w="1807"/>
        <w:gridCol w:w="1910"/>
        <w:gridCol w:w="1681"/>
        <w:gridCol w:w="1806"/>
      </w:tblGrid>
      <w:tr w:rsidR="00385613" w:rsidRPr="00214102" w14:paraId="333EE4A7" w14:textId="77777777" w:rsidTr="00402AD7">
        <w:tc>
          <w:tcPr>
            <w:tcW w:w="18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AE3079B" w14:textId="77777777" w:rsidR="00385613" w:rsidRPr="00214102" w:rsidRDefault="00385613" w:rsidP="00402AD7">
            <w:pPr>
              <w:spacing w:after="0" w:line="240" w:lineRule="auto"/>
              <w:rPr>
                <w:rFonts w:eastAsia="Times New Roman" w:cs="Times New Roman"/>
                <w:color w:val="000000" w:themeColor="text1"/>
              </w:rPr>
            </w:pPr>
            <w:r w:rsidRPr="00214102">
              <w:rPr>
                <w:rFonts w:eastAsia="Times New Roman" w:cs="Times New Roman"/>
                <w:color w:val="000000" w:themeColor="text1"/>
              </w:rPr>
              <w:t>Professional</w:t>
            </w:r>
          </w:p>
        </w:tc>
        <w:tc>
          <w:tcPr>
            <w:tcW w:w="180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2A79EC5" w14:textId="77777777" w:rsidR="00385613" w:rsidRPr="00214102" w:rsidRDefault="00385613" w:rsidP="00402AD7">
            <w:pPr>
              <w:spacing w:after="0" w:line="240" w:lineRule="auto"/>
              <w:rPr>
                <w:rFonts w:eastAsia="Times New Roman" w:cs="Times New Roman"/>
                <w:color w:val="000000" w:themeColor="text1"/>
              </w:rPr>
            </w:pPr>
            <w:r w:rsidRPr="00214102">
              <w:rPr>
                <w:rFonts w:eastAsia="Times New Roman" w:cs="Times New Roman"/>
                <w:color w:val="000000" w:themeColor="text1"/>
              </w:rPr>
              <w:t>Instructive</w:t>
            </w:r>
          </w:p>
        </w:tc>
        <w:tc>
          <w:tcPr>
            <w:tcW w:w="1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82E71F" w14:textId="77777777" w:rsidR="00385613" w:rsidRPr="00214102" w:rsidRDefault="00385613" w:rsidP="00402AD7">
            <w:pPr>
              <w:spacing w:after="0" w:line="240" w:lineRule="auto"/>
              <w:rPr>
                <w:rFonts w:eastAsia="Times New Roman" w:cs="Times New Roman"/>
                <w:color w:val="000000" w:themeColor="text1"/>
              </w:rPr>
            </w:pPr>
            <w:r w:rsidRPr="00214102">
              <w:rPr>
                <w:rFonts w:eastAsia="Times New Roman" w:cs="Times New Roman"/>
                <w:color w:val="000000" w:themeColor="text1"/>
              </w:rPr>
              <w:t>Best practice ideas</w:t>
            </w:r>
          </w:p>
        </w:tc>
        <w:tc>
          <w:tcPr>
            <w:tcW w:w="16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FE97E41" w14:textId="77777777" w:rsidR="00385613" w:rsidRPr="00214102" w:rsidRDefault="00385613" w:rsidP="00402AD7">
            <w:pPr>
              <w:spacing w:after="0" w:line="240" w:lineRule="auto"/>
              <w:rPr>
                <w:rFonts w:eastAsia="Times New Roman" w:cs="Times New Roman"/>
                <w:color w:val="000000" w:themeColor="text1"/>
              </w:rPr>
            </w:pPr>
            <w:r w:rsidRPr="00214102">
              <w:rPr>
                <w:rFonts w:eastAsia="Times New Roman" w:cs="Times New Roman"/>
                <w:color w:val="000000" w:themeColor="text1"/>
              </w:rPr>
              <w:t>Stimulating</w:t>
            </w:r>
          </w:p>
        </w:tc>
        <w:tc>
          <w:tcPr>
            <w:tcW w:w="180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B9D7655" w14:textId="77777777" w:rsidR="00385613" w:rsidRPr="00214102" w:rsidRDefault="00385613" w:rsidP="00402AD7">
            <w:pPr>
              <w:spacing w:after="0" w:line="240" w:lineRule="auto"/>
              <w:rPr>
                <w:rFonts w:eastAsia="Times New Roman" w:cs="Times New Roman"/>
                <w:color w:val="000000" w:themeColor="text1"/>
              </w:rPr>
            </w:pPr>
            <w:r w:rsidRPr="00214102">
              <w:rPr>
                <w:rFonts w:eastAsia="Times New Roman" w:cs="Times New Roman"/>
                <w:color w:val="000000" w:themeColor="text1"/>
              </w:rPr>
              <w:t>Rewarding</w:t>
            </w:r>
          </w:p>
          <w:p w14:paraId="02D151E1" w14:textId="77777777" w:rsidR="00385613" w:rsidRPr="00214102" w:rsidRDefault="00385613" w:rsidP="00402AD7">
            <w:pPr>
              <w:spacing w:after="0" w:line="240" w:lineRule="auto"/>
              <w:rPr>
                <w:rFonts w:eastAsia="Times New Roman" w:cs="Times New Roman"/>
                <w:color w:val="000000" w:themeColor="text1"/>
              </w:rPr>
            </w:pPr>
          </w:p>
        </w:tc>
      </w:tr>
      <w:tr w:rsidR="00385613" w:rsidRPr="00214102" w14:paraId="278CB58A" w14:textId="77777777" w:rsidTr="00402AD7">
        <w:tc>
          <w:tcPr>
            <w:tcW w:w="18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D6B231" w14:textId="77777777" w:rsidR="00385613" w:rsidRPr="00214102" w:rsidRDefault="00385613" w:rsidP="00402AD7">
            <w:pPr>
              <w:spacing w:after="0" w:line="240" w:lineRule="auto"/>
              <w:rPr>
                <w:rFonts w:eastAsia="Times New Roman" w:cs="Times New Roman"/>
                <w:color w:val="000000" w:themeColor="text1"/>
              </w:rPr>
            </w:pPr>
            <w:r w:rsidRPr="00214102">
              <w:rPr>
                <w:rFonts w:eastAsia="Times New Roman" w:cs="Times New Roman"/>
                <w:color w:val="000000" w:themeColor="text1"/>
              </w:rPr>
              <w:t>Fun</w:t>
            </w:r>
          </w:p>
        </w:tc>
        <w:tc>
          <w:tcPr>
            <w:tcW w:w="1807" w:type="dxa"/>
            <w:tcBorders>
              <w:top w:val="nil"/>
              <w:left w:val="nil"/>
              <w:bottom w:val="single" w:sz="8" w:space="0" w:color="auto"/>
              <w:right w:val="single" w:sz="8" w:space="0" w:color="auto"/>
            </w:tcBorders>
            <w:tcMar>
              <w:top w:w="0" w:type="dxa"/>
              <w:left w:w="108" w:type="dxa"/>
              <w:bottom w:w="0" w:type="dxa"/>
              <w:right w:w="108" w:type="dxa"/>
            </w:tcMar>
            <w:hideMark/>
          </w:tcPr>
          <w:p w14:paraId="5D7EABE9" w14:textId="77777777" w:rsidR="00385613" w:rsidRPr="00214102" w:rsidRDefault="00385613" w:rsidP="00402AD7">
            <w:pPr>
              <w:spacing w:after="0" w:line="240" w:lineRule="auto"/>
              <w:rPr>
                <w:rFonts w:eastAsia="Times New Roman" w:cs="Times New Roman"/>
                <w:color w:val="000000" w:themeColor="text1"/>
              </w:rPr>
            </w:pPr>
            <w:r w:rsidRPr="00214102">
              <w:rPr>
                <w:rFonts w:eastAsia="Times New Roman" w:cs="Times New Roman"/>
                <w:color w:val="000000" w:themeColor="text1"/>
              </w:rPr>
              <w:t>Constructive</w:t>
            </w:r>
          </w:p>
        </w:tc>
        <w:tc>
          <w:tcPr>
            <w:tcW w:w="1910" w:type="dxa"/>
            <w:tcBorders>
              <w:top w:val="nil"/>
              <w:left w:val="nil"/>
              <w:bottom w:val="single" w:sz="8" w:space="0" w:color="auto"/>
              <w:right w:val="single" w:sz="8" w:space="0" w:color="auto"/>
            </w:tcBorders>
            <w:tcMar>
              <w:top w:w="0" w:type="dxa"/>
              <w:left w:w="108" w:type="dxa"/>
              <w:bottom w:w="0" w:type="dxa"/>
              <w:right w:w="108" w:type="dxa"/>
            </w:tcMar>
            <w:hideMark/>
          </w:tcPr>
          <w:p w14:paraId="5F95E6A1" w14:textId="77777777" w:rsidR="00385613" w:rsidRPr="00214102" w:rsidRDefault="00385613" w:rsidP="00402AD7">
            <w:pPr>
              <w:spacing w:after="0" w:line="240" w:lineRule="auto"/>
              <w:rPr>
                <w:rFonts w:eastAsia="Times New Roman" w:cs="Times New Roman"/>
                <w:color w:val="000000" w:themeColor="text1"/>
              </w:rPr>
            </w:pPr>
            <w:r w:rsidRPr="00214102">
              <w:rPr>
                <w:rFonts w:eastAsia="Times New Roman" w:cs="Times New Roman"/>
                <w:color w:val="000000" w:themeColor="text1"/>
              </w:rPr>
              <w:t>Innovative</w:t>
            </w:r>
          </w:p>
        </w:tc>
        <w:tc>
          <w:tcPr>
            <w:tcW w:w="1681" w:type="dxa"/>
            <w:tcBorders>
              <w:top w:val="nil"/>
              <w:left w:val="nil"/>
              <w:bottom w:val="single" w:sz="8" w:space="0" w:color="auto"/>
              <w:right w:val="single" w:sz="8" w:space="0" w:color="auto"/>
            </w:tcBorders>
            <w:tcMar>
              <w:top w:w="0" w:type="dxa"/>
              <w:left w:w="108" w:type="dxa"/>
              <w:bottom w:w="0" w:type="dxa"/>
              <w:right w:w="108" w:type="dxa"/>
            </w:tcMar>
            <w:hideMark/>
          </w:tcPr>
          <w:p w14:paraId="14BD984A" w14:textId="77777777" w:rsidR="00385613" w:rsidRPr="00214102" w:rsidRDefault="00385613" w:rsidP="00402AD7">
            <w:pPr>
              <w:spacing w:after="0" w:line="240" w:lineRule="auto"/>
              <w:rPr>
                <w:rFonts w:eastAsia="Times New Roman" w:cs="Times New Roman"/>
                <w:color w:val="000000" w:themeColor="text1"/>
              </w:rPr>
            </w:pPr>
            <w:r w:rsidRPr="00214102">
              <w:rPr>
                <w:rFonts w:eastAsia="Times New Roman" w:cs="Times New Roman"/>
                <w:color w:val="000000" w:themeColor="text1"/>
              </w:rPr>
              <w:t>Participative</w:t>
            </w:r>
          </w:p>
        </w:tc>
        <w:tc>
          <w:tcPr>
            <w:tcW w:w="1806" w:type="dxa"/>
            <w:tcBorders>
              <w:top w:val="nil"/>
              <w:left w:val="nil"/>
              <w:bottom w:val="single" w:sz="8" w:space="0" w:color="auto"/>
              <w:right w:val="single" w:sz="8" w:space="0" w:color="auto"/>
            </w:tcBorders>
            <w:tcMar>
              <w:top w:w="0" w:type="dxa"/>
              <w:left w:w="108" w:type="dxa"/>
              <w:bottom w:w="0" w:type="dxa"/>
              <w:right w:w="108" w:type="dxa"/>
            </w:tcMar>
            <w:hideMark/>
          </w:tcPr>
          <w:p w14:paraId="488814A4" w14:textId="77777777" w:rsidR="00385613" w:rsidRPr="00214102" w:rsidRDefault="00385613" w:rsidP="00402AD7">
            <w:pPr>
              <w:spacing w:after="0" w:line="240" w:lineRule="auto"/>
              <w:rPr>
                <w:rFonts w:eastAsia="Times New Roman" w:cs="Times New Roman"/>
                <w:color w:val="000000" w:themeColor="text1"/>
              </w:rPr>
            </w:pPr>
            <w:r w:rsidRPr="00214102">
              <w:rPr>
                <w:rFonts w:eastAsia="Times New Roman" w:cs="Times New Roman"/>
                <w:color w:val="000000" w:themeColor="text1"/>
              </w:rPr>
              <w:t>Inspirational</w:t>
            </w:r>
          </w:p>
        </w:tc>
      </w:tr>
    </w:tbl>
    <w:p w14:paraId="5C1D406E" w14:textId="77777777" w:rsidR="00385613" w:rsidRPr="00214102" w:rsidRDefault="00385613" w:rsidP="00385613">
      <w:pPr>
        <w:spacing w:after="0" w:line="240" w:lineRule="auto"/>
        <w:rPr>
          <w:rFonts w:eastAsia="Times New Roman" w:cs="Times New Roman"/>
          <w:color w:val="833C0B" w:themeColor="accent2" w:themeShade="80"/>
        </w:rPr>
      </w:pPr>
    </w:p>
    <w:p w14:paraId="693D98DF" w14:textId="77777777" w:rsidR="00385613" w:rsidRPr="00214102" w:rsidRDefault="00385613" w:rsidP="00385613">
      <w:pPr>
        <w:spacing w:after="0" w:line="240" w:lineRule="auto"/>
        <w:rPr>
          <w:rFonts w:eastAsia="Times New Roman" w:cs="Times New Roman"/>
          <w:color w:val="000000" w:themeColor="text1"/>
        </w:rPr>
      </w:pPr>
      <w:r w:rsidRPr="00214102">
        <w:rPr>
          <w:rFonts w:eastAsia="Times New Roman" w:cs="Times New Roman"/>
          <w:color w:val="000000" w:themeColor="text1"/>
        </w:rPr>
        <w:t xml:space="preserve">In addition, attendees were able to identify a small number of enhancements – such as providing more examples of completed supervision logs – that would help to add value to the workshop in future. The authors have drawn on these constructive suggestions to refine the workshop for future delivery, and to inform a follow-on workshop focusing on the supervision of post-graduate students undertaking dissertations on MA/MSc taught courses.  As </w:t>
      </w:r>
      <w:proofErr w:type="spellStart"/>
      <w:r w:rsidRPr="00214102">
        <w:rPr>
          <w:rFonts w:eastAsia="Times New Roman" w:cs="Times New Roman"/>
          <w:color w:val="000000" w:themeColor="text1"/>
        </w:rPr>
        <w:t>at</w:t>
      </w:r>
      <w:proofErr w:type="spellEnd"/>
      <w:r w:rsidRPr="00214102">
        <w:rPr>
          <w:rFonts w:eastAsia="Times New Roman" w:cs="Times New Roman"/>
          <w:color w:val="000000" w:themeColor="text1"/>
        </w:rPr>
        <w:t xml:space="preserve"> undergraduate level, Post Graduate Taught Experience Survey (PTES) survey results indicate that levels of student satisfaction on their dissertation modules are lower than on other modules and marks on Master’s level dissertations are often lower than the marks for other Master’s modules. Both issues suggest that there is a need for dedicated staff development at Master’s level.</w:t>
      </w:r>
    </w:p>
    <w:p w14:paraId="7B1E85D7" w14:textId="77777777" w:rsidR="00385613" w:rsidRPr="00214102" w:rsidRDefault="00385613" w:rsidP="00385613">
      <w:pPr>
        <w:spacing w:after="0" w:line="240" w:lineRule="auto"/>
        <w:rPr>
          <w:rFonts w:eastAsia="Times New Roman" w:cs="Times New Roman"/>
          <w:b/>
        </w:rPr>
      </w:pPr>
    </w:p>
    <w:p w14:paraId="5D017959" w14:textId="77777777" w:rsidR="00385613" w:rsidRPr="00214102" w:rsidRDefault="00385613" w:rsidP="00385613">
      <w:pPr>
        <w:spacing w:after="0" w:line="240" w:lineRule="auto"/>
        <w:rPr>
          <w:rFonts w:eastAsia="Times New Roman" w:cs="Times New Roman"/>
          <w:b/>
        </w:rPr>
      </w:pPr>
      <w:r w:rsidRPr="00214102">
        <w:rPr>
          <w:rFonts w:eastAsia="Times New Roman" w:cs="Times New Roman"/>
          <w:b/>
        </w:rPr>
        <w:t>Recommendations</w:t>
      </w:r>
      <w:r>
        <w:rPr>
          <w:rFonts w:eastAsia="Times New Roman" w:cs="Times New Roman"/>
          <w:b/>
        </w:rPr>
        <w:t xml:space="preserve"> for supervisors </w:t>
      </w:r>
    </w:p>
    <w:p w14:paraId="1C992912" w14:textId="77777777" w:rsidR="00385613" w:rsidRPr="00214102" w:rsidRDefault="00385613" w:rsidP="00385613">
      <w:pPr>
        <w:pStyle w:val="ListParagraph"/>
        <w:numPr>
          <w:ilvl w:val="0"/>
          <w:numId w:val="7"/>
        </w:numPr>
        <w:spacing w:after="0" w:line="240" w:lineRule="auto"/>
        <w:rPr>
          <w:rFonts w:eastAsia="Times New Roman" w:cs="Times New Roman"/>
        </w:rPr>
      </w:pPr>
      <w:r w:rsidRPr="00214102">
        <w:rPr>
          <w:rFonts w:eastAsia="Times New Roman" w:cs="Times New Roman"/>
          <w:b/>
        </w:rPr>
        <w:t>Develop and provide clear guidance to students.</w:t>
      </w:r>
      <w:r w:rsidRPr="00214102">
        <w:rPr>
          <w:rFonts w:eastAsia="Times New Roman" w:cs="Times New Roman"/>
        </w:rPr>
        <w:t xml:space="preserve"> Examples of good practice in the composition of undergraduate major project handbooks exist and these need to be disseminated to ensure enhanced quality and consistency of information for supervisees. The guidance should include clear information on the benefits of doing a project, not only for enhancing learning, but for building transferable higher-order HE skills that students will need as professionals in the 21</w:t>
      </w:r>
      <w:r w:rsidRPr="00214102">
        <w:rPr>
          <w:rFonts w:eastAsia="Times New Roman" w:cs="Times New Roman"/>
          <w:vertAlign w:val="superscript"/>
        </w:rPr>
        <w:t>st</w:t>
      </w:r>
      <w:r w:rsidRPr="00214102">
        <w:rPr>
          <w:rFonts w:eastAsia="Times New Roman" w:cs="Times New Roman"/>
        </w:rPr>
        <w:t xml:space="preserve"> century workplace, and as lifelong learners.</w:t>
      </w:r>
    </w:p>
    <w:p w14:paraId="3AC953EF" w14:textId="77777777" w:rsidR="00385613" w:rsidRPr="00214102" w:rsidRDefault="00385613" w:rsidP="00385613">
      <w:pPr>
        <w:pStyle w:val="ListParagraph"/>
        <w:numPr>
          <w:ilvl w:val="0"/>
          <w:numId w:val="7"/>
        </w:numPr>
        <w:spacing w:after="0" w:line="240" w:lineRule="auto"/>
        <w:rPr>
          <w:rFonts w:eastAsia="Times New Roman" w:cs="Times New Roman"/>
        </w:rPr>
      </w:pPr>
      <w:r w:rsidRPr="00214102">
        <w:rPr>
          <w:rFonts w:eastAsia="Times New Roman" w:cs="Times New Roman"/>
          <w:b/>
        </w:rPr>
        <w:t>Begin the supervision process as early as possible with students.</w:t>
      </w:r>
      <w:r w:rsidRPr="00214102">
        <w:rPr>
          <w:rFonts w:eastAsia="Times New Roman" w:cs="Times New Roman"/>
        </w:rPr>
        <w:t xml:space="preserve"> Ideally the first supervision might be timed to coincide with the final stages of the 2</w:t>
      </w:r>
      <w:r w:rsidRPr="00214102">
        <w:rPr>
          <w:rFonts w:eastAsia="Times New Roman" w:cs="Times New Roman"/>
          <w:vertAlign w:val="superscript"/>
        </w:rPr>
        <w:t>nd</w:t>
      </w:r>
      <w:r w:rsidRPr="00214102">
        <w:rPr>
          <w:rFonts w:eastAsia="Times New Roman" w:cs="Times New Roman"/>
        </w:rPr>
        <w:t xml:space="preserve"> year (level 5), so that allocation of supervisors/supervisees is already confirmed before students go on summer vacation. Identifying a set of key actions then would help students to ‘hit the ground running’ at the start of their final year.</w:t>
      </w:r>
    </w:p>
    <w:p w14:paraId="58A5BABC" w14:textId="77777777" w:rsidR="00385613" w:rsidRPr="00214102" w:rsidRDefault="00385613" w:rsidP="00385613">
      <w:pPr>
        <w:pStyle w:val="ListParagraph"/>
        <w:numPr>
          <w:ilvl w:val="0"/>
          <w:numId w:val="7"/>
        </w:numPr>
        <w:spacing w:after="0" w:line="240" w:lineRule="auto"/>
        <w:rPr>
          <w:rFonts w:eastAsia="Times New Roman" w:cs="Times New Roman"/>
        </w:rPr>
      </w:pPr>
      <w:r w:rsidRPr="00214102">
        <w:rPr>
          <w:rFonts w:eastAsia="Times New Roman" w:cs="Times New Roman"/>
          <w:b/>
        </w:rPr>
        <w:t>Research methods training needs to precede the students’ project work.</w:t>
      </w:r>
      <w:r w:rsidRPr="00214102">
        <w:rPr>
          <w:rFonts w:eastAsia="Times New Roman" w:cs="Times New Roman"/>
        </w:rPr>
        <w:t xml:space="preserve"> To do otherwise does not make pedagogical sense.  Ideally students need to be introduced to elements of research methods training in their 1</w:t>
      </w:r>
      <w:r w:rsidRPr="00214102">
        <w:rPr>
          <w:rFonts w:eastAsia="Times New Roman" w:cs="Times New Roman"/>
          <w:vertAlign w:val="superscript"/>
        </w:rPr>
        <w:t>st</w:t>
      </w:r>
      <w:r w:rsidRPr="00214102">
        <w:rPr>
          <w:rFonts w:eastAsia="Times New Roman" w:cs="Times New Roman"/>
        </w:rPr>
        <w:t xml:space="preserve"> year, reinforced with a more extensive and intensive training in the 2</w:t>
      </w:r>
      <w:r w:rsidRPr="00214102">
        <w:rPr>
          <w:rFonts w:eastAsia="Times New Roman" w:cs="Times New Roman"/>
          <w:vertAlign w:val="superscript"/>
        </w:rPr>
        <w:t>nd</w:t>
      </w:r>
      <w:r w:rsidRPr="00214102">
        <w:rPr>
          <w:rFonts w:eastAsia="Times New Roman" w:cs="Times New Roman"/>
        </w:rPr>
        <w:t xml:space="preserve"> year prior to actually starting their projects in the final year. Where constraints require research methods to be taught in the final year, this should always precede the point where students embark on their projects.</w:t>
      </w:r>
    </w:p>
    <w:p w14:paraId="68F9A000" w14:textId="77777777" w:rsidR="00385613" w:rsidRPr="00214102" w:rsidRDefault="00385613" w:rsidP="00385613">
      <w:pPr>
        <w:pStyle w:val="ListParagraph"/>
        <w:numPr>
          <w:ilvl w:val="0"/>
          <w:numId w:val="7"/>
        </w:numPr>
        <w:spacing w:after="0" w:line="240" w:lineRule="auto"/>
        <w:rPr>
          <w:rFonts w:eastAsia="Times New Roman" w:cs="Times New Roman"/>
        </w:rPr>
      </w:pPr>
      <w:r w:rsidRPr="00214102">
        <w:rPr>
          <w:rFonts w:eastAsia="Times New Roman" w:cs="Times New Roman"/>
          <w:b/>
        </w:rPr>
        <w:t xml:space="preserve">Convene a collective, communal class briefing session at the outset of an undergraduate major project. </w:t>
      </w:r>
      <w:r w:rsidRPr="00214102">
        <w:rPr>
          <w:rFonts w:eastAsia="Times New Roman" w:cs="Times New Roman"/>
        </w:rPr>
        <w:t>This ensures that consistent messages and expectations can be conveyed to all students, and ensures an opportunity to clarify roles and responsibilities. All supervisors should (ideally) also attend this kind of briefing session.</w:t>
      </w:r>
    </w:p>
    <w:p w14:paraId="4B7C1ACF" w14:textId="77777777" w:rsidR="00385613" w:rsidRPr="00214102" w:rsidRDefault="00385613" w:rsidP="00385613">
      <w:pPr>
        <w:pStyle w:val="ListParagraph"/>
        <w:numPr>
          <w:ilvl w:val="0"/>
          <w:numId w:val="7"/>
        </w:numPr>
        <w:spacing w:after="0" w:line="240" w:lineRule="auto"/>
        <w:rPr>
          <w:rFonts w:eastAsia="Times New Roman" w:cs="Times New Roman"/>
        </w:rPr>
      </w:pPr>
      <w:r w:rsidRPr="00214102">
        <w:rPr>
          <w:rFonts w:eastAsia="Times New Roman" w:cs="Times New Roman"/>
          <w:b/>
        </w:rPr>
        <w:t>Be consistent in your practice as supervisors.</w:t>
      </w:r>
      <w:r w:rsidRPr="00214102">
        <w:rPr>
          <w:rFonts w:eastAsia="Times New Roman" w:cs="Times New Roman"/>
        </w:rPr>
        <w:t xml:space="preserve"> Students quickly identify inconsistencies in practice and unfair treatment between students. Supervisory teams must work as teams, meeting frequently to discuss issues and to share practice, to agree/confirm expectations, and (most importantly) to ensure consistent practices (e.g. regarding number of supervisions, the number of sections/chapters which will be read and commented on etc.).</w:t>
      </w:r>
    </w:p>
    <w:p w14:paraId="731D45DF" w14:textId="77777777" w:rsidR="00385613" w:rsidRPr="00214102" w:rsidRDefault="00385613" w:rsidP="00385613">
      <w:pPr>
        <w:pStyle w:val="ListParagraph"/>
        <w:numPr>
          <w:ilvl w:val="0"/>
          <w:numId w:val="7"/>
        </w:numPr>
        <w:spacing w:after="0" w:line="240" w:lineRule="auto"/>
        <w:rPr>
          <w:rFonts w:eastAsia="Times New Roman" w:cs="Times New Roman"/>
        </w:rPr>
      </w:pPr>
      <w:r w:rsidRPr="00214102">
        <w:rPr>
          <w:rFonts w:eastAsia="Times New Roman" w:cs="Times New Roman"/>
          <w:b/>
        </w:rPr>
        <w:t>Establish clear and consistent ground rules.</w:t>
      </w:r>
      <w:r w:rsidRPr="00214102">
        <w:rPr>
          <w:rFonts w:eastAsia="Times New Roman" w:cs="Times New Roman"/>
        </w:rPr>
        <w:t xml:space="preserve"> The nature of the supervisory relationship, and the professional boundaries that constrain it and define it need to be spelled-out for staff and students on undergraduate major projects. Use, for example, of a consistent ‘Checklist’ by supervisors at the first supervision session helps to establish clear expectations and ground rules. Adopt some kind of learning contract o</w:t>
      </w:r>
      <w:r>
        <w:rPr>
          <w:rFonts w:eastAsia="Times New Roman" w:cs="Times New Roman"/>
        </w:rPr>
        <w:t xml:space="preserve">r set of written rules that set </w:t>
      </w:r>
      <w:r w:rsidRPr="00214102">
        <w:rPr>
          <w:rFonts w:eastAsia="Times New Roman" w:cs="Times New Roman"/>
        </w:rPr>
        <w:t>out the mutual obligations and expectations of each party. This promotes transparency and accountability.</w:t>
      </w:r>
    </w:p>
    <w:p w14:paraId="450E7193" w14:textId="77777777" w:rsidR="00385613" w:rsidRPr="00214102" w:rsidRDefault="00385613" w:rsidP="00385613">
      <w:pPr>
        <w:pStyle w:val="ListParagraph"/>
        <w:numPr>
          <w:ilvl w:val="0"/>
          <w:numId w:val="7"/>
        </w:numPr>
        <w:spacing w:after="0" w:line="240" w:lineRule="auto"/>
        <w:rPr>
          <w:rFonts w:eastAsia="Times New Roman" w:cs="Times New Roman"/>
        </w:rPr>
      </w:pPr>
      <w:r w:rsidRPr="00214102">
        <w:rPr>
          <w:rFonts w:eastAsia="Times New Roman" w:cs="Times New Roman"/>
          <w:b/>
        </w:rPr>
        <w:lastRenderedPageBreak/>
        <w:t>Provide guidance on the deadlines, timeframes and major milestones.</w:t>
      </w:r>
      <w:r w:rsidRPr="00214102">
        <w:rPr>
          <w:rFonts w:eastAsia="Times New Roman" w:cs="Times New Roman"/>
        </w:rPr>
        <w:t xml:space="preserve"> Students and staff need to have a shared understanding of these. </w:t>
      </w:r>
    </w:p>
    <w:p w14:paraId="5627EE17" w14:textId="77777777" w:rsidR="00385613" w:rsidRPr="00214102" w:rsidRDefault="00385613" w:rsidP="00385613">
      <w:pPr>
        <w:pStyle w:val="ListParagraph"/>
        <w:numPr>
          <w:ilvl w:val="0"/>
          <w:numId w:val="7"/>
        </w:numPr>
        <w:spacing w:after="0" w:line="240" w:lineRule="auto"/>
        <w:rPr>
          <w:rFonts w:eastAsia="Times New Roman" w:cs="Times New Roman"/>
        </w:rPr>
      </w:pPr>
      <w:r w:rsidRPr="00214102">
        <w:rPr>
          <w:rFonts w:eastAsia="Times New Roman" w:cs="Times New Roman"/>
          <w:b/>
        </w:rPr>
        <w:t>Provide publication outlets for students</w:t>
      </w:r>
      <w:r>
        <w:rPr>
          <w:rFonts w:eastAsia="Times New Roman" w:cs="Times New Roman"/>
          <w:b/>
        </w:rPr>
        <w:t>’</w:t>
      </w:r>
      <w:r w:rsidRPr="00214102">
        <w:rPr>
          <w:rFonts w:eastAsia="Times New Roman" w:cs="Times New Roman"/>
          <w:b/>
        </w:rPr>
        <w:t xml:space="preserve"> project work.</w:t>
      </w:r>
      <w:r w:rsidRPr="00214102">
        <w:rPr>
          <w:rFonts w:eastAsia="Times New Roman" w:cs="Times New Roman"/>
        </w:rPr>
        <w:t xml:space="preserve"> Many such outlets have already been established by UK higher education providers. Either facilitate students’ submission to these existing outlets for UG work, or establish a new one in your own institution. </w:t>
      </w:r>
    </w:p>
    <w:p w14:paraId="54E5D274" w14:textId="77777777" w:rsidR="00385613" w:rsidRPr="00214102" w:rsidRDefault="00385613" w:rsidP="00385613">
      <w:pPr>
        <w:pStyle w:val="ListParagraph"/>
        <w:numPr>
          <w:ilvl w:val="0"/>
          <w:numId w:val="7"/>
        </w:numPr>
        <w:spacing w:after="0" w:line="240" w:lineRule="auto"/>
        <w:rPr>
          <w:rFonts w:eastAsia="Times New Roman" w:cs="Times New Roman"/>
        </w:rPr>
      </w:pPr>
      <w:r w:rsidRPr="00214102">
        <w:rPr>
          <w:rFonts w:eastAsia="Times New Roman" w:cs="Times New Roman"/>
          <w:b/>
        </w:rPr>
        <w:t xml:space="preserve">Explore the value of student peer-to-peer, collaborative and cooperative approaches to leaning and feedback on the project as a mechanisms for reducing supervisor workloads whilst adding value to student learning. </w:t>
      </w:r>
      <w:r w:rsidRPr="00214102">
        <w:rPr>
          <w:rFonts w:eastAsia="Times New Roman" w:cs="Times New Roman"/>
        </w:rPr>
        <w:t>Students have much to benefit from sharing drafts of their work and sharing ideas and problems/challenges with each</w:t>
      </w:r>
      <w:r>
        <w:rPr>
          <w:rFonts w:eastAsia="Times New Roman" w:cs="Times New Roman"/>
        </w:rPr>
        <w:t xml:space="preserve"> other. Build into major project module</w:t>
      </w:r>
      <w:r w:rsidRPr="00214102">
        <w:rPr>
          <w:rFonts w:eastAsia="Times New Roman" w:cs="Times New Roman"/>
        </w:rPr>
        <w:t xml:space="preserve"> opportunities for students to offer feedback on each other’s project work.</w:t>
      </w:r>
    </w:p>
    <w:p w14:paraId="0FC78DC7" w14:textId="77777777" w:rsidR="00385613" w:rsidRPr="00214102" w:rsidRDefault="00385613" w:rsidP="00385613">
      <w:pPr>
        <w:pStyle w:val="ListParagraph"/>
        <w:numPr>
          <w:ilvl w:val="0"/>
          <w:numId w:val="7"/>
        </w:numPr>
        <w:spacing w:after="0" w:line="240" w:lineRule="auto"/>
        <w:rPr>
          <w:rFonts w:eastAsia="Times New Roman" w:cs="Times New Roman"/>
        </w:rPr>
      </w:pPr>
      <w:r w:rsidRPr="00214102">
        <w:rPr>
          <w:rFonts w:eastAsia="Times New Roman" w:cs="Times New Roman"/>
          <w:b/>
        </w:rPr>
        <w:t>Explore approaches to supervision.</w:t>
      </w:r>
      <w:r w:rsidRPr="00214102">
        <w:rPr>
          <w:rFonts w:eastAsia="Times New Roman" w:cs="Times New Roman"/>
        </w:rPr>
        <w:t xml:space="preserve"> Consider group super</w:t>
      </w:r>
      <w:r>
        <w:rPr>
          <w:rFonts w:eastAsia="Times New Roman" w:cs="Times New Roman"/>
        </w:rPr>
        <w:t>vision as an alternative to one-to-</w:t>
      </w:r>
      <w:r w:rsidRPr="00214102">
        <w:rPr>
          <w:rFonts w:eastAsia="Times New Roman" w:cs="Times New Roman"/>
        </w:rPr>
        <w:t xml:space="preserve">one supervision. Online distance supervision and feedback using video conferencing, skype or zoom may also be more convenient, although physical presence may be preferred to a remote environment. </w:t>
      </w:r>
    </w:p>
    <w:p w14:paraId="7596B267" w14:textId="77777777" w:rsidR="00385613" w:rsidRPr="00214102" w:rsidRDefault="00385613" w:rsidP="00385613">
      <w:pPr>
        <w:spacing w:after="0" w:line="240" w:lineRule="auto"/>
        <w:ind w:left="360"/>
        <w:rPr>
          <w:rFonts w:eastAsia="Times New Roman" w:cs="Times New Roman"/>
        </w:rPr>
      </w:pPr>
    </w:p>
    <w:p w14:paraId="31471294" w14:textId="77777777" w:rsidR="00385613" w:rsidRPr="00214102" w:rsidRDefault="00385613" w:rsidP="00385613">
      <w:pPr>
        <w:spacing w:after="0" w:line="240" w:lineRule="auto"/>
        <w:rPr>
          <w:rFonts w:eastAsia="Times New Roman" w:cs="Times New Roman"/>
          <w:b/>
        </w:rPr>
      </w:pPr>
      <w:r w:rsidRPr="00214102">
        <w:rPr>
          <w:rFonts w:eastAsia="Times New Roman" w:cs="Times New Roman"/>
          <w:b/>
        </w:rPr>
        <w:t xml:space="preserve">Conclusion </w:t>
      </w:r>
    </w:p>
    <w:p w14:paraId="0EA086AB" w14:textId="77777777" w:rsidR="00385613" w:rsidRDefault="00385613" w:rsidP="00385613">
      <w:pPr>
        <w:spacing w:after="0" w:line="240" w:lineRule="auto"/>
        <w:rPr>
          <w:rFonts w:eastAsia="Times New Roman" w:cs="Times New Roman"/>
        </w:rPr>
      </w:pPr>
      <w:r>
        <w:rPr>
          <w:rFonts w:eastAsia="Times New Roman" w:cs="Times New Roman"/>
        </w:rPr>
        <w:t>As we have noted, s</w:t>
      </w:r>
      <w:r w:rsidRPr="00214102">
        <w:rPr>
          <w:rFonts w:eastAsia="Times New Roman" w:cs="Times New Roman"/>
        </w:rPr>
        <w:t xml:space="preserve">upervision of undergraduate major projects is </w:t>
      </w:r>
      <w:r>
        <w:rPr>
          <w:rFonts w:eastAsia="Times New Roman" w:cs="Times New Roman"/>
        </w:rPr>
        <w:t>a specific kind of pedagogy that</w:t>
      </w:r>
      <w:r w:rsidRPr="00214102">
        <w:rPr>
          <w:rFonts w:eastAsia="Times New Roman" w:cs="Times New Roman"/>
        </w:rPr>
        <w:t xml:space="preserve"> requires a different skillset and relationship </w:t>
      </w:r>
      <w:r>
        <w:rPr>
          <w:rFonts w:eastAsia="Times New Roman" w:cs="Times New Roman"/>
        </w:rPr>
        <w:t xml:space="preserve">between the tutor and </w:t>
      </w:r>
      <w:r w:rsidRPr="00214102">
        <w:rPr>
          <w:rFonts w:eastAsia="Times New Roman" w:cs="Times New Roman"/>
        </w:rPr>
        <w:t>the student. One cannot assume that all academics will have the skillset or attitude required for the role</w:t>
      </w:r>
      <w:r>
        <w:rPr>
          <w:rFonts w:eastAsia="Times New Roman" w:cs="Times New Roman"/>
        </w:rPr>
        <w:t xml:space="preserve"> without some training</w:t>
      </w:r>
      <w:r w:rsidRPr="00214102">
        <w:rPr>
          <w:rFonts w:eastAsia="Times New Roman" w:cs="Times New Roman"/>
        </w:rPr>
        <w:t xml:space="preserve">. In addition to requiring </w:t>
      </w:r>
      <w:r>
        <w:rPr>
          <w:rFonts w:eastAsia="Times New Roman" w:cs="Times New Roman"/>
        </w:rPr>
        <w:t xml:space="preserve">different skills and developing a particular </w:t>
      </w:r>
      <w:r w:rsidRPr="00214102">
        <w:rPr>
          <w:rFonts w:eastAsia="Times New Roman" w:cs="Times New Roman"/>
        </w:rPr>
        <w:t xml:space="preserve">kind of </w:t>
      </w:r>
      <w:r>
        <w:rPr>
          <w:rFonts w:eastAsia="Times New Roman" w:cs="Times New Roman"/>
        </w:rPr>
        <w:t xml:space="preserve">professional </w:t>
      </w:r>
      <w:r w:rsidRPr="00214102">
        <w:rPr>
          <w:rFonts w:eastAsia="Times New Roman" w:cs="Times New Roman"/>
        </w:rPr>
        <w:t xml:space="preserve">relationship, the supervisory role requires an academic to induct their supervisees into a new kind of pedagogy and a new approach to learning. </w:t>
      </w:r>
    </w:p>
    <w:p w14:paraId="3F5B0BDD" w14:textId="77777777" w:rsidR="00385613" w:rsidRDefault="00385613" w:rsidP="00385613">
      <w:pPr>
        <w:spacing w:after="0" w:line="240" w:lineRule="auto"/>
        <w:rPr>
          <w:rFonts w:eastAsia="Times New Roman" w:cs="Times New Roman"/>
        </w:rPr>
      </w:pPr>
    </w:p>
    <w:p w14:paraId="22E2EA8A" w14:textId="77777777" w:rsidR="00385613" w:rsidRPr="00214102" w:rsidRDefault="00385613" w:rsidP="00385613">
      <w:pPr>
        <w:spacing w:after="0" w:line="240" w:lineRule="auto"/>
        <w:rPr>
          <w:rFonts w:eastAsia="Times New Roman" w:cs="Times New Roman"/>
        </w:rPr>
      </w:pPr>
      <w:r>
        <w:rPr>
          <w:rFonts w:eastAsia="Times New Roman" w:cs="Times New Roman"/>
        </w:rPr>
        <w:t xml:space="preserve">Many </w:t>
      </w:r>
      <w:r w:rsidRPr="00214102">
        <w:rPr>
          <w:rFonts w:eastAsia="Times New Roman" w:cs="Times New Roman"/>
        </w:rPr>
        <w:t>staff will require support to develop the skills and attributes required to be effective in the supervisor</w:t>
      </w:r>
      <w:r>
        <w:rPr>
          <w:rFonts w:eastAsia="Times New Roman" w:cs="Times New Roman"/>
        </w:rPr>
        <w:t>y</w:t>
      </w:r>
      <w:r w:rsidRPr="00214102">
        <w:rPr>
          <w:rFonts w:eastAsia="Times New Roman" w:cs="Times New Roman"/>
        </w:rPr>
        <w:t xml:space="preserve"> role. If this support is not already in place or available via the Academic Development Unit in the university or college, senior managers should seek to address this through the provision of dedicated CPD that addresses this aspect of practice within the HE sector. </w:t>
      </w:r>
      <w:proofErr w:type="gramStart"/>
      <w:r w:rsidRPr="00214102">
        <w:rPr>
          <w:rFonts w:eastAsia="Times New Roman" w:cs="Times New Roman"/>
        </w:rPr>
        <w:t>Furthermore,  th</w:t>
      </w:r>
      <w:r>
        <w:rPr>
          <w:rFonts w:eastAsia="Times New Roman" w:cs="Times New Roman"/>
        </w:rPr>
        <w:t>e</w:t>
      </w:r>
      <w:proofErr w:type="gramEnd"/>
      <w:r w:rsidRPr="00214102">
        <w:rPr>
          <w:rFonts w:eastAsia="Times New Roman" w:cs="Times New Roman"/>
        </w:rPr>
        <w:t xml:space="preserve"> undergraduate major project contributes to the development of a research-led or research-based approach to teaching and learning. Therefore, it i</w:t>
      </w:r>
      <w:r>
        <w:rPr>
          <w:rFonts w:eastAsia="Times New Roman" w:cs="Times New Roman"/>
        </w:rPr>
        <w:t xml:space="preserve">s vital to build a clear </w:t>
      </w:r>
      <w:r w:rsidRPr="00214102">
        <w:rPr>
          <w:rFonts w:eastAsia="Times New Roman" w:cs="Times New Roman"/>
        </w:rPr>
        <w:t xml:space="preserve">alignment between the undergraduate major project and a university’s Learning and Teaching </w:t>
      </w:r>
      <w:r>
        <w:rPr>
          <w:rFonts w:eastAsia="Times New Roman" w:cs="Times New Roman"/>
        </w:rPr>
        <w:t>and Research Strategies</w:t>
      </w:r>
      <w:r w:rsidRPr="00214102">
        <w:rPr>
          <w:rFonts w:eastAsia="Times New Roman" w:cs="Times New Roman"/>
        </w:rPr>
        <w:t>.</w:t>
      </w:r>
    </w:p>
    <w:p w14:paraId="764C6E05" w14:textId="77777777" w:rsidR="00694D64" w:rsidRDefault="00694D64"/>
    <w:sectPr w:rsidR="00694D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E17F5"/>
    <w:multiLevelType w:val="hybridMultilevel"/>
    <w:tmpl w:val="40F46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C22135C"/>
    <w:multiLevelType w:val="hybridMultilevel"/>
    <w:tmpl w:val="D78823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18400A64"/>
    <w:multiLevelType w:val="hybridMultilevel"/>
    <w:tmpl w:val="1CF2E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CBE3750"/>
    <w:multiLevelType w:val="hybridMultilevel"/>
    <w:tmpl w:val="4D701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0AB472F"/>
    <w:multiLevelType w:val="hybridMultilevel"/>
    <w:tmpl w:val="2506B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4192657"/>
    <w:multiLevelType w:val="hybridMultilevel"/>
    <w:tmpl w:val="0F906E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C687F25"/>
    <w:multiLevelType w:val="hybridMultilevel"/>
    <w:tmpl w:val="F7564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F8A4914"/>
    <w:multiLevelType w:val="hybridMultilevel"/>
    <w:tmpl w:val="3AEE3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0"/>
  </w:num>
  <w:num w:numId="4">
    <w:abstractNumId w:val="2"/>
  </w:num>
  <w:num w:numId="5">
    <w:abstractNumId w:val="7"/>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613"/>
    <w:rsid w:val="00385613"/>
    <w:rsid w:val="00694D64"/>
    <w:rsid w:val="008359E2"/>
    <w:rsid w:val="00AD20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86D3C"/>
  <w15:chartTrackingRefBased/>
  <w15:docId w15:val="{64876962-6E77-4066-913E-364C1B7CB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6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85613"/>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856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6006</Words>
  <Characters>34240</Characters>
  <Application>Microsoft Macintosh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40166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Pratt-Adams, Simon</dc:creator>
  <cp:keywords/>
  <dc:description/>
  <cp:lastModifiedBy>Pratt-Adams, Simon</cp:lastModifiedBy>
  <cp:revision>2</cp:revision>
  <dcterms:created xsi:type="dcterms:W3CDTF">2020-03-14T17:31:00Z</dcterms:created>
  <dcterms:modified xsi:type="dcterms:W3CDTF">2020-03-14T17:31:00Z</dcterms:modified>
</cp:coreProperties>
</file>