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BFFDC" w14:textId="7C77F27F" w:rsidR="001230DE" w:rsidRPr="00B40D32" w:rsidRDefault="00FA2E15" w:rsidP="00B40D32">
      <w:pPr>
        <w:jc w:val="center"/>
        <w:rPr>
          <w:b/>
        </w:rPr>
      </w:pPr>
      <w:r w:rsidRPr="00B40D32">
        <w:rPr>
          <w:b/>
        </w:rPr>
        <w:t>Weight perceptions in older adults: findings from the English Longitudinal Study of Ageing</w:t>
      </w:r>
    </w:p>
    <w:p w14:paraId="27538CF7" w14:textId="2758D3C2" w:rsidR="00A9399C" w:rsidRPr="00AE23DD" w:rsidRDefault="00A9399C" w:rsidP="00A9399C">
      <w:pPr>
        <w:spacing w:after="0" w:line="480" w:lineRule="auto"/>
        <w:jc w:val="center"/>
        <w:rPr>
          <w:rFonts w:cstheme="minorHAnsi"/>
          <w:b/>
          <w:vertAlign w:val="superscript"/>
        </w:rPr>
      </w:pPr>
      <w:r w:rsidRPr="00D55BAF">
        <w:rPr>
          <w:rFonts w:cstheme="minorHAnsi"/>
          <w:b/>
        </w:rPr>
        <w:t>Sarah E. Jackson</w:t>
      </w:r>
      <w:r w:rsidRPr="00D55BAF">
        <w:rPr>
          <w:rFonts w:cstheme="minorHAnsi"/>
          <w:b/>
          <w:vertAlign w:val="superscript"/>
        </w:rPr>
        <w:t>1</w:t>
      </w:r>
      <w:r w:rsidR="00E10A50">
        <w:rPr>
          <w:rFonts w:cstheme="minorHAnsi"/>
          <w:b/>
        </w:rPr>
        <w:t>, Lee Smith</w:t>
      </w:r>
      <w:r w:rsidR="00E10A50" w:rsidRPr="00E10A50">
        <w:rPr>
          <w:rFonts w:cstheme="minorHAnsi"/>
          <w:b/>
          <w:vertAlign w:val="superscript"/>
        </w:rPr>
        <w:t>2</w:t>
      </w:r>
      <w:r w:rsidR="00AE23DD">
        <w:rPr>
          <w:rFonts w:cstheme="minorHAnsi"/>
          <w:b/>
        </w:rPr>
        <w:t>, Andrew Steptoe</w:t>
      </w:r>
      <w:r w:rsidR="00AE23DD">
        <w:rPr>
          <w:rFonts w:cstheme="minorHAnsi"/>
          <w:b/>
          <w:vertAlign w:val="superscript"/>
        </w:rPr>
        <w:t>1</w:t>
      </w:r>
    </w:p>
    <w:p w14:paraId="4B53A4BD" w14:textId="77777777" w:rsidR="00A9399C" w:rsidRPr="00D55BAF" w:rsidRDefault="00A9399C" w:rsidP="00A9399C">
      <w:pPr>
        <w:spacing w:after="0" w:line="480" w:lineRule="auto"/>
        <w:rPr>
          <w:rFonts w:cstheme="minorHAnsi"/>
        </w:rPr>
      </w:pPr>
    </w:p>
    <w:p w14:paraId="62E3CBA9" w14:textId="77777777" w:rsidR="00A9399C" w:rsidRDefault="00A9399C" w:rsidP="00A9399C">
      <w:pPr>
        <w:spacing w:after="0" w:line="480" w:lineRule="auto"/>
        <w:jc w:val="center"/>
        <w:rPr>
          <w:rFonts w:cstheme="minorHAnsi"/>
        </w:rPr>
      </w:pPr>
      <w:r w:rsidRPr="00D55BAF">
        <w:rPr>
          <w:rFonts w:cstheme="minorHAnsi"/>
          <w:vertAlign w:val="superscript"/>
        </w:rPr>
        <w:t>1</w:t>
      </w:r>
      <w:r w:rsidRPr="00D55BAF">
        <w:rPr>
          <w:rFonts w:cstheme="minorHAnsi"/>
        </w:rPr>
        <w:t xml:space="preserve">Department of </w:t>
      </w:r>
      <w:r w:rsidR="00A36F8D" w:rsidRPr="00D55BAF">
        <w:rPr>
          <w:rFonts w:cstheme="minorHAnsi"/>
        </w:rPr>
        <w:t>Behavioural Science and Health</w:t>
      </w:r>
      <w:r w:rsidRPr="00D55BAF">
        <w:rPr>
          <w:rFonts w:cstheme="minorHAnsi"/>
        </w:rPr>
        <w:t>, University College London, Lond</w:t>
      </w:r>
      <w:bookmarkStart w:id="0" w:name="_GoBack"/>
      <w:bookmarkEnd w:id="0"/>
      <w:r w:rsidRPr="00D55BAF">
        <w:rPr>
          <w:rFonts w:cstheme="minorHAnsi"/>
        </w:rPr>
        <w:t>on, UK</w:t>
      </w:r>
    </w:p>
    <w:p w14:paraId="58090CE7" w14:textId="77777777" w:rsidR="005D28FC" w:rsidRPr="00CE60B0" w:rsidRDefault="005D28FC" w:rsidP="005D28FC">
      <w:pPr>
        <w:jc w:val="center"/>
      </w:pPr>
      <w:r>
        <w:rPr>
          <w:vertAlign w:val="superscript"/>
        </w:rPr>
        <w:t xml:space="preserve">2 </w:t>
      </w:r>
      <w:r w:rsidRPr="00974312">
        <w:t>Cambridge Centre for Sport and Exercise Sciences, Anglia Ruskin University, Cambridge</w:t>
      </w:r>
      <w:r>
        <w:t>, UK</w:t>
      </w:r>
    </w:p>
    <w:p w14:paraId="6E40D315" w14:textId="77777777" w:rsidR="00A9399C" w:rsidRPr="00D55BAF" w:rsidRDefault="00A9399C" w:rsidP="00A9399C">
      <w:pPr>
        <w:spacing w:after="0" w:line="480" w:lineRule="auto"/>
        <w:rPr>
          <w:rFonts w:cstheme="minorHAnsi"/>
        </w:rPr>
      </w:pPr>
    </w:p>
    <w:p w14:paraId="6AE56C51" w14:textId="2DFAF9A8" w:rsidR="00A9399C" w:rsidRPr="00D55BAF" w:rsidRDefault="00A9399C" w:rsidP="00097006">
      <w:pPr>
        <w:spacing w:after="0"/>
        <w:rPr>
          <w:rFonts w:cstheme="minorHAnsi"/>
        </w:rPr>
      </w:pPr>
      <w:r w:rsidRPr="00D55BAF">
        <w:rPr>
          <w:rFonts w:cstheme="minorHAnsi"/>
          <w:b/>
        </w:rPr>
        <w:t>Corresponding author:</w:t>
      </w:r>
      <w:r w:rsidRPr="00D55BAF">
        <w:rPr>
          <w:rFonts w:cstheme="minorHAnsi"/>
        </w:rPr>
        <w:t xml:space="preserve"> Sarah E Jackson, PhD. Department of </w:t>
      </w:r>
      <w:r w:rsidR="001F45F3" w:rsidRPr="00D55BAF">
        <w:rPr>
          <w:rFonts w:cstheme="minorHAnsi"/>
        </w:rPr>
        <w:t>Behavioural Science and Health</w:t>
      </w:r>
      <w:r w:rsidRPr="00D55BAF">
        <w:rPr>
          <w:rFonts w:cstheme="minorHAnsi"/>
        </w:rPr>
        <w:t>, University College London, 1-19 Torrington Place, London WC1E 6BT</w:t>
      </w:r>
    </w:p>
    <w:p w14:paraId="7E7958A8" w14:textId="77777777" w:rsidR="00A9399C" w:rsidRPr="00D55BAF" w:rsidRDefault="00A9399C" w:rsidP="00097006">
      <w:pPr>
        <w:spacing w:after="0"/>
        <w:rPr>
          <w:rFonts w:cstheme="minorHAnsi"/>
        </w:rPr>
      </w:pPr>
      <w:r w:rsidRPr="00D55BAF">
        <w:rPr>
          <w:rFonts w:cstheme="minorHAnsi"/>
        </w:rPr>
        <w:t xml:space="preserve">Tel: (44) 207 679 </w:t>
      </w:r>
      <w:r w:rsidR="00A65E67" w:rsidRPr="00D55BAF">
        <w:rPr>
          <w:rFonts w:cstheme="minorHAnsi"/>
        </w:rPr>
        <w:t>3179</w:t>
      </w:r>
    </w:p>
    <w:p w14:paraId="104B2157" w14:textId="77777777" w:rsidR="00A9399C" w:rsidRPr="00D55BAF" w:rsidRDefault="00A9399C" w:rsidP="00097006">
      <w:pPr>
        <w:spacing w:after="0"/>
        <w:rPr>
          <w:rFonts w:cstheme="minorHAnsi"/>
        </w:rPr>
      </w:pPr>
      <w:r w:rsidRPr="00D55BAF">
        <w:rPr>
          <w:rFonts w:cstheme="minorHAnsi"/>
        </w:rPr>
        <w:t>Fax: (44) 207 916 8354</w:t>
      </w:r>
    </w:p>
    <w:p w14:paraId="4BBE1426" w14:textId="77777777" w:rsidR="00AC0D2A" w:rsidRDefault="007C3C56" w:rsidP="00AC0D2A">
      <w:pPr>
        <w:spacing w:after="0"/>
        <w:rPr>
          <w:rStyle w:val="Hyperlink"/>
          <w:rFonts w:cstheme="minorHAnsi"/>
        </w:rPr>
      </w:pPr>
      <w:hyperlink r:id="rId7" w:history="1">
        <w:r w:rsidR="00A9399C" w:rsidRPr="00D55BAF">
          <w:rPr>
            <w:rStyle w:val="Hyperlink"/>
            <w:rFonts w:cstheme="minorHAnsi"/>
          </w:rPr>
          <w:t>s.e.jackson@ucl.ac.uk</w:t>
        </w:r>
      </w:hyperlink>
    </w:p>
    <w:p w14:paraId="20CA333C" w14:textId="77777777" w:rsidR="00AC0D2A" w:rsidRPr="00AC0D2A" w:rsidRDefault="00AC0D2A" w:rsidP="00AC0D2A">
      <w:pPr>
        <w:spacing w:after="0"/>
      </w:pPr>
    </w:p>
    <w:p w14:paraId="51263727" w14:textId="62F05B43" w:rsidR="009B489E" w:rsidRPr="00D55BAF" w:rsidRDefault="009B489E" w:rsidP="009B489E">
      <w:pPr>
        <w:spacing w:after="0" w:line="480" w:lineRule="auto"/>
        <w:rPr>
          <w:rFonts w:cstheme="minorHAnsi"/>
        </w:rPr>
      </w:pPr>
      <w:r w:rsidRPr="00D55BAF">
        <w:rPr>
          <w:rFonts w:cstheme="minorHAnsi"/>
          <w:b/>
        </w:rPr>
        <w:t>Word count:</w:t>
      </w:r>
      <w:r w:rsidRPr="00D55BAF">
        <w:rPr>
          <w:rFonts w:cstheme="minorHAnsi"/>
        </w:rPr>
        <w:t xml:space="preserve"> </w:t>
      </w:r>
      <w:r>
        <w:rPr>
          <w:rFonts w:cstheme="minorHAnsi"/>
        </w:rPr>
        <w:t>3,</w:t>
      </w:r>
      <w:r w:rsidR="00023246">
        <w:rPr>
          <w:rFonts w:cstheme="minorHAnsi"/>
        </w:rPr>
        <w:t>465</w:t>
      </w:r>
    </w:p>
    <w:p w14:paraId="2E41B301" w14:textId="77777777" w:rsidR="009B489E" w:rsidRDefault="009B489E" w:rsidP="00AC0D2A">
      <w:pPr>
        <w:spacing w:after="0"/>
        <w:rPr>
          <w:b/>
        </w:rPr>
      </w:pPr>
    </w:p>
    <w:p w14:paraId="38B8D389" w14:textId="77777777" w:rsidR="009B489E" w:rsidRDefault="009B489E">
      <w:pPr>
        <w:spacing w:after="200" w:line="276" w:lineRule="auto"/>
        <w:rPr>
          <w:rFonts w:eastAsiaTheme="majorEastAsia" w:cstheme="minorHAnsi"/>
          <w:b/>
          <w:bCs/>
          <w:sz w:val="26"/>
          <w:szCs w:val="26"/>
        </w:rPr>
      </w:pPr>
      <w:r>
        <w:br w:type="page"/>
      </w:r>
    </w:p>
    <w:p w14:paraId="39C969B3" w14:textId="297CEDBA" w:rsidR="00F768B8" w:rsidRPr="00D55BAF" w:rsidRDefault="00F768B8" w:rsidP="00D55BAF">
      <w:pPr>
        <w:pStyle w:val="Heading2"/>
      </w:pPr>
      <w:r w:rsidRPr="00D55BAF">
        <w:lastRenderedPageBreak/>
        <w:t>Abstract</w:t>
      </w:r>
    </w:p>
    <w:p w14:paraId="3AEF13E3" w14:textId="2A03C1D6" w:rsidR="009B489E" w:rsidRPr="005F7B42" w:rsidRDefault="00ED0CF8" w:rsidP="009B489E">
      <w:r>
        <w:rPr>
          <w:rFonts w:cstheme="minorHAnsi"/>
          <w:b/>
        </w:rPr>
        <w:t>Objectives</w:t>
      </w:r>
      <w:r w:rsidR="009B489E" w:rsidRPr="00D55BAF">
        <w:rPr>
          <w:rFonts w:cstheme="minorHAnsi"/>
          <w:b/>
        </w:rPr>
        <w:t>:</w:t>
      </w:r>
      <w:r w:rsidR="009B489E">
        <w:rPr>
          <w:rFonts w:cstheme="minorHAnsi"/>
        </w:rPr>
        <w:t xml:space="preserve"> </w:t>
      </w:r>
      <w:r w:rsidR="00947A46">
        <w:t>T</w:t>
      </w:r>
      <w:r w:rsidR="009B489E" w:rsidRPr="002F31A5">
        <w:t>o explore</w:t>
      </w:r>
      <w:r w:rsidR="009B489E">
        <w:t xml:space="preserve"> weight</w:t>
      </w:r>
      <w:r w:rsidR="009B489E" w:rsidRPr="002F31A5">
        <w:t xml:space="preserve"> perceptions in a large, nationally-representative sample of older adults</w:t>
      </w:r>
      <w:r w:rsidR="009B489E">
        <w:t>, and the extent to which they differ according to age and perceived health status.</w:t>
      </w:r>
    </w:p>
    <w:p w14:paraId="18AEE405" w14:textId="79E59033" w:rsidR="00ED0CF8" w:rsidRPr="00ED0CF8" w:rsidRDefault="00ED0CF8" w:rsidP="009B489E">
      <w:pPr>
        <w:rPr>
          <w:rFonts w:cstheme="minorHAnsi"/>
        </w:rPr>
      </w:pPr>
      <w:r>
        <w:rPr>
          <w:rFonts w:cstheme="minorHAnsi"/>
          <w:b/>
        </w:rPr>
        <w:t xml:space="preserve">Setting: </w:t>
      </w:r>
      <w:r>
        <w:rPr>
          <w:rFonts w:cstheme="minorHAnsi"/>
        </w:rPr>
        <w:t>England.</w:t>
      </w:r>
    </w:p>
    <w:p w14:paraId="0268254A" w14:textId="6D2FF998" w:rsidR="00ED0CF8" w:rsidRDefault="00ED0CF8" w:rsidP="009B489E">
      <w:pPr>
        <w:rPr>
          <w:rFonts w:cstheme="minorHAnsi"/>
          <w:b/>
        </w:rPr>
      </w:pPr>
      <w:r>
        <w:rPr>
          <w:rFonts w:cstheme="minorHAnsi"/>
          <w:b/>
        </w:rPr>
        <w:t xml:space="preserve">Participants: </w:t>
      </w:r>
      <w:r>
        <w:rPr>
          <w:rFonts w:cstheme="minorHAnsi"/>
        </w:rPr>
        <w:t xml:space="preserve">5,240 </w:t>
      </w:r>
      <w:r w:rsidR="00947A46">
        <w:rPr>
          <w:rFonts w:cstheme="minorHAnsi"/>
        </w:rPr>
        <w:t>men and women</w:t>
      </w:r>
      <w:r>
        <w:rPr>
          <w:rFonts w:cstheme="minorHAnsi"/>
        </w:rPr>
        <w:t xml:space="preserve"> (≥50y) participating in the English Longitudinal Study of Ageing (2016/17).</w:t>
      </w:r>
    </w:p>
    <w:p w14:paraId="00DAD185" w14:textId="39BABA96" w:rsidR="009B489E" w:rsidRPr="00D55BAF" w:rsidRDefault="00ED0CF8" w:rsidP="009B489E">
      <w:pPr>
        <w:rPr>
          <w:rFonts w:cstheme="minorHAnsi"/>
        </w:rPr>
      </w:pPr>
      <w:r>
        <w:rPr>
          <w:rFonts w:cstheme="minorHAnsi"/>
          <w:b/>
        </w:rPr>
        <w:t>Main outcome measures</w:t>
      </w:r>
      <w:r w:rsidR="009B489E" w:rsidRPr="00D55BAF">
        <w:rPr>
          <w:rFonts w:cstheme="minorHAnsi"/>
          <w:b/>
        </w:rPr>
        <w:t>:</w:t>
      </w:r>
      <w:r w:rsidR="009B489E">
        <w:rPr>
          <w:rFonts w:cstheme="minorHAnsi"/>
        </w:rPr>
        <w:t xml:space="preserve"> Weight perception was self-reported as too he</w:t>
      </w:r>
      <w:r>
        <w:rPr>
          <w:rFonts w:cstheme="minorHAnsi"/>
        </w:rPr>
        <w:t>avy, too light, or about right.</w:t>
      </w:r>
    </w:p>
    <w:p w14:paraId="65A49DED" w14:textId="4560F5BA" w:rsidR="009B489E" w:rsidRDefault="009B489E" w:rsidP="009B489E">
      <w:pPr>
        <w:rPr>
          <w:rFonts w:cstheme="minorHAnsi"/>
        </w:rPr>
      </w:pPr>
      <w:r w:rsidRPr="00D55BAF">
        <w:rPr>
          <w:rFonts w:cstheme="minorHAnsi"/>
          <w:b/>
        </w:rPr>
        <w:t>Results:</w:t>
      </w:r>
      <w:r>
        <w:rPr>
          <w:rFonts w:cstheme="minorHAnsi"/>
        </w:rPr>
        <w:t xml:space="preserve"> </w:t>
      </w:r>
      <w:proofErr w:type="gramStart"/>
      <w:r>
        <w:t>The majority of</w:t>
      </w:r>
      <w:proofErr w:type="gramEnd"/>
      <w:r>
        <w:t xml:space="preserve"> older adults endorsed a weight perception that matched their </w:t>
      </w:r>
      <w:r w:rsidR="00ED0CF8">
        <w:t xml:space="preserve">(objectively measured) </w:t>
      </w:r>
      <w:r>
        <w:t>BMI classification. However, one in ten (9.9%) older adults classified by BMI as normal-weight (</w:t>
      </w:r>
      <w:r>
        <w:rPr>
          <w:rFonts w:cstheme="minorHAnsi"/>
        </w:rPr>
        <w:t>18.5-24.9kg/m</w:t>
      </w:r>
      <w:r w:rsidRPr="003A7CB6">
        <w:rPr>
          <w:rFonts w:cstheme="minorHAnsi"/>
          <w:vertAlign w:val="superscript"/>
        </w:rPr>
        <w:t>2</w:t>
      </w:r>
      <w:r>
        <w:rPr>
          <w:rFonts w:cstheme="minorHAnsi"/>
        </w:rPr>
        <w:t xml:space="preserve">) felt </w:t>
      </w:r>
      <w:r>
        <w:t xml:space="preserve">too light, with women at the upper end of the older age spectrum </w:t>
      </w:r>
      <w:r w:rsidRPr="00A205A5">
        <w:rPr>
          <w:rFonts w:eastAsiaTheme="majorEastAsia"/>
        </w:rPr>
        <w:t>(OR=1.0</w:t>
      </w:r>
      <w:r>
        <w:rPr>
          <w:rFonts w:eastAsiaTheme="majorEastAsia"/>
        </w:rPr>
        <w:t>4, 95%CI=</w:t>
      </w:r>
      <w:r w:rsidRPr="00A205A5">
        <w:rPr>
          <w:rFonts w:eastAsiaTheme="majorEastAsia"/>
        </w:rPr>
        <w:t>1.01-1.</w:t>
      </w:r>
      <w:r>
        <w:rPr>
          <w:rFonts w:eastAsiaTheme="majorEastAsia"/>
        </w:rPr>
        <w:t>09</w:t>
      </w:r>
      <w:r w:rsidRPr="00A205A5">
        <w:rPr>
          <w:rFonts w:eastAsiaTheme="majorEastAsia"/>
        </w:rPr>
        <w:t>)</w:t>
      </w:r>
      <w:r>
        <w:rPr>
          <w:rFonts w:eastAsiaTheme="majorEastAsia"/>
        </w:rPr>
        <w:t>,</w:t>
      </w:r>
      <w:r w:rsidRPr="00A703D0">
        <w:t xml:space="preserve"> </w:t>
      </w:r>
      <w:r>
        <w:t>and men (</w:t>
      </w:r>
      <w:r w:rsidRPr="00A205A5">
        <w:rPr>
          <w:rFonts w:eastAsiaTheme="majorEastAsia"/>
        </w:rPr>
        <w:t>OR=3.7</w:t>
      </w:r>
      <w:r>
        <w:rPr>
          <w:rFonts w:eastAsiaTheme="majorEastAsia"/>
        </w:rPr>
        <w:t>0</w:t>
      </w:r>
      <w:r w:rsidRPr="00A205A5">
        <w:rPr>
          <w:rFonts w:eastAsiaTheme="majorEastAsia"/>
        </w:rPr>
        <w:t>, 95%CI</w:t>
      </w:r>
      <w:r>
        <w:rPr>
          <w:rFonts w:eastAsiaTheme="majorEastAsia"/>
        </w:rPr>
        <w:t xml:space="preserve">=1.88-7.28) </w:t>
      </w:r>
      <w:r>
        <w:t>and women (</w:t>
      </w:r>
      <w:r w:rsidRPr="00A205A5">
        <w:rPr>
          <w:rFonts w:eastAsiaTheme="majorEastAsia"/>
        </w:rPr>
        <w:t>OR=</w:t>
      </w:r>
      <w:r>
        <w:rPr>
          <w:rFonts w:eastAsiaTheme="majorEastAsia"/>
        </w:rPr>
        <w:t>2.61, 95%CI=1.27-5.35</w:t>
      </w:r>
      <w:r w:rsidRPr="00A205A5">
        <w:rPr>
          <w:rFonts w:eastAsiaTheme="majorEastAsia"/>
        </w:rPr>
        <w:t>)</w:t>
      </w:r>
      <w:r>
        <w:rPr>
          <w:rFonts w:eastAsiaTheme="majorEastAsia"/>
        </w:rPr>
        <w:t xml:space="preserve"> </w:t>
      </w:r>
      <w:r>
        <w:t>in poorer health more likely to do so. Almost half (44.8%) of older adults classified as overweight (</w:t>
      </w:r>
      <w:r>
        <w:rPr>
          <w:rFonts w:cstheme="minorHAnsi"/>
        </w:rPr>
        <w:t>25-29.9kg/m</w:t>
      </w:r>
      <w:r>
        <w:rPr>
          <w:rFonts w:cstheme="minorHAnsi"/>
          <w:vertAlign w:val="superscript"/>
        </w:rPr>
        <w:t>2</w:t>
      </w:r>
      <w:r>
        <w:rPr>
          <w:rFonts w:cstheme="minorHAnsi"/>
        </w:rPr>
        <w:t>)</w:t>
      </w:r>
      <w:r w:rsidRPr="0031165D">
        <w:t xml:space="preserve"> </w:t>
      </w:r>
      <w:r>
        <w:t>and one in ten (10.3%) classified as obese (</w:t>
      </w:r>
      <w:r>
        <w:rPr>
          <w:rFonts w:cstheme="minorHAnsi"/>
        </w:rPr>
        <w:t>≥30kg/m</w:t>
      </w:r>
      <w:r w:rsidRPr="003A7CB6">
        <w:rPr>
          <w:rFonts w:cstheme="minorHAnsi"/>
          <w:vertAlign w:val="superscript"/>
        </w:rPr>
        <w:t>2</w:t>
      </w:r>
      <w:r>
        <w:rPr>
          <w:rFonts w:cstheme="minorHAnsi"/>
        </w:rPr>
        <w:t xml:space="preserve">) </w:t>
      </w:r>
      <w:r>
        <w:t>felt about the right weight, with this observed more frequently among men and women at the upper end of the older age spectrum (OR range 1.04-1.06).</w:t>
      </w:r>
    </w:p>
    <w:p w14:paraId="71EC52D7" w14:textId="300990E1" w:rsidR="004D62B1" w:rsidRDefault="009B489E" w:rsidP="004D62B1">
      <w:pPr>
        <w:rPr>
          <w:rFonts w:cstheme="minorHAnsi"/>
        </w:rPr>
      </w:pPr>
      <w:r w:rsidRPr="00D55BAF">
        <w:rPr>
          <w:b/>
        </w:rPr>
        <w:t>Conclusion:</w:t>
      </w:r>
      <w:r>
        <w:rPr>
          <w:b/>
        </w:rPr>
        <w:t xml:space="preserve"> </w:t>
      </w:r>
      <w:r>
        <w:t>Older adults’ perceptions of their own weight generally correspond with traditional BMI cut-offs for normal-weight, overweight, and obesity. However, a substantial minority ‘underestimate’ their weight status, with those at the upper end of the age spectrum and those in poorer health more likely to do so.</w:t>
      </w:r>
      <w:r w:rsidRPr="00D55BAF">
        <w:rPr>
          <w:rFonts w:cstheme="minorHAnsi"/>
        </w:rPr>
        <w:tab/>
      </w:r>
    </w:p>
    <w:p w14:paraId="462C4DA4" w14:textId="77777777" w:rsidR="004D62B1" w:rsidRDefault="004D62B1" w:rsidP="004D62B1">
      <w:pPr>
        <w:rPr>
          <w:rFonts w:cstheme="minorHAnsi"/>
        </w:rPr>
      </w:pPr>
    </w:p>
    <w:p w14:paraId="77B7CEE6" w14:textId="1232E949" w:rsidR="00C317CD" w:rsidRPr="004D62B1" w:rsidRDefault="00C317CD" w:rsidP="004D62B1">
      <w:r w:rsidRPr="00D55BAF">
        <w:rPr>
          <w:rFonts w:cstheme="minorHAnsi"/>
          <w:b/>
        </w:rPr>
        <w:t xml:space="preserve">Key words: </w:t>
      </w:r>
      <w:r>
        <w:rPr>
          <w:rFonts w:cstheme="minorHAnsi"/>
        </w:rPr>
        <w:t>body mass index; weight perceptions; population-based study; obesity paradox</w:t>
      </w:r>
    </w:p>
    <w:p w14:paraId="4FC353D4" w14:textId="097F67A5" w:rsidR="0033093E" w:rsidRPr="00C317CD" w:rsidRDefault="0033093E" w:rsidP="00C317CD">
      <w:pPr>
        <w:spacing w:after="200" w:line="276" w:lineRule="auto"/>
        <w:rPr>
          <w:rFonts w:cstheme="minorHAnsi"/>
        </w:rPr>
      </w:pPr>
      <w:r w:rsidRPr="00D55BAF">
        <w:rPr>
          <w:rFonts w:cstheme="minorHAnsi"/>
        </w:rPr>
        <w:br w:type="page"/>
      </w:r>
    </w:p>
    <w:p w14:paraId="17BB23F5" w14:textId="77777777" w:rsidR="005304CF" w:rsidRDefault="005304CF" w:rsidP="00D55BAF">
      <w:pPr>
        <w:pStyle w:val="Heading2"/>
      </w:pPr>
      <w:r>
        <w:lastRenderedPageBreak/>
        <w:t>Strengths and limitations of the study</w:t>
      </w:r>
    </w:p>
    <w:p w14:paraId="3FF3A726" w14:textId="77777777" w:rsidR="005304CF" w:rsidRDefault="005304CF" w:rsidP="005304CF">
      <w:r>
        <w:t>Data were from a large, representative sample of older adults in England.</w:t>
      </w:r>
    </w:p>
    <w:p w14:paraId="31CD68FE" w14:textId="77777777" w:rsidR="005304CF" w:rsidRDefault="005304CF" w:rsidP="005304CF">
      <w:r>
        <w:t xml:space="preserve">Height and weight were objectively measured for calculation of body mass index. </w:t>
      </w:r>
    </w:p>
    <w:p w14:paraId="67EC4279" w14:textId="77777777" w:rsidR="005304CF" w:rsidRDefault="005304CF" w:rsidP="005304CF">
      <w:r>
        <w:t xml:space="preserve">However, there was a substantial amount of missing data, so findings may not generalise to the entire population. </w:t>
      </w:r>
    </w:p>
    <w:p w14:paraId="733B653B" w14:textId="7AB409E3" w:rsidR="005304CF" w:rsidRPr="004E0A0D" w:rsidRDefault="005304CF" w:rsidP="005304CF">
      <w:r w:rsidRPr="004E0A0D">
        <w:t xml:space="preserve">If those who were more concerned about their weight were more likely to decline to be measured, our results may underestimate the proportion of older adults </w:t>
      </w:r>
      <w:r>
        <w:t xml:space="preserve">across all weight groups </w:t>
      </w:r>
      <w:r w:rsidRPr="004E0A0D">
        <w:t xml:space="preserve">who consider themselves to be </w:t>
      </w:r>
      <w:r>
        <w:t>too heavy</w:t>
      </w:r>
      <w:r w:rsidRPr="004E0A0D">
        <w:t>.</w:t>
      </w:r>
    </w:p>
    <w:p w14:paraId="389FE859" w14:textId="77777777" w:rsidR="005304CF" w:rsidRDefault="005304CF">
      <w:pPr>
        <w:spacing w:after="200" w:line="276" w:lineRule="auto"/>
        <w:rPr>
          <w:rFonts w:eastAsiaTheme="majorEastAsia" w:cstheme="minorHAnsi"/>
          <w:b/>
          <w:bCs/>
          <w:sz w:val="26"/>
          <w:szCs w:val="26"/>
        </w:rPr>
      </w:pPr>
      <w:r>
        <w:br w:type="page"/>
      </w:r>
    </w:p>
    <w:p w14:paraId="1373DD03" w14:textId="015F1B1D" w:rsidR="004A3988" w:rsidRDefault="00145732" w:rsidP="00D55BAF">
      <w:pPr>
        <w:pStyle w:val="Heading2"/>
      </w:pPr>
      <w:r w:rsidRPr="00D55BAF">
        <w:lastRenderedPageBreak/>
        <w:t>Introduction</w:t>
      </w:r>
    </w:p>
    <w:p w14:paraId="5EF26C44" w14:textId="1A3A8B69" w:rsidR="008A41D0" w:rsidRDefault="00DC7D7F" w:rsidP="00C727B9">
      <w:r>
        <w:t>The global obesity epidemic and ageing population</w:t>
      </w:r>
      <w:r w:rsidR="008418B7">
        <w:t xml:space="preserve"> are major public health concerns.</w:t>
      </w:r>
      <w:r w:rsidR="00F9783B">
        <w:t xml:space="preserve"> With excess weight becoming increasingly ‘normal’, public perceptions of what constitutes a healthy body weight have become </w:t>
      </w:r>
      <w:r w:rsidR="008B0E5E">
        <w:t>more</w:t>
      </w:r>
      <w:r w:rsidR="00F9783B">
        <w:t xml:space="preserve"> inaccurate</w:t>
      </w:r>
      <w:r w:rsidR="007D7372">
        <w:t xml:space="preserve"> </w:t>
      </w:r>
      <w:r w:rsidR="008B0E5E">
        <w:t>over time</w:t>
      </w:r>
      <w:r w:rsidR="00CC0229">
        <w:t>,</w:t>
      </w:r>
      <w:r w:rsidR="001063BE">
        <w:t xml:space="preserve"> with increasing numbers perceiving a body mass index (BMI) in the overweight or obese range (</w:t>
      </w:r>
      <w:r w:rsidR="001063BE">
        <w:rPr>
          <w:rFonts w:cstheme="minorHAnsi"/>
        </w:rPr>
        <w:t>≥</w:t>
      </w:r>
      <w:r w:rsidR="001063BE">
        <w:t>25 kg/m</w:t>
      </w:r>
      <w:r w:rsidR="001063BE" w:rsidRPr="00BF1AF0">
        <w:rPr>
          <w:vertAlign w:val="superscript"/>
        </w:rPr>
        <w:t>2</w:t>
      </w:r>
      <w:r w:rsidR="001063BE">
        <w:t>) to be ‘about right’</w:t>
      </w:r>
      <w:r w:rsidR="008B0E5E">
        <w:t xml:space="preserve"> </w:t>
      </w:r>
      <w:r w:rsidR="008B0E5E">
        <w:fldChar w:fldCharType="begin"/>
      </w:r>
      <w:r w:rsidR="003E36BD">
        <w:instrText xml:space="preserve"> ADDIN ZOTERO_ITEM CSL_CITATION {"citationID":"HtBBRYMA","properties":{"formattedCitation":"\\super 1\\nosupersub{}","plainCitation":"1","noteIndex":0},"citationItems":[{"id":"Gpmhm9Fe/dYH3x9mI","uris":["http://zotero.org/users/446899/items/VG6STHAE"],"uri":["http://zotero.org/users/446899/items/VG6STHAE"],"itemData":{"id":623,"type":"article-journal","title":"Changing perceptions of weight in Great Britain: comparison of two population surveys","container-title":"BMJ","page":"a494-a494","volume":"337","issue":"jul10 1","source":"CrossRef","DOI":"10.1136/bmj.a494","ISSN":"0959-8138, 1468-5833","shortTitle":"Changing perceptions of weight in Great Britain","author":[{"family":"Johnson","given":"F"},{"family":"Cooke","given":"L"},{"family":"Croker","given":"H"},{"family":"Wardle","given":"J."}],"issued":{"date-parts":[["2008",7,10]]}}}],"schema":"https://github.com/citation-style-language/schema/raw/master/csl-citation.json"} </w:instrText>
      </w:r>
      <w:r w:rsidR="008B0E5E">
        <w:fldChar w:fldCharType="separate"/>
      </w:r>
      <w:r w:rsidR="007404FD" w:rsidRPr="007404FD">
        <w:rPr>
          <w:rFonts w:ascii="Calibri" w:hAnsi="Calibri" w:cs="Calibri"/>
          <w:szCs w:val="24"/>
          <w:vertAlign w:val="superscript"/>
        </w:rPr>
        <w:t>1</w:t>
      </w:r>
      <w:r w:rsidR="008B0E5E">
        <w:fldChar w:fldCharType="end"/>
      </w:r>
      <w:r w:rsidR="00F9783B">
        <w:t>.</w:t>
      </w:r>
      <w:r w:rsidR="001063BE">
        <w:t xml:space="preserve"> </w:t>
      </w:r>
      <w:r w:rsidR="008A41D0">
        <w:t>The number</w:t>
      </w:r>
      <w:r w:rsidR="00CC0229">
        <w:t>s</w:t>
      </w:r>
      <w:r w:rsidR="008A41D0">
        <w:t xml:space="preserve"> of older adults with overweight </w:t>
      </w:r>
      <w:r w:rsidR="00BF1AF0">
        <w:t>(</w:t>
      </w:r>
      <w:r w:rsidR="0070092E">
        <w:t>BMI</w:t>
      </w:r>
      <w:r w:rsidR="00BF1AF0">
        <w:t xml:space="preserve"> 25-29.9 kg/m</w:t>
      </w:r>
      <w:r w:rsidR="00BF1AF0" w:rsidRPr="00BF1AF0">
        <w:rPr>
          <w:vertAlign w:val="superscript"/>
        </w:rPr>
        <w:t>2</w:t>
      </w:r>
      <w:r w:rsidR="00BF1AF0">
        <w:t xml:space="preserve">) </w:t>
      </w:r>
      <w:r w:rsidR="008A41D0">
        <w:t xml:space="preserve">and obesity </w:t>
      </w:r>
      <w:r w:rsidR="00BF1AF0">
        <w:t xml:space="preserve">(BMI </w:t>
      </w:r>
      <w:r w:rsidR="00BF1AF0">
        <w:rPr>
          <w:rFonts w:cstheme="minorHAnsi"/>
        </w:rPr>
        <w:t>≥</w:t>
      </w:r>
      <w:r w:rsidR="00BF1AF0">
        <w:t>30 kg/m</w:t>
      </w:r>
      <w:r w:rsidR="00BF1AF0" w:rsidRPr="00BF1AF0">
        <w:rPr>
          <w:vertAlign w:val="superscript"/>
        </w:rPr>
        <w:t>2</w:t>
      </w:r>
      <w:r w:rsidR="00BF1AF0">
        <w:t xml:space="preserve">) </w:t>
      </w:r>
      <w:r w:rsidR="00CC0229">
        <w:t>are</w:t>
      </w:r>
      <w:r w:rsidR="008A41D0">
        <w:t xml:space="preserve"> rising rapidly, due to concurrent increases in the number of adults who reach older age and the proportion who carry excess weight</w:t>
      </w:r>
      <w:r w:rsidR="00843359">
        <w:t xml:space="preserve"> </w:t>
      </w:r>
      <w:r w:rsidR="00843359">
        <w:fldChar w:fldCharType="begin"/>
      </w:r>
      <w:r w:rsidR="003E36BD">
        <w:instrText xml:space="preserve"> ADDIN ZOTERO_ITEM CSL_CITATION {"citationID":"MdYrCxti","properties":{"formattedCitation":"\\super 2\\uc0\\u8211{}4\\nosupersub{}","plainCitation":"2–4","noteIndex":0},"citationItems":[{"id":"Gpmhm9Fe/INXWEbdT","uris":["http://zotero.org/users/446899/items/TXI2I3HT"],"uri":["http://zotero.org/users/446899/items/TXI2I3HT"],"itemData":{"id":671,"type":"book","title":"The next four decades: the older population in the United States: 2010 to 2050","publisher":"US Department of Commerce, Economics and Statistics Administration, US Census Bureau","source":"Google Scholar","shortTitle":"The next four decades","author":[{"family":"Vincent","given":"G. K."},{"family":"Velkoff","given":"V. A."}],"issued":{"date-parts":[["2010"]]}}},{"id":"Gpmhm9Fe/MsKRRYkw","uris":["http://zotero.org/users/446899/items/UUTWPC9S"],"uri":["http://zotero.org/users/446899/items/UUTWPC9S"],"itemData":{"id":226,"type":"article-journal","title":"Health and economic burden of the projected obesity trends in the USA and the UK","container-title":"The Lancet","page":"815-825","volume":"378","issue":"9793","source":"ScienceDirect","abstract":"Summary\nRising prevalence of obesity is a worldwide health concern because excess weight gain within populations forecasts an increased burden from several diseases, most notably cardiovascular diseases, diabetes, and cancers. In this report, we used a simulation model to project the probable health and economic consequences in the next two decades from a continued rise in obesity in two ageing populations—the USA and the UK. These trends project 65 million more obese adults in the USA and 11 million more obese adults in the UK by 2030, consequently accruing an additional 6–8·5 million cases of diabetes, 5·7–7·3 million cases of heart disease and stroke, 492 000–669 000 additional cases of cancer, and 26–55 million quality-adjusted life years forgone for USA and UK combined. The combined medical costs associated with treatment of these preventable diseases are estimated to increase by $48–66 billion/year in the USA and by £1·9–2 billion/year in the UK by 2030. Hence, effective policies to promote healthier weight also have economic benefits.","DOI":"10.1016/S0140-6736(11)60814-3","ISSN":"0140-6736","author":[{"family":"Wang","given":"Y Claire"},{"family":"McPherson","given":"Klim"},{"family":"Marsh","given":"Tim"},{"family":"Gortmaker","given":"Steven L"},{"family":"Brown","given":"Martin"}],"issued":{"date-parts":[["2011"]]}}},{"id":"Gpmhm9Fe/rvjqUWce","uris":["http://zotero.org/users/446899/items/G3F75FYV"],"uri":["http://zotero.org/users/446899/items/G3F75FYV"],"itemData":{"id":7415,"type":"article-journal","title":"Obesity in Older Adults: Technical Review and Position Statement of the American Society for Nutrition and NAASO, The Obesity Society","container-title":"Obesity Research","page":"1849-1863","volume":"13","issue":"11","source":"Wiley Online Library","abstract":"Obesity causes serious medical complications and impairs quality of life. Moreover, in older persons, obesity can exacerbate the age-related decline in physical function and lead to frailty. However, appropriate treatment for obesity in older persons is controversial because of the reduction in relative health risks associated with increasing body mass index and the concern that weight loss could have potential harmful effects in the older population. This joint position statement from the American Society for Nutrition and NAASO, The Obesity Society reviews the clinical issues related to obesity in older persons and provides health professionals with appropriate weight-management guidelines for obese older patients. The current data show that weight-loss therapy improves physical function, quality of life, and the medical complications associated with obesity in older persons. Therefore, weight-loss therapy that minimizes muscle and bone losses is recommended for older persons who are obese and who have functional impairments or medical complications that can benefit from weight loss.","DOI":"10.1038/oby.2005.228","ISSN":"1550-8528","shortTitle":"Obesity in Older Adults","language":"en","author":[{"family":"Villareal","given":"Dennis T."},{"family":"Apovian","given":"Caroline M."},{"family":"Kushner","given":"Robert F."},{"family":"Klein","given":"Samuel"}],"issued":{"date-parts":[["2005"]]}}}],"schema":"https://github.com/citation-style-language/schema/raw/master/csl-citation.json"} </w:instrText>
      </w:r>
      <w:r w:rsidR="00843359">
        <w:fldChar w:fldCharType="separate"/>
      </w:r>
      <w:r w:rsidR="007404FD" w:rsidRPr="007404FD">
        <w:rPr>
          <w:rFonts w:ascii="Calibri" w:hAnsi="Calibri" w:cs="Calibri"/>
          <w:szCs w:val="24"/>
          <w:vertAlign w:val="superscript"/>
        </w:rPr>
        <w:t>2–4</w:t>
      </w:r>
      <w:r w:rsidR="00843359">
        <w:fldChar w:fldCharType="end"/>
      </w:r>
      <w:r w:rsidR="008A41D0">
        <w:t xml:space="preserve">. </w:t>
      </w:r>
      <w:r w:rsidR="00C727B9">
        <w:t>Understanding how older adults perceive their own weight status, and the extent to which this is influenced by their age and health status, is important for</w:t>
      </w:r>
      <w:r w:rsidR="0084591A">
        <w:t xml:space="preserve"> informing targeted </w:t>
      </w:r>
      <w:r w:rsidR="006D4F40">
        <w:t xml:space="preserve">recommendations and </w:t>
      </w:r>
      <w:r w:rsidR="0084591A">
        <w:t xml:space="preserve">interventions to promote healthy weight in </w:t>
      </w:r>
      <w:r w:rsidR="00EF6E39">
        <w:t>later life</w:t>
      </w:r>
      <w:r w:rsidR="00EE730A">
        <w:t>.</w:t>
      </w:r>
    </w:p>
    <w:p w14:paraId="1530650A" w14:textId="28C57FAC" w:rsidR="00D55193" w:rsidRDefault="00E854E2" w:rsidP="00340B29">
      <w:r>
        <w:t xml:space="preserve">Older adults’ weight perceptions may be influenced by </w:t>
      </w:r>
      <w:r w:rsidR="007F1DC5">
        <w:t>several s</w:t>
      </w:r>
      <w:r>
        <w:t xml:space="preserve">ocial and physiological factors. On a societal level, there </w:t>
      </w:r>
      <w:r w:rsidR="00123B30">
        <w:t>are strong preferences for</w:t>
      </w:r>
      <w:r w:rsidR="00123B30" w:rsidRPr="009D301D">
        <w:t xml:space="preserve"> slimness in w</w:t>
      </w:r>
      <w:r w:rsidR="0086077D">
        <w:t xml:space="preserve">omen and lean muscularity in men </w:t>
      </w:r>
      <w:r w:rsidR="0086077D">
        <w:fldChar w:fldCharType="begin"/>
      </w:r>
      <w:r w:rsidR="003E36BD">
        <w:instrText xml:space="preserve"> ADDIN ZOTERO_ITEM CSL_CITATION {"citationID":"H35IvAGi","properties":{"formattedCitation":"\\super 5\\nosupersub{}","plainCitation":"5","noteIndex":0},"citationItems":[{"id":"Gpmhm9Fe/d4gCF3xb","uris":["http://zotero.org/users/446899/items/GD8XNJ59"],"uri":["http://zotero.org/users/446899/items/GD8XNJ59"],"itemData":{"id":7433,"type":"article-journal","title":"Cultural Influences on Body Size Ideals","container-title":"European Psychologist","page":"44-51","volume":"20","issue":"1","source":"econtent.hogrefe.com (Atypon)","abstract":"Given that an important component of perceptual body dissatisfaction is the discrepancy between ideal and current body sizes, understanding how body size ideals are shaped and transmitted remains an important task for scholars. This review begins by examining cross-cultural patterns of body size ideals. Evidence is presented to indicate that the largest differences in body size ideals are no longer found between Western and non-Western cultures, but between sites differing in socioeconomic status. It is further argued that a thin ideal is now prevalent in most socioeconomically developed, urban sites. In explanation, it has been suggested that both Westernization and modernization bring cultural changes that promote a thin ideal. The present article reviews evidence in favor of both factors and concludes by looking at clinical implications for understanding corporeal experiences in a globalized world.","DOI":"10.1027/1016-9040/a000150","ISSN":"1016-9040","journalAbbreviation":"European Psychologist","author":[{"family":"Swami","given":"Viren"}],"issued":{"date-parts":[["2015",1,1]]}}}],"schema":"https://github.com/citation-style-language/schema/raw/master/csl-citation.json"} </w:instrText>
      </w:r>
      <w:r w:rsidR="0086077D">
        <w:fldChar w:fldCharType="separate"/>
      </w:r>
      <w:r w:rsidR="003E36BD" w:rsidRPr="003E36BD">
        <w:rPr>
          <w:rFonts w:ascii="Calibri" w:hAnsi="Calibri" w:cs="Calibri"/>
          <w:szCs w:val="24"/>
          <w:vertAlign w:val="superscript"/>
        </w:rPr>
        <w:t>5</w:t>
      </w:r>
      <w:r w:rsidR="0086077D">
        <w:fldChar w:fldCharType="end"/>
      </w:r>
      <w:r w:rsidR="00123B30" w:rsidRPr="009D301D">
        <w:t>.</w:t>
      </w:r>
      <w:r w:rsidR="00164914" w:rsidRPr="009D301D">
        <w:t xml:space="preserve"> </w:t>
      </w:r>
      <w:r w:rsidR="00D55193" w:rsidRPr="009D301D">
        <w:t>S</w:t>
      </w:r>
      <w:r w:rsidR="00164914" w:rsidRPr="009D301D">
        <w:t xml:space="preserve">ome evidence suggests that </w:t>
      </w:r>
      <w:r w:rsidR="00340B29" w:rsidRPr="009D301D">
        <w:t xml:space="preserve">older </w:t>
      </w:r>
      <w:r w:rsidR="00164914" w:rsidRPr="009D301D">
        <w:t>people</w:t>
      </w:r>
      <w:r w:rsidR="00340B29" w:rsidRPr="009D301D">
        <w:t xml:space="preserve"> may be less influenced by, and feel less pressure to attain, </w:t>
      </w:r>
      <w:r w:rsidR="00164914" w:rsidRPr="009D301D">
        <w:t>c</w:t>
      </w:r>
      <w:r w:rsidR="004B5995">
        <w:t>ultural</w:t>
      </w:r>
      <w:r w:rsidR="00164914" w:rsidRPr="009D301D">
        <w:t xml:space="preserve"> body weight ideals</w:t>
      </w:r>
      <w:r w:rsidR="00340B29" w:rsidRPr="009D301D">
        <w:t xml:space="preserve"> </w:t>
      </w:r>
      <w:r w:rsidR="00340B29" w:rsidRPr="009D301D">
        <w:fldChar w:fldCharType="begin"/>
      </w:r>
      <w:r w:rsidR="003E36BD">
        <w:instrText xml:space="preserve"> ADDIN ZOTERO_ITEM CSL_CITATION {"citationID":"7JLrT0Im","properties":{"formattedCitation":"\\super 6,7\\nosupersub{}","plainCitation":"6,7","noteIndex":0},"citationItems":[{"id":"Gpmhm9Fe/O7VhbRX9","uris":["http://zotero.org/users/446899/items/5N6HXIXT"],"uri":["http://zotero.org/users/446899/items/5N6HXIXT"],"itemData":{"id":4242,"type":"article-journal","title":"Societal Influences on Body Image Dissatisfaction in Younger and Older Women","container-title":"Journal of Women &amp; Aging","page":"41-55","volume":"18","issue":"1","source":"Taylor and Francis+NEJM","abstract":"Few studies have examined older women's body image. This study compared body image dissatisfaction (BID) and weight control practices; evaluated associations among BID, societal influences and concern for appropriateness (CFA); and identified the most important correlate of BID among younger (19–23) and older women (65–74). Questionnaires obtained information on demographics, weight control practices, societal influences (SATAQ-3), CFA and BID using the Figure Rating Scale. Findings revealed no difference in the prevalence of BID. The number of weight control practices and SATAQ-3 and CFA scores were correlated to BID. Pressure from the media was the most significant correlate of BID.","DOI":"10.1300/J074v18n01_04","ISSN":"0895-2841","note":"PMID: 16635949","author":[{"family":"Bedford","given":"J L"},{"family":"Johnson","given":"C S"}],"issued":{"date-parts":[["2006",4,17]]}}},{"id":"Gpmhm9Fe/FKPe5xjz","uris":["http://zotero.org/users/446899/items/VRPIIBVH"],"uri":["http://zotero.org/users/446899/items/VRPIIBVH"],"itemData":{"id":4292,"type":"article-journal","title":"Body satisfaction and pressure to be thin in younger and older Muslim and non-Muslim women: The role of Western and non-Western dress preferences","container-title":"Body Image","page":"56-65","volume":"7","issue":"1","source":"ScienceDirect","abstract":"Younger and older Muslim and non-Muslim women living in the United States completed questionnaires about body satisfaction and their internalization of Western standards of beauty (thin-ideal). Younger Muslim women wearing non-Western clothing and a head veil were significantly less likely to express drive for thinness or pressure to attain a thin-ideal standard of beauty than women wearing Western dress or younger women wearing non-Western dress without a head veil. Older women, while expressing greater discrepancy between their ideal body shape and their current body shape, and less satisfaction with their bodies than younger women, reported less drive for thinness and less pressure to attain the Western thin-ideal standard of beauty than younger women. These results are discussed in terms of how factors such as age and religion may serve as protective factors against a strong or unhealthy drive for thinness or thin-ideal standard.","DOI":"10.1016/j.bodyim.2009.10.003","ISSN":"1740-1445","shortTitle":"Body satisfaction and pressure to be thin in younger and older Muslim and non-Muslim women","journalAbbreviation":"Body Image","author":[{"family":"Dunkel","given":"Trisha M."},{"family":"Davidson","given":"Denise"},{"family":"Qurashi","given":"Shaji"}],"issued":{"date-parts":[["2010",1]]}}}],"schema":"https://github.com/citation-style-language/schema/raw/master/csl-citation.json"} </w:instrText>
      </w:r>
      <w:r w:rsidR="00340B29" w:rsidRPr="009D301D">
        <w:fldChar w:fldCharType="separate"/>
      </w:r>
      <w:r w:rsidR="003E36BD" w:rsidRPr="003E36BD">
        <w:rPr>
          <w:rFonts w:ascii="Calibri" w:hAnsi="Calibri" w:cs="Calibri"/>
          <w:szCs w:val="24"/>
          <w:vertAlign w:val="superscript"/>
        </w:rPr>
        <w:t>6,7</w:t>
      </w:r>
      <w:r w:rsidR="00340B29" w:rsidRPr="009D301D">
        <w:fldChar w:fldCharType="end"/>
      </w:r>
      <w:r w:rsidR="00D55193" w:rsidRPr="009D301D">
        <w:t>. Nonetheless, b</w:t>
      </w:r>
      <w:r w:rsidR="00340B29" w:rsidRPr="009D301D">
        <w:t xml:space="preserve">ody dissatisfaction </w:t>
      </w:r>
      <w:r w:rsidR="00340B29" w:rsidRPr="006A48A1">
        <w:t>is evident in mid</w:t>
      </w:r>
      <w:r w:rsidR="00012580" w:rsidRPr="006A48A1">
        <w:t>- and later life</w:t>
      </w:r>
      <w:r w:rsidR="00340B29" w:rsidRPr="006A48A1">
        <w:t xml:space="preserve"> </w:t>
      </w:r>
      <w:r w:rsidR="00340B29" w:rsidRPr="006A48A1">
        <w:fldChar w:fldCharType="begin"/>
      </w:r>
      <w:r w:rsidR="003E36BD">
        <w:instrText xml:space="preserve"> ADDIN ZOTERO_ITEM CSL_CITATION {"citationID":"tpekJwbw","properties":{"formattedCitation":"\\super 8\\uc0\\u8211{}12\\nosupersub{}","plainCitation":"8–12","noteIndex":0},"citationItems":[{"id":"Gpmhm9Fe/WC4bhjnZ","uris":["http://zotero.org/users/446899/items/V4IUX9JG"],"uri":["http://zotero.org/users/446899/items/V4IUX9JG"],"itemData":{"id":643,"type":"article-journal","title":"Body image across the adult life span: stability and change","container-title":"Body Image","page":"29-41","volume":"1","issue":"1","source":"ScienceDirect","abstract":"By far, the majority of studies investigating body image in adults have drawn samples from college populations within a very narrow age range. The purpose of the present paper is to review empirical research on the body image of adults older than the typical college student. There are marked changes in appearance across the adult life span, especially for women, which lead to the expectation of concomitant changes in body image. In fact, the review found that body dissatisfaction was remarkably stable across the adult life span for women, at least until they are quite elderly. In contrast, the importance of body shape, weight and appearance decreased as women aged, underscoring an important distinction between evaluation and importance of the body. However, there are many large gaps and limitations in the current literature that will need to be addressed before a more complete understanding of the development of body image across the adult life span is achieved.","DOI":"10.1016/S1740-1445(03)00002-0","ISSN":"1740-1445","shortTitle":"Body image across the adult life span","journalAbbreviation":"Body Image","author":[{"family":"Tiggemann","given":"Marika"}],"issued":{"date-parts":[["2004",1]]}}},{"id":"Gpmhm9Fe/qhD6vIjj","uris":["http://zotero.org/users/446899/items/KESBVCFB"],"uri":["http://zotero.org/users/446899/items/KESBVCFB"],"itemData":{"id":4250,"type":"article-journal","title":"The Relationship Between Women's Body Satisfaction and Self-Image Across the Life Span: The Role of Cognitive Control","container-title":"The Journal of Genetic Psychology","page":"241-252","volume":"164","issue":"2","source":"Taylor and Francis+NEJM","abstract":"The authors examined the relationship between body dissatisfaction and self-image across the life span. A sample of 106 women between the ages of 20 and 65 years completed questionnaire measures of body dissatisfaction, body importance, cognitive control over the body, self-concept, and self-esteem. The authors found that body dissatisfaction and body importance did not differ among the groups of women who were younger, middle aged, and older. Although body dissatisfaction was related to self-concept and self-esteem for the entire sample, the strength of that relationship reduced with increasing age and increasing perceptions of cognitive control. The authors concluded that the cognitive strategies of women who were older protect their self-concept and self-esteem from the influence of body dissatisfaction.","DOI":"10.1080/00221320309597980","ISSN":"0022-1325","note":"PMID: 12856818","shortTitle":"The Relationship Between Women's Body Satisfaction and Self-Image Across the Life Span","author":[{"family":"Webster","given":"Jessica"},{"family":"Tiggemann","given":"Marika"}],"issued":{"date-parts":[["2003",6,1]]}}},{"id":"Gpmhm9Fe/uOO3mwOl","uris":["http://zotero.org/users/446899/items/GSU2HWE9"],"uri":["http://zotero.org/users/446899/items/GSU2HWE9"],"itemData":{"id":4253,"type":"article-journal","title":"Body figure preferences of men and women: A comparison of two generations","container-title":"Sex Roles","page":"345-358","volume":"28","issue":"5-6","source":"link.springer.com","abstract":"Inspired by the earlier work of Rozin and Fallon (1988), this study investigated some potential determinants of the most recent increase of eating disorders among women in this country. Measures of current, preferred attractive, and acceptable body images for opposite- and same-gender figures, in addition to the thinnest and heaviest figures the subjects found attractive, were obtained from the same generation cohort as these students' parents. While gender differences were found, so were cohort differences. These cohort differences speak to factors relevant to understanding why there has been such an increase in the frequency of eating disorders in Western culture since the late 1960s, especially among adolescent women. Possible implications for treatment of eating disorders are discussed. However, the authors note that further studies are needed to determine if the cohort differences found might reflect a developmental or a definite cohort effect.","DOI":"10.1007/BF00289890","ISSN":"0360-0025, 1573-2762","shortTitle":"Body figure preferences of men and women","journalAbbreviation":"Sex Roles","language":"en","author":[{"family":"Lamb","given":"C. Sue"},{"family":"Jackson","given":"Lee A."},{"family":"Cassiday","given":"Patricia B."},{"family":"Priest","given":"Doris J."}],"issued":{"date-parts":[["1993",3,1]]}}},{"id":"Gpmhm9Fe/ZoJH550u","uris":["http://zotero.org/users/446899/items/XSFFPR5R"],"uri":["http://zotero.org/users/446899/items/XSFFPR5R"],"itemData":{"id":4256,"type":"article-journal","title":"Body image, attitudes to weight, and misperceptions of figure preferences of the opposite sex: a comparison of men and women in two generations","container-title":"Journal of Abnormal Psychology","page":"342-345","volume":"97","issue":"3","source":"PubMed","ISSN":"0021-843X","note":"PMID: 3192829","shortTitle":"Body image, attitudes to weight, and misperceptions of figure preferences of the opposite sex","journalAbbreviation":"J Abnorm Psychol","language":"eng","author":[{"family":"Rozin","given":"P."},{"family":"Fallon","given":"A."}],"issued":{"date-parts":[["1988",8]]}}},{"id":"Gpmhm9Fe/IzxSTAQB","uris":["http://zotero.org/users/446899/items/UVGARMAF"],"uri":["http://zotero.org/users/446899/items/UVGARMAF"],"itemData":{"id":7421,"type":"article-journal","title":"‘Just because I’m old it doesn’t mean I have to be fat’: a qualitative study exploring older adults’ views and experiences of weight management","container-title":"BMJ Open","page":"e025680","volume":"9","issue":"2","source":"bmjopen.bmj.com","abstract":"Objectives The aim of this study was to explore older adults’ beliefs about the appropriateness of weight management, and how their experiences and expectations of weight management have changed as they have got older.\nDesign Qualitative semistructured interview study.\nSetting UK.\nParticipants Older adults (≥65 years) in the UK who had recent (&lt;5 years) experience of trying to manage their weight (n=15; 12 women; 73% white British).\nResults Data were analysed using thematic analysis. Emergent themes highlighted that weight remained a concern for many older adults, although having a high body weight was seen to be more acceptable at older than younger ages. Excess weight was reported to have negative consequences for health and well-being which participants felt could be alleviated by losing weight. Participants were motivated to lose weight for appearance and health reasons, but mentioned finding it harder to lose weight as they had got older and generally felt they had received limited guidance on weight management from health professionals.\nConclusions The views of our participants highlight the need for further research into safe and effective methods of weight loss for older people and indicate that advice and support from health professionals would be welcomed.","DOI":"10.1136/bmjopen-2018-025680","ISSN":"2044-6055, 2044-6055","note":"PMID: 30782939","shortTitle":"‘Just because I’m old it doesn’t mean I have to be fat’","language":"en","author":[{"family":"Jackson","given":"Sarah E."},{"family":"Holter","given":"Linn"},{"family":"Beeken","given":"Rebecca J."}],"issued":{"date-parts":[["2019",2,1]]}}}],"schema":"https://github.com/citation-style-language/schema/raw/master/csl-citation.json"} </w:instrText>
      </w:r>
      <w:r w:rsidR="00340B29" w:rsidRPr="006A48A1">
        <w:fldChar w:fldCharType="separate"/>
      </w:r>
      <w:r w:rsidR="003E36BD" w:rsidRPr="003E36BD">
        <w:rPr>
          <w:rFonts w:ascii="Calibri" w:hAnsi="Calibri" w:cs="Calibri"/>
          <w:szCs w:val="24"/>
          <w:vertAlign w:val="superscript"/>
        </w:rPr>
        <w:t>8–12</w:t>
      </w:r>
      <w:r w:rsidR="00340B29" w:rsidRPr="006A48A1">
        <w:fldChar w:fldCharType="end"/>
      </w:r>
      <w:r w:rsidR="00340B29" w:rsidRPr="006A48A1">
        <w:t xml:space="preserve"> and may even increase as </w:t>
      </w:r>
      <w:r w:rsidR="006A48A1" w:rsidRPr="006A48A1">
        <w:t>age-related changes in body composition widen the</w:t>
      </w:r>
      <w:r w:rsidR="00340B29" w:rsidRPr="006A48A1">
        <w:t xml:space="preserve"> discrepancy between ideal and actual body image </w:t>
      </w:r>
      <w:r w:rsidR="00340B29" w:rsidRPr="006A48A1">
        <w:fldChar w:fldCharType="begin"/>
      </w:r>
      <w:r w:rsidR="003E36BD">
        <w:instrText xml:space="preserve"> ADDIN ZOTERO_ITEM CSL_CITATION {"citationID":"BXLSjaZE","properties":{"formattedCitation":"\\super 13\\nosupersub{}","plainCitation":"13","noteIndex":0},"citationItems":[{"id":"Gpmhm9Fe/aDOcHDrF","uris":["http://zotero.org/users/446899/items/FZFU5DDB"],"uri":["http://zotero.org/users/446899/items/FZFU5DDB"],"itemData":{"id":4247,"type":"article-journal","title":"Body-size dissatisfaction: Individual differences in age and gender, and relationship with self-esteem","container-title":"Personality and Individual Differences","page":"39-43","volume":"13","issue":"1","source":"ScienceDirect","abstract":"This study investigated the effect of individual differences in age and gender on body-size dissatisfaction. Ss were presented with a set of nine silhouette drawings ranging from very thin to very fat. In an Australian replication of Fallon and Rozin (Journal of Abnormal Psychology, 94, 102–105, 1985), young adult women rated their current figure as significantly larger than their ideal and attractive figures, whereas there was no difference in ratings for young adult men. However, in contrast to the finding of Rozin and Fallon (Journal of Abnormal Psychology, 97, 342–345, 1988), the same pattern of gender differences emerged for mature women and men. Furthermore, only for the older women was body dissatisfaction correlated with self-esteem. It was suggested that body weight may carry different meaning for women of different ages.","DOI":"10.1016/0191-8869(92)90215-B","ISSN":"0191-8869","shortTitle":"Body-size dissatisfaction","journalAbbreviation":"Personality and Individual Differences","author":[{"family":"Tiggemann","given":"Marika"}],"issued":{"date-parts":[["1992",1,1]]}}}],"schema":"https://github.com/citation-style-language/schema/raw/master/csl-citation.json"} </w:instrText>
      </w:r>
      <w:r w:rsidR="00340B29" w:rsidRPr="006A48A1">
        <w:fldChar w:fldCharType="separate"/>
      </w:r>
      <w:r w:rsidR="003E36BD" w:rsidRPr="003E36BD">
        <w:rPr>
          <w:rFonts w:ascii="Calibri" w:hAnsi="Calibri" w:cs="Calibri"/>
          <w:szCs w:val="24"/>
          <w:vertAlign w:val="superscript"/>
        </w:rPr>
        <w:t>13</w:t>
      </w:r>
      <w:r w:rsidR="00340B29" w:rsidRPr="006A48A1">
        <w:fldChar w:fldCharType="end"/>
      </w:r>
      <w:r w:rsidR="00340B29" w:rsidRPr="006A48A1">
        <w:t>.</w:t>
      </w:r>
      <w:r w:rsidR="00D55193" w:rsidRPr="006A48A1">
        <w:t xml:space="preserve"> </w:t>
      </w:r>
      <w:r w:rsidR="006E644C">
        <w:t>Ageing is associated with an increase in fat mass, loss of lean muscle mass, and redistribution of adipose tissue to the abdominal region</w:t>
      </w:r>
      <w:r w:rsidR="0064709D">
        <w:t xml:space="preserve"> </w:t>
      </w:r>
      <w:r w:rsidR="0064709D">
        <w:fldChar w:fldCharType="begin"/>
      </w:r>
      <w:r w:rsidR="003E36BD">
        <w:instrText xml:space="preserve"> ADDIN ZOTERO_ITEM CSL_CITATION {"citationID":"EtlcTeVa","properties":{"formattedCitation":"\\super 14\\nosupersub{}","plainCitation":"14","noteIndex":0},"citationItems":[{"id":"Gpmhm9Fe/hZLm0nw8","uris":["http://zotero.org/users/446899/items/8P8FJ7UP"],"uri":["http://zotero.org/users/446899/items/8P8FJ7UP"],"itemData":{"id":7425,"type":"article-journal","title":"Body composition changes with aging: The cause or the result of alterations in metabolic rate and macronutrient oxidation?","container-title":"Nutrition (Burbank, Los Angeles County, Calif.)","page":"152-155","volume":"26","issue":"2","source":"PubMed Central","abstract":"It has been well documented that as individuals age, body composition changes, even in the absence of changes in body weight. Studies have shown that fat mass increases and muscle mass decreases with age. However, it is unclear why such changes occur. Resting metabolic rate (RMR) and substrate oxidation rates have been examined with aging. It has been proposed that reductions in RMR and fat oxidation may lead to changes in body composition. Alternatively, changes in body composition with aging may lead to reductions in RMR. The purpose of this review is to provide an overview of the literature surrounding the impact of aging on RMR and substrate oxidation. Although long-term longitudinal studies are lacking, most cross-sectional studies or short-term longitudinal studies show a reduction in RMR with aging that cannot be explained by changes in body composition including loss in fat-free mass, where the latter includes atrophy or decreases in the mass of high metabolic rate organs. There is indirect evidence suggesting that the metabolic rate of individual organs is lower in older compared with younger individuals. With aging, we conclude that reductions in the mass of individual organs/tissues and in tissue-specific organ metabolic rate contribute to a reduction in RMR that in turn promotes changes in body composition favoring increased fat mass and reduced fat-free mass.","DOI":"10.1016/j.nut.2009.07.004","ISSN":"0899-9007","note":"PMID: 20004080\nPMCID: PMC2880224","shortTitle":"Body composition changes with aging","journalAbbreviation":"Nutrition","author":[{"family":"St-Onge","given":"Marie-Pierre"},{"family":"Gallagher","given":"Dympna"}],"issued":{"date-parts":[["2010",2]]}}}],"schema":"https://github.com/citation-style-language/schema/raw/master/csl-citation.json"} </w:instrText>
      </w:r>
      <w:r w:rsidR="0064709D">
        <w:fldChar w:fldCharType="separate"/>
      </w:r>
      <w:r w:rsidR="003E36BD" w:rsidRPr="003E36BD">
        <w:rPr>
          <w:rFonts w:ascii="Calibri" w:hAnsi="Calibri" w:cs="Calibri"/>
          <w:szCs w:val="24"/>
          <w:vertAlign w:val="superscript"/>
        </w:rPr>
        <w:t>14</w:t>
      </w:r>
      <w:r w:rsidR="0064709D">
        <w:fldChar w:fldCharType="end"/>
      </w:r>
      <w:r w:rsidR="00122BA2">
        <w:t xml:space="preserve">; </w:t>
      </w:r>
      <w:r w:rsidR="006A3FE1">
        <w:t xml:space="preserve">changes </w:t>
      </w:r>
      <w:r w:rsidR="00122BA2">
        <w:t>that may</w:t>
      </w:r>
      <w:r w:rsidR="006A3FE1">
        <w:t xml:space="preserve"> occur without concomitant changes in body weight and BMI </w:t>
      </w:r>
      <w:r w:rsidR="006A3FE1">
        <w:fldChar w:fldCharType="begin"/>
      </w:r>
      <w:r w:rsidR="003E36BD">
        <w:instrText xml:space="preserve"> ADDIN ZOTERO_ITEM CSL_CITATION {"citationID":"L0JVJXj6","properties":{"formattedCitation":"\\super 15\\nosupersub{}","plainCitation":"15","noteIndex":0},"citationItems":[{"id":"Gpmhm9Fe/0oG9ZDgD","uris":["http://zotero.org/users/446899/items/HJVB2XXS"],"uri":["http://zotero.org/users/446899/items/HJVB2XXS"],"itemData":{"id":7428,"type":"article-journal","title":"Relationship between body composition changes and changes in physical function and metabolic risk factors in aging","container-title":"Current Opinion in Clinical Nutrition and Metabolic Care","page":"523-528","volume":"8","issue":"5","source":"PubMed","abstract":"PURPOSE OF REVIEW: Several body composition changes are known to occur with aging. The purpose of this review is to evaluate recent literature examining body composition changes with aging and how these relate to changes in physical function and metabolic risk.\nRECENT FINDINGS: Cross-sectional and longitudinal studies have observed increases in fat mass and decreases in muscle mass or lean tissue mass in older adults, often in the absence of differences or changes in body weight. Cross-sectional studies have also reported increases in intramyocellular lipid and liver fat in older versus younger adults and related changes in body composition with changes in physical function and metabolic risk, but few longitudinal data are available. Furthermore, most longitudinal studies lack precise methods of assessing body fat distribution and muscle and organ quality, resulting in a lack of detailed and precise information on body composition changes with aging and their relationship to health.\nSUMMARY: Research to date has outlined a need for more detailed body composition measurements of aging adults. Absence of change in a total body compartment may mask a change in subcompartments that may impact health. Furthermore, intervention studies to determine ways to maintain body composition are consistent with healthy living throughout the aging process.","ISSN":"1363-1950","note":"PMID: 16079623","journalAbbreviation":"Curr Opin Clin Nutr Metab Care","language":"eng","author":[{"family":"St-Onge","given":"Marie-Pierre"}],"issued":{"date-parts":[["2005",9]]}}}],"schema":"https://github.com/citation-style-language/schema/raw/master/csl-citation.json"} </w:instrText>
      </w:r>
      <w:r w:rsidR="006A3FE1">
        <w:fldChar w:fldCharType="separate"/>
      </w:r>
      <w:r w:rsidR="003E36BD" w:rsidRPr="003E36BD">
        <w:rPr>
          <w:rFonts w:ascii="Calibri" w:hAnsi="Calibri" w:cs="Calibri"/>
          <w:szCs w:val="24"/>
          <w:vertAlign w:val="superscript"/>
        </w:rPr>
        <w:t>15</w:t>
      </w:r>
      <w:r w:rsidR="006A3FE1">
        <w:fldChar w:fldCharType="end"/>
      </w:r>
      <w:r w:rsidR="006A3FE1">
        <w:t>.</w:t>
      </w:r>
    </w:p>
    <w:p w14:paraId="7CA0FF87" w14:textId="4C5B00DB" w:rsidR="008E1EED" w:rsidRDefault="00D04A8E" w:rsidP="002F31A5">
      <w:r>
        <w:t>While few previous studies have examined older adults’ weight perceptions, those that have</w:t>
      </w:r>
      <w:r w:rsidR="00500E19">
        <w:t xml:space="preserve"> </w:t>
      </w:r>
      <w:r w:rsidR="003342A0">
        <w:t>indicate</w:t>
      </w:r>
      <w:r>
        <w:t xml:space="preserve"> </w:t>
      </w:r>
      <w:r w:rsidR="005E6C56">
        <w:t xml:space="preserve">age-related </w:t>
      </w:r>
      <w:r w:rsidR="00ED4AD6">
        <w:t>changes in</w:t>
      </w:r>
      <w:r>
        <w:t xml:space="preserve"> perceptions of body weight in relation to actual BMI category</w:t>
      </w:r>
      <w:r w:rsidR="00ED4AD6">
        <w:t>.</w:t>
      </w:r>
      <w:r w:rsidR="000B5407">
        <w:t xml:space="preserve"> </w:t>
      </w:r>
      <w:r>
        <w:t>For example, in a sample of adult Korean women (</w:t>
      </w:r>
      <w:r>
        <w:rPr>
          <w:i/>
        </w:rPr>
        <w:t>n</w:t>
      </w:r>
      <w:r>
        <w:t>=8,906</w:t>
      </w:r>
      <w:r w:rsidR="0098395A">
        <w:t>, age 20-79</w:t>
      </w:r>
      <w:r w:rsidR="005A7AAE">
        <w:t xml:space="preserve"> years</w:t>
      </w:r>
      <w:r>
        <w:t xml:space="preserve">), </w:t>
      </w:r>
      <w:r w:rsidR="00981A31">
        <w:t>older women</w:t>
      </w:r>
      <w:r w:rsidR="002160F8">
        <w:t xml:space="preserve"> were</w:t>
      </w:r>
      <w:r w:rsidR="00981A31">
        <w:t xml:space="preserve"> more likely than younger women to underestimate their weight</w:t>
      </w:r>
      <w:r w:rsidR="000E3EF2">
        <w:t xml:space="preserve"> status </w:t>
      </w:r>
      <w:r w:rsidR="006E1CED">
        <w:t xml:space="preserve">relative to their actual BMI category </w:t>
      </w:r>
      <w:r w:rsidR="00B9049A">
        <w:t>(50.7% of 70-79 year olds vs. 12.6% of 20-29 year olds)</w:t>
      </w:r>
      <w:r w:rsidR="00981A31">
        <w:t xml:space="preserve"> and less likely to overestimate their weight</w:t>
      </w:r>
      <w:r w:rsidR="000E3EF2">
        <w:t xml:space="preserve"> status</w:t>
      </w:r>
      <w:r w:rsidR="009E4BD1" w:rsidRPr="0014758C">
        <w:t xml:space="preserve"> </w:t>
      </w:r>
      <w:r w:rsidR="00B9049A">
        <w:t xml:space="preserve">(7.4% vs. 18.7%, respectively) </w:t>
      </w:r>
      <w:r w:rsidR="009E4BD1" w:rsidRPr="0014758C">
        <w:fldChar w:fldCharType="begin"/>
      </w:r>
      <w:r w:rsidR="003E36BD">
        <w:instrText xml:space="preserve"> ADDIN ZOTERO_ITEM CSL_CITATION {"citationID":"Ut5HVd7m","properties":{"formattedCitation":"\\super 16\\nosupersub{}","plainCitation":"16","noteIndex":0},"citationItems":[{"id":"Gpmhm9Fe/eGbkhqcG","uris":["http://zotero.org/users/446899/items/7L67C3BP"],"uri":["http://zotero.org/users/446899/items/7L67C3BP"],"itemData":{"id":7430,"type":"article-journal","title":"Self-perceptions of body weight status according to age-groups among Korean women: A nationwide population-based survey","container-title":"PLOS ONE","page":"e0210486","volume":"14","issue":"1","source":"PLoS Journals","abstract":"While numerous studies have investigated body image, including body weight perception, most of which have focused on adolescents or young women, few studies have attempted to evaluate body weight perceptions in adult women according to age groups. This study was conducted to investigate the accuracy of self-perceived weight and actual body mass index (BMI) values among adult Korean women according to age. We used data from the 2016 Korean Study of Women’s Health Related Issues, a population-based, nationwide, cross-sectional survey. BMI was calculated from self-reported weight and height. Participants were asked to describe their body image by choosing one of the following descriptions: very underweight, underweight, about right, overweight, or obese. The proportions of women aged 20–29, 30–39, 40–49, 50–59, 60–69, and 70–79 years who underestimated their body weight relative to their actual BMI category were 12.6%, 15.1%, 22.2%, 34.0%, 45.6%, and 50.7%, respectively; those who overestimated their body weight comprised 18.7%, 17.8%, 14.3%, 10.8%, and 7.4%. In all BMI categories, the proportion of those who overestimated their weight status increased as age decreased, while those who underestimated their weight status increased as age increased. After adjusting for possible covariates, age was strongly associated with both underestimation and overestimation. The odds ratio for underestimating one’s weight status among women aged 70–79 yeas was 2.96 (95% CI: 2.10–4.18), and that for overestimation was 0.52 (95% CI: 0.35–0.79), compared to women aged 20–29 years. Age is the most important factor associated with weight perceptions among Korean women, affecting both underestimation and overestimation of weight status.","DOI":"10.1371/journal.pone.0210486","ISSN":"1932-6203","shortTitle":"Self-perceptions of body weight status according to age-groups among Korean women","journalAbbreviation":"PLOS ONE","language":"en","author":[{"family":"Park","given":"Boyoung"},{"family":"Cho","given":"Ha Na"},{"family":"Choi","given":"Eunji"},{"family":"Seo","given":"Da Hea"},{"family":"Kim","given":"Sue"},{"family":"Park","given":"Yeong-Ran"},{"family":"Choi","given":"Kui Son"},{"family":"Rhee","given":"Yumie"}],"issued":{"date-parts":[["2019",1,17]]}}}],"schema":"https://github.com/citation-style-language/schema/raw/master/csl-citation.json"} </w:instrText>
      </w:r>
      <w:r w:rsidR="009E4BD1" w:rsidRPr="0014758C">
        <w:fldChar w:fldCharType="separate"/>
      </w:r>
      <w:r w:rsidR="003E36BD" w:rsidRPr="003E36BD">
        <w:rPr>
          <w:rFonts w:ascii="Calibri" w:hAnsi="Calibri" w:cs="Calibri"/>
          <w:szCs w:val="24"/>
          <w:vertAlign w:val="superscript"/>
        </w:rPr>
        <w:t>16</w:t>
      </w:r>
      <w:r w:rsidR="009E4BD1" w:rsidRPr="0014758C">
        <w:fldChar w:fldCharType="end"/>
      </w:r>
      <w:r w:rsidR="00701D3C" w:rsidRPr="0014758C">
        <w:t>.</w:t>
      </w:r>
      <w:r w:rsidR="000270C0" w:rsidRPr="0014758C">
        <w:t xml:space="preserve"> </w:t>
      </w:r>
      <w:r w:rsidR="00146EB3">
        <w:t>Similarly</w:t>
      </w:r>
      <w:r w:rsidR="003A5074">
        <w:t xml:space="preserve">, in a study of older </w:t>
      </w:r>
      <w:r w:rsidR="00D21555">
        <w:t xml:space="preserve">Dutch </w:t>
      </w:r>
      <w:r w:rsidR="003A5074">
        <w:t>men and women (</w:t>
      </w:r>
      <w:r w:rsidR="003A5074">
        <w:rPr>
          <w:i/>
        </w:rPr>
        <w:t>n</w:t>
      </w:r>
      <w:r w:rsidR="003A5074">
        <w:t xml:space="preserve">=1,295, age 60-96 years), </w:t>
      </w:r>
      <w:r w:rsidR="00981A31" w:rsidRPr="0014758C">
        <w:t>the proportion</w:t>
      </w:r>
      <w:r w:rsidR="00981A31">
        <w:t xml:space="preserve"> of women </w:t>
      </w:r>
      <w:r w:rsidR="00981A31" w:rsidRPr="0014758C">
        <w:t>who underestimated their weight increased with age</w:t>
      </w:r>
      <w:r w:rsidR="004C426B">
        <w:t xml:space="preserve"> (OR=2.97, 95% CI 1.59-5.57</w:t>
      </w:r>
      <w:r w:rsidR="00A0505F">
        <w:t xml:space="preserve"> for 80-96 year olds vs. 60-69 year olds</w:t>
      </w:r>
      <w:r w:rsidR="004C426B">
        <w:t>)</w:t>
      </w:r>
      <w:r w:rsidR="00D21555">
        <w:t xml:space="preserve">, although no such pattern was found for men </w:t>
      </w:r>
      <w:r w:rsidR="00D21555">
        <w:fldChar w:fldCharType="begin"/>
      </w:r>
      <w:r w:rsidR="003E36BD">
        <w:instrText xml:space="preserve"> ADDIN ZOTERO_ITEM CSL_CITATION {"citationID":"6buQ815b","properties":{"formattedCitation":"\\super 17\\nosupersub{}","plainCitation":"17","noteIndex":0},"citationItems":[{"id":"Gpmhm9Fe/WMKXG4yL","uris":["http://zotero.org/users/446899/items/EXJ7FQKX"],"uri":["http://zotero.org/users/446899/items/EXJ7FQKX"],"itemData":{"id":7435,"type":"article-journal","title":"Self-perception of body weight status in older Dutch adults","container-title":"The journal of nutrition, health &amp; aging","page":"612-618","volume":"19","issue":"6","source":"Springer Link","abstract":"Introduction: ObjectivesThe prevalence of obesity is highest in older persons and a correct self-perception of body weight status is necessary for optimal weight control. The aim of this study was to determine self-perception of, and satisfaction with, body weight status, and to compare current versus ideal body image in a large, nationally representative sample of older people. Furthermore, determinants of misperception were explored.DesignA cross-sectional study.SettingThe Longitudinal Aging Study Amsterdam (LASA), conducted in a population-based sample in the Netherlands.Participants1295 men and women aged 60–96 years.MeasurementsBody weight status was assessed using measured weight and height. Self-perceived body weight status, satisfaction with body weight and current and ideal body image were also assessed. Multiple logistic regression analysis was used to investigate the association of age, educational level and objectively measured BMI with underestimation of body weight status.ResultsThe prevalence of obesity was 19.9% in men and 29.3% in women. The agreement between objective and self-perceived body weight status was low (Kappa &lt; 0.2). Among overweight and obese persons, 42.1% of men and 44.1% of women were (very) dissatisfied with their body weight status and &gt;99% of obese participants desired to be thinner (ideal body image &lt; current image). Only 4.4% of obese men and 12.3% of obese women perceived their body weight status correctly. Higher age (women), lower educational level (men) and higher BMI (all) were associated with greater underestimation of body weight status.ConclusionMany older persons misperceive their body weight status. Future actions to improve body weight perception in older persons are necessary to increase the impact of public health campaigns focussing on a healthy body weight in old age.","DOI":"10.1007/s12603-015-0486-z","ISSN":"1760-4788","journalAbbreviation":"J Nutr Health Aging","language":"en","author":[{"family":"Monteagudo Sánchez","given":"Celia"},{"family":"Dijkstra","given":"S. C."},{"family":"Visser","given":"M."}],"issued":{"date-parts":[["2015",6,1]]}}}],"schema":"https://github.com/citation-style-language/schema/raw/master/csl-citation.json"} </w:instrText>
      </w:r>
      <w:r w:rsidR="00D21555">
        <w:fldChar w:fldCharType="separate"/>
      </w:r>
      <w:r w:rsidR="003E36BD" w:rsidRPr="003E36BD">
        <w:rPr>
          <w:rFonts w:ascii="Calibri" w:hAnsi="Calibri" w:cs="Calibri"/>
          <w:szCs w:val="24"/>
          <w:vertAlign w:val="superscript"/>
        </w:rPr>
        <w:t>17</w:t>
      </w:r>
      <w:r w:rsidR="00D21555">
        <w:fldChar w:fldCharType="end"/>
      </w:r>
      <w:r w:rsidR="00D21555">
        <w:t>.</w:t>
      </w:r>
      <w:r w:rsidR="004831B5">
        <w:t xml:space="preserve"> </w:t>
      </w:r>
      <w:r w:rsidR="008E1EED">
        <w:t xml:space="preserve">However, it was not clear from these studies </w:t>
      </w:r>
      <w:r w:rsidR="00060CD7">
        <w:t>whether</w:t>
      </w:r>
      <w:r w:rsidR="008E1EED">
        <w:t xml:space="preserve"> these differences </w:t>
      </w:r>
      <w:r w:rsidR="00060CD7">
        <w:t>are driven by differences</w:t>
      </w:r>
      <w:r w:rsidR="008E1EED">
        <w:t xml:space="preserve"> between older and younger people</w:t>
      </w:r>
      <w:r w:rsidR="00AB1934">
        <w:t xml:space="preserve">, for example relating to health status. Qualitative research suggests at least some older adults believe carrying extra weight could be protective in times of illness </w:t>
      </w:r>
      <w:r w:rsidR="00AB1934">
        <w:fldChar w:fldCharType="begin"/>
      </w:r>
      <w:r w:rsidR="003E36BD">
        <w:instrText xml:space="preserve"> ADDIN ZOTERO_ITEM CSL_CITATION {"citationID":"CCcTkJHi","properties":{"formattedCitation":"\\super 12\\nosupersub{}","plainCitation":"12","noteIndex":0},"citationItems":[{"id":"Gpmhm9Fe/IzxSTAQB","uris":["http://zotero.org/users/446899/items/UVGARMAF"],"uri":["http://zotero.org/users/446899/items/UVGARMAF"],"itemData":{"id":7421,"type":"article-journal","title":"‘Just because I’m old it doesn’t mean I have to be fat’: a qualitative study exploring older adults’ views and experiences of weight management","container-title":"BMJ Open","page":"e025680","volume":"9","issue":"2","source":"bmjopen.bmj.com","abstract":"Objectives The aim of this study was to explore older adults’ beliefs about the appropriateness of weight management, and how their experiences and expectations of weight management have changed as they have got older.\nDesign Qualitative semistructured interview study.\nSetting UK.\nParticipants Older adults (≥65 years) in the UK who had recent (&lt;5 years) experience of trying to manage their weight (n=15; 12 women; 73% white British).\nResults Data were analysed using thematic analysis. Emergent themes highlighted that weight remained a concern for many older adults, although having a high body weight was seen to be more acceptable at older than younger ages. Excess weight was reported to have negative consequences for health and well-being which participants felt could be alleviated by losing weight. Participants were motivated to lose weight for appearance and health reasons, but mentioned finding it harder to lose weight as they had got older and generally felt they had received limited guidance on weight management from health professionals.\nConclusions The views of our participants highlight the need for further research into safe and effective methods of weight loss for older people and indicate that advice and support from health professionals would be welcomed.","DOI":"10.1136/bmjopen-2018-025680","ISSN":"2044-6055, 2044-6055","note":"PMID: 30782939","shortTitle":"‘Just because I’m old it doesn’t mean I have to be fat’","language":"en","author":[{"family":"Jackson","given":"Sarah E."},{"family":"Holter","given":"Linn"},{"family":"Beeken","given":"Rebecca J."}],"issued":{"date-parts":[["2019",2,1]]}}}],"schema":"https://github.com/citation-style-language/schema/raw/master/csl-citation.json"} </w:instrText>
      </w:r>
      <w:r w:rsidR="00AB1934">
        <w:fldChar w:fldCharType="separate"/>
      </w:r>
      <w:r w:rsidR="003E36BD" w:rsidRPr="003E36BD">
        <w:rPr>
          <w:rFonts w:ascii="Calibri" w:hAnsi="Calibri" w:cs="Calibri"/>
          <w:szCs w:val="24"/>
          <w:vertAlign w:val="superscript"/>
        </w:rPr>
        <w:t>12</w:t>
      </w:r>
      <w:r w:rsidR="00AB1934">
        <w:fldChar w:fldCharType="end"/>
      </w:r>
      <w:r w:rsidR="00AB1934">
        <w:t xml:space="preserve">, which may mean </w:t>
      </w:r>
      <w:r w:rsidR="00D055C4">
        <w:t xml:space="preserve">older people’s </w:t>
      </w:r>
      <w:r w:rsidR="00AB1934">
        <w:t xml:space="preserve">weight perceptions are influenced by current perceptions of health status or future </w:t>
      </w:r>
      <w:r w:rsidR="004521C2">
        <w:t>health concerns</w:t>
      </w:r>
      <w:r w:rsidR="00AB1934">
        <w:t>.</w:t>
      </w:r>
      <w:r w:rsidR="006D1349">
        <w:t xml:space="preserve"> </w:t>
      </w:r>
    </w:p>
    <w:p w14:paraId="4777E883" w14:textId="77777777" w:rsidR="009E460E" w:rsidRDefault="00970D78" w:rsidP="009E460E">
      <w:r w:rsidRPr="002F31A5">
        <w:lastRenderedPageBreak/>
        <w:t>The present study therefore aimed to explore perceptions of weight in a large, nationally-representative sample of older adults living in England</w:t>
      </w:r>
      <w:r w:rsidR="008E1EED">
        <w:t>, and the extent to which they differ according to age and perceived health status.</w:t>
      </w:r>
    </w:p>
    <w:p w14:paraId="5E1FB6D7" w14:textId="77777777" w:rsidR="009B5378" w:rsidRPr="009E460E" w:rsidRDefault="009B5378" w:rsidP="009E460E"/>
    <w:p w14:paraId="01B63A5D" w14:textId="77777777" w:rsidR="004A3988" w:rsidRPr="00D55BAF" w:rsidRDefault="00A5302D" w:rsidP="00D55BAF">
      <w:pPr>
        <w:pStyle w:val="Heading2"/>
      </w:pPr>
      <w:r w:rsidRPr="00D55BAF">
        <w:t>Method</w:t>
      </w:r>
    </w:p>
    <w:p w14:paraId="46E9B69C" w14:textId="77777777" w:rsidR="00A5302D" w:rsidRDefault="000B24F9" w:rsidP="008E52E1">
      <w:pPr>
        <w:pStyle w:val="Heading3"/>
        <w:spacing w:line="360" w:lineRule="auto"/>
      </w:pPr>
      <w:r w:rsidRPr="00D55BAF">
        <w:t>Study population</w:t>
      </w:r>
    </w:p>
    <w:p w14:paraId="0F0F5AB1" w14:textId="5E34B469" w:rsidR="00C9558E" w:rsidRPr="0039431B" w:rsidRDefault="00C9558E" w:rsidP="00C9558E">
      <w:r>
        <w:t xml:space="preserve">Data were from the English Longitudinal Study of Ageing (ELSA), a panel study of men and women aged </w:t>
      </w:r>
      <w:r>
        <w:rPr>
          <w:rFonts w:cstheme="minorHAnsi"/>
        </w:rPr>
        <w:t>≥</w:t>
      </w:r>
      <w:r>
        <w:t xml:space="preserve">50 years living in England. </w:t>
      </w:r>
      <w:r w:rsidR="00383A15">
        <w:t>Full details of the study’s sampling procedure and</w:t>
      </w:r>
      <w:r w:rsidR="00D04F26">
        <w:t xml:space="preserve"> methods are available elsewhere </w:t>
      </w:r>
      <w:r w:rsidR="00D04F26">
        <w:fldChar w:fldCharType="begin"/>
      </w:r>
      <w:r w:rsidR="003E36BD">
        <w:instrText xml:space="preserve"> ADDIN ZOTERO_ITEM CSL_CITATION {"citationID":"0X790g13","properties":{"formattedCitation":"\\super 18\\nosupersub{}","plainCitation":"18","noteIndex":0},"citationItems":[{"id":"Gpmhm9Fe/s00FRQWb","uris":["http://zotero.org/users/446899/items/3CSP8CP4"],"uri":["http://zotero.org/users/446899/items/3CSP8CP4"],"itemData":{"id":1214,"type":"article-journal","title":"Cohort profile: the English Longitudinal Study of Ageing","container-title":"International journal of epidemiology","page":"1640-1648","volume":"42","issue":"6","source":"NCBI PubMed","abstract":"The English Longitudinal Study of Ageing (ELSA) is a panel study of a representative cohort of men and women living in England aged ≥50 years. It was designed as a sister study to the Health and Retirement Study in the USA and is multidisciplinary in orientation, involving the collection of economic, social, psychological, cognitive, health, biological and genetic data. The study commenced in 2002, and the sample has been followed up every 2 years. Data are collected using computer-assisted personal interviews and self-completion questionnaires, with additional nurse visits for the assessment of biomarkers every 4 years. The original sample consisted of 11 391 members ranging in age from 50 to 100 years. ELSA is harmonized with ageing studies in other countries to facilitate international comparisons, and is linked to financial and health registry data. The data set is openly available to researchers and analysts soon after collection (http://www.esds.ac.uk/longitudinal/access/elsa/l5050.asp).","DOI":"10.1093/ije/dys168","ISSN":"1464-3685","note":"PMID: 23143611 \nPMCID: PMC3900867","shortTitle":"Cohort profile","journalAbbreviation":"Int J Epidemiol","language":"eng","author":[{"family":"Steptoe","given":"Andrew"},{"family":"Breeze","given":"Elizabeth"},{"family":"Banks","given":"James"},{"family":"Nazroo","given":"James"}],"issued":{"date-parts":[["2013",12]]}}}],"schema":"https://github.com/citation-style-language/schema/raw/master/csl-citation.json"} </w:instrText>
      </w:r>
      <w:r w:rsidR="00D04F26">
        <w:fldChar w:fldCharType="separate"/>
      </w:r>
      <w:r w:rsidR="003E36BD" w:rsidRPr="003E36BD">
        <w:rPr>
          <w:rFonts w:ascii="Calibri" w:hAnsi="Calibri" w:cs="Calibri"/>
          <w:szCs w:val="24"/>
          <w:vertAlign w:val="superscript"/>
        </w:rPr>
        <w:t>18</w:t>
      </w:r>
      <w:r w:rsidR="00D04F26">
        <w:fldChar w:fldCharType="end"/>
      </w:r>
      <w:r w:rsidR="00383A15">
        <w:t xml:space="preserve">. The present analyses use data collected in the eighth wave of ELSA (collected 2016/17), as this is the </w:t>
      </w:r>
      <w:r w:rsidR="00383A15" w:rsidRPr="0039431B">
        <w:t xml:space="preserve">only wave in which weight perceptions have been assessed. Of the </w:t>
      </w:r>
      <w:r w:rsidR="00970D58">
        <w:t>8,445</w:t>
      </w:r>
      <w:r w:rsidR="00383A15" w:rsidRPr="0039431B">
        <w:t xml:space="preserve"> participants interviewed, </w:t>
      </w:r>
      <w:r w:rsidR="00146110" w:rsidRPr="0039431B">
        <w:t>5,240 (</w:t>
      </w:r>
      <w:r w:rsidR="00970D58">
        <w:t>62.0</w:t>
      </w:r>
      <w:r w:rsidR="00146110" w:rsidRPr="0039431B">
        <w:t>%)</w:t>
      </w:r>
      <w:r w:rsidR="00383A15" w:rsidRPr="0039431B">
        <w:t xml:space="preserve"> had complete data on all variables of interest and comprised our analytic sample.</w:t>
      </w:r>
    </w:p>
    <w:p w14:paraId="5B16DE83" w14:textId="77777777" w:rsidR="000B24F9" w:rsidRDefault="00A5302D" w:rsidP="008E52E1">
      <w:pPr>
        <w:pStyle w:val="Heading3"/>
        <w:spacing w:line="360" w:lineRule="auto"/>
      </w:pPr>
      <w:r w:rsidRPr="00D55BAF">
        <w:t>M</w:t>
      </w:r>
      <w:r w:rsidR="00D92577" w:rsidRPr="00D55BAF">
        <w:t>easures</w:t>
      </w:r>
    </w:p>
    <w:p w14:paraId="176339DC" w14:textId="77777777" w:rsidR="008F7A18" w:rsidRPr="001C3752" w:rsidRDefault="008F7A18" w:rsidP="008E52E1">
      <w:pPr>
        <w:rPr>
          <w:i/>
        </w:rPr>
      </w:pPr>
      <w:r w:rsidRPr="001C3752">
        <w:rPr>
          <w:i/>
        </w:rPr>
        <w:t>Weight perception</w:t>
      </w:r>
    </w:p>
    <w:p w14:paraId="54AF6079" w14:textId="77777777" w:rsidR="00245B74" w:rsidRPr="00243122" w:rsidRDefault="00245B74" w:rsidP="008E52E1">
      <w:r w:rsidRPr="00243122">
        <w:t>Weight perception was assessed with the question “</w:t>
      </w:r>
      <w:r w:rsidRPr="00243122">
        <w:rPr>
          <w:i/>
        </w:rPr>
        <w:t>Given your age and height, would you say that you are about the right weight, too heavy, or too light</w:t>
      </w:r>
      <w:r w:rsidR="00243122" w:rsidRPr="00243122">
        <w:rPr>
          <w:i/>
        </w:rPr>
        <w:t>?</w:t>
      </w:r>
      <w:r w:rsidRPr="00243122">
        <w:t>”.</w:t>
      </w:r>
    </w:p>
    <w:p w14:paraId="6714DA98" w14:textId="77777777" w:rsidR="008F7A18" w:rsidRPr="001C3752" w:rsidRDefault="008F7A18" w:rsidP="008E52E1">
      <w:pPr>
        <w:rPr>
          <w:i/>
        </w:rPr>
      </w:pPr>
      <w:r w:rsidRPr="001C3752">
        <w:rPr>
          <w:i/>
        </w:rPr>
        <w:t>Anthropometric data</w:t>
      </w:r>
    </w:p>
    <w:p w14:paraId="2612F4DA" w14:textId="77777777" w:rsidR="00C54698" w:rsidRPr="00F600F9" w:rsidRDefault="00671FFC" w:rsidP="008E52E1">
      <w:r w:rsidRPr="00F03BCE">
        <w:t>Weight was measured by nurses to the nearest 0.1 kg using portable electronic scales</w:t>
      </w:r>
      <w:r w:rsidR="00C123C3">
        <w:t>.</w:t>
      </w:r>
      <w:r w:rsidRPr="00F03BCE">
        <w:t xml:space="preserve"> </w:t>
      </w:r>
      <w:r w:rsidR="00C123C3">
        <w:t>H</w:t>
      </w:r>
      <w:r w:rsidRPr="00F03BCE">
        <w:t xml:space="preserve">eight was measured </w:t>
      </w:r>
      <w:r w:rsidR="00C123C3">
        <w:t xml:space="preserve">in Wave 6 (it was not included in the Wave 8 assessment) </w:t>
      </w:r>
      <w:r w:rsidRPr="00F03BCE">
        <w:t>to the nearest millimetre</w:t>
      </w:r>
      <w:r>
        <w:t xml:space="preserve"> using a portable stadiometer. </w:t>
      </w:r>
      <w:r w:rsidRPr="00F03BCE">
        <w:t xml:space="preserve">Nurses recorded any factors that might have compromised the reliability of the measurements (e.g. participant was stooped/unwilling to remove shoes) </w:t>
      </w:r>
      <w:r>
        <w:t xml:space="preserve">and these cases were excluded. </w:t>
      </w:r>
      <w:r w:rsidRPr="00F03BCE">
        <w:t>BMI was c</w:t>
      </w:r>
      <w:r>
        <w:t xml:space="preserve">alculated as weight in </w:t>
      </w:r>
      <w:r w:rsidR="00491119">
        <w:t>kilograms</w:t>
      </w:r>
      <w:r>
        <w:t xml:space="preserve"> divided by the square of height in </w:t>
      </w:r>
      <w:proofErr w:type="gramStart"/>
      <w:r>
        <w:t>metres, and</w:t>
      </w:r>
      <w:proofErr w:type="gramEnd"/>
      <w:r>
        <w:t xml:space="preserve"> categorised as underweight (&lt;18.5 kg/m</w:t>
      </w:r>
      <w:r w:rsidRPr="00AF7686">
        <w:rPr>
          <w:vertAlign w:val="superscript"/>
        </w:rPr>
        <w:t>2</w:t>
      </w:r>
      <w:r>
        <w:t>), normal-weight (18.5 to &lt;25 kg/m</w:t>
      </w:r>
      <w:r w:rsidRPr="00AF7686">
        <w:rPr>
          <w:vertAlign w:val="superscript"/>
        </w:rPr>
        <w:t>2</w:t>
      </w:r>
      <w:r>
        <w:t>), overweight (25 to &lt;30 kg/m</w:t>
      </w:r>
      <w:r w:rsidRPr="00AF7686">
        <w:rPr>
          <w:vertAlign w:val="superscript"/>
        </w:rPr>
        <w:t>2</w:t>
      </w:r>
      <w:r>
        <w:t>) and obese (</w:t>
      </w:r>
      <w:r>
        <w:rPr>
          <w:rFonts w:cstheme="minorHAnsi"/>
        </w:rPr>
        <w:t xml:space="preserve">≥30 </w:t>
      </w:r>
      <w:r>
        <w:t>kg/m</w:t>
      </w:r>
      <w:r w:rsidRPr="00AF7686">
        <w:rPr>
          <w:vertAlign w:val="superscript"/>
        </w:rPr>
        <w:t>2</w:t>
      </w:r>
      <w:r>
        <w:rPr>
          <w:rFonts w:cstheme="minorHAnsi"/>
        </w:rPr>
        <w:t>).</w:t>
      </w:r>
      <w:r w:rsidRPr="00F03BCE">
        <w:t xml:space="preserve"> </w:t>
      </w:r>
      <w:r w:rsidR="00C54698">
        <w:t xml:space="preserve">We excluded participants with a BMI in the underweight range </w:t>
      </w:r>
      <w:r w:rsidR="00DA455B">
        <w:t xml:space="preserve">because there were insufficient numbers for </w:t>
      </w:r>
      <w:r w:rsidR="00207C7B">
        <w:t xml:space="preserve">meaningful </w:t>
      </w:r>
      <w:r w:rsidR="00DA455B">
        <w:t>analysis as a separate group</w:t>
      </w:r>
      <w:r w:rsidR="00C54698" w:rsidRPr="00F600F9">
        <w:t xml:space="preserve"> (</w:t>
      </w:r>
      <w:r w:rsidR="00C54698" w:rsidRPr="00F600F9">
        <w:rPr>
          <w:i/>
        </w:rPr>
        <w:t>n</w:t>
      </w:r>
      <w:r w:rsidR="00C54698" w:rsidRPr="00F600F9">
        <w:t>=</w:t>
      </w:r>
      <w:r w:rsidR="00F600F9" w:rsidRPr="00F600F9">
        <w:t>64</w:t>
      </w:r>
      <w:r w:rsidR="00801710">
        <w:t>, 1.2% of otherwise eligible sample</w:t>
      </w:r>
      <w:r w:rsidR="00C54698" w:rsidRPr="00F600F9">
        <w:t>).</w:t>
      </w:r>
    </w:p>
    <w:p w14:paraId="40481DCC" w14:textId="6B54E708" w:rsidR="008F7A18" w:rsidRDefault="008F7A18" w:rsidP="008E52E1">
      <w:r w:rsidRPr="009C619D">
        <w:t>For some</w:t>
      </w:r>
      <w:r w:rsidR="00613BBF">
        <w:t xml:space="preserve"> descriptive</w:t>
      </w:r>
      <w:r w:rsidRPr="009C619D">
        <w:t xml:space="preserve"> analyses, normal-weight participants were </w:t>
      </w:r>
      <w:r>
        <w:t>divided into those with a BMI in the lower half of the normal-weight range (BMI 18.5 to &lt;21.75 kg/m</w:t>
      </w:r>
      <w:r w:rsidRPr="00AF7686">
        <w:rPr>
          <w:vertAlign w:val="superscript"/>
        </w:rPr>
        <w:t>2</w:t>
      </w:r>
      <w:r>
        <w:t>;</w:t>
      </w:r>
      <w:r w:rsidRPr="009C619D">
        <w:t xml:space="preserve"> ‘lower normal-weight’) and </w:t>
      </w:r>
      <w:r>
        <w:t xml:space="preserve">those in the upper </w:t>
      </w:r>
      <w:r>
        <w:lastRenderedPageBreak/>
        <w:t>half (BMI 21.75 to &lt;30 kg/m</w:t>
      </w:r>
      <w:r w:rsidRPr="00AF7686">
        <w:rPr>
          <w:vertAlign w:val="superscript"/>
        </w:rPr>
        <w:t>2</w:t>
      </w:r>
      <w:r w:rsidRPr="00B82D70">
        <w:t xml:space="preserve">; </w:t>
      </w:r>
      <w:r w:rsidRPr="009C619D">
        <w:t>‘upper normal-weight’)</w:t>
      </w:r>
      <w:r w:rsidR="001806FB">
        <w:t xml:space="preserve"> to provide an indication as to the distribution of participants across the normal-weight range</w:t>
      </w:r>
      <w:r w:rsidR="0051336A">
        <w:t xml:space="preserve"> and help interpret associations between BMI and weight perceptions</w:t>
      </w:r>
      <w:r w:rsidRPr="009C619D">
        <w:t>.</w:t>
      </w:r>
    </w:p>
    <w:p w14:paraId="29ABE358" w14:textId="77777777" w:rsidR="008F7A18" w:rsidRPr="001C3752" w:rsidRDefault="008F7A18" w:rsidP="00D35165">
      <w:pPr>
        <w:rPr>
          <w:i/>
        </w:rPr>
      </w:pPr>
      <w:r w:rsidRPr="001C3752">
        <w:rPr>
          <w:i/>
        </w:rPr>
        <w:t>Sociodemographic information</w:t>
      </w:r>
    </w:p>
    <w:p w14:paraId="423D5E57" w14:textId="6D091856" w:rsidR="002517A4" w:rsidRDefault="00763727" w:rsidP="00D35165">
      <w:r w:rsidRPr="00D35165">
        <w:t>Information on</w:t>
      </w:r>
      <w:r w:rsidR="002517A4" w:rsidRPr="00D35165">
        <w:t xml:space="preserve"> age, sex, </w:t>
      </w:r>
      <w:r w:rsidR="002517A4" w:rsidRPr="00C11702">
        <w:t>ethnicity</w:t>
      </w:r>
      <w:r w:rsidR="00D35165" w:rsidRPr="00C11702">
        <w:t xml:space="preserve"> (white vs. non-white)</w:t>
      </w:r>
      <w:r w:rsidR="002517A4" w:rsidRPr="00C11702">
        <w:t>, and SES</w:t>
      </w:r>
      <w:r w:rsidRPr="00C11702">
        <w:t xml:space="preserve"> was recorded</w:t>
      </w:r>
      <w:r w:rsidR="002517A4" w:rsidRPr="00C11702">
        <w:t xml:space="preserve">. SES was indexed </w:t>
      </w:r>
      <w:r w:rsidR="00C11702" w:rsidRPr="00C11702">
        <w:t xml:space="preserve">using the short version of the NSSEC 3-category classification </w:t>
      </w:r>
      <w:r w:rsidR="00644002" w:rsidRPr="00644002">
        <w:t>of</w:t>
      </w:r>
      <w:r w:rsidR="00644002">
        <w:t xml:space="preserve"> </w:t>
      </w:r>
      <w:r w:rsidR="00644002" w:rsidRPr="00644002">
        <w:t>the</w:t>
      </w:r>
      <w:r w:rsidR="00644002">
        <w:t xml:space="preserve"> present or most recent occupation </w:t>
      </w:r>
      <w:r w:rsidR="00C11702" w:rsidRPr="00C11702">
        <w:t>and categorised as higher (managerial/professional occupations), intermediate (intermediate occupations)</w:t>
      </w:r>
      <w:r w:rsidR="0019430B">
        <w:t>,</w:t>
      </w:r>
      <w:r w:rsidR="00C11702" w:rsidRPr="00C11702">
        <w:t xml:space="preserve"> and lower (routine/manual occupations)</w:t>
      </w:r>
      <w:r w:rsidR="00216CEF">
        <w:t xml:space="preserve"> </w:t>
      </w:r>
      <w:r w:rsidR="002517A4" w:rsidRPr="00C11702">
        <w:fldChar w:fldCharType="begin"/>
      </w:r>
      <w:r w:rsidR="003E36BD">
        <w:instrText xml:space="preserve"> ADDIN ZOTERO_ITEM CSL_CITATION {"citationID":"grv8nk49c","properties":{"formattedCitation":"\\super 19\\nosupersub{}","plainCitation":"19","noteIndex":0},"citationItems":[{"id":"Gpmhm9Fe/rRM91Kzx","uris":["http://zotero.org/users/446899/items/2VJZFK57"],"uri":["http://zotero.org/users/446899/items/2VJZFK57"],"itemData":{"id":1370,"type":"book","title":"A researcher's guide to the national statistics socio-economic classification","publisher":"SAGE Publications Ltd","source":"Google Scholar","author":[{"family":"Rose","given":"David"},{"family":"Pevalin","given":"David J."}],"issued":{"date-parts":[["2003"]]}}}],"schema":"https://github.com/citation-style-language/schema/raw/master/csl-citation.json"} </w:instrText>
      </w:r>
      <w:r w:rsidR="002517A4" w:rsidRPr="00C11702">
        <w:fldChar w:fldCharType="separate"/>
      </w:r>
      <w:r w:rsidR="003E36BD" w:rsidRPr="003E36BD">
        <w:rPr>
          <w:rFonts w:ascii="Calibri" w:hAnsi="Calibri" w:cs="Calibri"/>
          <w:szCs w:val="24"/>
          <w:vertAlign w:val="superscript"/>
        </w:rPr>
        <w:t>19</w:t>
      </w:r>
      <w:r w:rsidR="002517A4" w:rsidRPr="00C11702">
        <w:fldChar w:fldCharType="end"/>
      </w:r>
      <w:r w:rsidR="00216CEF">
        <w:t>.</w:t>
      </w:r>
      <w:r w:rsidR="00D87A3E">
        <w:t xml:space="preserve"> This measure of SES was chosen for comparability with previous studies investigating weight perceptions in other age groups in England </w:t>
      </w:r>
      <w:r w:rsidR="00D35E27">
        <w:fldChar w:fldCharType="begin"/>
      </w:r>
      <w:r w:rsidR="003E36BD">
        <w:instrText xml:space="preserve"> ADDIN ZOTERO_ITEM CSL_CITATION {"citationID":"hxbqmAYI","properties":{"formattedCitation":"\\super e.g. 20\\nosupersub{}","plainCitation":"e.g. 20","noteIndex":0},"citationItems":[{"id":"Gpmhm9Fe/W1KqsJRM","uris":["http://zotero.org/users/446899/items/QQ3ZJUA4"],"uri":["http://zotero.org/users/446899/items/QQ3ZJUA4"],"itemData":{"id":"Vw4XgTOv/VHdR3Ufn","type":"article-journal","title":"Weight perceptions in a population sample of English adolescents: cause for celebration or concern?","container-title":"International Journal of Obesity","page":"1488-1493","volume":"39","issue":"10","source":"www.nature.com","abstract":"Objectives: To examine the proportion of normal-weight adolescents who consider themselves to be too heavy (size overestimation), and the proportion of overweight or obese adolescents who consider themselves to be about the right weight or too light (size underestimation), in large population-based samples collected over 8 years in England.\nMethods: Data were from the Health Survey for England between 2005 and 2012: an annual survey of households representative of the English population. We analysed data from 4979 adolescents (2668 boys, 2311 girls) aged 13 to 15 years old whose weight status was defined as normal weight or overweight/obese based on body mass index standard deviation scores (BMI-SDS) derived from objective measurements of height and weight and using International Obesity Task Force standards. Weight perception was based on the adolescent’s choice from the following descriptors: ‘about the right weight’, ‘too heavy’ or ‘too light’.\nResults: The majority of normal-weight adolescents (83% of boys, 84% of girls) correctly identified themselves as ‘about the right weight’. Overestimation was uncommon, with only 7% of normal-weight teens (4% of boys, 11% of girls) identifying themselves as ‘too heavy’. In contrast, only 60% of overweight/obese adolescents (53% of boys, 68% of girls) correctly identified themselves as ‘too heavy’, whereas 39% (47% of boys, 32% of girls) underestimated, identifying themselves as ‘about the right weight’ or ‘too light’. There were no significant changes in BMI-SDS or body size estimation over time (2005–2012).\nConclusions: Overestimation of body weight among normal-weight adolescents is relatively uncommon; potentially a cause for celebration. However, almost half of boys and a third of girls with a BMI placing them in the overweight or obese BMI range perceived themselves to be about the right weight. Lack of awareness of excess weight among overweight and obese adolescents could be a cause for concern.","DOI":"10.1038/ijo.2015.126","ISSN":"0307-0565","shortTitle":"Weight perceptions in a population sample of English adolescents","journalAbbreviation":"Int J Obes","language":"en","author":[{"family":"Jackson","given":"S E"},{"family":"Johnson","given":"F."},{"family":"Croker","given":"H."},{"family":"Wardle","given":"J."}],"issued":{"date-parts":[["2015",10]]}},"prefix":"e.g."}],"schema":"https://github.com/citation-style-language/schema/raw/master/csl-citation.json"} </w:instrText>
      </w:r>
      <w:r w:rsidR="00D35E27">
        <w:fldChar w:fldCharType="separate"/>
      </w:r>
      <w:r w:rsidR="003E36BD" w:rsidRPr="003E36BD">
        <w:rPr>
          <w:rFonts w:ascii="Calibri" w:hAnsi="Calibri" w:cs="Calibri"/>
          <w:szCs w:val="24"/>
          <w:vertAlign w:val="superscript"/>
        </w:rPr>
        <w:t>e.g. 20</w:t>
      </w:r>
      <w:r w:rsidR="00D35E27">
        <w:fldChar w:fldCharType="end"/>
      </w:r>
      <w:r w:rsidR="00D87A3E">
        <w:t>.</w:t>
      </w:r>
    </w:p>
    <w:p w14:paraId="4759125C" w14:textId="77777777" w:rsidR="0007153B" w:rsidRPr="001C3752" w:rsidRDefault="0007153B" w:rsidP="00D35165">
      <w:pPr>
        <w:rPr>
          <w:i/>
        </w:rPr>
      </w:pPr>
      <w:r w:rsidRPr="001C3752">
        <w:rPr>
          <w:i/>
        </w:rPr>
        <w:t>Perceived health</w:t>
      </w:r>
      <w:r w:rsidR="00717638" w:rsidRPr="001C3752">
        <w:rPr>
          <w:i/>
        </w:rPr>
        <w:t xml:space="preserve"> and comorbidities</w:t>
      </w:r>
    </w:p>
    <w:p w14:paraId="3F223CB2" w14:textId="3D24B4E4" w:rsidR="0007153B" w:rsidRDefault="0007153B" w:rsidP="00D35165">
      <w:r w:rsidRPr="00320130">
        <w:t xml:space="preserve">Self‐rated health was assessed using a single item: </w:t>
      </w:r>
      <w:r w:rsidRPr="00320130">
        <w:rPr>
          <w:i/>
        </w:rPr>
        <w:t>“Would you say your health is… poor/fair/good/very good/excellent?”</w:t>
      </w:r>
      <w:r w:rsidRPr="00320130">
        <w:t xml:space="preserve"> </w:t>
      </w:r>
      <w:r w:rsidRPr="00777513">
        <w:t>W</w:t>
      </w:r>
      <w:r>
        <w:t>e analys</w:t>
      </w:r>
      <w:r w:rsidRPr="00777513">
        <w:t xml:space="preserve">ed the proportion of individuals </w:t>
      </w:r>
      <w:r>
        <w:t>rating their health as fair/poor</w:t>
      </w:r>
      <w:r w:rsidR="00D35E27">
        <w:t>.</w:t>
      </w:r>
      <w:r w:rsidR="00DF7F40">
        <w:t xml:space="preserve"> </w:t>
      </w:r>
      <w:r w:rsidR="00D35E27">
        <w:t>This dichotomy</w:t>
      </w:r>
      <w:r w:rsidR="00DF7F40">
        <w:t xml:space="preserve"> </w:t>
      </w:r>
      <w:r w:rsidR="008922CF">
        <w:t xml:space="preserve">is commonly </w:t>
      </w:r>
      <w:r w:rsidR="00D35E27">
        <w:t xml:space="preserve">used </w:t>
      </w:r>
      <w:r w:rsidR="008922CF">
        <w:t>in analyses of this variable</w:t>
      </w:r>
      <w:r>
        <w:t xml:space="preserve"> </w:t>
      </w:r>
      <w:r>
        <w:fldChar w:fldCharType="begin"/>
      </w:r>
      <w:r w:rsidR="003E36BD">
        <w:instrText xml:space="preserve"> ADDIN ZOTERO_ITEM CSL_CITATION {"citationID":"N4485PxT","properties":{"formattedCitation":"\\super 21\\uc0\\u8211{}23\\nosupersub{}","plainCitation":"21–23","noteIndex":0},"citationItems":[{"id":"Gpmhm9Fe/5JvRdnLb","uris":["http://zotero.org/users/446899/items/GCC4Y9SB"],"uri":["http://zotero.org/users/446899/items/GCC4Y9SB"],"itemData":{"id":2,"type":"article-journal","title":"The Life Skills of Older Americans: Association with Economic, Psychological, Social, and Health Outcomes","container-title":"Scientific Reports","page":"9669","volume":"8","issue":"1","source":"www.nature.com","abstract":"Studies of children and adolescents indicate that success in life is determined in part by attributes such as conscientiousness, emotional stability and sense of control, independently of childhood socioeconomic status and cognitive ability. Less is known about the role of these characteristics at older ages. This study investigated the relationship of five life skills – conscientiousness, emotional stability, persistence, optimism and sense of control – with a range of outcomes in 8,843 participants (mean age 72.57 years) in the Health and Retirement Study, a representative study of older Americans. More life skills were associated with greater wealth and income, better emotional wellbeing, stronger social relationships, less loneliness, better health, fewer chronic illnesses and impaired activities of daily living, better mobility and less obesity, after controlling for childhood socioeconomic status and current cognitive ability. Longitudinally, more life skills predicted emotional wellbeing, less loneliness and more prosocial behavior, better health and mobility over a 4 year period. Associations were independent of gender, ethnicity, family background, education and cognitive ability. The number of attributes was important rather than any single life skill. Life skills continue to matter at advanced ages, and fostering these characteristics in older adults may pay dividends in terms of later life health and wellbeing.","DOI":"10.1038/s41598-018-27909-w","ISSN":"2045-2322","shortTitle":"The Life Skills of Older Americans","language":"en","author":[{"family":"Steptoe","given":"Andrew"},{"family":"Jackson","given":"Sarah E."}],"issued":{"date-parts":[["2018",7,5]]}}},{"id":"Gpmhm9Fe/qsmnq6Ht","uris":["http://zotero.org/users/446899/items/V6327HJ6"],"uri":["http://zotero.org/users/446899/items/V6327HJ6"],"itemData":{"id":4,"type":"article-journal","title":"Mortality prediction with a single general self-rated health question. A meta-analysis","container-title":"Journal of General Internal Medicine","page":"267-275","volume":"21","issue":"3","source":"PubMed","abstract":"OBJECTIVE: Health planners and policy makers are increasingly asking for a feasible method to identify vulnerable persons with the greatest health needs. We conducted a systematic review of the association between a single item assessing general self-rated health (GSRH) and mortality.\nDATA SOURCES: Systematic MEDLINE and EMBASE database searches for studies published from January 1966 to September 2003.\nREVIEW METHODS: Two investigators independently searched English language prospective, community-based cohort studies that reported (1) all-cause mortality, (2) a question assessing GSRH; and (3) an adjusted relative risk or equivalent. The investigators searched the citations to determine inclusion eligibility and abstracted data by following a standardized protocol. Of the 163 relevant studies identified, 22 cohorts met the inclusion criteria. Using a random effects model, compared with persons reporting \"excellent\" health status, the relative risk (95% confidence interval) for all-cause mortality was 1.23 [1.09, 1.39], 1.44 [1.21, 1.71], and 1.92 [1.64, 2.25] for those reporting \"good,\"fair,\" and \"poor\" health status, respectively. This relationship was robust in sensitivity analyses, limited to studies that adjusted for co-morbid illness, functional status, cognitive status, and depression, and across subgroups defined by gender and country of origin.\nCONCLUSIONS: Persons with \"poor\" self-rated health had a 2-fold higher mortality risk compared with persons with \"excellent\" self-rated health. Subjects' responses to a simple, single-item GSRH question maintained a strong association with mortality even after adjustment for key covariates such as functional status, depression, and co-morbidity.","DOI":"10.1111/j.1525-1497.2005.00291.x","ISSN":"1525-1497","note":"PMID: 16336622\nPMCID: PMC1828094","journalAbbreviation":"J Gen Intern Med","language":"eng","author":[{"family":"DeSalvo","given":"Karen B."},{"family":"Bloser","given":"Nicole"},{"family":"Reynolds","given":"Kristi"},{"family":"He","given":"Jiang"},{"family":"Muntner","given":"Paul"}],"issued":{"date-parts":[["2006",3]]}}},{"id":"Gpmhm9Fe/TjoKTuAv","uris":["http://zotero.org/users/446899/items/WHLE6J59"],"uri":["http://zotero.org/users/446899/items/WHLE6J59"],"itemData":{"id":7462,"type":"article-journal","title":"Associations between age discrimination and health and wellbeing: cross-sectional and prospective analysis of the English Longitudinal Study of Ageing","container-title":"Lancet Public Health","volume":"in press","author":[{"family":"Jackson","given":"S E"},{"family":"Hackett","given":"R A"},{"family":"Steptoe","given":"A"}],"issued":{"date-parts":[["2019"]]}}}],"schema":"https://github.com/citation-style-language/schema/raw/master/csl-citation.json"} </w:instrText>
      </w:r>
      <w:r>
        <w:fldChar w:fldCharType="separate"/>
      </w:r>
      <w:r w:rsidR="003E36BD" w:rsidRPr="003E36BD">
        <w:rPr>
          <w:rFonts w:ascii="Calibri" w:hAnsi="Calibri" w:cs="Calibri"/>
          <w:szCs w:val="24"/>
          <w:vertAlign w:val="superscript"/>
        </w:rPr>
        <w:t>21–23</w:t>
      </w:r>
      <w:r>
        <w:fldChar w:fldCharType="end"/>
      </w:r>
      <w:r w:rsidR="00D35E27">
        <w:t xml:space="preserve"> to overcome issues relating to the skewed distribution of responses and provide results that are easily interpreted (i.e. odds of the outcome associated with poorer versus better health)</w:t>
      </w:r>
      <w:r w:rsidRPr="00777513">
        <w:t>.</w:t>
      </w:r>
    </w:p>
    <w:p w14:paraId="1F7F5A5F" w14:textId="77777777" w:rsidR="00B72D80" w:rsidRPr="0007153B" w:rsidRDefault="005A385D" w:rsidP="005A385D">
      <w:r w:rsidRPr="00864EAE">
        <w:t xml:space="preserve">Information about </w:t>
      </w:r>
      <w:r>
        <w:t>five</w:t>
      </w:r>
      <w:r w:rsidRPr="00864EAE">
        <w:t xml:space="preserve"> doctor-diagnosed chronic diseases</w:t>
      </w:r>
      <w:r>
        <w:t xml:space="preserve"> that may cause weight loss</w:t>
      </w:r>
      <w:r w:rsidRPr="00864EAE">
        <w:t xml:space="preserve"> (</w:t>
      </w:r>
      <w:r w:rsidRPr="004B3BD0">
        <w:t>cancer, stroke, chronic lung disease</w:t>
      </w:r>
      <w:r w:rsidR="00667EF8">
        <w:t>,</w:t>
      </w:r>
      <w:r w:rsidR="00667EF8" w:rsidRPr="00667EF8">
        <w:t xml:space="preserve"> </w:t>
      </w:r>
      <w:r w:rsidR="00667EF8" w:rsidRPr="004B3BD0">
        <w:t>diabetes</w:t>
      </w:r>
      <w:r w:rsidR="005835AC">
        <w:t>,</w:t>
      </w:r>
      <w:r w:rsidRPr="004B3BD0">
        <w:t xml:space="preserve"> and arthritis</w:t>
      </w:r>
      <w:r w:rsidR="00887E77">
        <w:t xml:space="preserve">) was self-reported and the number of reported conditions were summed to create a </w:t>
      </w:r>
      <w:r w:rsidR="00CB2236">
        <w:t>chronic health condition</w:t>
      </w:r>
      <w:r w:rsidR="00887E77">
        <w:t xml:space="preserve"> index ranging from 0-5. Because scores were highly skewed, we dichotomised this variable to distinguish between 0 and </w:t>
      </w:r>
      <w:r w:rsidR="00887E77">
        <w:rPr>
          <w:rFonts w:cstheme="minorHAnsi"/>
        </w:rPr>
        <w:t>≥</w:t>
      </w:r>
      <w:r w:rsidR="00887E77">
        <w:t xml:space="preserve">1 health </w:t>
      </w:r>
      <w:proofErr w:type="gramStart"/>
      <w:r w:rsidR="00887E77">
        <w:t>conditions</w:t>
      </w:r>
      <w:proofErr w:type="gramEnd"/>
      <w:r w:rsidR="00887E77">
        <w:t>.</w:t>
      </w:r>
    </w:p>
    <w:p w14:paraId="73BAC2F4" w14:textId="77777777" w:rsidR="004A3988" w:rsidRPr="00D55BAF" w:rsidRDefault="001700FA" w:rsidP="008E52E1">
      <w:pPr>
        <w:pStyle w:val="Heading3"/>
        <w:spacing w:line="360" w:lineRule="auto"/>
      </w:pPr>
      <w:r w:rsidRPr="00D55BAF">
        <w:t>Statistical analysis</w:t>
      </w:r>
    </w:p>
    <w:p w14:paraId="5ED5FFAD" w14:textId="77777777" w:rsidR="0097754C" w:rsidRPr="004E5F89" w:rsidRDefault="006E1D14" w:rsidP="0097754C">
      <w:pPr>
        <w:spacing w:afterLines="120" w:after="288"/>
      </w:pPr>
      <w:r w:rsidRPr="00C274B8">
        <w:rPr>
          <w:rFonts w:ascii="Calibri" w:hAnsi="Calibri"/>
          <w:shd w:val="clear" w:color="auto" w:fill="FFFFFF"/>
        </w:rPr>
        <w:t>Analyses were performed using IBM SPSS Statistics 2</w:t>
      </w:r>
      <w:r>
        <w:rPr>
          <w:rFonts w:ascii="Calibri" w:hAnsi="Calibri"/>
          <w:shd w:val="clear" w:color="auto" w:fill="FFFFFF"/>
        </w:rPr>
        <w:t>4</w:t>
      </w:r>
      <w:r w:rsidRPr="00C274B8">
        <w:rPr>
          <w:rFonts w:ascii="Calibri" w:hAnsi="Calibri"/>
          <w:shd w:val="clear" w:color="auto" w:fill="FFFFFF"/>
        </w:rPr>
        <w:t xml:space="preserve">. </w:t>
      </w:r>
      <w:r w:rsidR="003B1C1C">
        <w:rPr>
          <w:rFonts w:ascii="Calibri" w:hAnsi="Calibri"/>
          <w:shd w:val="clear" w:color="auto" w:fill="FFFFFF"/>
        </w:rPr>
        <w:t xml:space="preserve">In order to produce representative estimates for older adults in the English population, data were </w:t>
      </w:r>
      <w:r w:rsidRPr="00C274B8">
        <w:rPr>
          <w:rFonts w:ascii="Calibri" w:hAnsi="Calibri"/>
          <w:shd w:val="clear" w:color="auto" w:fill="FFFFFF"/>
        </w:rPr>
        <w:t xml:space="preserve">weighted to correct for sampling probabilities and to </w:t>
      </w:r>
      <w:r w:rsidR="00955AD7">
        <w:rPr>
          <w:rFonts w:ascii="Calibri" w:hAnsi="Calibri"/>
          <w:shd w:val="clear" w:color="auto" w:fill="FFFFFF"/>
        </w:rPr>
        <w:t>match the English</w:t>
      </w:r>
      <w:r w:rsidRPr="003C0604">
        <w:rPr>
          <w:rFonts w:ascii="Calibri" w:hAnsi="Calibri"/>
          <w:shd w:val="clear" w:color="auto" w:fill="FFFFFF"/>
        </w:rPr>
        <w:t xml:space="preserve"> population </w:t>
      </w:r>
      <w:r w:rsidR="00955AD7">
        <w:rPr>
          <w:rFonts w:ascii="Calibri" w:hAnsi="Calibri"/>
          <w:shd w:val="clear" w:color="auto" w:fill="FFFFFF"/>
        </w:rPr>
        <w:t>on</w:t>
      </w:r>
      <w:r w:rsidRPr="003C0604">
        <w:rPr>
          <w:rFonts w:ascii="Calibri" w:hAnsi="Calibri"/>
          <w:shd w:val="clear" w:color="auto" w:fill="FFFFFF"/>
        </w:rPr>
        <w:t xml:space="preserve"> age and sex. The weights accounted for the differential probabi</w:t>
      </w:r>
      <w:r w:rsidR="009D79C5">
        <w:rPr>
          <w:rFonts w:ascii="Calibri" w:hAnsi="Calibri"/>
          <w:shd w:val="clear" w:color="auto" w:fill="FFFFFF"/>
        </w:rPr>
        <w:t>lity of being included in W</w:t>
      </w:r>
      <w:r>
        <w:rPr>
          <w:rFonts w:ascii="Calibri" w:hAnsi="Calibri"/>
          <w:shd w:val="clear" w:color="auto" w:fill="FFFFFF"/>
        </w:rPr>
        <w:t>ave 8</w:t>
      </w:r>
      <w:r w:rsidRPr="003C0604">
        <w:rPr>
          <w:rFonts w:ascii="Calibri" w:hAnsi="Calibri"/>
          <w:shd w:val="clear" w:color="auto" w:fill="FFFFFF"/>
        </w:rPr>
        <w:t xml:space="preserve"> of ELSA.</w:t>
      </w:r>
    </w:p>
    <w:p w14:paraId="52BE858F" w14:textId="5B23C9D4" w:rsidR="000E3EBE" w:rsidRDefault="00A51D0D" w:rsidP="000E3EBE">
      <w:r w:rsidRPr="004E5F89">
        <w:t>Analyses were performed separately for men and women. We tested s</w:t>
      </w:r>
      <w:r w:rsidR="006C689F" w:rsidRPr="004E5F89">
        <w:t xml:space="preserve">ex differences </w:t>
      </w:r>
      <w:r w:rsidRPr="004E5F89">
        <w:t xml:space="preserve">in sociodemographic, anthropometric, </w:t>
      </w:r>
      <w:r w:rsidR="00922623">
        <w:t>self-rated health</w:t>
      </w:r>
      <w:r w:rsidR="00356F3F">
        <w:t>,</w:t>
      </w:r>
      <w:r w:rsidR="00922623">
        <w:t xml:space="preserve"> </w:t>
      </w:r>
      <w:r w:rsidRPr="004E5F89">
        <w:t xml:space="preserve">and weight perception variables </w:t>
      </w:r>
      <w:r w:rsidR="006C689F" w:rsidRPr="004E5F89">
        <w:t xml:space="preserve">using </w:t>
      </w:r>
      <w:r w:rsidR="006C689F" w:rsidRPr="004E5F89">
        <w:rPr>
          <w:i/>
        </w:rPr>
        <w:t>t</w:t>
      </w:r>
      <w:r w:rsidRPr="004E5F89">
        <w:t>-tests for continuous variables</w:t>
      </w:r>
      <w:r w:rsidR="006C689F" w:rsidRPr="004E5F89">
        <w:t xml:space="preserve"> and </w:t>
      </w:r>
      <w:r w:rsidR="005236B7">
        <w:t xml:space="preserve">Pearson’s </w:t>
      </w:r>
      <w:r w:rsidRPr="004E5F89">
        <w:t>chi-square analyses for categorical variables</w:t>
      </w:r>
      <w:r w:rsidR="006C689F" w:rsidRPr="004E5F89">
        <w:t xml:space="preserve">. We used multivariable logistic regression to </w:t>
      </w:r>
      <w:r w:rsidR="006C689F" w:rsidRPr="004E5F89">
        <w:lastRenderedPageBreak/>
        <w:t xml:space="preserve">identify </w:t>
      </w:r>
      <w:r w:rsidR="006845A4" w:rsidRPr="004E5F89">
        <w:t>independent</w:t>
      </w:r>
      <w:r w:rsidR="006C689F" w:rsidRPr="004E5F89">
        <w:t xml:space="preserve"> </w:t>
      </w:r>
      <w:r w:rsidR="00356F3F">
        <w:t xml:space="preserve">associations with </w:t>
      </w:r>
      <w:r w:rsidR="006C689F" w:rsidRPr="004E5F89">
        <w:t>perc</w:t>
      </w:r>
      <w:r w:rsidR="00356F3F">
        <w:t>eption of weight as (</w:t>
      </w:r>
      <w:proofErr w:type="spellStart"/>
      <w:r w:rsidR="00356F3F">
        <w:t>i</w:t>
      </w:r>
      <w:proofErr w:type="spellEnd"/>
      <w:r w:rsidR="00356F3F">
        <w:t>) ‘too heavy’ or (ii) ‘too light’</w:t>
      </w:r>
      <w:r w:rsidR="006C689F" w:rsidRPr="004E5F89">
        <w:t xml:space="preserve"> among normal-weight </w:t>
      </w:r>
      <w:r w:rsidR="00D148C2" w:rsidRPr="004E5F89">
        <w:t>participants</w:t>
      </w:r>
      <w:r w:rsidR="00B75EBC">
        <w:t xml:space="preserve">, </w:t>
      </w:r>
      <w:r w:rsidR="006C689F" w:rsidRPr="004E5F89">
        <w:t xml:space="preserve">and </w:t>
      </w:r>
      <w:r w:rsidR="00356F3F">
        <w:t xml:space="preserve">associations with </w:t>
      </w:r>
      <w:r w:rsidR="006C689F" w:rsidRPr="004E5F89">
        <w:t>percep</w:t>
      </w:r>
      <w:r w:rsidR="00356F3F">
        <w:t>tion of weight as ‘about right’</w:t>
      </w:r>
      <w:r w:rsidR="006C689F" w:rsidRPr="004E5F89">
        <w:t xml:space="preserve"> among </w:t>
      </w:r>
      <w:r w:rsidR="001A6E52">
        <w:t xml:space="preserve">participants with </w:t>
      </w:r>
      <w:r w:rsidR="006C689F" w:rsidRPr="004E5F89">
        <w:t>overweight</w:t>
      </w:r>
      <w:r w:rsidR="00D148C2" w:rsidRPr="004E5F89">
        <w:t xml:space="preserve"> </w:t>
      </w:r>
      <w:r w:rsidR="001A6E52">
        <w:t>or obesity</w:t>
      </w:r>
      <w:r w:rsidR="006C689F" w:rsidRPr="004E5F89">
        <w:t>. Variables in</w:t>
      </w:r>
      <w:r w:rsidR="00052487" w:rsidRPr="004E5F89">
        <w:t>cluded in</w:t>
      </w:r>
      <w:r w:rsidR="006C689F" w:rsidRPr="004E5F89">
        <w:t xml:space="preserve"> the models were age, ethnicity, SES, </w:t>
      </w:r>
      <w:r w:rsidR="00F13DCD">
        <w:t xml:space="preserve">self-rated health, and </w:t>
      </w:r>
      <w:r w:rsidR="00C72474">
        <w:t>BMI</w:t>
      </w:r>
      <w:r w:rsidR="000E3EBE" w:rsidRPr="004E5F89">
        <w:t>.</w:t>
      </w:r>
      <w:r w:rsidR="00A04625">
        <w:t xml:space="preserve"> </w:t>
      </w:r>
      <w:r w:rsidR="0077110C">
        <w:t>In order to evaluate whether perception of weight as too light among normal-weight participants</w:t>
      </w:r>
      <w:r w:rsidR="00F55154">
        <w:t>, or about right among participants with overweight or obesity,</w:t>
      </w:r>
      <w:r w:rsidR="0077110C">
        <w:t xml:space="preserve"> was associated with health conditions that may cause weight loss, we also adjusted for </w:t>
      </w:r>
      <w:r w:rsidR="00CB2236">
        <w:t>chronic health conditions</w:t>
      </w:r>
      <w:r w:rsidR="0077110C">
        <w:t xml:space="preserve"> in </w:t>
      </w:r>
      <w:r w:rsidR="00F55154">
        <w:t xml:space="preserve">each </w:t>
      </w:r>
      <w:r w:rsidR="0077110C">
        <w:t xml:space="preserve">model. </w:t>
      </w:r>
      <w:r w:rsidR="00202AA0" w:rsidRPr="004E5F89">
        <w:t>Results are reported as odds ratios (ORs) with 95% confidence intervals (CIs).</w:t>
      </w:r>
    </w:p>
    <w:p w14:paraId="46CCC54F" w14:textId="12CC0CCC" w:rsidR="004D62B1" w:rsidRDefault="004D62B1" w:rsidP="004D62B1">
      <w:pPr>
        <w:pStyle w:val="Heading3"/>
        <w:spacing w:line="360" w:lineRule="auto"/>
      </w:pPr>
      <w:r>
        <w:t>Patient and public involvement</w:t>
      </w:r>
    </w:p>
    <w:p w14:paraId="3913ADE0" w14:textId="51352711" w:rsidR="004D62B1" w:rsidRPr="004D62B1" w:rsidRDefault="004D62B1" w:rsidP="004D62B1">
      <w:r>
        <w:t>Patients and the public were not involved in this research.</w:t>
      </w:r>
    </w:p>
    <w:p w14:paraId="7216A67F" w14:textId="77777777" w:rsidR="004545B7" w:rsidRPr="004545B7" w:rsidRDefault="004545B7" w:rsidP="000E3EBE"/>
    <w:p w14:paraId="69FE5763" w14:textId="77777777" w:rsidR="004A3988" w:rsidRDefault="001700FA" w:rsidP="008E52E1">
      <w:pPr>
        <w:pStyle w:val="Heading2"/>
        <w:spacing w:line="360" w:lineRule="auto"/>
      </w:pPr>
      <w:r w:rsidRPr="00D55BAF">
        <w:t>Results</w:t>
      </w:r>
    </w:p>
    <w:p w14:paraId="5D6B578A" w14:textId="60BA3D8C" w:rsidR="00995A39" w:rsidRPr="009101DF" w:rsidRDefault="00995A39" w:rsidP="008E52E1">
      <w:pPr>
        <w:rPr>
          <w:rFonts w:eastAsiaTheme="majorEastAsia"/>
        </w:rPr>
      </w:pPr>
      <w:r w:rsidRPr="00995A39">
        <w:rPr>
          <w:rFonts w:eastAsiaTheme="majorEastAsia"/>
        </w:rPr>
        <w:t>There were 2,3</w:t>
      </w:r>
      <w:r w:rsidR="0080358B">
        <w:rPr>
          <w:rFonts w:eastAsiaTheme="majorEastAsia"/>
        </w:rPr>
        <w:t>52</w:t>
      </w:r>
      <w:r w:rsidRPr="00995A39">
        <w:rPr>
          <w:rFonts w:eastAsiaTheme="majorEastAsia"/>
        </w:rPr>
        <w:t xml:space="preserve"> men and 2,</w:t>
      </w:r>
      <w:r w:rsidR="0080358B">
        <w:rPr>
          <w:rFonts w:eastAsiaTheme="majorEastAsia"/>
        </w:rPr>
        <w:t>888</w:t>
      </w:r>
      <w:r w:rsidRPr="00995A39">
        <w:rPr>
          <w:rFonts w:eastAsiaTheme="majorEastAsia"/>
        </w:rPr>
        <w:t xml:space="preserve"> women in the sample. Descriptive characteristics</w:t>
      </w:r>
      <w:r w:rsidR="003B62C4">
        <w:rPr>
          <w:rFonts w:eastAsiaTheme="majorEastAsia"/>
        </w:rPr>
        <w:t xml:space="preserve"> overall and by sex</w:t>
      </w:r>
      <w:r w:rsidRPr="00995A39">
        <w:rPr>
          <w:rFonts w:eastAsiaTheme="majorEastAsia"/>
        </w:rPr>
        <w:t xml:space="preserve"> are </w:t>
      </w:r>
      <w:r w:rsidR="000749C0">
        <w:rPr>
          <w:rFonts w:eastAsiaTheme="majorEastAsia"/>
        </w:rPr>
        <w:t>shown</w:t>
      </w:r>
      <w:r w:rsidRPr="00995A39">
        <w:rPr>
          <w:rFonts w:eastAsiaTheme="majorEastAsia"/>
        </w:rPr>
        <w:t xml:space="preserve"> in Table 1.</w:t>
      </w:r>
      <w:r w:rsidR="00604708">
        <w:rPr>
          <w:rFonts w:eastAsiaTheme="majorEastAsia"/>
        </w:rPr>
        <w:t xml:space="preserve"> </w:t>
      </w:r>
      <w:r w:rsidR="00BC0016">
        <w:rPr>
          <w:rFonts w:eastAsiaTheme="majorEastAsia"/>
        </w:rPr>
        <w:t>The mean age was 70.</w:t>
      </w:r>
      <w:r w:rsidR="00E46776">
        <w:rPr>
          <w:rFonts w:eastAsiaTheme="majorEastAsia"/>
        </w:rPr>
        <w:t>1</w:t>
      </w:r>
      <w:r w:rsidR="00BC0016">
        <w:rPr>
          <w:rFonts w:eastAsiaTheme="majorEastAsia"/>
        </w:rPr>
        <w:t xml:space="preserve"> (SD 7.8) years</w:t>
      </w:r>
      <w:r w:rsidR="00273FCB">
        <w:rPr>
          <w:rFonts w:eastAsiaTheme="majorEastAsia"/>
        </w:rPr>
        <w:t>.</w:t>
      </w:r>
      <w:r w:rsidR="00ED4A59">
        <w:rPr>
          <w:rFonts w:eastAsiaTheme="majorEastAsia"/>
        </w:rPr>
        <w:t xml:space="preserve"> </w:t>
      </w:r>
      <w:proofErr w:type="gramStart"/>
      <w:r w:rsidR="00273FCB">
        <w:rPr>
          <w:rFonts w:eastAsiaTheme="majorEastAsia"/>
        </w:rPr>
        <w:t>T</w:t>
      </w:r>
      <w:r w:rsidR="00ED4A59">
        <w:rPr>
          <w:rFonts w:eastAsiaTheme="majorEastAsia"/>
        </w:rPr>
        <w:t>he majority of</w:t>
      </w:r>
      <w:proofErr w:type="gramEnd"/>
      <w:r w:rsidR="00ED4A59">
        <w:rPr>
          <w:rFonts w:eastAsiaTheme="majorEastAsia"/>
        </w:rPr>
        <w:t xml:space="preserve"> participants were</w:t>
      </w:r>
      <w:r w:rsidR="00273FCB">
        <w:rPr>
          <w:rFonts w:eastAsiaTheme="majorEastAsia"/>
        </w:rPr>
        <w:t xml:space="preserve"> white (96.2%)</w:t>
      </w:r>
      <w:r w:rsidR="007220B1">
        <w:rPr>
          <w:rFonts w:eastAsiaTheme="majorEastAsia"/>
        </w:rPr>
        <w:t xml:space="preserve"> and rated their health as good, very good</w:t>
      </w:r>
      <w:r w:rsidR="00314794">
        <w:rPr>
          <w:rFonts w:eastAsiaTheme="majorEastAsia"/>
        </w:rPr>
        <w:t>,</w:t>
      </w:r>
      <w:r w:rsidR="007220B1">
        <w:rPr>
          <w:rFonts w:eastAsiaTheme="majorEastAsia"/>
        </w:rPr>
        <w:t xml:space="preserve"> or excellent (72.7%)</w:t>
      </w:r>
      <w:r w:rsidR="008B2FDD">
        <w:rPr>
          <w:rFonts w:eastAsiaTheme="majorEastAsia"/>
        </w:rPr>
        <w:t xml:space="preserve"> despite many having one or more chronic health conditions (</w:t>
      </w:r>
      <w:r w:rsidR="007927C7">
        <w:rPr>
          <w:rFonts w:eastAsiaTheme="majorEastAsia"/>
        </w:rPr>
        <w:t>58.0</w:t>
      </w:r>
      <w:r w:rsidR="008B2FDD">
        <w:rPr>
          <w:rFonts w:eastAsiaTheme="majorEastAsia"/>
        </w:rPr>
        <w:t>%)</w:t>
      </w:r>
      <w:r w:rsidR="00735CC3">
        <w:rPr>
          <w:rFonts w:eastAsiaTheme="majorEastAsia"/>
        </w:rPr>
        <w:t>. T</w:t>
      </w:r>
      <w:r w:rsidR="00273FCB">
        <w:rPr>
          <w:rFonts w:eastAsiaTheme="majorEastAsia"/>
        </w:rPr>
        <w:t xml:space="preserve">here was </w:t>
      </w:r>
      <w:proofErr w:type="gramStart"/>
      <w:r w:rsidR="00273FCB">
        <w:rPr>
          <w:rFonts w:eastAsiaTheme="majorEastAsia"/>
        </w:rPr>
        <w:t>fairly even</w:t>
      </w:r>
      <w:proofErr w:type="gramEnd"/>
      <w:r w:rsidR="00273FCB">
        <w:rPr>
          <w:rFonts w:eastAsiaTheme="majorEastAsia"/>
        </w:rPr>
        <w:t xml:space="preserve"> distribution across socioeconomic groups (32.4% higher SES, 26.8% intermediate SES, 40.8% lower SES)</w:t>
      </w:r>
      <w:r w:rsidR="00A3304B">
        <w:rPr>
          <w:rFonts w:eastAsiaTheme="majorEastAsia"/>
        </w:rPr>
        <w:t xml:space="preserve">, although women were less likely than men to be in the higher SES group (26.6% vs. 38.8%, </w:t>
      </w:r>
      <w:r w:rsidR="00A3304B">
        <w:rPr>
          <w:rFonts w:eastAsiaTheme="majorEastAsia"/>
          <w:i/>
        </w:rPr>
        <w:t>p</w:t>
      </w:r>
      <w:r w:rsidR="00A3304B">
        <w:rPr>
          <w:rFonts w:eastAsiaTheme="majorEastAsia"/>
        </w:rPr>
        <w:t>&lt;0.001)</w:t>
      </w:r>
      <w:r w:rsidR="00273FCB">
        <w:rPr>
          <w:rFonts w:eastAsiaTheme="majorEastAsia"/>
        </w:rPr>
        <w:t>.</w:t>
      </w:r>
      <w:r w:rsidR="00D53F33">
        <w:rPr>
          <w:rFonts w:eastAsiaTheme="majorEastAsia"/>
        </w:rPr>
        <w:t xml:space="preserve"> Just over a quarter (27.5%) of participants had a BMI in the normal-weight range, 40.3% were overweight</w:t>
      </w:r>
      <w:r w:rsidR="008B7C5F">
        <w:rPr>
          <w:rFonts w:eastAsiaTheme="majorEastAsia"/>
        </w:rPr>
        <w:t>,</w:t>
      </w:r>
      <w:r w:rsidR="00D53F33">
        <w:rPr>
          <w:rFonts w:eastAsiaTheme="majorEastAsia"/>
        </w:rPr>
        <w:t xml:space="preserve"> and a further 32.3% </w:t>
      </w:r>
      <w:r w:rsidR="004A7433">
        <w:rPr>
          <w:rFonts w:eastAsiaTheme="majorEastAsia"/>
        </w:rPr>
        <w:t>had obesity</w:t>
      </w:r>
      <w:r w:rsidR="00D53F33">
        <w:rPr>
          <w:rFonts w:eastAsiaTheme="majorEastAsia"/>
        </w:rPr>
        <w:t>.</w:t>
      </w:r>
      <w:r w:rsidR="00A3304B">
        <w:rPr>
          <w:rFonts w:eastAsiaTheme="majorEastAsia"/>
        </w:rPr>
        <w:t xml:space="preserve"> </w:t>
      </w:r>
      <w:r w:rsidR="009101DF">
        <w:rPr>
          <w:rFonts w:eastAsiaTheme="majorEastAsia"/>
        </w:rPr>
        <w:t>On average, men were significantly taller and heavier than women (</w:t>
      </w:r>
      <w:r w:rsidR="009101DF">
        <w:rPr>
          <w:rFonts w:eastAsiaTheme="majorEastAsia"/>
          <w:i/>
        </w:rPr>
        <w:t>p</w:t>
      </w:r>
      <w:r w:rsidR="009101DF">
        <w:rPr>
          <w:rFonts w:eastAsiaTheme="majorEastAsia"/>
        </w:rPr>
        <w:t>&lt;0.001)</w:t>
      </w:r>
      <w:r w:rsidR="0079128D">
        <w:rPr>
          <w:rFonts w:eastAsiaTheme="majorEastAsia"/>
        </w:rPr>
        <w:t>. W</w:t>
      </w:r>
      <w:r w:rsidR="009101DF">
        <w:rPr>
          <w:rFonts w:eastAsiaTheme="majorEastAsia"/>
        </w:rPr>
        <w:t>hile there was no significant sex difference in mean BMI (</w:t>
      </w:r>
      <w:r w:rsidR="009101DF" w:rsidRPr="002F1EC1">
        <w:rPr>
          <w:rFonts w:eastAsiaTheme="majorEastAsia"/>
          <w:i/>
        </w:rPr>
        <w:t>p</w:t>
      </w:r>
      <w:r w:rsidR="002F1EC1">
        <w:rPr>
          <w:rFonts w:eastAsiaTheme="majorEastAsia"/>
        </w:rPr>
        <w:t>=</w:t>
      </w:r>
      <w:r w:rsidR="00EA69CD" w:rsidRPr="002F1EC1">
        <w:rPr>
          <w:rFonts w:eastAsiaTheme="majorEastAsia"/>
        </w:rPr>
        <w:t>0</w:t>
      </w:r>
      <w:r w:rsidR="00EA69CD">
        <w:rPr>
          <w:rFonts w:eastAsiaTheme="majorEastAsia"/>
        </w:rPr>
        <w:t>.116), men were more likely</w:t>
      </w:r>
      <w:r w:rsidR="009101DF">
        <w:rPr>
          <w:rFonts w:eastAsiaTheme="majorEastAsia"/>
        </w:rPr>
        <w:t xml:space="preserve"> than women </w:t>
      </w:r>
      <w:r w:rsidR="00EA69CD">
        <w:rPr>
          <w:rFonts w:eastAsiaTheme="majorEastAsia"/>
        </w:rPr>
        <w:t>to have</w:t>
      </w:r>
      <w:r w:rsidR="009101DF">
        <w:rPr>
          <w:rFonts w:eastAsiaTheme="majorEastAsia"/>
        </w:rPr>
        <w:t xml:space="preserve"> a BMI placing them in the overweight range (46.1% vs. 35.0%</w:t>
      </w:r>
      <w:r w:rsidR="00EA69CD">
        <w:rPr>
          <w:rFonts w:eastAsiaTheme="majorEastAsia"/>
        </w:rPr>
        <w:t>) while women were more likely</w:t>
      </w:r>
      <w:r w:rsidR="001C38A1">
        <w:rPr>
          <w:rFonts w:eastAsiaTheme="majorEastAsia"/>
        </w:rPr>
        <w:t xml:space="preserve"> than men</w:t>
      </w:r>
      <w:r w:rsidR="00EA69CD">
        <w:rPr>
          <w:rFonts w:eastAsiaTheme="majorEastAsia"/>
        </w:rPr>
        <w:t xml:space="preserve"> to </w:t>
      </w:r>
      <w:r w:rsidR="008B62D8">
        <w:rPr>
          <w:rFonts w:eastAsiaTheme="majorEastAsia"/>
        </w:rPr>
        <w:t>have a</w:t>
      </w:r>
      <w:r w:rsidR="00EA69CD">
        <w:rPr>
          <w:rFonts w:eastAsiaTheme="majorEastAsia"/>
        </w:rPr>
        <w:t xml:space="preserve"> normal-weight (30.8% vs. 23.8%) or obese</w:t>
      </w:r>
      <w:r w:rsidR="008B62D8">
        <w:rPr>
          <w:rFonts w:eastAsiaTheme="majorEastAsia"/>
        </w:rPr>
        <w:t xml:space="preserve"> BMI</w:t>
      </w:r>
      <w:r w:rsidR="00EA69CD">
        <w:rPr>
          <w:rFonts w:eastAsiaTheme="majorEastAsia"/>
        </w:rPr>
        <w:t xml:space="preserve"> (34.2% vs. 30.1%</w:t>
      </w:r>
      <w:r w:rsidR="009101DF">
        <w:rPr>
          <w:rFonts w:eastAsiaTheme="majorEastAsia"/>
        </w:rPr>
        <w:t xml:space="preserve">, </w:t>
      </w:r>
      <w:r w:rsidR="009101DF">
        <w:rPr>
          <w:rFonts w:eastAsiaTheme="majorEastAsia"/>
          <w:i/>
        </w:rPr>
        <w:t>p</w:t>
      </w:r>
      <w:r w:rsidR="009101DF">
        <w:rPr>
          <w:rFonts w:eastAsiaTheme="majorEastAsia"/>
        </w:rPr>
        <w:t>&lt;0.001).</w:t>
      </w:r>
    </w:p>
    <w:p w14:paraId="7A0A3C85" w14:textId="77777777" w:rsidR="00D32AE9" w:rsidRPr="002E6368" w:rsidRDefault="00D32AE9" w:rsidP="008E52E1">
      <w:pPr>
        <w:pStyle w:val="Heading3"/>
        <w:spacing w:line="360" w:lineRule="auto"/>
      </w:pPr>
      <w:r w:rsidRPr="002E6368">
        <w:t>Weight perception among normal-weight older adults</w:t>
      </w:r>
    </w:p>
    <w:p w14:paraId="75C0B007" w14:textId="77777777" w:rsidR="00D32AE9" w:rsidRPr="00087BCC" w:rsidRDefault="00D32AE9" w:rsidP="00087BCC">
      <w:r w:rsidRPr="00087BCC">
        <w:t xml:space="preserve">Figure 1 </w:t>
      </w:r>
      <w:r w:rsidR="004A22A9" w:rsidRPr="00087BCC">
        <w:t>summarises the distribution of</w:t>
      </w:r>
      <w:r w:rsidRPr="00087BCC">
        <w:t xml:space="preserve"> weight perceptions by sex and weight status.</w:t>
      </w:r>
      <w:r w:rsidR="002A1983" w:rsidRPr="00087BCC">
        <w:rPr>
          <w:rFonts w:eastAsiaTheme="majorEastAsia"/>
        </w:rPr>
        <w:t xml:space="preserve"> </w:t>
      </w:r>
      <w:r w:rsidRPr="00087BCC">
        <w:t xml:space="preserve">In the normal-weight category, </w:t>
      </w:r>
      <w:r w:rsidR="00087BCC" w:rsidRPr="00087BCC">
        <w:t>the majority (</w:t>
      </w:r>
      <w:r w:rsidRPr="00087BCC">
        <w:t>8</w:t>
      </w:r>
      <w:r w:rsidR="007A5DB4" w:rsidRPr="00087BCC">
        <w:t>0.</w:t>
      </w:r>
      <w:r w:rsidRPr="00087BCC">
        <w:t>3</w:t>
      </w:r>
      <w:r w:rsidR="00087BCC" w:rsidRPr="00087BCC">
        <w:t xml:space="preserve">%) </w:t>
      </w:r>
      <w:r w:rsidRPr="00087BCC">
        <w:t xml:space="preserve">of </w:t>
      </w:r>
      <w:r w:rsidR="00087BCC" w:rsidRPr="00087BCC">
        <w:t xml:space="preserve">participants thought they were </w:t>
      </w:r>
      <w:r w:rsidRPr="00087BCC">
        <w:t xml:space="preserve">about the right weight, but </w:t>
      </w:r>
      <w:r w:rsidR="007A5DB4" w:rsidRPr="00087BCC">
        <w:t>9.</w:t>
      </w:r>
      <w:r w:rsidR="0082697E" w:rsidRPr="00087BCC">
        <w:t>9</w:t>
      </w:r>
      <w:r w:rsidRPr="00087BCC">
        <w:t xml:space="preserve">% thought they were too </w:t>
      </w:r>
      <w:r w:rsidR="0082697E" w:rsidRPr="00087BCC">
        <w:t>light</w:t>
      </w:r>
      <w:r w:rsidRPr="00087BCC">
        <w:t xml:space="preserve">, and </w:t>
      </w:r>
      <w:r w:rsidR="007A5DB4" w:rsidRPr="00087BCC">
        <w:t>9.</w:t>
      </w:r>
      <w:r w:rsidR="0082697E" w:rsidRPr="00087BCC">
        <w:t>7</w:t>
      </w:r>
      <w:r w:rsidRPr="00087BCC">
        <w:t xml:space="preserve">% thought they were too </w:t>
      </w:r>
      <w:r w:rsidR="0082697E" w:rsidRPr="00087BCC">
        <w:t>heavy</w:t>
      </w:r>
      <w:r w:rsidRPr="00087BCC">
        <w:t>.</w:t>
      </w:r>
      <w:r w:rsidR="002A1983" w:rsidRPr="00087BCC">
        <w:t xml:space="preserve"> </w:t>
      </w:r>
      <w:r w:rsidRPr="00087BCC">
        <w:t xml:space="preserve">Normal-weight </w:t>
      </w:r>
      <w:r w:rsidR="00565037" w:rsidRPr="00087BCC">
        <w:t>women</w:t>
      </w:r>
      <w:r w:rsidRPr="00087BCC">
        <w:t xml:space="preserve"> were significantly more likely than normal-weight </w:t>
      </w:r>
      <w:r w:rsidR="00565037" w:rsidRPr="00087BCC">
        <w:t>men</w:t>
      </w:r>
      <w:r w:rsidRPr="00087BCC">
        <w:t xml:space="preserve"> to consider themselves to be too heavy (1</w:t>
      </w:r>
      <w:r w:rsidR="00EB52DD" w:rsidRPr="00087BCC">
        <w:t>2.6% vs. 5.6</w:t>
      </w:r>
      <w:r w:rsidRPr="00087BCC">
        <w:t xml:space="preserve">%, </w:t>
      </w:r>
      <w:r w:rsidRPr="00FB3A30">
        <w:rPr>
          <w:i/>
        </w:rPr>
        <w:t>p</w:t>
      </w:r>
      <w:r w:rsidR="00EB52DD" w:rsidRPr="00087BCC">
        <w:t>&lt;</w:t>
      </w:r>
      <w:r w:rsidR="005002B0">
        <w:t>0</w:t>
      </w:r>
      <w:r w:rsidRPr="00087BCC">
        <w:t>.001) and less likely to consider themselves too light (</w:t>
      </w:r>
      <w:r w:rsidR="00EB52DD" w:rsidRPr="00087BCC">
        <w:t>7.3</w:t>
      </w:r>
      <w:r w:rsidRPr="00087BCC">
        <w:t>% vs. 13</w:t>
      </w:r>
      <w:r w:rsidR="00EB52DD" w:rsidRPr="00087BCC">
        <w:t>.7</w:t>
      </w:r>
      <w:r w:rsidRPr="00087BCC">
        <w:t xml:space="preserve">%, </w:t>
      </w:r>
      <w:r w:rsidR="00EB52DD" w:rsidRPr="00FB3A30">
        <w:rPr>
          <w:i/>
        </w:rPr>
        <w:t>p</w:t>
      </w:r>
      <w:r w:rsidRPr="00087BCC">
        <w:t>&lt;</w:t>
      </w:r>
      <w:r w:rsidR="005002B0">
        <w:t>0</w:t>
      </w:r>
      <w:r w:rsidRPr="00087BCC">
        <w:t>.001).</w:t>
      </w:r>
    </w:p>
    <w:p w14:paraId="7C2DE42A" w14:textId="25C29DD8" w:rsidR="00C67B9A" w:rsidRDefault="00C67B9A" w:rsidP="00C67B9A">
      <w:pPr>
        <w:rPr>
          <w:color w:val="FF0000"/>
        </w:rPr>
      </w:pPr>
      <w:r w:rsidRPr="00402615">
        <w:lastRenderedPageBreak/>
        <w:t xml:space="preserve">Multivariable models testing independent associations </w:t>
      </w:r>
      <w:r w:rsidR="00F127F2">
        <w:t>of</w:t>
      </w:r>
      <w:r w:rsidRPr="00402615">
        <w:t xml:space="preserve"> age, sex, ethnicity, SES, </w:t>
      </w:r>
      <w:r w:rsidR="00F127F2">
        <w:t xml:space="preserve">and </w:t>
      </w:r>
      <w:r>
        <w:t>BMI</w:t>
      </w:r>
      <w:r w:rsidRPr="00402615">
        <w:t xml:space="preserve"> </w:t>
      </w:r>
      <w:r w:rsidR="00F127F2">
        <w:t>with</w:t>
      </w:r>
      <w:r w:rsidRPr="00402615">
        <w:t xml:space="preserve"> </w:t>
      </w:r>
      <w:r>
        <w:t>perception</w:t>
      </w:r>
      <w:r w:rsidRPr="00402615">
        <w:t xml:space="preserve"> of body weight </w:t>
      </w:r>
      <w:r>
        <w:t xml:space="preserve">as too heavy </w:t>
      </w:r>
      <w:r w:rsidRPr="00402615">
        <w:t>in normal-weight men and women are presented in Table 2</w:t>
      </w:r>
      <w:r w:rsidR="00604F5C">
        <w:t xml:space="preserve"> (left panel)</w:t>
      </w:r>
      <w:r w:rsidRPr="00402615">
        <w:t xml:space="preserve">. </w:t>
      </w:r>
      <w:r>
        <w:t>T</w:t>
      </w:r>
      <w:r w:rsidRPr="00272389">
        <w:t xml:space="preserve">here was a significant independent association between BMI and perception of weight as too heavy in both </w:t>
      </w:r>
      <w:r>
        <w:t xml:space="preserve">sexes, with each unit increase in BMI associated with </w:t>
      </w:r>
      <w:r w:rsidR="00690F5A">
        <w:t>1.76 times higher odds (95% CI 1.18-2.61) of</w:t>
      </w:r>
      <w:r>
        <w:t xml:space="preserve"> perception of weight as too heavy in men and </w:t>
      </w:r>
      <w:r w:rsidR="00690F5A">
        <w:t>2.14 times higher odds (95% CI 1.69-2.72)</w:t>
      </w:r>
      <w:r>
        <w:t xml:space="preserve"> in women</w:t>
      </w:r>
      <w:r w:rsidRPr="00272389">
        <w:t xml:space="preserve">. </w:t>
      </w:r>
      <w:r>
        <w:rPr>
          <w:rFonts w:eastAsiaTheme="majorEastAsia"/>
        </w:rPr>
        <w:t xml:space="preserve">Some 6.7% of men and 16.8% of women in the upper normal-weight group felt too heavy, compared with just 1.1% of men and 2.5% of women in the lower normal-weight group. </w:t>
      </w:r>
      <w:r>
        <w:t>Older</w:t>
      </w:r>
      <w:r w:rsidRPr="00272389">
        <w:t xml:space="preserve"> age was significantly associated with </w:t>
      </w:r>
      <w:r>
        <w:t>reduced</w:t>
      </w:r>
      <w:r w:rsidRPr="00272389">
        <w:t xml:space="preserve"> odds of perception of weight as too heavy in women </w:t>
      </w:r>
      <w:r>
        <w:t xml:space="preserve">(OR=0.97, 95% CI 0.94-1.00) </w:t>
      </w:r>
      <w:r w:rsidRPr="00272389">
        <w:t>but not in men. There was no significant independent association between perception of weight as too heavy and ethnicity, SES, or self-rated health in either sex.</w:t>
      </w:r>
    </w:p>
    <w:p w14:paraId="0797278E" w14:textId="10A41BF2" w:rsidR="002C564D" w:rsidRDefault="00535C9D" w:rsidP="008E52E1">
      <w:pPr>
        <w:rPr>
          <w:rFonts w:eastAsiaTheme="majorEastAsia"/>
        </w:rPr>
      </w:pPr>
      <w:r w:rsidRPr="00994067">
        <w:rPr>
          <w:rFonts w:eastAsiaTheme="majorEastAsia"/>
        </w:rPr>
        <w:t xml:space="preserve">Factors independently associated with </w:t>
      </w:r>
      <w:r w:rsidR="00545482" w:rsidRPr="00994067">
        <w:rPr>
          <w:rFonts w:eastAsiaTheme="majorEastAsia"/>
        </w:rPr>
        <w:t>perception of body weight as too light</w:t>
      </w:r>
      <w:r w:rsidRPr="00994067">
        <w:rPr>
          <w:rFonts w:eastAsiaTheme="majorEastAsia"/>
        </w:rPr>
        <w:t xml:space="preserve"> </w:t>
      </w:r>
      <w:r w:rsidR="00545482" w:rsidRPr="00994067">
        <w:rPr>
          <w:rFonts w:eastAsiaTheme="majorEastAsia"/>
        </w:rPr>
        <w:t>in normal-weight men and women</w:t>
      </w:r>
      <w:r w:rsidRPr="00994067">
        <w:rPr>
          <w:rFonts w:eastAsiaTheme="majorEastAsia"/>
        </w:rPr>
        <w:t xml:space="preserve"> are shown in </w:t>
      </w:r>
      <w:r w:rsidRPr="00A205A5">
        <w:rPr>
          <w:rFonts w:eastAsiaTheme="majorEastAsia"/>
        </w:rPr>
        <w:t xml:space="preserve">Table </w:t>
      </w:r>
      <w:r w:rsidR="00604F5C">
        <w:rPr>
          <w:rFonts w:eastAsiaTheme="majorEastAsia"/>
        </w:rPr>
        <w:t>2 (right panel)</w:t>
      </w:r>
      <w:r w:rsidRPr="00A205A5">
        <w:rPr>
          <w:rFonts w:eastAsiaTheme="majorEastAsia"/>
        </w:rPr>
        <w:t xml:space="preserve">. </w:t>
      </w:r>
      <w:r w:rsidR="009D65C7" w:rsidRPr="00A205A5">
        <w:rPr>
          <w:rFonts w:eastAsiaTheme="majorEastAsia"/>
        </w:rPr>
        <w:t xml:space="preserve">There were strong independent associations with </w:t>
      </w:r>
      <w:r w:rsidR="00272389" w:rsidRPr="00A205A5">
        <w:rPr>
          <w:rFonts w:eastAsiaTheme="majorEastAsia"/>
        </w:rPr>
        <w:t xml:space="preserve">BMI and </w:t>
      </w:r>
      <w:r w:rsidR="009D65C7" w:rsidRPr="00A205A5">
        <w:rPr>
          <w:rFonts w:eastAsiaTheme="majorEastAsia"/>
        </w:rPr>
        <w:t xml:space="preserve">self-rated health. In both sexes, </w:t>
      </w:r>
      <w:r w:rsidR="00924B22" w:rsidRPr="00A205A5">
        <w:rPr>
          <w:rFonts w:eastAsiaTheme="majorEastAsia"/>
        </w:rPr>
        <w:t xml:space="preserve">odds of feeling too light were </w:t>
      </w:r>
      <w:r w:rsidR="00272389" w:rsidRPr="00A205A5">
        <w:rPr>
          <w:rFonts w:eastAsiaTheme="majorEastAsia"/>
        </w:rPr>
        <w:t xml:space="preserve">significantly </w:t>
      </w:r>
      <w:r w:rsidR="00456858">
        <w:rPr>
          <w:rFonts w:eastAsiaTheme="majorEastAsia"/>
        </w:rPr>
        <w:t>lower</w:t>
      </w:r>
      <w:r w:rsidR="00272389" w:rsidRPr="00A205A5">
        <w:rPr>
          <w:rFonts w:eastAsiaTheme="majorEastAsia"/>
        </w:rPr>
        <w:t xml:space="preserve"> among those with a higher BMI</w:t>
      </w:r>
      <w:r w:rsidR="001449F1">
        <w:rPr>
          <w:rFonts w:eastAsiaTheme="majorEastAsia"/>
        </w:rPr>
        <w:t>, with each unit increase in BMI associated with a 47% reduction in odds in men</w:t>
      </w:r>
      <w:r w:rsidR="00272389" w:rsidRPr="00A205A5">
        <w:rPr>
          <w:rFonts w:eastAsiaTheme="majorEastAsia"/>
        </w:rPr>
        <w:t xml:space="preserve"> (OR=0.53, 95% CI 0.43-0.64</w:t>
      </w:r>
      <w:r w:rsidR="001449F1">
        <w:rPr>
          <w:rFonts w:eastAsiaTheme="majorEastAsia"/>
        </w:rPr>
        <w:t>) and a 53% reduction in odds in women (</w:t>
      </w:r>
      <w:r w:rsidR="00272389" w:rsidRPr="00A205A5">
        <w:rPr>
          <w:rFonts w:eastAsiaTheme="majorEastAsia"/>
        </w:rPr>
        <w:t>OR=0.4</w:t>
      </w:r>
      <w:r w:rsidR="0009594B">
        <w:rPr>
          <w:rFonts w:eastAsiaTheme="majorEastAsia"/>
        </w:rPr>
        <w:t>7</w:t>
      </w:r>
      <w:r w:rsidR="00272389" w:rsidRPr="00A205A5">
        <w:rPr>
          <w:rFonts w:eastAsiaTheme="majorEastAsia"/>
        </w:rPr>
        <w:t>, 95% CI 0.</w:t>
      </w:r>
      <w:r w:rsidR="0009594B">
        <w:rPr>
          <w:rFonts w:eastAsiaTheme="majorEastAsia"/>
        </w:rPr>
        <w:t>38</w:t>
      </w:r>
      <w:r w:rsidR="00272389" w:rsidRPr="00A205A5">
        <w:rPr>
          <w:rFonts w:eastAsiaTheme="majorEastAsia"/>
        </w:rPr>
        <w:t>-0.</w:t>
      </w:r>
      <w:r w:rsidR="0009594B">
        <w:rPr>
          <w:rFonts w:eastAsiaTheme="majorEastAsia"/>
        </w:rPr>
        <w:t>58</w:t>
      </w:r>
      <w:r w:rsidR="00A205A5" w:rsidRPr="00A205A5">
        <w:rPr>
          <w:rFonts w:eastAsiaTheme="majorEastAsia"/>
        </w:rPr>
        <w:t>)</w:t>
      </w:r>
      <w:r w:rsidR="00DC7853">
        <w:rPr>
          <w:rFonts w:eastAsiaTheme="majorEastAsia"/>
        </w:rPr>
        <w:t xml:space="preserve">. </w:t>
      </w:r>
      <w:r w:rsidR="00456858">
        <w:rPr>
          <w:rFonts w:eastAsiaTheme="majorEastAsia"/>
        </w:rPr>
        <w:t>Just 6.5% of men and 2.6% of women in the upper normal-weight group felt too light, compared with 43.3% of men and 17.8% of women in the lower normal-weight group.</w:t>
      </w:r>
      <w:r w:rsidR="00A205A5" w:rsidRPr="00A205A5">
        <w:rPr>
          <w:rFonts w:eastAsiaTheme="majorEastAsia"/>
        </w:rPr>
        <w:t xml:space="preserve"> </w:t>
      </w:r>
      <w:r w:rsidR="00DC7853">
        <w:rPr>
          <w:rFonts w:eastAsiaTheme="majorEastAsia"/>
        </w:rPr>
        <w:t>Odds of perception of weight as too light were</w:t>
      </w:r>
      <w:r w:rsidR="00272389" w:rsidRPr="00A205A5">
        <w:rPr>
          <w:rFonts w:eastAsiaTheme="majorEastAsia"/>
        </w:rPr>
        <w:t xml:space="preserve"> </w:t>
      </w:r>
      <w:r w:rsidR="00924B22" w:rsidRPr="00A205A5">
        <w:rPr>
          <w:rFonts w:eastAsiaTheme="majorEastAsia"/>
        </w:rPr>
        <w:t xml:space="preserve">significantly increased among participants with </w:t>
      </w:r>
      <w:r w:rsidR="009D65C7" w:rsidRPr="00A205A5">
        <w:rPr>
          <w:rFonts w:eastAsiaTheme="majorEastAsia"/>
        </w:rPr>
        <w:t>fair/poor self-rated health (men: OR=3.</w:t>
      </w:r>
      <w:r w:rsidR="00A205A5" w:rsidRPr="00A205A5">
        <w:rPr>
          <w:rFonts w:eastAsiaTheme="majorEastAsia"/>
        </w:rPr>
        <w:t>7</w:t>
      </w:r>
      <w:r w:rsidR="0009594B">
        <w:rPr>
          <w:rFonts w:eastAsiaTheme="majorEastAsia"/>
        </w:rPr>
        <w:t>0</w:t>
      </w:r>
      <w:r w:rsidR="009D65C7" w:rsidRPr="00A205A5">
        <w:rPr>
          <w:rFonts w:eastAsiaTheme="majorEastAsia"/>
        </w:rPr>
        <w:t xml:space="preserve">, 95% CI </w:t>
      </w:r>
      <w:r w:rsidR="0009594B">
        <w:rPr>
          <w:rFonts w:eastAsiaTheme="majorEastAsia"/>
        </w:rPr>
        <w:t>1.88-7.28</w:t>
      </w:r>
      <w:r w:rsidR="009D65C7" w:rsidRPr="00A205A5">
        <w:rPr>
          <w:rFonts w:eastAsiaTheme="majorEastAsia"/>
        </w:rPr>
        <w:t>; women: OR=</w:t>
      </w:r>
      <w:r w:rsidR="0009594B">
        <w:rPr>
          <w:rFonts w:eastAsiaTheme="majorEastAsia"/>
        </w:rPr>
        <w:t>2.61</w:t>
      </w:r>
      <w:r w:rsidR="009D65C7" w:rsidRPr="00A205A5">
        <w:rPr>
          <w:rFonts w:eastAsiaTheme="majorEastAsia"/>
        </w:rPr>
        <w:t xml:space="preserve">, 95% CI </w:t>
      </w:r>
      <w:r w:rsidR="0009594B">
        <w:rPr>
          <w:rFonts w:eastAsiaTheme="majorEastAsia"/>
        </w:rPr>
        <w:t>1.27-5.35</w:t>
      </w:r>
      <w:r w:rsidR="00924B22" w:rsidRPr="00A205A5">
        <w:rPr>
          <w:rFonts w:eastAsiaTheme="majorEastAsia"/>
        </w:rPr>
        <w:t>)</w:t>
      </w:r>
      <w:r w:rsidR="00272389" w:rsidRPr="00A205A5">
        <w:rPr>
          <w:rFonts w:eastAsiaTheme="majorEastAsia"/>
        </w:rPr>
        <w:t>.</w:t>
      </w:r>
      <w:r w:rsidR="00576475" w:rsidRPr="00A205A5">
        <w:rPr>
          <w:rFonts w:eastAsiaTheme="majorEastAsia"/>
        </w:rPr>
        <w:t xml:space="preserve"> </w:t>
      </w:r>
      <w:r w:rsidR="00A77BBC">
        <w:rPr>
          <w:rFonts w:eastAsiaTheme="majorEastAsia"/>
        </w:rPr>
        <w:t xml:space="preserve">The presence of one or more </w:t>
      </w:r>
      <w:r w:rsidR="003336B2">
        <w:rPr>
          <w:rFonts w:eastAsiaTheme="majorEastAsia"/>
        </w:rPr>
        <w:t>chronic</w:t>
      </w:r>
      <w:r w:rsidR="00A77BBC">
        <w:rPr>
          <w:rFonts w:eastAsiaTheme="majorEastAsia"/>
        </w:rPr>
        <w:t xml:space="preserve"> health conditions </w:t>
      </w:r>
      <w:r w:rsidR="00451A70">
        <w:rPr>
          <w:rFonts w:eastAsiaTheme="majorEastAsia"/>
        </w:rPr>
        <w:t xml:space="preserve">was </w:t>
      </w:r>
      <w:r w:rsidR="00A77BBC">
        <w:rPr>
          <w:rFonts w:eastAsiaTheme="majorEastAsia"/>
        </w:rPr>
        <w:t xml:space="preserve">also </w:t>
      </w:r>
      <w:r w:rsidR="00FB73DB">
        <w:rPr>
          <w:rFonts w:eastAsiaTheme="majorEastAsia"/>
        </w:rPr>
        <w:t xml:space="preserve">independently </w:t>
      </w:r>
      <w:r w:rsidR="00A77BBC">
        <w:rPr>
          <w:rFonts w:eastAsiaTheme="majorEastAsia"/>
        </w:rPr>
        <w:t xml:space="preserve">associated with increased odds of perception of weight as too light </w:t>
      </w:r>
      <w:r w:rsidR="00451A70">
        <w:rPr>
          <w:rFonts w:eastAsiaTheme="majorEastAsia"/>
        </w:rPr>
        <w:t>in women (OR=2.21, 95% CI 1.03-4.77) but not in men.</w:t>
      </w:r>
      <w:r w:rsidR="00C71951">
        <w:rPr>
          <w:rFonts w:eastAsiaTheme="majorEastAsia"/>
        </w:rPr>
        <w:t xml:space="preserve"> </w:t>
      </w:r>
      <w:r w:rsidR="00596736" w:rsidRPr="00A205A5">
        <w:rPr>
          <w:rFonts w:eastAsiaTheme="majorEastAsia"/>
        </w:rPr>
        <w:t xml:space="preserve">Older age was associated with increased odds of </w:t>
      </w:r>
      <w:r w:rsidR="00DB0C4B" w:rsidRPr="00A205A5">
        <w:rPr>
          <w:rFonts w:eastAsiaTheme="majorEastAsia"/>
        </w:rPr>
        <w:t>perception of weight as too light</w:t>
      </w:r>
      <w:r w:rsidR="00596736" w:rsidRPr="00A205A5">
        <w:rPr>
          <w:rFonts w:eastAsiaTheme="majorEastAsia"/>
        </w:rPr>
        <w:t xml:space="preserve"> </w:t>
      </w:r>
      <w:r w:rsidR="00943678" w:rsidRPr="00A205A5">
        <w:rPr>
          <w:rFonts w:eastAsiaTheme="majorEastAsia"/>
        </w:rPr>
        <w:t>in</w:t>
      </w:r>
      <w:r w:rsidR="00596736" w:rsidRPr="00A205A5">
        <w:rPr>
          <w:rFonts w:eastAsiaTheme="majorEastAsia"/>
        </w:rPr>
        <w:t xml:space="preserve"> normal-weight women (OR=1.0</w:t>
      </w:r>
      <w:r w:rsidR="0009594B">
        <w:rPr>
          <w:rFonts w:eastAsiaTheme="majorEastAsia"/>
        </w:rPr>
        <w:t>4</w:t>
      </w:r>
      <w:r w:rsidR="00596736" w:rsidRPr="00A205A5">
        <w:rPr>
          <w:rFonts w:eastAsiaTheme="majorEastAsia"/>
        </w:rPr>
        <w:t>, 95% CI 1.01-1.</w:t>
      </w:r>
      <w:r w:rsidR="0009594B">
        <w:rPr>
          <w:rFonts w:eastAsiaTheme="majorEastAsia"/>
        </w:rPr>
        <w:t>09</w:t>
      </w:r>
      <w:r w:rsidR="00596736" w:rsidRPr="00A205A5">
        <w:rPr>
          <w:rFonts w:eastAsiaTheme="majorEastAsia"/>
        </w:rPr>
        <w:t xml:space="preserve">) but not </w:t>
      </w:r>
      <w:r w:rsidR="000E2ED9" w:rsidRPr="00A205A5">
        <w:rPr>
          <w:rFonts w:eastAsiaTheme="majorEastAsia"/>
        </w:rPr>
        <w:t xml:space="preserve">in </w:t>
      </w:r>
      <w:r w:rsidR="00596736" w:rsidRPr="00A205A5">
        <w:rPr>
          <w:rFonts w:eastAsiaTheme="majorEastAsia"/>
        </w:rPr>
        <w:t>men.</w:t>
      </w:r>
      <w:r w:rsidR="00763BFF" w:rsidRPr="00A205A5">
        <w:rPr>
          <w:rFonts w:eastAsiaTheme="majorEastAsia"/>
        </w:rPr>
        <w:t xml:space="preserve"> Non-white ethnicity was associated with increased odds of </w:t>
      </w:r>
      <w:r w:rsidR="00DB0C4B" w:rsidRPr="00A205A5">
        <w:rPr>
          <w:rFonts w:eastAsiaTheme="majorEastAsia"/>
        </w:rPr>
        <w:t>perception of weight as too light</w:t>
      </w:r>
      <w:r w:rsidR="00AF6A8F" w:rsidRPr="00A205A5">
        <w:rPr>
          <w:rFonts w:eastAsiaTheme="majorEastAsia"/>
        </w:rPr>
        <w:t xml:space="preserve"> </w:t>
      </w:r>
      <w:r w:rsidR="00943678" w:rsidRPr="00A205A5">
        <w:rPr>
          <w:rFonts w:eastAsiaTheme="majorEastAsia"/>
        </w:rPr>
        <w:t>in</w:t>
      </w:r>
      <w:r w:rsidR="00AF6A8F" w:rsidRPr="00A205A5">
        <w:rPr>
          <w:rFonts w:eastAsiaTheme="majorEastAsia"/>
        </w:rPr>
        <w:t xml:space="preserve"> </w:t>
      </w:r>
      <w:r w:rsidR="00943678" w:rsidRPr="00A205A5">
        <w:rPr>
          <w:rFonts w:eastAsiaTheme="majorEastAsia"/>
        </w:rPr>
        <w:t xml:space="preserve">normal-weight </w:t>
      </w:r>
      <w:r w:rsidR="00AF6A8F" w:rsidRPr="00A205A5">
        <w:rPr>
          <w:rFonts w:eastAsiaTheme="majorEastAsia"/>
        </w:rPr>
        <w:t>men (OR=</w:t>
      </w:r>
      <w:r w:rsidR="00A205A5" w:rsidRPr="00A205A5">
        <w:rPr>
          <w:rFonts w:eastAsiaTheme="majorEastAsia"/>
        </w:rPr>
        <w:t>6.2</w:t>
      </w:r>
      <w:r w:rsidR="0009594B">
        <w:rPr>
          <w:rFonts w:eastAsiaTheme="majorEastAsia"/>
        </w:rPr>
        <w:t>6</w:t>
      </w:r>
      <w:r w:rsidR="00AF6A8F" w:rsidRPr="00A205A5">
        <w:rPr>
          <w:rFonts w:eastAsiaTheme="majorEastAsia"/>
        </w:rPr>
        <w:t xml:space="preserve">, 95% CI </w:t>
      </w:r>
      <w:r w:rsidR="00A205A5" w:rsidRPr="00A205A5">
        <w:rPr>
          <w:rFonts w:eastAsiaTheme="majorEastAsia"/>
        </w:rPr>
        <w:t>2.</w:t>
      </w:r>
      <w:r w:rsidR="0009594B">
        <w:rPr>
          <w:rFonts w:eastAsiaTheme="majorEastAsia"/>
        </w:rPr>
        <w:t>09</w:t>
      </w:r>
      <w:r w:rsidR="00AF6A8F" w:rsidRPr="00A205A5">
        <w:rPr>
          <w:rFonts w:eastAsiaTheme="majorEastAsia"/>
        </w:rPr>
        <w:t>-</w:t>
      </w:r>
      <w:r w:rsidR="00A205A5" w:rsidRPr="00A205A5">
        <w:rPr>
          <w:rFonts w:eastAsiaTheme="majorEastAsia"/>
        </w:rPr>
        <w:t>18.7</w:t>
      </w:r>
      <w:r w:rsidR="0009594B">
        <w:rPr>
          <w:rFonts w:eastAsiaTheme="majorEastAsia"/>
        </w:rPr>
        <w:t>6</w:t>
      </w:r>
      <w:r w:rsidR="00AF6A8F" w:rsidRPr="00A205A5">
        <w:rPr>
          <w:rFonts w:eastAsiaTheme="majorEastAsia"/>
        </w:rPr>
        <w:t xml:space="preserve">) but not </w:t>
      </w:r>
      <w:r w:rsidR="000E2ED9" w:rsidRPr="00A205A5">
        <w:rPr>
          <w:rFonts w:eastAsiaTheme="majorEastAsia"/>
        </w:rPr>
        <w:t xml:space="preserve">in </w:t>
      </w:r>
      <w:r w:rsidR="00AF6A8F" w:rsidRPr="00A205A5">
        <w:rPr>
          <w:rFonts w:eastAsiaTheme="majorEastAsia"/>
        </w:rPr>
        <w:t>women.</w:t>
      </w:r>
      <w:r w:rsidR="00DF271D" w:rsidRPr="00A205A5">
        <w:rPr>
          <w:rFonts w:eastAsiaTheme="majorEastAsia"/>
        </w:rPr>
        <w:t xml:space="preserve"> There was no significant independent</w:t>
      </w:r>
      <w:r w:rsidR="00061853" w:rsidRPr="00A205A5">
        <w:rPr>
          <w:rFonts w:eastAsiaTheme="majorEastAsia"/>
        </w:rPr>
        <w:t xml:space="preserve"> association with SES in either sex.</w:t>
      </w:r>
    </w:p>
    <w:p w14:paraId="4CD535A5" w14:textId="718E1DCA" w:rsidR="00D32AE9" w:rsidRPr="002E6368" w:rsidRDefault="00D32AE9" w:rsidP="008E52E1">
      <w:pPr>
        <w:pStyle w:val="Heading3"/>
        <w:spacing w:line="360" w:lineRule="auto"/>
      </w:pPr>
      <w:r w:rsidRPr="002E6368">
        <w:t>Wei</w:t>
      </w:r>
      <w:r w:rsidR="00416D53">
        <w:t xml:space="preserve">ght perception among </w:t>
      </w:r>
      <w:r w:rsidR="00A93566" w:rsidRPr="002E6368">
        <w:t>older adults</w:t>
      </w:r>
      <w:r w:rsidR="001A6E52">
        <w:t xml:space="preserve"> with overweight or obesity</w:t>
      </w:r>
    </w:p>
    <w:p w14:paraId="2A77EA96" w14:textId="77777777" w:rsidR="00D32AE9" w:rsidRPr="00DD4D0D" w:rsidRDefault="00053535" w:rsidP="0026175F">
      <w:pPr>
        <w:rPr>
          <w:i/>
        </w:rPr>
      </w:pPr>
      <w:r w:rsidRPr="00360F85">
        <w:t>Among p</w:t>
      </w:r>
      <w:r w:rsidR="00B13536" w:rsidRPr="00360F85">
        <w:t>articipants</w:t>
      </w:r>
      <w:r w:rsidR="00D32AE9" w:rsidRPr="00360F85">
        <w:t xml:space="preserve"> </w:t>
      </w:r>
      <w:r w:rsidR="00CD1C93" w:rsidRPr="00360F85">
        <w:t>with a</w:t>
      </w:r>
      <w:r w:rsidR="0026175F">
        <w:t xml:space="preserve"> BMI in the overweight range, 54.3% thought they were too heavy, but 44.8% thought they were about the right weight and 0.9% thought they were too light. Among participants with an obese BMI, 89.4% thought they were too heavy, 10.3% thought they were about the right weight and 0.4% </w:t>
      </w:r>
      <w:r w:rsidR="0026175F" w:rsidRPr="00DD4D0D">
        <w:t>thought they were too light.</w:t>
      </w:r>
      <w:r w:rsidR="002A1983" w:rsidRPr="00DD4D0D">
        <w:t xml:space="preserve"> </w:t>
      </w:r>
      <w:r w:rsidR="00FC4925" w:rsidRPr="00DD4D0D">
        <w:t xml:space="preserve">Women with overweight were more likely than men with overweight to recognise that they were too heavy (63.4% vs. 46.7%, </w:t>
      </w:r>
      <w:r w:rsidR="00FC4925" w:rsidRPr="00DD4D0D">
        <w:rPr>
          <w:i/>
        </w:rPr>
        <w:t>p</w:t>
      </w:r>
      <w:r w:rsidR="00FC4925" w:rsidRPr="00DD4D0D">
        <w:t xml:space="preserve">&lt;0.001) and less likely to perceive themselves to be about the right weight (35.7% vs. 52.5%, </w:t>
      </w:r>
      <w:r w:rsidR="00FC4925" w:rsidRPr="00DD4D0D">
        <w:rPr>
          <w:i/>
        </w:rPr>
        <w:t>p</w:t>
      </w:r>
      <w:r w:rsidR="00FC4925" w:rsidRPr="00DD4D0D">
        <w:t xml:space="preserve">&lt;.001). Likewise, women with obesity were more likely than men </w:t>
      </w:r>
      <w:r w:rsidR="00FC4925" w:rsidRPr="00DD4D0D">
        <w:lastRenderedPageBreak/>
        <w:t xml:space="preserve">with obesity to perceive their weight as too heavy (91.3% vs. 87.0%, </w:t>
      </w:r>
      <w:r w:rsidR="00FC4925" w:rsidRPr="00DD4D0D">
        <w:rPr>
          <w:i/>
        </w:rPr>
        <w:t>p</w:t>
      </w:r>
      <w:r w:rsidR="00FC4925" w:rsidRPr="00DD4D0D">
        <w:t xml:space="preserve">=0.012) and less likely to perceive their weight as about right (8.5% vs. 12.4%, </w:t>
      </w:r>
      <w:r w:rsidR="00FC4925" w:rsidRPr="00DD4D0D">
        <w:rPr>
          <w:i/>
        </w:rPr>
        <w:t>p</w:t>
      </w:r>
      <w:r w:rsidR="00D64719" w:rsidRPr="00DD4D0D">
        <w:t>=0.020)</w:t>
      </w:r>
      <w:r w:rsidR="000A573F" w:rsidRPr="00DD4D0D">
        <w:t xml:space="preserve"> </w:t>
      </w:r>
      <w:r w:rsidR="00FC4925" w:rsidRPr="00DD4D0D">
        <w:t>(Figure 1).</w:t>
      </w:r>
    </w:p>
    <w:p w14:paraId="556F48B1" w14:textId="59AD5273" w:rsidR="00864868" w:rsidRDefault="009C5B30" w:rsidP="00864868">
      <w:r>
        <w:t>F</w:t>
      </w:r>
      <w:r w:rsidR="00DF62FD" w:rsidRPr="008A68EC">
        <w:t xml:space="preserve">actors independently associated with </w:t>
      </w:r>
      <w:r w:rsidR="0023073F">
        <w:t>perception</w:t>
      </w:r>
      <w:r w:rsidR="00D32AE9" w:rsidRPr="008A68EC">
        <w:t xml:space="preserve"> of body </w:t>
      </w:r>
      <w:r w:rsidR="00DF62FD" w:rsidRPr="008A68EC">
        <w:t>weight</w:t>
      </w:r>
      <w:r w:rsidR="0023073F">
        <w:t xml:space="preserve"> as about right </w:t>
      </w:r>
      <w:r w:rsidR="008B2487" w:rsidRPr="008A68EC">
        <w:t xml:space="preserve">in </w:t>
      </w:r>
      <w:r w:rsidR="00A45E48">
        <w:t>men and women</w:t>
      </w:r>
      <w:r w:rsidR="00D32AE9" w:rsidRPr="008A68EC">
        <w:t xml:space="preserve"> </w:t>
      </w:r>
      <w:r w:rsidR="00686868">
        <w:t xml:space="preserve">with overweight </w:t>
      </w:r>
      <w:r w:rsidR="00D32AE9" w:rsidRPr="008A68EC">
        <w:t xml:space="preserve">are </w:t>
      </w:r>
      <w:r>
        <w:t>summarised</w:t>
      </w:r>
      <w:r w:rsidR="00A45E48">
        <w:t xml:space="preserve"> in Table</w:t>
      </w:r>
      <w:r w:rsidR="00D32AE9" w:rsidRPr="008A68EC">
        <w:t xml:space="preserve"> </w:t>
      </w:r>
      <w:r w:rsidR="00604F5C">
        <w:t>3</w:t>
      </w:r>
      <w:r w:rsidR="00D32AE9" w:rsidRPr="00BE0863">
        <w:t>.</w:t>
      </w:r>
      <w:r w:rsidR="002A1983" w:rsidRPr="00BE0863">
        <w:t xml:space="preserve"> </w:t>
      </w:r>
      <w:r w:rsidR="007355D6" w:rsidRPr="00BE0863">
        <w:t xml:space="preserve">Among overweight men and women, there </w:t>
      </w:r>
      <w:r w:rsidR="00D32AE9" w:rsidRPr="00BE0863">
        <w:t xml:space="preserve">was a strong </w:t>
      </w:r>
      <w:r w:rsidRPr="00BE0863">
        <w:t xml:space="preserve">independent </w:t>
      </w:r>
      <w:r w:rsidR="00D32AE9" w:rsidRPr="00BE0863">
        <w:t xml:space="preserve">association </w:t>
      </w:r>
      <w:r w:rsidR="00274CB4" w:rsidRPr="00BE0863">
        <w:t>with</w:t>
      </w:r>
      <w:r w:rsidR="00D32AE9" w:rsidRPr="00BE0863">
        <w:t xml:space="preserve"> </w:t>
      </w:r>
      <w:r w:rsidR="007355D6" w:rsidRPr="00BE0863">
        <w:t>BMI</w:t>
      </w:r>
      <w:r w:rsidR="008B2487" w:rsidRPr="00BE0863">
        <w:t xml:space="preserve">: </w:t>
      </w:r>
      <w:r w:rsidR="009D6E21" w:rsidRPr="00BE0863">
        <w:t xml:space="preserve">each unit increase in BMI was associated with 48% lower </w:t>
      </w:r>
      <w:r w:rsidR="007355D6" w:rsidRPr="00BE0863">
        <w:t xml:space="preserve">odds of </w:t>
      </w:r>
      <w:r w:rsidR="0023073F" w:rsidRPr="00BE0863">
        <w:t>perception of weight as about right</w:t>
      </w:r>
      <w:r w:rsidR="007355D6" w:rsidRPr="00BE0863">
        <w:t xml:space="preserve"> </w:t>
      </w:r>
      <w:r w:rsidR="009D6E21" w:rsidRPr="00BE0863">
        <w:t>in men</w:t>
      </w:r>
      <w:r w:rsidR="009E16AF" w:rsidRPr="00BE0863">
        <w:t xml:space="preserve"> (OR=0.52, 95% CI 0.47-0.59)</w:t>
      </w:r>
      <w:r w:rsidR="007355D6" w:rsidRPr="00BE0863">
        <w:t xml:space="preserve"> and 45%</w:t>
      </w:r>
      <w:r w:rsidR="009D6E21" w:rsidRPr="00BE0863">
        <w:t xml:space="preserve"> lower odds</w:t>
      </w:r>
      <w:r w:rsidR="007355D6" w:rsidRPr="00BE0863">
        <w:t xml:space="preserve"> in women</w:t>
      </w:r>
      <w:r w:rsidR="00BC324A" w:rsidRPr="00BE0863">
        <w:t xml:space="preserve"> (</w:t>
      </w:r>
      <w:r w:rsidR="009E16AF" w:rsidRPr="00BE0863">
        <w:t>OR=0.55, 95% CI 0.4</w:t>
      </w:r>
      <w:r w:rsidR="00547754">
        <w:t>8</w:t>
      </w:r>
      <w:r w:rsidR="009E16AF" w:rsidRPr="00BE0863">
        <w:t>-0.63</w:t>
      </w:r>
      <w:r w:rsidR="00BC324A" w:rsidRPr="00BE0863">
        <w:t>)</w:t>
      </w:r>
      <w:r w:rsidR="007355D6" w:rsidRPr="00BE0863">
        <w:t>.</w:t>
      </w:r>
      <w:r w:rsidR="00F31D4C" w:rsidRPr="00BE0863">
        <w:t xml:space="preserve"> Older age was also independently associated with increased odds of </w:t>
      </w:r>
      <w:r w:rsidR="00B67D3F" w:rsidRPr="00BE0863">
        <w:t xml:space="preserve">perception of weight as about right </w:t>
      </w:r>
      <w:r w:rsidR="00BE0863" w:rsidRPr="0030004B">
        <w:t>in both sexes</w:t>
      </w:r>
      <w:r w:rsidR="00F31D4C" w:rsidRPr="0030004B">
        <w:t xml:space="preserve"> (</w:t>
      </w:r>
      <w:r w:rsidR="00BE0863" w:rsidRPr="0030004B">
        <w:t xml:space="preserve">men: </w:t>
      </w:r>
      <w:r w:rsidR="00F31D4C" w:rsidRPr="0030004B">
        <w:t>OR=1.0</w:t>
      </w:r>
      <w:r w:rsidR="004C751A" w:rsidRPr="0030004B">
        <w:t>4</w:t>
      </w:r>
      <w:r w:rsidR="00F31D4C" w:rsidRPr="0030004B">
        <w:t>, 95% CI 1.02-1.0</w:t>
      </w:r>
      <w:r w:rsidR="00547754">
        <w:t>6</w:t>
      </w:r>
      <w:r w:rsidR="00BE0863" w:rsidRPr="0030004B">
        <w:t xml:space="preserve">; </w:t>
      </w:r>
      <w:r w:rsidR="00F31D4C" w:rsidRPr="0030004B">
        <w:t>women</w:t>
      </w:r>
      <w:r w:rsidR="00BE0863" w:rsidRPr="0030004B">
        <w:t xml:space="preserve">: </w:t>
      </w:r>
      <w:r w:rsidR="00F31D4C" w:rsidRPr="0030004B">
        <w:t>OR=1.0</w:t>
      </w:r>
      <w:r w:rsidR="00BE0863" w:rsidRPr="0030004B">
        <w:t>6</w:t>
      </w:r>
      <w:r w:rsidR="00F31D4C" w:rsidRPr="0030004B">
        <w:t>, 95% CI 1.0</w:t>
      </w:r>
      <w:r w:rsidR="00BE0863" w:rsidRPr="0030004B">
        <w:t>4</w:t>
      </w:r>
      <w:r w:rsidR="00F31D4C" w:rsidRPr="0030004B">
        <w:t>-1.0</w:t>
      </w:r>
      <w:r w:rsidR="00BE0863" w:rsidRPr="0030004B">
        <w:t>9</w:t>
      </w:r>
      <w:r w:rsidR="00F31D4C" w:rsidRPr="0030004B">
        <w:t>).</w:t>
      </w:r>
      <w:r w:rsidR="00A22A31" w:rsidRPr="0030004B">
        <w:t xml:space="preserve"> Non-white ethnicity was associated with increased odds of </w:t>
      </w:r>
      <w:r w:rsidR="00B67D3F" w:rsidRPr="0030004B">
        <w:t xml:space="preserve">perception of weight as about right </w:t>
      </w:r>
      <w:r w:rsidR="00A22A31" w:rsidRPr="0030004B">
        <w:t>in women (OR=3.</w:t>
      </w:r>
      <w:r w:rsidR="00547754">
        <w:t>79</w:t>
      </w:r>
      <w:r w:rsidR="00A22A31" w:rsidRPr="0030004B">
        <w:t>, 95% CI 1.</w:t>
      </w:r>
      <w:r w:rsidR="00BE0863" w:rsidRPr="0030004B">
        <w:t>4</w:t>
      </w:r>
      <w:r w:rsidR="00547754">
        <w:t>4</w:t>
      </w:r>
      <w:r w:rsidR="00A22A31" w:rsidRPr="0030004B">
        <w:t>-</w:t>
      </w:r>
      <w:r w:rsidR="00BE0863" w:rsidRPr="0030004B">
        <w:t>9.9</w:t>
      </w:r>
      <w:r w:rsidR="00547754">
        <w:t>4</w:t>
      </w:r>
      <w:r w:rsidR="00A22A31" w:rsidRPr="0030004B">
        <w:t>)</w:t>
      </w:r>
      <w:r w:rsidR="006676FD" w:rsidRPr="0030004B">
        <w:t xml:space="preserve"> but not in men.</w:t>
      </w:r>
      <w:r w:rsidR="002D7D0C" w:rsidRPr="0030004B">
        <w:t xml:space="preserve"> An association </w:t>
      </w:r>
      <w:r w:rsidR="008B2FA0" w:rsidRPr="0030004B">
        <w:t>with</w:t>
      </w:r>
      <w:r w:rsidR="002D7D0C" w:rsidRPr="0030004B">
        <w:t xml:space="preserve"> SES was also observed in women, with women </w:t>
      </w:r>
      <w:r w:rsidR="00547754">
        <w:t xml:space="preserve">with overweight </w:t>
      </w:r>
      <w:r w:rsidR="002D7D0C" w:rsidRPr="0030004B">
        <w:t>in the</w:t>
      </w:r>
      <w:r w:rsidR="00BE0863" w:rsidRPr="0030004B">
        <w:t xml:space="preserve"> intermediate and</w:t>
      </w:r>
      <w:r w:rsidR="002D7D0C" w:rsidRPr="0030004B">
        <w:t xml:space="preserve"> lower SES group</w:t>
      </w:r>
      <w:r w:rsidR="00BE0863" w:rsidRPr="0030004B">
        <w:t>s</w:t>
      </w:r>
      <w:r w:rsidR="002D7D0C" w:rsidRPr="0030004B">
        <w:t xml:space="preserve"> </w:t>
      </w:r>
      <w:r w:rsidR="003747BB" w:rsidRPr="0030004B">
        <w:t xml:space="preserve">significantly more likely to </w:t>
      </w:r>
      <w:r w:rsidR="008B2FA0" w:rsidRPr="0030004B">
        <w:t>perceive their weight to be about right</w:t>
      </w:r>
      <w:r w:rsidR="003747BB" w:rsidRPr="0030004B">
        <w:t xml:space="preserve"> than those from the higher SES group (</w:t>
      </w:r>
      <w:r w:rsidR="00BE0863" w:rsidRPr="0030004B">
        <w:t xml:space="preserve">intermediate: </w:t>
      </w:r>
      <w:r w:rsidR="003747BB" w:rsidRPr="0030004B">
        <w:t>OR=1.</w:t>
      </w:r>
      <w:r w:rsidR="00BE0863" w:rsidRPr="0030004B">
        <w:t>7</w:t>
      </w:r>
      <w:r w:rsidR="00A200BA">
        <w:t>8</w:t>
      </w:r>
      <w:r w:rsidR="003747BB" w:rsidRPr="0030004B">
        <w:t>, 95% CI 1.</w:t>
      </w:r>
      <w:r w:rsidR="00BE0863" w:rsidRPr="0030004B">
        <w:t>1</w:t>
      </w:r>
      <w:r w:rsidR="00A200BA">
        <w:t>4</w:t>
      </w:r>
      <w:r w:rsidR="003747BB" w:rsidRPr="0030004B">
        <w:t>-2.</w:t>
      </w:r>
      <w:r w:rsidR="00A200BA">
        <w:t>79</w:t>
      </w:r>
      <w:r w:rsidR="00BE0863" w:rsidRPr="0030004B">
        <w:t>; lower: OR=1.73, 95% CI 1.1</w:t>
      </w:r>
      <w:r w:rsidR="00A200BA">
        <w:t>3</w:t>
      </w:r>
      <w:r w:rsidR="00BE0863" w:rsidRPr="0030004B">
        <w:t>-2.66</w:t>
      </w:r>
      <w:r w:rsidR="003747BB" w:rsidRPr="0030004B">
        <w:t>)</w:t>
      </w:r>
      <w:r w:rsidR="00386E96" w:rsidRPr="0030004B">
        <w:t>.</w:t>
      </w:r>
      <w:r w:rsidR="00A423A1" w:rsidRPr="0030004B">
        <w:t xml:space="preserve"> </w:t>
      </w:r>
      <w:r w:rsidR="00386E96" w:rsidRPr="0030004B">
        <w:t>There was no significant association with SES</w:t>
      </w:r>
      <w:r w:rsidR="00A423A1" w:rsidRPr="0030004B">
        <w:t xml:space="preserve"> in men.</w:t>
      </w:r>
      <w:r w:rsidR="004C751A" w:rsidRPr="0030004B">
        <w:t xml:space="preserve"> There was no significant independent association with </w:t>
      </w:r>
      <w:r w:rsidR="0030004B" w:rsidRPr="0030004B">
        <w:t>self-rated health in either sex</w:t>
      </w:r>
      <w:r w:rsidR="00A200BA">
        <w:t>, although in men (but not in women), presence of at least one comorbid health condition was associated with significantly lower odds of perception of weight as about right (OR=0.56, 95% CI 0.41-0.76)</w:t>
      </w:r>
      <w:r w:rsidR="004C751A" w:rsidRPr="0030004B">
        <w:t>.</w:t>
      </w:r>
    </w:p>
    <w:p w14:paraId="2944A417" w14:textId="49961F3F" w:rsidR="00410C7C" w:rsidRDefault="00864868" w:rsidP="00864868">
      <w:pPr>
        <w:rPr>
          <w:rFonts w:eastAsiaTheme="majorEastAsia"/>
        </w:rPr>
      </w:pPr>
      <w:r w:rsidRPr="00994067">
        <w:rPr>
          <w:rFonts w:eastAsiaTheme="majorEastAsia"/>
        </w:rPr>
        <w:t xml:space="preserve">Factors independently associated with perception of body weight as </w:t>
      </w:r>
      <w:r>
        <w:rPr>
          <w:rFonts w:eastAsiaTheme="majorEastAsia"/>
        </w:rPr>
        <w:t>about right</w:t>
      </w:r>
      <w:r w:rsidRPr="00994067">
        <w:rPr>
          <w:rFonts w:eastAsiaTheme="majorEastAsia"/>
        </w:rPr>
        <w:t xml:space="preserve"> in men and women</w:t>
      </w:r>
      <w:r>
        <w:rPr>
          <w:rFonts w:eastAsiaTheme="majorEastAsia"/>
        </w:rPr>
        <w:t xml:space="preserve"> </w:t>
      </w:r>
      <w:r w:rsidR="000512FF">
        <w:rPr>
          <w:rFonts w:eastAsiaTheme="majorEastAsia"/>
        </w:rPr>
        <w:t xml:space="preserve">with obesity </w:t>
      </w:r>
      <w:r>
        <w:rPr>
          <w:rFonts w:eastAsiaTheme="majorEastAsia"/>
        </w:rPr>
        <w:t xml:space="preserve">are shown in Table </w:t>
      </w:r>
      <w:r w:rsidR="00604F5C">
        <w:rPr>
          <w:rFonts w:eastAsiaTheme="majorEastAsia"/>
        </w:rPr>
        <w:t>4</w:t>
      </w:r>
      <w:r w:rsidRPr="00994067">
        <w:rPr>
          <w:rFonts w:eastAsiaTheme="majorEastAsia"/>
        </w:rPr>
        <w:t>.</w:t>
      </w:r>
      <w:r>
        <w:rPr>
          <w:rFonts w:eastAsiaTheme="majorEastAsia"/>
        </w:rPr>
        <w:t xml:space="preserve"> </w:t>
      </w:r>
      <w:r w:rsidR="00FA0D0D">
        <w:rPr>
          <w:rFonts w:eastAsiaTheme="majorEastAsia"/>
        </w:rPr>
        <w:t>Older age was significantly associated with increased odds of perception of body weight as about right in both men (OR=1.0</w:t>
      </w:r>
      <w:r w:rsidR="000D493D">
        <w:rPr>
          <w:rFonts w:eastAsiaTheme="majorEastAsia"/>
        </w:rPr>
        <w:t>5</w:t>
      </w:r>
      <w:r w:rsidR="00FA0D0D">
        <w:rPr>
          <w:rFonts w:eastAsiaTheme="majorEastAsia"/>
        </w:rPr>
        <w:t>, 95% CI 1.01-1.0</w:t>
      </w:r>
      <w:r w:rsidR="000D493D">
        <w:rPr>
          <w:rFonts w:eastAsiaTheme="majorEastAsia"/>
        </w:rPr>
        <w:t>9</w:t>
      </w:r>
      <w:r w:rsidR="00FA0D0D">
        <w:rPr>
          <w:rFonts w:eastAsiaTheme="majorEastAsia"/>
        </w:rPr>
        <w:t>) and women (OR=1.04, 95% CI 1.01-1.08).</w:t>
      </w:r>
      <w:r w:rsidR="000512FF">
        <w:rPr>
          <w:rFonts w:eastAsiaTheme="majorEastAsia"/>
        </w:rPr>
        <w:t xml:space="preserve"> Higher BMI was associated with </w:t>
      </w:r>
      <w:r w:rsidR="00BA7283">
        <w:rPr>
          <w:rFonts w:eastAsiaTheme="majorEastAsia"/>
        </w:rPr>
        <w:t xml:space="preserve">24% </w:t>
      </w:r>
      <w:r w:rsidR="000512FF">
        <w:rPr>
          <w:rFonts w:eastAsiaTheme="majorEastAsia"/>
        </w:rPr>
        <w:t>lower odds of perception of body weight as about right in men (OR=0.76, 95% CI 0.67-0.8</w:t>
      </w:r>
      <w:r w:rsidR="000D493D">
        <w:rPr>
          <w:rFonts w:eastAsiaTheme="majorEastAsia"/>
        </w:rPr>
        <w:t>7</w:t>
      </w:r>
      <w:r w:rsidR="000512FF">
        <w:rPr>
          <w:rFonts w:eastAsiaTheme="majorEastAsia"/>
        </w:rPr>
        <w:t>) but no significant association with BMI was observed in women.</w:t>
      </w:r>
      <w:r w:rsidR="00686868">
        <w:rPr>
          <w:rFonts w:eastAsiaTheme="majorEastAsia"/>
        </w:rPr>
        <w:t xml:space="preserve"> </w:t>
      </w:r>
      <w:r w:rsidR="00471EED">
        <w:rPr>
          <w:rFonts w:eastAsiaTheme="majorEastAsia"/>
        </w:rPr>
        <w:t>Non-white ethnicity was significantly associated with increased odds of perception of body weight as about right in women (OR=2.7</w:t>
      </w:r>
      <w:r w:rsidR="000D493D">
        <w:rPr>
          <w:rFonts w:eastAsiaTheme="majorEastAsia"/>
        </w:rPr>
        <w:t>6</w:t>
      </w:r>
      <w:r w:rsidR="00471EED">
        <w:rPr>
          <w:rFonts w:eastAsiaTheme="majorEastAsia"/>
        </w:rPr>
        <w:t>, 95% CI 1.0</w:t>
      </w:r>
      <w:r w:rsidR="000D493D">
        <w:rPr>
          <w:rFonts w:eastAsiaTheme="majorEastAsia"/>
        </w:rPr>
        <w:t>3</w:t>
      </w:r>
      <w:r w:rsidR="00471EED">
        <w:rPr>
          <w:rFonts w:eastAsiaTheme="majorEastAsia"/>
        </w:rPr>
        <w:t>-7.</w:t>
      </w:r>
      <w:r w:rsidR="000D493D">
        <w:rPr>
          <w:rFonts w:eastAsiaTheme="majorEastAsia"/>
        </w:rPr>
        <w:t>40</w:t>
      </w:r>
      <w:r w:rsidR="00471EED">
        <w:rPr>
          <w:rFonts w:eastAsiaTheme="majorEastAsia"/>
        </w:rPr>
        <w:t>) but not in men.</w:t>
      </w:r>
      <w:r w:rsidR="00EE7A0E">
        <w:rPr>
          <w:rFonts w:eastAsiaTheme="majorEastAsia"/>
        </w:rPr>
        <w:t xml:space="preserve"> </w:t>
      </w:r>
      <w:r w:rsidR="00A254C1">
        <w:rPr>
          <w:rFonts w:eastAsiaTheme="majorEastAsia"/>
        </w:rPr>
        <w:t>No significant association between perception of body weight as about right and SES</w:t>
      </w:r>
      <w:r w:rsidR="000D493D">
        <w:rPr>
          <w:rFonts w:eastAsiaTheme="majorEastAsia"/>
        </w:rPr>
        <w:t>,</w:t>
      </w:r>
      <w:r w:rsidR="00A254C1">
        <w:rPr>
          <w:rFonts w:eastAsiaTheme="majorEastAsia"/>
        </w:rPr>
        <w:t xml:space="preserve"> self-rated health</w:t>
      </w:r>
      <w:r w:rsidR="000D493D">
        <w:rPr>
          <w:rFonts w:eastAsiaTheme="majorEastAsia"/>
        </w:rPr>
        <w:t>, or chronic health conditions</w:t>
      </w:r>
      <w:r w:rsidR="00A254C1">
        <w:rPr>
          <w:rFonts w:eastAsiaTheme="majorEastAsia"/>
        </w:rPr>
        <w:t xml:space="preserve"> </w:t>
      </w:r>
      <w:r w:rsidR="00EE5EF6">
        <w:rPr>
          <w:rFonts w:eastAsiaTheme="majorEastAsia"/>
        </w:rPr>
        <w:t>was</w:t>
      </w:r>
      <w:r w:rsidR="00A254C1">
        <w:rPr>
          <w:rFonts w:eastAsiaTheme="majorEastAsia"/>
        </w:rPr>
        <w:t xml:space="preserve"> observed in either sex.</w:t>
      </w:r>
    </w:p>
    <w:p w14:paraId="4957CE83" w14:textId="77777777" w:rsidR="00864868" w:rsidRPr="00D55BAF" w:rsidRDefault="00864868" w:rsidP="00864868">
      <w:pPr>
        <w:rPr>
          <w:rFonts w:eastAsiaTheme="majorEastAsia" w:cstheme="minorHAnsi"/>
        </w:rPr>
      </w:pPr>
    </w:p>
    <w:p w14:paraId="489A4E5B" w14:textId="77777777" w:rsidR="007A16A3" w:rsidRPr="00D55BAF" w:rsidRDefault="004F27FB" w:rsidP="00D55BAF">
      <w:pPr>
        <w:pStyle w:val="Heading2"/>
      </w:pPr>
      <w:r w:rsidRPr="00D55BAF">
        <w:t>Discussion</w:t>
      </w:r>
    </w:p>
    <w:p w14:paraId="62BCDFEF" w14:textId="3CD0F308" w:rsidR="00A97D5D" w:rsidRPr="001E3AC8" w:rsidRDefault="003059E4" w:rsidP="00FD294A">
      <w:r w:rsidRPr="003059E4">
        <w:t>In a large, representative sample of older adults living in England, we found that weight perceptions broadly corresponded to participants’ actual weight status</w:t>
      </w:r>
      <w:r w:rsidR="005B1136">
        <w:t xml:space="preserve"> as defined by widely used BMI cut-offs</w:t>
      </w:r>
      <w:r w:rsidR="004A7A10">
        <w:t>:</w:t>
      </w:r>
      <w:r>
        <w:t xml:space="preserve"> </w:t>
      </w:r>
      <w:r w:rsidR="009B6ADA">
        <w:t>80% of</w:t>
      </w:r>
      <w:r>
        <w:t xml:space="preserve"> older adults with a BMI in the normal-weight range thought they were about the </w:t>
      </w:r>
      <w:r w:rsidRPr="0031165D">
        <w:t xml:space="preserve">right weight, and </w:t>
      </w:r>
      <w:r w:rsidR="006E633F">
        <w:t>over 50</w:t>
      </w:r>
      <w:r w:rsidR="009B6ADA" w:rsidRPr="0031165D">
        <w:t>% of</w:t>
      </w:r>
      <w:r w:rsidRPr="0031165D">
        <w:t xml:space="preserve"> </w:t>
      </w:r>
      <w:r w:rsidRPr="0031165D">
        <w:lastRenderedPageBreak/>
        <w:t>older adults with a BMI in the overweight range</w:t>
      </w:r>
      <w:r w:rsidR="006C0ADD">
        <w:t xml:space="preserve"> and </w:t>
      </w:r>
      <w:r w:rsidR="006E633F">
        <w:t>almost 90</w:t>
      </w:r>
      <w:r w:rsidR="006C0ADD" w:rsidRPr="0031165D">
        <w:t>%</w:t>
      </w:r>
      <w:r w:rsidR="006C0ADD">
        <w:t xml:space="preserve"> of those with a BMI in the obese range</w:t>
      </w:r>
      <w:r w:rsidRPr="0031165D">
        <w:t xml:space="preserve"> thought they were too </w:t>
      </w:r>
      <w:r w:rsidRPr="001E3AC8">
        <w:t xml:space="preserve">heavy. </w:t>
      </w:r>
      <w:r w:rsidR="00372768" w:rsidRPr="001E3AC8">
        <w:t xml:space="preserve">However, </w:t>
      </w:r>
      <w:r w:rsidR="00D4241E" w:rsidRPr="001E3AC8">
        <w:t xml:space="preserve">a substantial number of older adults either under- or overestimated their </w:t>
      </w:r>
      <w:r w:rsidR="001E3AC8" w:rsidRPr="001E3AC8">
        <w:t>weight status</w:t>
      </w:r>
      <w:r w:rsidR="00A53DA4">
        <w:t xml:space="preserve"> relative to their BMI</w:t>
      </w:r>
      <w:r w:rsidR="00C85D00">
        <w:t xml:space="preserve"> category</w:t>
      </w:r>
      <w:r w:rsidR="00D4241E" w:rsidRPr="001E3AC8">
        <w:t>. O</w:t>
      </w:r>
      <w:r w:rsidR="00372768" w:rsidRPr="001E3AC8">
        <w:t xml:space="preserve">ne in ten participants </w:t>
      </w:r>
      <w:r w:rsidR="00237E07" w:rsidRPr="001E3AC8">
        <w:t xml:space="preserve">with a normal-weight BMI </w:t>
      </w:r>
      <w:r w:rsidR="00372768" w:rsidRPr="001E3AC8">
        <w:t xml:space="preserve">thought they were too heavy and one in ten thought they were too light. </w:t>
      </w:r>
      <w:r w:rsidR="00B912D7" w:rsidRPr="001E3AC8">
        <w:t xml:space="preserve">Almost half </w:t>
      </w:r>
      <w:r w:rsidR="00AF48F6" w:rsidRPr="001E3AC8">
        <w:t>of participants with an overweight BMI thought they were about the right weight, as did one in ten of those with an obese BMI.</w:t>
      </w:r>
    </w:p>
    <w:p w14:paraId="02E7BCBA" w14:textId="59D14547" w:rsidR="00DF1008" w:rsidRDefault="00DF1008" w:rsidP="00FD294A">
      <w:r>
        <w:t>As has been observed in previous research examining weight perceptions in younger sample</w:t>
      </w:r>
      <w:r w:rsidR="000B0FED">
        <w:t xml:space="preserve">s </w:t>
      </w:r>
      <w:r w:rsidR="000B0FED">
        <w:fldChar w:fldCharType="begin"/>
      </w:r>
      <w:r w:rsidR="003E36BD">
        <w:instrText xml:space="preserve"> ADDIN ZOTERO_ITEM CSL_CITATION {"citationID":"g2UDLVUi","properties":{"formattedCitation":"\\super 1,20,24\\nosupersub{}","plainCitation":"1,20,24","noteIndex":0},"citationItems":[{"id":"Gpmhm9Fe/dYH3x9mI","uris":["http://zotero.org/users/446899/items/VG6STHAE"],"uri":["http://zotero.org/users/446899/items/VG6STHAE"],"itemData":{"id":623,"type":"article-journal","title":"Changing perceptions of weight in Great Britain: comparison of two population surveys","container-title":"BMJ","page":"a494-a494","volume":"337","issue":"jul10 1","source":"CrossRef","DOI":"10.1136/bmj.a494","ISSN":"0959-8138, 1468-5833","shortTitle":"Changing perceptions of weight in Great Britain","author":[{"family":"Johnson","given":"F"},{"family":"Cooke","given":"L"},{"family":"Croker","given":"H"},{"family":"Wardle","given":"J."}],"issued":{"date-parts":[["2008",7,10]]}}},{"id":"Gpmhm9Fe/W1KqsJRM","uris":["http://zotero.org/users/446899/items/QQ3ZJUA4"],"uri":["http://zotero.org/users/446899/items/QQ3ZJUA4"],"itemData":{"id":1894,"type":"article-journal","title":"Weight perceptions in a population sample of English adolescents: cause for celebration or concern?","container-title":"International Journal of Obesity","page":"1488-1493","volume":"39","issue":"10","source":"www.nature.com","abstract":"Objectives: To examine the proportion of normal-weight adolescents who consider themselves to be too heavy (size overestimation), and the proportion of overweight or obese adolescents who consider themselves to be about the right weight or too light (size underestimation), in large population-based samples collected over 8 years in England.\nMethods: Data were from the Health Survey for England between 2005 and 2012: an annual survey of households representative of the English population. We analysed data from 4979 adolescents (2668 boys, 2311 girls) aged 13 to 15 years old whose weight status was defined as normal weight or overweight/obese based on body mass index standard deviation scores (BMI-SDS) derived from objective measurements of height and weight and using International Obesity Task Force standards. Weight perception was based on the adolescent’s choice from the following descriptors: ‘about the right weight’, ‘too heavy’ or ‘too light’.\nResults: The majority of normal-weight adolescents (83% of boys, 84% of girls) correctly identified themselves as ‘about the right weight’. Overestimation was uncommon, with only 7% of normal-weight teens (4% of boys, 11% of girls) identifying themselves as ‘too heavy’. In contrast, only 60% of overweight/obese adolescents (53% of boys, 68% of girls) correctly identified themselves as ‘too heavy’, whereas 39% (47% of boys, 32% of girls) underestimated, identifying themselves as ‘about the right weight’ or ‘too light’. There were no significant changes in BMI-SDS or body size estimation over time (2005–2012).\nConclusions: Overestimation of body weight among normal-weight adolescents is relatively uncommon; potentially a cause for celebration. However, almost half of boys and a third of girls with a BMI placing them in the overweight or obese BMI range perceived themselves to be about the right weight. Lack of awareness of excess weight among overweight and obese adolescents could be a cause for concern.","DOI":"10.1038/ijo.2015.126","ISSN":"0307-0565","shortTitle":"Weight perceptions in a population sample of English adolescents","journalAbbreviation":"Int J Obes","language":"en","author":[{"family":"Jackson","given":"S E"},{"family":"Johnson","given":"F."},{"family":"Croker","given":"H."},{"family":"Wardle","given":"J."}],"issued":{"date-parts":[["2015",10]]}}},{"id":"Gpmhm9Fe/BlesMmyy","uris":["http://zotero.org/users/446899/items/SMDQVMFM"],"uri":["http://zotero.org/users/446899/items/SMDQVMFM"],"itemData":{"id":486,"type":"article-journal","title":"Perceived weight status, overweight diagnosis, and weight control among US adults: the NHANES 2003–2008 Study","container-title":"International Journal of Obesity","page":"1063-1070","volume":"35","issue":"8","source":"www.nature.com","abstract":"Objectives:\nDesign:\nSubjects:\nResults:\nConclusion:","DOI":"10.1038/ijo.2010.229","ISSN":"0307-0565","shortTitle":"Perceived weight status, overweight diagnosis, and weight control among US adults","language":"en","author":[{"family":"Yaemsiri","given":"S."},{"family":"Slining","given":"M. M."},{"family":"Agarwal","given":"S. K."}],"issued":{"date-parts":[["2011",8,1]]}}}],"schema":"https://github.com/citation-style-language/schema/raw/master/csl-citation.json"} </w:instrText>
      </w:r>
      <w:r w:rsidR="000B0FED">
        <w:fldChar w:fldCharType="separate"/>
      </w:r>
      <w:r w:rsidR="003E36BD" w:rsidRPr="003E36BD">
        <w:rPr>
          <w:rFonts w:ascii="Calibri" w:hAnsi="Calibri" w:cs="Calibri"/>
          <w:szCs w:val="24"/>
          <w:vertAlign w:val="superscript"/>
        </w:rPr>
        <w:t>1,20,24</w:t>
      </w:r>
      <w:r w:rsidR="000B0FED">
        <w:fldChar w:fldCharType="end"/>
      </w:r>
      <w:r>
        <w:t>, there were system</w:t>
      </w:r>
      <w:r w:rsidR="0015359E">
        <w:t>at</w:t>
      </w:r>
      <w:r>
        <w:t xml:space="preserve">ic differences between men and women’s weight perceptions. Across all BMI categories, men were consistently more likely than women to underestimate their </w:t>
      </w:r>
      <w:r w:rsidR="003A6779">
        <w:t>weight status</w:t>
      </w:r>
      <w:r w:rsidR="003B5961">
        <w:t>,</w:t>
      </w:r>
      <w:r>
        <w:t xml:space="preserve"> </w:t>
      </w:r>
      <w:r w:rsidR="003B5961">
        <w:t>and</w:t>
      </w:r>
      <w:r>
        <w:t xml:space="preserve"> normal-weight women were more likely than normal-weight men to report feeling too heavy.</w:t>
      </w:r>
      <w:r w:rsidR="003B5961">
        <w:t xml:space="preserve"> </w:t>
      </w:r>
      <w:r w:rsidR="00D325A0">
        <w:t>Within BMI categories, those with a higher BMI were</w:t>
      </w:r>
      <w:r w:rsidR="004427C1">
        <w:t xml:space="preserve"> more likely to perceive themselves to be too heavy and less likely to perceive themselves to be too light or about right.</w:t>
      </w:r>
      <w:r w:rsidR="00D325A0">
        <w:t xml:space="preserve"> </w:t>
      </w:r>
      <w:r w:rsidR="003B5961">
        <w:t xml:space="preserve">There were also some differences </w:t>
      </w:r>
      <w:r w:rsidR="002904DB">
        <w:t xml:space="preserve">in weight perceptions </w:t>
      </w:r>
      <w:r w:rsidR="003B5961">
        <w:t>by ethnicity and SES</w:t>
      </w:r>
      <w:r w:rsidR="00194C42">
        <w:t xml:space="preserve">, </w:t>
      </w:r>
      <w:r w:rsidR="00A8268C">
        <w:t>with people from non-white ethnic groups and intermediate and lower SES groups more likely to underestimate their weight status,</w:t>
      </w:r>
      <w:r w:rsidR="000B0FED">
        <w:t xml:space="preserve"> as has been shown previously</w:t>
      </w:r>
      <w:r w:rsidR="0079556F">
        <w:t xml:space="preserve"> in younger samples</w:t>
      </w:r>
      <w:r w:rsidR="00F92AAE">
        <w:t xml:space="preserve"> </w:t>
      </w:r>
      <w:r w:rsidR="00B25844">
        <w:fldChar w:fldCharType="begin"/>
      </w:r>
      <w:r w:rsidR="003E36BD">
        <w:instrText xml:space="preserve"> ADDIN ZOTERO_ITEM CSL_CITATION {"citationID":"yfpiUYvM","properties":{"formattedCitation":"\\super 20,24\\nosupersub{}","plainCitation":"20,24","noteIndex":0},"citationItems":[{"id":"Gpmhm9Fe/W1KqsJRM","uris":["http://zotero.org/users/446899/items/QQ3ZJUA4"],"uri":["http://zotero.org/users/446899/items/QQ3ZJUA4"],"itemData":{"id":1894,"type":"article-journal","title":"Weight perceptions in a population sample of English adolescents: cause for celebration or concern?","container-title":"International Journal of Obesity","page":"1488-1493","volume":"39","issue":"10","source":"www.nature.com","abstract":"Objectives: To examine the proportion of normal-weight adolescents who consider themselves to be too heavy (size overestimation), and the proportion of overweight or obese adolescents who consider themselves to be about the right weight or too light (size underestimation), in large population-based samples collected over 8 years in England.\nMethods: Data were from the Health Survey for England between 2005 and 2012: an annual survey of households representative of the English population. We analysed data from 4979 adolescents (2668 boys, 2311 girls) aged 13 to 15 years old whose weight status was defined as normal weight or overweight/obese based on body mass index standard deviation scores (BMI-SDS) derived from objective measurements of height and weight and using International Obesity Task Force standards. Weight perception was based on the adolescent’s choice from the following descriptors: ‘about the right weight’, ‘too heavy’ or ‘too light’.\nResults: The majority of normal-weight adolescents (83% of boys, 84% of girls) correctly identified themselves as ‘about the right weight’. Overestimation was uncommon, with only 7% of normal-weight teens (4% of boys, 11% of girls) identifying themselves as ‘too heavy’. In contrast, only 60% of overweight/obese adolescents (53% of boys, 68% of girls) correctly identified themselves as ‘too heavy’, whereas 39% (47% of boys, 32% of girls) underestimated, identifying themselves as ‘about the right weight’ or ‘too light’. There were no significant changes in BMI-SDS or body size estimation over time (2005–2012).\nConclusions: Overestimation of body weight among normal-weight adolescents is relatively uncommon; potentially a cause for celebration. However, almost half of boys and a third of girls with a BMI placing them in the overweight or obese BMI range perceived themselves to be about the right weight. Lack of awareness of excess weight among overweight and obese adolescents could be a cause for concern.","DOI":"10.1038/ijo.2015.126","ISSN":"0307-0565","shortTitle":"Weight perceptions in a population sample of English adolescents","journalAbbreviation":"Int J Obes","language":"en","author":[{"family":"Jackson","given":"S E"},{"family":"Johnson","given":"F."},{"family":"Croker","given":"H."},{"family":"Wardle","given":"J."}],"issued":{"date-parts":[["2015",10]]}}},{"id":"Gpmhm9Fe/BlesMmyy","uris":["http://zotero.org/users/446899/items/SMDQVMFM"],"uri":["http://zotero.org/users/446899/items/SMDQVMFM"],"itemData":{"id":486,"type":"article-journal","title":"Perceived weight status, overweight diagnosis, and weight control among US adults: the NHANES 2003–2008 Study","container-title":"International Journal of Obesity","page":"1063-1070","volume":"35","issue":"8","source":"www.nature.com","abstract":"Objectives:\nDesign:\nSubjects:\nResults:\nConclusion:","DOI":"10.1038/ijo.2010.229","ISSN":"0307-0565","shortTitle":"Perceived weight status, overweight diagnosis, and weight control among US adults","language":"en","author":[{"family":"Yaemsiri","given":"S."},{"family":"Slining","given":"M. M."},{"family":"Agarwal","given":"S. K."}],"issued":{"date-parts":[["2011",8,1]]}}}],"schema":"https://github.com/citation-style-language/schema/raw/master/csl-citation.json"} </w:instrText>
      </w:r>
      <w:r w:rsidR="00B25844">
        <w:fldChar w:fldCharType="separate"/>
      </w:r>
      <w:r w:rsidR="003E36BD" w:rsidRPr="003E36BD">
        <w:rPr>
          <w:rFonts w:ascii="Calibri" w:hAnsi="Calibri" w:cs="Calibri"/>
          <w:szCs w:val="24"/>
          <w:vertAlign w:val="superscript"/>
        </w:rPr>
        <w:t>20,24</w:t>
      </w:r>
      <w:r w:rsidR="00B25844">
        <w:fldChar w:fldCharType="end"/>
      </w:r>
      <w:r w:rsidR="000B0FED">
        <w:t>,</w:t>
      </w:r>
      <w:r w:rsidR="00A8268C">
        <w:t xml:space="preserve"> </w:t>
      </w:r>
      <w:r w:rsidR="00194C42">
        <w:t xml:space="preserve">although these </w:t>
      </w:r>
      <w:r w:rsidR="008C50C2">
        <w:t xml:space="preserve">differences </w:t>
      </w:r>
      <w:r w:rsidR="00194C42">
        <w:t>were not consistently observed across BMI categories or sexes.</w:t>
      </w:r>
    </w:p>
    <w:p w14:paraId="0F3FEA70" w14:textId="1F39863C" w:rsidR="00684566" w:rsidRDefault="00223E3D" w:rsidP="00FD294A">
      <w:r>
        <w:t>Importantly, t</w:t>
      </w:r>
      <w:r w:rsidR="00420839" w:rsidRPr="00A703D0">
        <w:t xml:space="preserve">here were </w:t>
      </w:r>
      <w:r>
        <w:t xml:space="preserve">also </w:t>
      </w:r>
      <w:r w:rsidR="00420839" w:rsidRPr="00A703D0">
        <w:t xml:space="preserve">clear age-related differences in weight perceptions across all BMI categories. </w:t>
      </w:r>
      <w:r w:rsidR="007F2DD5">
        <w:t>In</w:t>
      </w:r>
      <w:r w:rsidR="00420839" w:rsidRPr="00A703D0">
        <w:t xml:space="preserve"> men and women with an overweight or obese BMI, the odds of feeling about the right weight increased with </w:t>
      </w:r>
      <w:r w:rsidR="003F72F9">
        <w:t xml:space="preserve">advancing </w:t>
      </w:r>
      <w:r w:rsidR="00420839" w:rsidRPr="00A703D0">
        <w:t>age</w:t>
      </w:r>
      <w:r w:rsidR="00B6002E" w:rsidRPr="00A703D0">
        <w:t>.</w:t>
      </w:r>
      <w:r w:rsidR="006B4C4E">
        <w:t xml:space="preserve"> </w:t>
      </w:r>
      <w:r w:rsidR="003F72F9">
        <w:t>In</w:t>
      </w:r>
      <w:r w:rsidR="003F72F9" w:rsidRPr="00A703D0">
        <w:t xml:space="preserve"> women with a normal-weight BMI, the odds of feeling too light increased and the odds of feeling too heavy decreased with age</w:t>
      </w:r>
      <w:r w:rsidR="003F72F9">
        <w:t>, although there were no significant differences by age in men</w:t>
      </w:r>
      <w:r w:rsidR="003F72F9" w:rsidRPr="00A703D0">
        <w:t>.</w:t>
      </w:r>
      <w:r w:rsidR="001A5807">
        <w:t xml:space="preserve"> These findings are suggestive of a higher ideal weight at older ages.</w:t>
      </w:r>
      <w:r w:rsidR="006016DF">
        <w:t xml:space="preserve"> This is consistent with previous studies that have shown </w:t>
      </w:r>
      <w:r w:rsidR="00B06493">
        <w:t>people, particularly women,</w:t>
      </w:r>
      <w:r w:rsidR="006016DF">
        <w:t xml:space="preserve"> tend to endorse a slightly larger and more curvaceous body shape as they get older</w:t>
      </w:r>
      <w:r w:rsidR="00184935">
        <w:t xml:space="preserve"> </w:t>
      </w:r>
      <w:r w:rsidR="00184935">
        <w:fldChar w:fldCharType="begin"/>
      </w:r>
      <w:r w:rsidR="003E36BD">
        <w:instrText xml:space="preserve"> ADDIN ZOTERO_ITEM CSL_CITATION {"citationID":"JPakC81J","properties":{"formattedCitation":"\\super 8,25\\nosupersub{}","plainCitation":"8,25","noteIndex":0},"citationItems":[{"id":"Gpmhm9Fe/WC4bhjnZ","uris":["http://zotero.org/users/446899/items/V4IUX9JG"],"uri":["http://zotero.org/users/446899/items/V4IUX9JG"],"itemData":{"id":643,"type":"article-journal","title":"Body image across the adult life span: stability and change","container-title":"Body Image","page":"29-41","volume":"1","issue":"1","source":"ScienceDirect","abstract":"By far, the majority of studies investigating body image in adults have drawn samples from college populations within a very narrow age range. The purpose of the present paper is to review empirical research on the body image of adults older than the typical college student. There are marked changes in appearance across the adult life span, especially for women, which lead to the expectation of concomitant changes in body image. In fact, the review found that body dissatisfaction was remarkably stable across the adult life span for women, at least until they are quite elderly. In contrast, the importance of body shape, weight and appearance decreased as women aged, underscoring an important distinction between evaluation and importance of the body. However, there are many large gaps and limitations in the current literature that will need to be addressed before a more complete understanding of the development of body image across the adult life span is achieved.","DOI":"10.1016/S1740-1445(03)00002-0","ISSN":"1740-1445","shortTitle":"Body image across the adult life span","journalAbbreviation":"Body Image","author":[{"family":"Tiggemann","given":"Marika"}],"issued":{"date-parts":[["2004",1]]}}},{"id":"Gpmhm9Fe/EquHkyQb","uris":["http://zotero.org/users/446899/items/2HNE8JLV"],"uri":["http://zotero.org/users/446899/items/2HNE8JLV"],"itemData":{"id":7460,"type":"article-journal","title":"Beauty in Later Life: Older Women's Perceptions of Physical Attractiveness","container-title":"Canadian Journal on Aging / La Revue canadienne du vieillissement","page":"429-442","volume":"21","issue":"3","source":"Cambridge Core","abstract":"Using data from 96 hours of semi-structured interviews with women aged 61 to 92, this paper explores the meanings that older women attribute to beauty and aging. The women in my study tend to equate physical attractiveness with youthfulness and slimness. However, they reject the extremes of thinness embodied in today's fashion models and actresses. Even as they disparage obese individuals, the women argue that thin older women appear scrawny. The women express a preference for more rounded female bodies than current beauty standards allow and emphasize the importance of inner beauty. While some women view their wrinkles negatively, others suggest that their facial creases are badges of honour. I argue that older women do not simply internalize beauty ideals to the detriment of their sense of self. Rather, older women resist and challenge current ideals of feminine attractiveness and suggest alternative beauty ideals and definitions of personal desirability., Faisant appel à des données provenant de 96 heures d'entrevues semi-structurées réalisées avec des femmes âgées de 61 à 92 ans, cet article examine les diverses significations qu'attribuent les aînées à la beauté et au vieillissement. Les sujets de ma recherche ont tendance à faire concorder beauté physique avec jeunesse et minceur. Ces femmes rejettent cependant les extrêmes de minceur qu'incarnent aujourd'hui les mannequins de mode et les actrices. Même si elles dénigrent les personnes obèses, elles font valoir que les aînées minces paraissent décharnées. Elles expriment une préférence pour des corps féminins plus en rondeurs que ce que dictent les normes esthétiques actuelles et elles insistent sur l'importance de la beauté intérieure. Si certaines des femmes voient leurs rides de façon négative, d'autres suggèrent que les plis de leurs visages sont des marques d'honneur. Je soutiens que les aînées n'intériorisent pas simplement leur idéal de beauté au détriment de leur sens du moi. Elles résistent au contraire aux idéaux actuels de beauté féminine et elles les contestent, en suggérant d'autres idéaux esthétiques et définitions de la séduction personnelle.","DOI":"10.1017/S0714980800001744","ISSN":"1710-1107, 0714-9808","shortTitle":"Beauty in Later Life","language":"en","author":[{"family":"Clarke","given":"Laura C. Hurd"}],"issued":{"date-parts":[["2002"]],"season":"ed"}}}],"schema":"https://github.com/citation-style-language/schema/raw/master/csl-citation.json"} </w:instrText>
      </w:r>
      <w:r w:rsidR="00184935">
        <w:fldChar w:fldCharType="separate"/>
      </w:r>
      <w:r w:rsidR="003E36BD" w:rsidRPr="003E36BD">
        <w:rPr>
          <w:rFonts w:ascii="Calibri" w:hAnsi="Calibri" w:cs="Calibri"/>
          <w:szCs w:val="24"/>
          <w:vertAlign w:val="superscript"/>
        </w:rPr>
        <w:t>8,25</w:t>
      </w:r>
      <w:r w:rsidR="00184935">
        <w:fldChar w:fldCharType="end"/>
      </w:r>
      <w:r w:rsidR="006016DF">
        <w:t>.</w:t>
      </w:r>
      <w:r w:rsidR="004A62B4">
        <w:t xml:space="preserve"> It is possible that older people </w:t>
      </w:r>
      <w:r w:rsidR="004B310B">
        <w:t>believe</w:t>
      </w:r>
      <w:r w:rsidR="004A62B4">
        <w:t xml:space="preserve"> that having an overweight or obese BMI is not necessarily a bad thing at older ages</w:t>
      </w:r>
      <w:r w:rsidR="004B310B">
        <w:t xml:space="preserve"> </w:t>
      </w:r>
      <w:r w:rsidR="004B310B">
        <w:fldChar w:fldCharType="begin"/>
      </w:r>
      <w:r w:rsidR="003E36BD">
        <w:instrText xml:space="preserve"> ADDIN ZOTERO_ITEM CSL_CITATION {"citationID":"QF6uynnK","properties":{"formattedCitation":"\\super 12\\nosupersub{}","plainCitation":"12","noteIndex":0},"citationItems":[{"id":"Gpmhm9Fe/IzxSTAQB","uris":["http://zotero.org/users/446899/items/UVGARMAF"],"uri":["http://zotero.org/users/446899/items/UVGARMAF"],"itemData":{"id":7421,"type":"article-journal","title":"‘Just because I’m old it doesn’t mean I have to be fat’: a qualitative study exploring older adults’ views and experiences of weight management","container-title":"BMJ Open","page":"e025680","volume":"9","issue":"2","source":"bmjopen.bmj.com","abstract":"Objectives The aim of this study was to explore older adults’ beliefs about the appropriateness of weight management, and how their experiences and expectations of weight management have changed as they have got older.\nDesign Qualitative semistructured interview study.\nSetting UK.\nParticipants Older adults (≥65 years) in the UK who had recent (&lt;5 years) experience of trying to manage their weight (n=15; 12 women; 73% white British).\nResults Data were analysed using thematic analysis. Emergent themes highlighted that weight remained a concern for many older adults, although having a high body weight was seen to be more acceptable at older than younger ages. Excess weight was reported to have negative consequences for health and well-being which participants felt could be alleviated by losing weight. Participants were motivated to lose weight for appearance and health reasons, but mentioned finding it harder to lose weight as they had got older and generally felt they had received limited guidance on weight management from health professionals.\nConclusions The views of our participants highlight the need for further research into safe and effective methods of weight loss for older people and indicate that advice and support from health professionals would be welcomed.","DOI":"10.1136/bmjopen-2018-025680","ISSN":"2044-6055, 2044-6055","note":"PMID: 30782939","shortTitle":"‘Just because I’m old it doesn’t mean I have to be fat’","language":"en","author":[{"family":"Jackson","given":"Sarah E."},{"family":"Holter","given":"Linn"},{"family":"Beeken","given":"Rebecca J."}],"issued":{"date-parts":[["2019",2,1]]}}}],"schema":"https://github.com/citation-style-language/schema/raw/master/csl-citation.json"} </w:instrText>
      </w:r>
      <w:r w:rsidR="004B310B">
        <w:fldChar w:fldCharType="separate"/>
      </w:r>
      <w:r w:rsidR="003E36BD" w:rsidRPr="003E36BD">
        <w:rPr>
          <w:rFonts w:ascii="Calibri" w:hAnsi="Calibri" w:cs="Calibri"/>
          <w:szCs w:val="24"/>
          <w:vertAlign w:val="superscript"/>
        </w:rPr>
        <w:t>12</w:t>
      </w:r>
      <w:r w:rsidR="004B310B">
        <w:fldChar w:fldCharType="end"/>
      </w:r>
      <w:r w:rsidR="004A62B4">
        <w:t xml:space="preserve">. Alternatively, as people get older they may give up the effort to reduce weight at higher BMIs, perhaps because other health issues become more salient for them, or because they are less interested in self-presentation and striving for a slimmer physique </w:t>
      </w:r>
      <w:r w:rsidR="0015530D">
        <w:fldChar w:fldCharType="begin"/>
      </w:r>
      <w:r w:rsidR="003E36BD">
        <w:instrText xml:space="preserve"> ADDIN ZOTERO_ITEM CSL_CITATION {"citationID":"ALhqybp9","properties":{"formattedCitation":"\\super 12\\nosupersub{}","plainCitation":"12","noteIndex":0},"citationItems":[{"id":"Gpmhm9Fe/IzxSTAQB","uris":["http://zotero.org/users/446899/items/UVGARMAF"],"uri":["http://zotero.org/users/446899/items/UVGARMAF"],"itemData":{"id":7421,"type":"article-journal","title":"‘Just because I’m old it doesn’t mean I have to be fat’: a qualitative study exploring older adults’ views and experiences of weight management","container-title":"BMJ Open","page":"e025680","volume":"9","issue":"2","source":"bmjopen.bmj.com","abstract":"Objectives The aim of this study was to explore older adults’ beliefs about the appropriateness of weight management, and how their experiences and expectations of weight management have changed as they have got older.\nDesign Qualitative semistructured interview study.\nSetting UK.\nParticipants Older adults (≥65 years) in the UK who had recent (&lt;5 years) experience of trying to manage their weight (n=15; 12 women; 73% white British).\nResults Data were analysed using thematic analysis. Emergent themes highlighted that weight remained a concern for many older adults, although having a high body weight was seen to be more acceptable at older than younger ages. Excess weight was reported to have negative consequences for health and well-being which participants felt could be alleviated by losing weight. Participants were motivated to lose weight for appearance and health reasons, but mentioned finding it harder to lose weight as they had got older and generally felt they had received limited guidance on weight management from health professionals.\nConclusions The views of our participants highlight the need for further research into safe and effective methods of weight loss for older people and indicate that advice and support from health professionals would be welcomed.","DOI":"10.1136/bmjopen-2018-025680","ISSN":"2044-6055, 2044-6055","note":"PMID: 30782939","shortTitle":"‘Just because I’m old it doesn’t mean I have to be fat’","language":"en","author":[{"family":"Jackson","given":"Sarah E."},{"family":"Holter","given":"Linn"},{"family":"Beeken","given":"Rebecca J."}],"issued":{"date-parts":[["2019",2,1]]}}}],"schema":"https://github.com/citation-style-language/schema/raw/master/csl-citation.json"} </w:instrText>
      </w:r>
      <w:r w:rsidR="0015530D">
        <w:fldChar w:fldCharType="separate"/>
      </w:r>
      <w:r w:rsidR="003E36BD" w:rsidRPr="003E36BD">
        <w:rPr>
          <w:rFonts w:ascii="Calibri" w:hAnsi="Calibri" w:cs="Calibri"/>
          <w:szCs w:val="24"/>
          <w:vertAlign w:val="superscript"/>
        </w:rPr>
        <w:t>12</w:t>
      </w:r>
      <w:r w:rsidR="0015530D">
        <w:fldChar w:fldCharType="end"/>
      </w:r>
      <w:r w:rsidR="004A62B4">
        <w:t>.</w:t>
      </w:r>
    </w:p>
    <w:p w14:paraId="22118D61" w14:textId="07E67EBA" w:rsidR="00806CA8" w:rsidRDefault="001A5807" w:rsidP="001B791C">
      <w:r>
        <w:t xml:space="preserve">There was also </w:t>
      </w:r>
      <w:r w:rsidR="00BE67DC">
        <w:t>a significant association between self-rated health and odds of feeling too light among men and women with a normal-weight BMI.</w:t>
      </w:r>
      <w:r w:rsidR="000D7A7E">
        <w:t xml:space="preserve"> Those who rated their health as fair or poor had around three times higher odds of feeling too light at a normal-weight BMI than those who rated their health as good, very good, or excellent</w:t>
      </w:r>
      <w:r w:rsidR="004D41FA">
        <w:t>.</w:t>
      </w:r>
      <w:r w:rsidR="008319BB">
        <w:t xml:space="preserve"> In addition, women with a normal-weight BMI who had at least one chronic condition were also more likely to consider themselves to be too light, although there was no difference in men.</w:t>
      </w:r>
      <w:r w:rsidR="004D41FA">
        <w:t xml:space="preserve"> </w:t>
      </w:r>
      <w:r w:rsidR="00DD29B4">
        <w:t>These results</w:t>
      </w:r>
      <w:r w:rsidR="004D41FA">
        <w:t xml:space="preserve"> </w:t>
      </w:r>
      <w:r w:rsidR="005F7D84">
        <w:t xml:space="preserve">could be interpreted as suggesting that the </w:t>
      </w:r>
      <w:r w:rsidR="004D41FA">
        <w:t xml:space="preserve">ideal weight may be higher for older adults in </w:t>
      </w:r>
      <w:r w:rsidR="004D41FA">
        <w:lastRenderedPageBreak/>
        <w:t>poorer health than for those in good health</w:t>
      </w:r>
      <w:r w:rsidR="00F335F0">
        <w:t>. There is a vast literature documenting an obesity paradox in chronic conditions</w:t>
      </w:r>
      <w:r w:rsidR="00E71810">
        <w:t xml:space="preserve"> </w:t>
      </w:r>
      <w:r w:rsidR="00984C6A">
        <w:t>including</w:t>
      </w:r>
      <w:r w:rsidR="00E71810">
        <w:t xml:space="preserve"> cardiovascular disease</w:t>
      </w:r>
      <w:r w:rsidR="00984C6A">
        <w:t xml:space="preserve"> </w:t>
      </w:r>
      <w:r w:rsidR="00984C6A">
        <w:fldChar w:fldCharType="begin"/>
      </w:r>
      <w:r w:rsidR="003E36BD">
        <w:instrText xml:space="preserve"> ADDIN ZOTERO_ITEM CSL_CITATION {"citationID":"IhsHhHQV","properties":{"formattedCitation":"\\super 26\\nosupersub{}","plainCitation":"26","noteIndex":0},"citationItems":[{"id":"Gpmhm9Fe/L8txvTbx","uris":["http://zotero.org/users/446899/items/U79NSS5T"],"uri":["http://zotero.org/users/446899/items/U79NSS5T"],"itemData":{"id":689,"type":"article-journal","title":"Obesity and the “Obesity Paradox” in Cardiovascular Diseases","container-title":"Clinical Pharmacology &amp; Therapeutics","page":"23-25","volume":"90","issue":"1","source":"www.nature.com","abstract":"Obesity adversely affects most cardiovascular (CV) risk factors and is strongly associated, probably as an independent risk factor, with most CV diseases. However, substantial evidence points to the existence of an “obesity paradox,” in that overweight and obese patients with established CV diseases typically have a better prognosis than leaner patients with the same CV disease. Despite this paradox, we believe that the “weight” of evidence still supports efforts at purposeful weight loss in both primary and secondary CV prevention.","DOI":"10.1038/clpt.2011.87","ISSN":"0009-9236","language":"en","author":[{"family":"Lavie","given":"Carl J."},{"family":"Milani","given":"R. V."},{"family":"Ventura","given":"H. O."}],"issued":{"date-parts":[["2011"]]}}}],"schema":"https://github.com/citation-style-language/schema/raw/master/csl-citation.json"} </w:instrText>
      </w:r>
      <w:r w:rsidR="00984C6A">
        <w:fldChar w:fldCharType="separate"/>
      </w:r>
      <w:r w:rsidR="003E36BD" w:rsidRPr="003E36BD">
        <w:rPr>
          <w:rFonts w:ascii="Calibri" w:hAnsi="Calibri" w:cs="Calibri"/>
          <w:szCs w:val="24"/>
          <w:vertAlign w:val="superscript"/>
        </w:rPr>
        <w:t>26</w:t>
      </w:r>
      <w:r w:rsidR="00984C6A">
        <w:fldChar w:fldCharType="end"/>
      </w:r>
      <w:r w:rsidR="00984C6A">
        <w:t xml:space="preserve">, </w:t>
      </w:r>
      <w:r w:rsidR="00E71810">
        <w:t>cancer</w:t>
      </w:r>
      <w:r w:rsidR="00984C6A">
        <w:t xml:space="preserve"> </w:t>
      </w:r>
      <w:r w:rsidR="00984C6A">
        <w:fldChar w:fldCharType="begin"/>
      </w:r>
      <w:r w:rsidR="003E36BD">
        <w:instrText xml:space="preserve"> ADDIN ZOTERO_ITEM CSL_CITATION {"citationID":"XRrdsEsA","properties":{"formattedCitation":"\\super 27\\nosupersub{}","plainCitation":"27","noteIndex":0},"citationItems":[{"id":"Gpmhm9Fe/YijQoHwd","uris":["http://zotero.org/users/446899/items/YDJNGLIT"],"uri":["http://zotero.org/users/446899/items/YDJNGLIT"],"itemData":{"id":7458,"type":"article-journal","title":"The Obesity Paradox in Cancer: a Review","container-title":"Current Oncology Reports","page":"56","volume":"18","issue":"9","source":"Springer Link","abstract":"There is a common perception that excess adiposity, commonly approximated by body mass index (BMI), is associated with reduced cancer survival. A number of studies have emerged challenging this by demonstrating that overweight and early obese states are associated with improved survival. This finding is termed the “obesity paradox” and is well recognized in the cardio-metabolic literature but less so in oncology. Here, we summarize the epidemiological findings related to the obesity paradox in cancer. Our review highlights that many observations of the obesity paradox in cancer reflect methodological mechanisms including the crudeness of BMI as an obesity measure, confounding, detection bias, reverse causality, and a specific form of the selection bias, known as collider bias. It is imperative for the oncologist to interpret the observation of the obesity paradox against the above methodological framework and avoid the misinterpretation that being obese might be “good” or “protective” for cancer patients.","DOI":"10.1007/s11912-016-0539-4","ISSN":"1534-6269","shortTitle":"The Obesity Paradox in Cancer","journalAbbreviation":"Curr Oncol Rep","language":"en","author":[{"family":"Lennon","given":"Hannah"},{"family":"Sperrin","given":"Matthew"},{"family":"Badrick","given":"Ellena"},{"family":"Renehan","given":"Andrew G."}],"issued":{"date-parts":[["2016",7,30]]}}}],"schema":"https://github.com/citation-style-language/schema/raw/master/csl-citation.json"} </w:instrText>
      </w:r>
      <w:r w:rsidR="00984C6A">
        <w:fldChar w:fldCharType="separate"/>
      </w:r>
      <w:r w:rsidR="003E36BD" w:rsidRPr="003E36BD">
        <w:rPr>
          <w:rFonts w:ascii="Calibri" w:hAnsi="Calibri" w:cs="Calibri"/>
          <w:szCs w:val="24"/>
          <w:vertAlign w:val="superscript"/>
        </w:rPr>
        <w:t>27</w:t>
      </w:r>
      <w:r w:rsidR="00984C6A">
        <w:fldChar w:fldCharType="end"/>
      </w:r>
      <w:r w:rsidR="00F335F0">
        <w:t xml:space="preserve">, </w:t>
      </w:r>
      <w:r w:rsidR="00984C6A">
        <w:t xml:space="preserve">kidney disease </w:t>
      </w:r>
      <w:r w:rsidR="00984C6A">
        <w:fldChar w:fldCharType="begin"/>
      </w:r>
      <w:r w:rsidR="003E36BD">
        <w:instrText xml:space="preserve"> ADDIN ZOTERO_ITEM CSL_CITATION {"citationID":"jpyB9u80","properties":{"formattedCitation":"\\super 28\\nosupersub{}","plainCitation":"28","noteIndex":0},"citationItems":[{"id":"Gpmhm9Fe/HxdJ2tzS","uris":["http://zotero.org/users/446899/items/6YRWF9XY"],"uri":["http://zotero.org/users/446899/items/6YRWF9XY"],"itemData":{"id":7457,"type":"article-journal","title":"Obesity Paradox in End-Stage Kidney Disease Patients","container-title":"Progress in Cardiovascular Diseases","collection-title":"Obesity and Obesity Paradox in Cardiovascular Diseases","page":"415-425","volume":"56","issue":"4","source":"ScienceDirect","abstract":"In the general population, obesity is associated with increased cardiovascular risk and decreased survival. In patients with end-stage renal disease (ESRD), however, an “obesity paradox” or “reverse epidemiology” (to include lipid and hypertension paradoxes) has been consistently reported, i.e. a higher body mass index (BMI) is paradoxically associated with better survival. This survival advantage of large body size is relatively consistent for hemodialysis patients across racial and regional differences, although published results are mixed for peritoneal dialysis patients. Recent data indicate that both higher skeletal muscle mass and increased total body fat are protective, although there are mixed data on visceral (intra-abdominal) fat. The obesity paradox in ESRD is unlikely to be due to residual confounding alone and has biologic plausibility. Possible causes of the obesity paradox include protein-energy wasting and inflammation, time discrepancy among competitive risk factors (undernutrition versus overnutrition), hemodynamic stability, alteration of circulatory cytokines, sequestration of uremic toxin in adipose tissue, and endotoxin-lipoprotein interaction. The obesity paradox may have significant clinical implications in the management of ESRD patients especially if obese dialysis patients are forced to lose weight upon transplant wait-listing. Well-designed studies exploring the causes and consequences of the reverse epidemiology of cardiovascular risk factors, including the obesity paradox, among ESRD patients could provide more information on mechanisms. These could include controlled trials of nutritional and pharmacologic interventions to examine whether gain in lean body mass or even body fat can improve survival and quality of life in these patients.","DOI":"10.1016/j.pcad.2013.10.005","ISSN":"0033-0620","journalAbbreviation":"Progress in Cardiovascular Diseases","author":[{"family":"Park","given":"Jongha"},{"family":"Ahmadi","given":"Seyed-Foad"},{"family":"Streja","given":"Elani"},{"family":"Molnar","given":"Miklos Z."},{"family":"Flegal","given":"Katherine M."},{"family":"Gillen","given":"Daniel"},{"family":"Kovesdy","given":"Csaba P."},{"family":"Kalantar-Zadeh","given":"Kamyar"}],"issued":{"date-parts":[["2014",1,1]]}}}],"schema":"https://github.com/citation-style-language/schema/raw/master/csl-citation.json"} </w:instrText>
      </w:r>
      <w:r w:rsidR="00984C6A">
        <w:fldChar w:fldCharType="separate"/>
      </w:r>
      <w:r w:rsidR="003E36BD" w:rsidRPr="003E36BD">
        <w:rPr>
          <w:rFonts w:ascii="Calibri" w:hAnsi="Calibri" w:cs="Calibri"/>
          <w:szCs w:val="24"/>
          <w:vertAlign w:val="superscript"/>
        </w:rPr>
        <w:t>28</w:t>
      </w:r>
      <w:r w:rsidR="00984C6A">
        <w:fldChar w:fldCharType="end"/>
      </w:r>
      <w:r w:rsidR="00984C6A">
        <w:t>, and lung disease</w:t>
      </w:r>
      <w:r w:rsidR="008F6123">
        <w:t xml:space="preserve"> </w:t>
      </w:r>
      <w:r w:rsidR="008F6123">
        <w:fldChar w:fldCharType="begin"/>
      </w:r>
      <w:r w:rsidR="003E36BD">
        <w:instrText xml:space="preserve"> ADDIN ZOTERO_ITEM CSL_CITATION {"citationID":"fZdOVmpB","properties":{"formattedCitation":"\\super 29\\nosupersub{}","plainCitation":"29","noteIndex":0},"citationItems":[{"id":"Gpmhm9Fe/BrGzP92M","uris":["http://zotero.org/users/446899/items/FU9G8Y8C"],"uri":["http://zotero.org/users/446899/items/FU9G8Y8C"],"itemData":{"id":7456,"type":"article-journal","title":"Obesity Paradox: Does Fat Alter Outcomes in Chronic Obstructive Pulmonary Disease?","container-title":"COPD: Journal of Chronic Obstructive Pulmonary Disease","page":"14-18","volume":"12","issue":"1","source":"Taylor and Francis+NEJM","abstract":"The role of obesity and its influence on mortality in the general population has been well established. However, over the last decade, there has been substantial focus on the paradox that exists among the obese with various chronic diseases, where overweight and at least mild-moderately obese with these chronic diseases appear to have a better prognosis than do their leaner counterparts. Among them, congestive heart failure and coronary heart disease have received considerable attention. However, the influence of the obesity paradox on outcomes among patients with chronic obstructive pulmonary disease (COPD), including those requiring long-term oxygen therapy, has not been elucidated. This paper highlights the current research in this area and brings to light the lacunae that exists with regard to this paradox in COPD.","DOI":"10.3109/15412555.2014.915934","ISSN":"1541-2555","shortTitle":"Obesity Paradox","author":[{"family":"Chittal","given":"Prerana"},{"family":"Babu","given":"Abraham Samuel"},{"family":"Lavie","given":"Carl J."}],"issued":{"date-parts":[["2015",1,2]]}}}],"schema":"https://github.com/citation-style-language/schema/raw/master/csl-citation.json"} </w:instrText>
      </w:r>
      <w:r w:rsidR="008F6123">
        <w:fldChar w:fldCharType="separate"/>
      </w:r>
      <w:r w:rsidR="003E36BD" w:rsidRPr="003E36BD">
        <w:rPr>
          <w:rFonts w:ascii="Calibri" w:hAnsi="Calibri" w:cs="Calibri"/>
          <w:szCs w:val="24"/>
          <w:vertAlign w:val="superscript"/>
        </w:rPr>
        <w:t>29</w:t>
      </w:r>
      <w:r w:rsidR="008F6123">
        <w:fldChar w:fldCharType="end"/>
      </w:r>
      <w:r w:rsidR="00984C6A">
        <w:t xml:space="preserve">, </w:t>
      </w:r>
      <w:r w:rsidR="00F335F0">
        <w:t xml:space="preserve">whereby patients who carry excess weight have better outcomes than those with a normal-weight BMI. </w:t>
      </w:r>
      <w:r w:rsidR="005F7D84">
        <w:t xml:space="preserve">It has also been suggested that stress related to negative body image perception may have a causal role in the development of poor health </w:t>
      </w:r>
      <w:r w:rsidR="005F7D84">
        <w:fldChar w:fldCharType="begin"/>
      </w:r>
      <w:r w:rsidR="003E36BD">
        <w:instrText xml:space="preserve"> ADDIN ZOTERO_ITEM CSL_CITATION {"citationID":"ehuBrwCL","properties":{"formattedCitation":"\\super 30\\nosupersub{}","plainCitation":"30","noteIndex":0},"citationItems":[{"id":"Gpmhm9Fe/ZT4QicJT","uris":["http://zotero.org/users/446899/items/KSZPDK7K"],"uri":["http://zotero.org/users/446899/items/KSZPDK7K"],"itemData":{"id":7459,"type":"article-journal","title":"I Think Therefore I Am: Perceived Ideal Weight as a Determinant of Health","container-title":"American Journal of Public Health","page":"501-506","volume":"98","issue":"3","source":"ajph.aphapublications.org (Atypon)","abstract":"Objectives. We examined whether stress related to negative body image perception and the desire to lose weight explained some of the body mass index–health gradient.Methods. We used 2003 Behavioral Risk Factor Surveillance System data to examine the impact of desired body weight, independent of actual body mass index, on the amount of physically and mentally unhealthy days by race, ethnicity, and gender.Results. The difference between actual and desired body weight was a stronger predictor than was body mass index (BMI) of mental and physical health. When we controlled for BMI and age, men who wished to lose 1%, 10%, and 20% of their body weight respectively suffered a net increase of 0.1, 0.9, and 2.7 unhealthy days per month relative to those who were happy with their weight. For women, the corresponding numbers were 0.1, 1.6, and 4.3 unhealthy days per month. The desire to lose weight was more predictive of unhealthy days among women than among men and among Whites than among Blacks or Hispanics.Conclusions. Our results raise the possibility that some of the health effects of the obesity epidemic are related to the way we see our bodies.","DOI":"10.2105/AJPH.2007.114769","ISSN":"0090-0036","shortTitle":"I Think Therefore I Am","journalAbbreviation":"Am J Public Health","author":[{"family":"Muennig","given":"Peter"},{"family":"Jia","given":"Haomiao"},{"family":"Lee","given":"Rufina"},{"family":"Lubetkin","given":"Erica"}],"issued":{"date-parts":[["2008",3,1]]}}}],"schema":"https://github.com/citation-style-language/schema/raw/master/csl-citation.json"} </w:instrText>
      </w:r>
      <w:r w:rsidR="005F7D84">
        <w:fldChar w:fldCharType="separate"/>
      </w:r>
      <w:r w:rsidR="003E36BD" w:rsidRPr="003E36BD">
        <w:rPr>
          <w:rFonts w:ascii="Calibri" w:hAnsi="Calibri" w:cs="Calibri"/>
          <w:szCs w:val="24"/>
          <w:vertAlign w:val="superscript"/>
        </w:rPr>
        <w:t>30</w:t>
      </w:r>
      <w:r w:rsidR="005F7D84">
        <w:fldChar w:fldCharType="end"/>
      </w:r>
      <w:r w:rsidR="005F7D84">
        <w:t xml:space="preserve">. An alternative explanation is that the association between poorer self-rated health and increased likelihood of feeling too light might </w:t>
      </w:r>
      <w:r w:rsidR="00AF18AA">
        <w:t xml:space="preserve">be </w:t>
      </w:r>
      <w:r w:rsidR="001B791C">
        <w:t xml:space="preserve">secondary to illness. Older people with serious chronic illnesses often </w:t>
      </w:r>
      <w:proofErr w:type="gramStart"/>
      <w:r w:rsidR="001B791C">
        <w:t>lose</w:t>
      </w:r>
      <w:proofErr w:type="gramEnd"/>
      <w:r w:rsidR="001B791C">
        <w:t xml:space="preserve"> weight, so the fact they think they are too light might be a reflection of this concern.</w:t>
      </w:r>
    </w:p>
    <w:p w14:paraId="15FEE76D" w14:textId="77777777" w:rsidR="005B7F3F" w:rsidRDefault="005B7F3F" w:rsidP="005B7F3F">
      <w:r>
        <w:t>At the upper end of the weight spectrum, health status was less strongly associated with weight perceptions, with no significant association observed between self-rated health and perception of weight as about right among those with an overweight or obese BMI. However, men with a BMI in the overweight range who had at least one comorbid condition had significantly lower odds of feeling their weight was about right than those who were free of comorbidities, suggesting that experiencing an associated health problem may make men more likely to recognise their overweight (albeit still less likely than women with or without a health condition).</w:t>
      </w:r>
    </w:p>
    <w:p w14:paraId="16697FAF" w14:textId="3E97137F" w:rsidR="00420839" w:rsidRDefault="00D4763E" w:rsidP="0040471C">
      <w:r w:rsidRPr="00BF1761">
        <w:t>Taken together, these findings</w:t>
      </w:r>
      <w:r w:rsidR="005E6F01" w:rsidRPr="00BF1761">
        <w:t xml:space="preserve"> </w:t>
      </w:r>
      <w:r w:rsidR="00F57627">
        <w:t xml:space="preserve">suggest that the discrepancy between perceived weight status and BMI-based definitions of weight status is greater among people who are older or in poorer health. </w:t>
      </w:r>
      <w:r w:rsidR="00B01CD6">
        <w:t xml:space="preserve">The </w:t>
      </w:r>
      <w:r w:rsidR="00C70EF0">
        <w:t>appropriateness</w:t>
      </w:r>
      <w:r w:rsidR="00B01CD6">
        <w:t xml:space="preserve"> of conventional BMI definitions of weight status </w:t>
      </w:r>
      <w:r w:rsidR="00C70EF0">
        <w:t>for</w:t>
      </w:r>
      <w:r w:rsidR="00B01CD6">
        <w:t xml:space="preserve"> older </w:t>
      </w:r>
      <w:r w:rsidR="00C70EF0">
        <w:t>people is an issue of ongoing debate in the literature</w:t>
      </w:r>
      <w:r w:rsidR="0040471C">
        <w:t xml:space="preserve"> </w:t>
      </w:r>
      <w:r w:rsidR="009B70A2">
        <w:fldChar w:fldCharType="begin"/>
      </w:r>
      <w:r w:rsidR="003E36BD">
        <w:instrText xml:space="preserve"> ADDIN ZOTERO_ITEM CSL_CITATION {"citationID":"aW65FKOk","properties":{"formattedCitation":"\\super 31\\uc0\\u8211{}35\\nosupersub{}","plainCitation":"31–35","noteIndex":0},"citationItems":[{"id":"Gpmhm9Fe/qMgPitSp","uris":["http://zotero.org/users/446899/items/FXFDPCZB"],"uri":["http://zotero.org/users/446899/items/FXFDPCZB"],"itemData":{"id":7824,"type":"article-journal","title":"At which body mass index and degree of weight loss should hospitalized elderly patients be considered at nutritional risk?","container-title":"Clinical Nutrition (Edinburgh, Scotland)","page":"195-198","volume":"17","issue":"5","source":"PubMed","abstract":"The Subjective Global Assessment, the Nutrition Risk Score and a Danish counterpart are simple screening methods to detect patients at risk of nutrition-related complications. The cut-off points used in the screening are a body mass index (BMI) less than 20 kg/m2 (18. 5 kg/m2 in the Danish version) and weight loss more than 5% during the last 1-6 months - regardless of age. This review of the literature indicates that the optimal range of BMI for elderly people is increasing from 20 to 25 kg/m2 to 24-29 kg/m2. It also suggests that a clinically significant weight loss for the elderly is around 5% annually, less than in younger age groups. And finally, even though intervention studies have shown an overall positive effect of nutritional support of the elderly patients, there seems to be a high percentage of the old, especially those initially malnourished, who will not benefit from the support. The conclusion is that other cut-off points should be used for the elderly (65+ years) patients, i.e. BMI less than 24 kg/m2 or any degree of weight loss. This means that nutritional support will be initiated in time to reduce the nutrition related complications.","ISSN":"0261-5614","note":"PMID: 10205338","journalAbbreviation":"Clin Nutr","language":"eng","author":[{"family":"Beck","given":"A. M."},{"family":"Ovesen","given":"L."}],"issued":{"date-parts":[["1998",10]]}}},{"id":"Gpmhm9Fe/KuvOe1X7","uris":["http://zotero.org/users/446899/items/S5PK9IBQ"],"uri":["http://zotero.org/users/446899/items/S5PK9IBQ"],"itemData":{"id":7823,"type":"article-journal","title":"Obesity screening in older women with the body mass index: A receiver operating characteristic (ROC) analysis","container-title":"Science &amp; Sports","page":"212-219","volume":"15","issue":"4","source":"ScienceDirect","abstract":"Summary\nPurposes Materials and Methods Results Conclusion\nRésumé\nObjectifs Matériels et méthodes Résultats Conclusion","DOI":"10.1016/S0765-1597(00)80008-8","ISSN":"0765-1597","shortTitle":"Obesity screening in older women with the body mass index","journalAbbreviation":"Science &amp; Sports","author":[{"family":"Sardinha","given":"L. B."},{"family":"Teixeira","given":"P. J."}],"issued":{"date-parts":[["2000",7,1]]}}},{"id":"Gpmhm9Fe/drQlL8IZ","uris":["http://zotero.org/users/446899/items/GBWNPBT7"],"uri":["http://zotero.org/users/446899/items/GBWNPBT7"],"itemData":{"id":7826,"type":"article-journal","title":"Use of BMI in the assessment of undernutrition in older subjects: reflecting on practice","container-title":"Proceedings of the Nutrition Society","page":"313-317","volume":"64","issue":"3","source":"Cambridge Core","abstract":"In recent years there has been a proliferation of nutrition screening tools but undernutrition remains prevalent amongst older subjects. Screening tools commonly include BMI as the widely-accepted ‘gold standard’ indicator of malnutrition. Whilst BMI may be an appropriate tool for population studies when it can be measured accurately in research conditions, the use of BMI in clinical practice may mask important weight changes and result in a failure to alert healthcare staff to a nutritional problem. The inclusion of BMI has been identified as a barrier to completing the screening process at ward level. Also, feedback from dietitians working with older subjects indicates that 72.5% of those using BMI express concerns that it is of limited use for practical reasons or that the reference range (20–25 kg/m2) is not appropriate to older subjects. Further evidence questions whether or not BMI is applicable for inclusion in methods used to identify an older subject at risk of undernutrition in a variety of care settings. In view of these findings it is advocated that weight change over a period of time together with clinical judgement is a far superior prognostic indicator of undernutrition. Despite screening, there is evidence that inpatients continue to lose weight before discharge. Further experiential evidence from both community and ward settings suggests that inadequacies in care planning, food provision and a lack of assistance with feeding are common. In order to improve the management of undernutrition in older subjects it is therefore recommended that the focus of attention should be on addressing these practical issues and on the effective monitoring of these processes.","DOI":"10.1079/PNS2005437","ISSN":"1475-2719, 0029-6651","shortTitle":"Use of BMI in the assessment of undernutrition in older subjects","language":"en","author":[{"family":"Cook","given":"Z."},{"family":"Kirk","given":"S."},{"family":"Lawrenson","given":"S."},{"family":"Sandford","given":"S."}],"issued":{"date-parts":[["2005",8]]}}},{"id":"Gpmhm9Fe/esvYSLI8","uris":["http://zotero.org/users/446899/items/PX4BTELV"],"uri":["http://zotero.org/users/446899/items/PX4BTELV"],"itemData":{"id":7821,"type":"article-journal","title":"Sensitivity and specificity of the body mass index for the diagnosis of overweight/obesity in elderly","container-title":"Cadernos de Saúde Pública","page":"1519-1527","volume":"26","source":"SciELO","abstract":"The aim of this article was to verify the sensitivity and specificity of the body mass index (BMI) cut-off points proposed by the World Health Organization (WHO) and the Nutrition Screening Initiative (NSI) for the diagnosis of obesity in the elderly. A cross-sectional study was made with 180 healthy elderly subjects from Florianópolis, Santa Catarina State, Brazil. Body fat percentage (%BF) was determined using DEXA (dual energy X-ray absorptiometry). The BMI cut-off point of the NSI offers better sensitivity and specificity for men (73.7% and 72.5% respectively). For women, the lower the cut-off point the better the sensitivity, with a BMI of 25kg/m² (sensitivity of 76.3% and specificity of 100%) being the most accurate for diagnosing obesity in elderly women. The WHO cut-off point offered very low sensitivity (28.9%). The results of this investigation lead to the conclusion that the cut-off points proposed by the WHO and the ones adopted by the NSI and by Lipschitz are not good indicators of obesity for the elderly of either sex, since they offer low sensitivity.","DOI":"10.1590/S0102-311X2010000800006","ISSN":"0102-311X, 0102-311X, 1678-4464","journalAbbreviation":"Cad. Saúde Pública","language":"en","author":[{"family":"Vasconcelos","given":"Francisco de Assis Guedes","dropping-particle":"de"},{"family":"Cordeiro","given":"Braian Alves"},{"family":"Rech","given":"Cassiano Ricardo"},{"family":"Petroski","given":"Edio Luiz"}],"issued":{"date-parts":[["2010",8]]}}},{"id":"Gpmhm9Fe/yNGUommp","uris":["http://zotero.org/users/446899/items/ZVJ5T9PD"],"uri":["http://zotero.org/users/446899/items/ZVJ5T9PD"],"itemData":{"id":7418,"type":"article-journal","title":"The Obesity Paradox in the Elderly: Potential Mechanisms and Clinical Implications","container-title":"Clinics in Geriatric Medicine","page":"643-659","volume":"25","issue":"4","source":"www.geriatric.theclinics.com","abstract":"The prevalence of overweight and obesity in the elderly has become a growing concern.\nRecent evidence indicates that in the elderly, obesity is paradoxically associated\nwith a lower, not higher, mortality risk. Although obesity in the general adult population\nis associated with higher mortality, this relationship is unclear for persons of advanced\nage and has lead to great controversy regarding the relationship between obesity and\nmortality in the elderly, the definition of obesity in the elderly, and the need for\nits treatment in this population. This article examines the evidence on these controversial\nissues, explores potential explanations for these findings, discusses the clinical\nimplications, and provides recommendations for further research in this area.","DOI":"10.1016/j.cger.2009.07.005","ISSN":"0749-0690, 1879-8853","note":"PMID: 19944265","shortTitle":"The Obesity Paradox in the Elderly","journalAbbreviation":"Clinics in Geriatric Medicine","language":"English","author":[{"family":"Oreopoulos","given":"Antigone"},{"family":"Kalantar-Zadeh","given":"Kamyar"},{"family":"Sharma","given":"Arya M."},{"family":"Fonarow","given":"Gregg C."}],"issued":{"date-parts":[["2009",11,1]]}}}],"schema":"https://github.com/citation-style-language/schema/raw/master/csl-citation.json"} </w:instrText>
      </w:r>
      <w:r w:rsidR="009B70A2">
        <w:fldChar w:fldCharType="separate"/>
      </w:r>
      <w:r w:rsidR="003E36BD" w:rsidRPr="003E36BD">
        <w:rPr>
          <w:rFonts w:ascii="Calibri" w:hAnsi="Calibri" w:cs="Calibri"/>
          <w:szCs w:val="24"/>
          <w:vertAlign w:val="superscript"/>
        </w:rPr>
        <w:t>31–35</w:t>
      </w:r>
      <w:r w:rsidR="009B70A2">
        <w:fldChar w:fldCharType="end"/>
      </w:r>
      <w:r w:rsidR="00252513" w:rsidRPr="00BF1761">
        <w:t>.</w:t>
      </w:r>
      <w:r w:rsidR="00915C4F" w:rsidRPr="00BF1761">
        <w:t xml:space="preserve"> </w:t>
      </w:r>
      <w:r w:rsidR="003D74A4" w:rsidRPr="005A6F5D">
        <w:t xml:space="preserve">Currently, guidance issued by </w:t>
      </w:r>
      <w:r w:rsidR="003E1BE6" w:rsidRPr="005A6F5D">
        <w:t xml:space="preserve">official bodies such as the UK National Health Service </w:t>
      </w:r>
      <w:r w:rsidR="005A6F5D" w:rsidRPr="005A6F5D">
        <w:fldChar w:fldCharType="begin"/>
      </w:r>
      <w:r w:rsidR="003E36BD">
        <w:instrText xml:space="preserve"> ADDIN ZOTERO_ITEM CSL_CITATION {"citationID":"oRLZ79zb","properties":{"formattedCitation":"\\super 36\\nosupersub{}","plainCitation":"36","noteIndex":0},"citationItems":[{"id":"Gpmhm9Fe/RKTDgaRv","uris":["http://zotero.org/users/446899/items/J7YG5YV2"],"uri":["http://zotero.org/users/446899/items/J7YG5YV2"],"itemData":{"id":7454,"type":"webpage","title":"Healthy weight","container-title":"nhs.uk","abstract":"Check your BMI using our healthy weight calculator and find out if you're a healthy weight","URL":"https://www.nhs.uk/live-well/healthy-weight/","language":"en","author":[{"family":"NHS Digital","given":""}],"issued":{"date-parts":[["2019",3,17]]},"accessed":{"date-parts":[["2019",3,17]]}}}],"schema":"https://github.com/citation-style-language/schema/raw/master/csl-citation.json"} </w:instrText>
      </w:r>
      <w:r w:rsidR="005A6F5D" w:rsidRPr="005A6F5D">
        <w:fldChar w:fldCharType="separate"/>
      </w:r>
      <w:r w:rsidR="003E36BD" w:rsidRPr="003E36BD">
        <w:rPr>
          <w:rFonts w:ascii="Calibri" w:hAnsi="Calibri" w:cs="Calibri"/>
          <w:szCs w:val="24"/>
          <w:vertAlign w:val="superscript"/>
        </w:rPr>
        <w:t>36</w:t>
      </w:r>
      <w:r w:rsidR="005A6F5D" w:rsidRPr="005A6F5D">
        <w:fldChar w:fldCharType="end"/>
      </w:r>
      <w:r w:rsidR="005A6F5D" w:rsidRPr="005A6F5D">
        <w:t xml:space="preserve"> </w:t>
      </w:r>
      <w:r w:rsidR="003E1BE6" w:rsidRPr="005A6F5D">
        <w:t xml:space="preserve">and US </w:t>
      </w:r>
      <w:proofErr w:type="spellStart"/>
      <w:r w:rsidR="003E1BE6" w:rsidRPr="005A6F5D">
        <w:t>Centers</w:t>
      </w:r>
      <w:proofErr w:type="spellEnd"/>
      <w:r w:rsidR="003E1BE6" w:rsidRPr="005A6F5D">
        <w:t xml:space="preserve"> for Disease Control and Prevention</w:t>
      </w:r>
      <w:r w:rsidR="003D74A4" w:rsidRPr="005A6F5D">
        <w:t xml:space="preserve"> </w:t>
      </w:r>
      <w:r w:rsidR="005A6F5D" w:rsidRPr="005A6F5D">
        <w:fldChar w:fldCharType="begin"/>
      </w:r>
      <w:r w:rsidR="003E36BD">
        <w:instrText xml:space="preserve"> ADDIN ZOTERO_ITEM CSL_CITATION {"citationID":"JLiYxHRX","properties":{"formattedCitation":"\\super 37\\nosupersub{}","plainCitation":"37","noteIndex":0},"citationItems":[{"id":"Gpmhm9Fe/cbsgoyWt","uris":["http://zotero.org/users/446899/items/Q7DVINVD"],"uri":["http://zotero.org/users/446899/items/Q7DVINVD"],"itemData":{"id":7455,"type":"webpage","title":"Assessing Your Weight | Healthy Weight","abstract":"A high amount of body fat can lead to weight-related diseases and other health issues and being underweight can also put one at risk for health issues. Learn more.","URL":"https://www.cdc.gov/healthyweight/assessing/index.html","language":"en-us","author":[{"family":"Centers for Disease Control and Prevention","given":""}],"issued":{"date-parts":[["2019",3,6]]},"accessed":{"date-parts":[["2019",3,17]]}}}],"schema":"https://github.com/citation-style-language/schema/raw/master/csl-citation.json"} </w:instrText>
      </w:r>
      <w:r w:rsidR="005A6F5D" w:rsidRPr="005A6F5D">
        <w:fldChar w:fldCharType="separate"/>
      </w:r>
      <w:r w:rsidR="003E36BD" w:rsidRPr="003E36BD">
        <w:rPr>
          <w:rFonts w:ascii="Calibri" w:hAnsi="Calibri" w:cs="Calibri"/>
          <w:szCs w:val="24"/>
          <w:vertAlign w:val="superscript"/>
        </w:rPr>
        <w:t>37</w:t>
      </w:r>
      <w:r w:rsidR="005A6F5D" w:rsidRPr="005A6F5D">
        <w:fldChar w:fldCharType="end"/>
      </w:r>
      <w:r w:rsidR="005A6F5D" w:rsidRPr="005A6F5D">
        <w:t xml:space="preserve"> </w:t>
      </w:r>
      <w:r w:rsidR="003D74A4" w:rsidRPr="005A6F5D">
        <w:t xml:space="preserve">does not differ </w:t>
      </w:r>
      <w:r w:rsidR="009040A1">
        <w:t>according to</w:t>
      </w:r>
      <w:r w:rsidR="003D74A4" w:rsidRPr="005A6F5D">
        <w:t xml:space="preserve"> age group</w:t>
      </w:r>
      <w:r w:rsidR="005B3AB3" w:rsidRPr="005A6F5D">
        <w:t xml:space="preserve"> or health status.</w:t>
      </w:r>
      <w:r w:rsidR="002360B9">
        <w:t xml:space="preserve"> However, many health professionals are reluctant to recommend weight loss for older patients </w:t>
      </w:r>
      <w:r w:rsidR="00A149AE">
        <w:t>with an overweight BMI</w:t>
      </w:r>
      <w:r w:rsidR="00AA3F4F">
        <w:t xml:space="preserve"> </w:t>
      </w:r>
      <w:r w:rsidR="004A03FC">
        <w:fldChar w:fldCharType="begin"/>
      </w:r>
      <w:r w:rsidR="003E36BD">
        <w:instrText xml:space="preserve"> ADDIN ZOTERO_ITEM CSL_CITATION {"citationID":"2ipTK2Ca","properties":{"formattedCitation":"\\super 38,39\\nosupersub{}","plainCitation":"38,39","noteIndex":0},"citationItems":[{"id":"Gpmhm9Fe/0nokUF9l","uris":["http://zotero.org/users/446899/items/49IKXD5I"],"uri":["http://zotero.org/users/446899/items/49IKXD5I"],"itemData":{"id":1447,"type":"article-journal","title":"Weighty Concerns: The Growing Prevalence of Obesity among Older Adults","container-title":"Journal of the American Dietetic Association","page":"1886-1895","volume":"109","issue":"11","source":"ScienceDirect","abstract":"The prevalence of obesity among older adults has increased during the past 20 years and will affect both medical and social services. Along with an increased risk of cardiovascular disease, diabetes, and several cancers, obesity is associated with increased risk of physical and cognitive disability. However, relatively little attention has been given to the issue of weight management among community-dwelling older adults. Intentional weight loss in obese older adults has not been widely advocated by health care providers due to the uncertainty of whether the benefits outweigh the risks. Limited data in older adults show that intentional weight loss is effective in improving diabetes, cardiovascular risk factors, and physical function. This review describes the changes in body composition associated with aging, the consequences of obesity in older adults, and the effect of intentional weight loss on chronic disease risk factors and physical function. Recommendations for weight loss in obese older adults that minimize the likelihood of adverse effects on muscle mass, bone density, or other aspects of nutritional status are reviewed. Specific recommendations for macronutrient intake, in particular protein, and selected micronutrients, vitamin D and B-12, as well as dietary fiber, and fluid intake as part of a hypocaloric diet and recommendations for physical activity are described. As part of the health professionals team, dietetics practitioners need to be able to guide and manage weight loss treatment options on an individual basis by evaluating the potential benefits against the potential risks in obese older adults.","DOI":"10.1016/j.jada.2009.08.014","ISSN":"0002-8223","shortTitle":"Weighty Concerns","journalAbbreviation":"Journal of the American Dietetic Association","author":[{"family":"Houston","given":"Denise K."},{"family":"Nicklas","given":"Barbara J."},{"family":"Zizza","given":"Claire A."}],"issued":{"date-parts":[["2009",11]]}}},{"id":"Gpmhm9Fe/5M9MOGzx","uris":["http://zotero.org/users/446899/items/DAJHNRPE"],"uri":["http://zotero.org/users/446899/items/DAJHNRPE"],"itemData":{"id":116,"type":"article","title":"U.S. Congressional Research Service: obesity among older Americans","publisher":"CRS Report for Congress","abstract":"LegiStorm provides full-text access to thousands of congressional reports, including most Congressional Research Service reports.","URL":"http://www.legistorm.com/score_crs/show/id/104646.html","author":[{"family":"Sommers","given":"A"}],"issued":{"date-parts":[["2011"]]},"accessed":{"date-parts":[["2013",4,18]]}}}],"schema":"https://github.com/citation-style-language/schema/raw/master/csl-citation.json"} </w:instrText>
      </w:r>
      <w:r w:rsidR="004A03FC">
        <w:fldChar w:fldCharType="separate"/>
      </w:r>
      <w:r w:rsidR="003E36BD" w:rsidRPr="003E36BD">
        <w:rPr>
          <w:rFonts w:ascii="Calibri" w:hAnsi="Calibri" w:cs="Calibri"/>
          <w:szCs w:val="24"/>
          <w:vertAlign w:val="superscript"/>
        </w:rPr>
        <w:t>38,39</w:t>
      </w:r>
      <w:r w:rsidR="004A03FC">
        <w:fldChar w:fldCharType="end"/>
      </w:r>
      <w:r w:rsidR="00A149AE">
        <w:t xml:space="preserve"> and t</w:t>
      </w:r>
      <w:r w:rsidR="00986EEA">
        <w:t>here have been calls to reconsider the standards for ideal weight at older ages and develop age-specific recommendations</w:t>
      </w:r>
      <w:r w:rsidR="004A03FC">
        <w:t xml:space="preserve"> </w:t>
      </w:r>
      <w:r w:rsidR="008E4325">
        <w:fldChar w:fldCharType="begin"/>
      </w:r>
      <w:r w:rsidR="003E36BD">
        <w:instrText xml:space="preserve"> ADDIN ZOTERO_ITEM CSL_CITATION {"citationID":"486olHyQ","properties":{"formattedCitation":"\\super 40\\uc0\\u8211{}42\\nosupersub{}","plainCitation":"40–42","noteIndex":0},"citationItems":[{"id":"Gpmhm9Fe/09mShQCw","uris":["http://zotero.org/users/446899/items/V49HE9PS"],"uri":["http://zotero.org/users/446899/items/V49HE9PS"],"itemData":{"id":605,"type":"article-journal","title":"Impact of age on weight goals","container-title":"Annals of Internal Medicine","page":"1030-1033","volume":"103","issue":"6 ( Pt 2)","source":"NCBI PubMed","abstract":"Although the health hazards due to excessive obesity and excessive leanness are multiple and diverse, weight recommendations for over 40 years have been based solely on the risk of dying. The weight recommendation tables in nearly universal usage have been derived from the experience of the life insurance industry. Those tables have not recommended any weight adjustments for age. An analysis of the actuarial data on which the most recent tables are based shows that minimal mortality occurs at progressively increasing body weight as age advances (20 to 29, through 60 to 69 years). There is, furthermore, no systematic sex difference in those weights. We have prepared height-weight tables that are age-specific and delete sex and body frame type as variables. These weight standards are lower for young adults and higher for older adults than those previously recommended. A review of 23 other reported populations confirms the need to adjust weight standards for age.","ISSN":"0003-4819","note":"PMID: 4062119","journalAbbreviation":"Ann. Intern. Med.","author":[{"family":"Andres","given":"R"},{"family":"Elahi","given":"D"},{"family":"Tobin","given":"J D"},{"family":"Muller","given":"D C"},{"family":"Brant","given":"L"}],"issued":{"date-parts":[["1985",12]]}}},{"id":"Gpmhm9Fe/gcHxANip","uris":["http://zotero.org/users/446899/items/PE4QCCX6"],"uri":["http://zotero.org/users/446899/items/PE4QCCX6"],"itemData":{"id":7453,"type":"article-journal","title":"Impact of Age on Definition of Standards for Ideal Weight","container-title":"Preventive Cardiology","page":"104-107","volume":"6","issue":"2","source":"Wiley Online Library","abstract":"There has been an ongoing debate regarding the impact of age while establishing standards for ideal weight. Based on current federal guidelines released by the National Heart, Lung, and Blood Institute, ideal weight is defined as a body mass index between 18.7–24.9 for all adults regardless of age. However, studies failed to show a positive association between overweight—as defined by the current guidelines—and all-cause and cardiovascular mortality in individuals 65 years and older. Data suggest that optimum body mass index tended to be higher for older adults compared with the young and middle-aged population, and interestingly, being heavier than recommended by the current guidelines resulted in the lowest mortality rates. Therefore, allocation of time and resources for weight reduction interventions among the mild- to moderately-overweight elderly is not advisable. To establish standards for ideal weight, future guidelines should consider age-specific recommendations that reflect the results of recent studies.","DOI":"10.1111/j.1520-037X.2003.01046.x","ISSN":"1751-7141","language":"en","author":[{"family":"Heiat","given":"Asefeh"}],"issued":{"date-parts":[["2003"]]}}},{"id":"Gpmhm9Fe/Jyrwl63i","uris":["http://zotero.org/users/446899/items/7GCH83RX"],"uri":["http://zotero.org/users/446899/items/7GCH83RX"],"itemData":{"id":459,"type":"article-journal","title":"Scoping review report: obesity in older adults","container-title":"International Journal of Obesity","source":"www.nature.com","abstract":"Obesity is associated with an increased risk for early death, heart disease and stroke, disability and several other comorbidities. Although there is concern about the potential burden on health-care services with the aging demographic and the increasing trend of obesity prevalence in older adults, evidence on which to base management strategies is conflicting for various reasons. The analytic framework for this review is based on a scoping review methodology, and was conducted to examine what is known about the diagnosis, treatment and management of obesity in older adults. A total of 492 relevant research articles were identified using PubMed, Scirus, EBSCO, Clinicaltrials.gov, Cochrane Reviews and Google Scholar. The findings of this review indicate that the current WHO (World Health Organization)-recommended body mass index, waist circumference and waist-to-hip ratio obesity thresholds for the general adult population may not be appropriate for older adults. Alternatively, weight change or physical fitness may be more useful measures of mortality and health risk in obese older adults. Furthermore, although obesity in older adults is associated with several disorders that increase functional disability, epidemiological evidence suggests that obesity is protective against mortality in seniors. Consequently, the trend toward increasing prevalence of obesity in older adults will lead to an increase in unhealthy life years and health-care costs. The findings from this review also suggest that treatment strategies for obese older adults should focus on maintaining body weight and improving physical fitness and function rather than weight loss, and that a combination of aerobic and resistance exercise appears to be the most effective strategy. In conclusion, this review demonstrates the need for more research to clarify the definition of obesity in older adults, to establish criteria for evaluating when to treat older adults for obesity, and to develop effective treatment strategies focused on functional outcomes in obese older adults.","URL":"http://www.nature.com/ijo/journal/vaop/ncurrent/full/ijo201229a.html","DOI":"10.1038/ijo.2012.29","ISSN":"0307-0565","shortTitle":"Scoping review report","language":"en","author":[{"family":"DeCaria","given":"J. E."},{"family":"Sharp","given":"C."},{"family":"Petrella","given":"R. J."}],"issued":{"date-parts":[["2012",3,13]]},"accessed":{"date-parts":[["2012",8,24]]}}}],"schema":"https://github.com/citation-style-language/schema/raw/master/csl-citation.json"} </w:instrText>
      </w:r>
      <w:r w:rsidR="008E4325">
        <w:fldChar w:fldCharType="separate"/>
      </w:r>
      <w:r w:rsidR="003E36BD" w:rsidRPr="003E36BD">
        <w:rPr>
          <w:rFonts w:ascii="Calibri" w:hAnsi="Calibri" w:cs="Calibri"/>
          <w:szCs w:val="24"/>
          <w:vertAlign w:val="superscript"/>
        </w:rPr>
        <w:t>40–42</w:t>
      </w:r>
      <w:r w:rsidR="008E4325">
        <w:fldChar w:fldCharType="end"/>
      </w:r>
      <w:r w:rsidR="002360B9">
        <w:t>.</w:t>
      </w:r>
      <w:r w:rsidR="009040A1">
        <w:t xml:space="preserve"> The present results </w:t>
      </w:r>
      <w:r w:rsidR="0040471C">
        <w:t xml:space="preserve">show that for </w:t>
      </w:r>
      <w:proofErr w:type="gramStart"/>
      <w:r w:rsidR="0040471C">
        <w:t>the majority of</w:t>
      </w:r>
      <w:proofErr w:type="gramEnd"/>
      <w:r w:rsidR="0040471C">
        <w:t xml:space="preserve"> older people, weight perceptions map onto BMI definitions of weight status.</w:t>
      </w:r>
      <w:r w:rsidR="003A2330">
        <w:t xml:space="preserve"> Further research is needed to establish whether for the remainder, the mismatch between perceived weight and BMI status represents a lack of awareness of ‘healthy’ weight, preference for higher weight in older age, or reflects a genuine biological advantage to being heavier in older age (the so-called ‘obesity paradox’</w:t>
      </w:r>
      <w:r w:rsidR="003E36BD">
        <w:t xml:space="preserve"> </w:t>
      </w:r>
      <w:r w:rsidR="003E36BD">
        <w:fldChar w:fldCharType="begin"/>
      </w:r>
      <w:r w:rsidR="003E36BD">
        <w:instrText xml:space="preserve"> ADDIN ZOTERO_ITEM CSL_CITATION {"citationID":"Bu1qRDIp","properties":{"formattedCitation":"\\super 35\\nosupersub{}","plainCitation":"35","noteIndex":0},"citationItems":[{"id":"Gpmhm9Fe/yNGUommp","uris":["http://zotero.org/users/446899/items/ZVJ5T9PD"],"uri":["http://zotero.org/users/446899/items/ZVJ5T9PD"],"itemData":{"id":"Gpmhm9Fe/yNGUommp","type":"article-journal","title":"The Obesity Paradox in the Elderly: Potential Mechanisms and Clinical Implications","container-title":"Clinics in Geriatric Medicine","page":"643-659","volume":"25","issue":"4","source":"www.geriatric.theclinics.com","abstract":"The prevalence of overweight and obesity in the elderly has become a growing concern.\nRecent evidence indicates that in the elderly, obesity is paradoxically associated\nwith a lower, not higher, mortality risk. Although obesity in the general adult population\nis associated with higher mortality, this relationship is unclear for persons of advanced\nage and has lead to great controversy regarding the relationship between obesity and\nmortality in the elderly, the definition of obesity in the elderly, and the need for\nits treatment in this population. This article examines the evidence on these controversial\nissues, explores potential explanations for these findings, discusses the clinical\nimplications, and provides recommendations for further research in this area.","DOI":"10.1016/j.cger.2009.07.005","ISSN":"0749-0690, 1879-8853","note":"PMID: 19944265","shortTitle":"The Obesity Paradox in the Elderly","journalAbbreviation":"Clinics in Geriatric Medicine","language":"English","author":[{"family":"Oreopoulos","given":"Antigone"},{"family":"Kalantar-Zadeh","given":"Kamyar"},{"family":"Sharma","given":"Arya M."},{"family":"Fonarow","given":"Gregg C."}],"issued":{"date-parts":[["2009",11,1]]}}}],"schema":"https://github.com/citation-style-language/schema/raw/master/csl-citation.json"} </w:instrText>
      </w:r>
      <w:r w:rsidR="003E36BD">
        <w:fldChar w:fldCharType="separate"/>
      </w:r>
      <w:r w:rsidR="003E36BD" w:rsidRPr="003E36BD">
        <w:rPr>
          <w:rFonts w:ascii="Calibri" w:hAnsi="Calibri" w:cs="Calibri"/>
          <w:szCs w:val="24"/>
          <w:vertAlign w:val="superscript"/>
        </w:rPr>
        <w:t>35</w:t>
      </w:r>
      <w:r w:rsidR="003E36BD">
        <w:fldChar w:fldCharType="end"/>
      </w:r>
      <w:r w:rsidR="003A2330">
        <w:t>).</w:t>
      </w:r>
      <w:r w:rsidR="00ED1682">
        <w:t xml:space="preserve"> </w:t>
      </w:r>
    </w:p>
    <w:p w14:paraId="68540DF3" w14:textId="5F511F4D" w:rsidR="00AF48F6" w:rsidRPr="004E0A0D" w:rsidRDefault="00787A0B" w:rsidP="003059E4">
      <w:r>
        <w:t xml:space="preserve">Strengths of the present study include </w:t>
      </w:r>
      <w:r w:rsidR="00630C51">
        <w:t>the</w:t>
      </w:r>
      <w:r>
        <w:t xml:space="preserve"> large sample </w:t>
      </w:r>
      <w:r w:rsidR="00630C51">
        <w:t xml:space="preserve">size </w:t>
      </w:r>
      <w:r>
        <w:t>and objective measurements of height and weight. However, findings should be considered in the light of several limitations.</w:t>
      </w:r>
      <w:r w:rsidR="006742D7">
        <w:t xml:space="preserve"> </w:t>
      </w:r>
      <w:r w:rsidR="00604522">
        <w:t xml:space="preserve">There was a substantial amount of missing data, so findings may not generalise to the entire population. </w:t>
      </w:r>
      <w:r w:rsidR="006F5791">
        <w:t>Of note, w</w:t>
      </w:r>
      <w:r w:rsidR="00F72D1F" w:rsidRPr="004E0A0D">
        <w:t xml:space="preserve">eight </w:t>
      </w:r>
      <w:r w:rsidR="00F72D1F" w:rsidRPr="004E0A0D">
        <w:lastRenderedPageBreak/>
        <w:t xml:space="preserve">measurements were not available for all </w:t>
      </w:r>
      <w:r w:rsidR="00630AB4">
        <w:t>Wave 8</w:t>
      </w:r>
      <w:r w:rsidR="00F72D1F" w:rsidRPr="004E0A0D">
        <w:t xml:space="preserve"> </w:t>
      </w:r>
      <w:r w:rsidR="005E141B">
        <w:t>participants</w:t>
      </w:r>
      <w:r w:rsidR="00F72D1F" w:rsidRPr="004E0A0D">
        <w:t xml:space="preserve"> (</w:t>
      </w:r>
      <w:r w:rsidR="005B419F" w:rsidRPr="004E0A0D">
        <w:t>8</w:t>
      </w:r>
      <w:r w:rsidR="00F72D1F" w:rsidRPr="004E0A0D">
        <w:t xml:space="preserve">% missing). If those who were more concerned about their weight were more likely to decline to be measured, our results may underestimate the proportion of </w:t>
      </w:r>
      <w:r w:rsidR="004E5FBF" w:rsidRPr="004E0A0D">
        <w:t>older adults</w:t>
      </w:r>
      <w:r w:rsidR="00F72D1F" w:rsidRPr="004E0A0D">
        <w:t xml:space="preserve"> </w:t>
      </w:r>
      <w:r w:rsidR="000F7707">
        <w:t xml:space="preserve">across all weight groups </w:t>
      </w:r>
      <w:r w:rsidR="00F72D1F" w:rsidRPr="004E0A0D">
        <w:t xml:space="preserve">who consider themselves to be </w:t>
      </w:r>
      <w:r w:rsidR="00854308">
        <w:t>too heavy</w:t>
      </w:r>
      <w:r w:rsidR="00F72D1F" w:rsidRPr="004E0A0D">
        <w:t>.</w:t>
      </w:r>
      <w:r w:rsidR="00630C51">
        <w:t xml:space="preserve"> In addition, no data were collected on participants’ weight history, which could potentially influence their current perceptions of their body weight (for example, individuals with a higher average lifetime BMI or history of overweight or obesity may be more likely to incorrectly perceive themselves to be ‘too light’ or ‘about right’ in older age).</w:t>
      </w:r>
    </w:p>
    <w:p w14:paraId="7AAE2B24" w14:textId="04D31D1B" w:rsidR="00AF48F6" w:rsidRDefault="009649C7" w:rsidP="003A7CB6">
      <w:pPr>
        <w:rPr>
          <w:rFonts w:eastAsiaTheme="majorEastAsia" w:cstheme="minorHAnsi"/>
          <w:b/>
          <w:bCs/>
          <w:sz w:val="26"/>
          <w:szCs w:val="26"/>
        </w:rPr>
      </w:pPr>
      <w:r w:rsidRPr="00C830DF">
        <w:t xml:space="preserve">In conclusion, </w:t>
      </w:r>
      <w:r w:rsidR="00C830DF">
        <w:t>the present results indicate</w:t>
      </w:r>
      <w:r w:rsidR="00423EA2">
        <w:t xml:space="preserve"> that older adults’ perceptions of their own weight generally correspond with traditional BMI cut-offs for normal-weight, overweight, and obesity. However, a substantial minority ‘underestimate’ their weight status</w:t>
      </w:r>
      <w:r w:rsidR="00FA1C77">
        <w:t>, with those at the upper end of the age spectrum and those in poorer health more likely to do so</w:t>
      </w:r>
      <w:r w:rsidR="006547E6">
        <w:t xml:space="preserve">. </w:t>
      </w:r>
      <w:r w:rsidR="00AF48F6">
        <w:br w:type="page"/>
      </w:r>
    </w:p>
    <w:p w14:paraId="06B9EE41" w14:textId="77777777" w:rsidR="004F27FB" w:rsidRPr="00D55BAF" w:rsidRDefault="004F27FB" w:rsidP="00D55BAF">
      <w:pPr>
        <w:pStyle w:val="Heading2"/>
      </w:pPr>
      <w:r w:rsidRPr="00D55BAF">
        <w:lastRenderedPageBreak/>
        <w:t>References</w:t>
      </w:r>
    </w:p>
    <w:p w14:paraId="5B53E206" w14:textId="77777777" w:rsidR="003E36BD" w:rsidRPr="003E36BD" w:rsidRDefault="00E82B97" w:rsidP="003E36BD">
      <w:pPr>
        <w:pStyle w:val="Bibliography"/>
        <w:rPr>
          <w:rFonts w:ascii="Calibri" w:hAnsi="Calibri" w:cs="Calibri"/>
        </w:rPr>
      </w:pPr>
      <w:r w:rsidRPr="00D55BAF">
        <w:rPr>
          <w:rFonts w:cstheme="minorHAnsi"/>
        </w:rPr>
        <w:fldChar w:fldCharType="begin"/>
      </w:r>
      <w:r w:rsidR="007404FD">
        <w:rPr>
          <w:rFonts w:cstheme="minorHAnsi"/>
        </w:rPr>
        <w:instrText xml:space="preserve"> ADDIN ZOTERO_BIBL {"uncited":[],"omitted":[],"custom":[]} CSL_BIBLIOGRAPHY </w:instrText>
      </w:r>
      <w:r w:rsidRPr="00D55BAF">
        <w:rPr>
          <w:rFonts w:cstheme="minorHAnsi"/>
        </w:rPr>
        <w:fldChar w:fldCharType="separate"/>
      </w:r>
      <w:r w:rsidR="003E36BD" w:rsidRPr="003E36BD">
        <w:rPr>
          <w:rFonts w:ascii="Calibri" w:hAnsi="Calibri" w:cs="Calibri"/>
        </w:rPr>
        <w:t xml:space="preserve">1. </w:t>
      </w:r>
      <w:r w:rsidR="003E36BD" w:rsidRPr="003E36BD">
        <w:rPr>
          <w:rFonts w:ascii="Calibri" w:hAnsi="Calibri" w:cs="Calibri"/>
        </w:rPr>
        <w:tab/>
        <w:t xml:space="preserve">Johnson F, Cooke L, Croker H, Wardle J. Changing perceptions of weight in Great Britain: comparison of two population surveys. </w:t>
      </w:r>
      <w:r w:rsidR="003E36BD" w:rsidRPr="003E36BD">
        <w:rPr>
          <w:rFonts w:ascii="Calibri" w:hAnsi="Calibri" w:cs="Calibri"/>
          <w:i/>
          <w:iCs/>
        </w:rPr>
        <w:t>BMJ</w:t>
      </w:r>
      <w:r w:rsidR="003E36BD" w:rsidRPr="003E36BD">
        <w:rPr>
          <w:rFonts w:ascii="Calibri" w:hAnsi="Calibri" w:cs="Calibri"/>
        </w:rPr>
        <w:t>. 2008;337(jul10 1):a494-a494. doi:10.1136/bmj.a494</w:t>
      </w:r>
    </w:p>
    <w:p w14:paraId="3C12E017" w14:textId="77777777" w:rsidR="003E36BD" w:rsidRPr="003E36BD" w:rsidRDefault="003E36BD" w:rsidP="003E36BD">
      <w:pPr>
        <w:pStyle w:val="Bibliography"/>
        <w:rPr>
          <w:rFonts w:ascii="Calibri" w:hAnsi="Calibri" w:cs="Calibri"/>
        </w:rPr>
      </w:pPr>
      <w:r w:rsidRPr="003E36BD">
        <w:rPr>
          <w:rFonts w:ascii="Calibri" w:hAnsi="Calibri" w:cs="Calibri"/>
        </w:rPr>
        <w:t xml:space="preserve">2. </w:t>
      </w:r>
      <w:r w:rsidRPr="003E36BD">
        <w:rPr>
          <w:rFonts w:ascii="Calibri" w:hAnsi="Calibri" w:cs="Calibri"/>
        </w:rPr>
        <w:tab/>
        <w:t xml:space="preserve">Vincent GK, Velkoff VA. </w:t>
      </w:r>
      <w:r w:rsidRPr="003E36BD">
        <w:rPr>
          <w:rFonts w:ascii="Calibri" w:hAnsi="Calibri" w:cs="Calibri"/>
          <w:i/>
          <w:iCs/>
        </w:rPr>
        <w:t>The next Four Decades: The Older Population in the United States: 2010 to 2050</w:t>
      </w:r>
      <w:r w:rsidRPr="003E36BD">
        <w:rPr>
          <w:rFonts w:ascii="Calibri" w:hAnsi="Calibri" w:cs="Calibri"/>
        </w:rPr>
        <w:t>. US Department of Commerce, Economics and Statistics Administration, US Census Bureau; 2010.</w:t>
      </w:r>
    </w:p>
    <w:p w14:paraId="3B2B9903" w14:textId="77777777" w:rsidR="003E36BD" w:rsidRPr="003E36BD" w:rsidRDefault="003E36BD" w:rsidP="003E36BD">
      <w:pPr>
        <w:pStyle w:val="Bibliography"/>
        <w:rPr>
          <w:rFonts w:ascii="Calibri" w:hAnsi="Calibri" w:cs="Calibri"/>
        </w:rPr>
      </w:pPr>
      <w:r w:rsidRPr="003E36BD">
        <w:rPr>
          <w:rFonts w:ascii="Calibri" w:hAnsi="Calibri" w:cs="Calibri"/>
        </w:rPr>
        <w:t xml:space="preserve">3. </w:t>
      </w:r>
      <w:r w:rsidRPr="003E36BD">
        <w:rPr>
          <w:rFonts w:ascii="Calibri" w:hAnsi="Calibri" w:cs="Calibri"/>
        </w:rPr>
        <w:tab/>
        <w:t xml:space="preserve">Wang YC, McPherson K, Marsh T, Gortmaker SL, Brown M. Health and economic burden of the projected obesity trends in the USA and the UK. </w:t>
      </w:r>
      <w:r w:rsidRPr="003E36BD">
        <w:rPr>
          <w:rFonts w:ascii="Calibri" w:hAnsi="Calibri" w:cs="Calibri"/>
          <w:i/>
          <w:iCs/>
        </w:rPr>
        <w:t>The Lancet</w:t>
      </w:r>
      <w:r w:rsidRPr="003E36BD">
        <w:rPr>
          <w:rFonts w:ascii="Calibri" w:hAnsi="Calibri" w:cs="Calibri"/>
        </w:rPr>
        <w:t>. 2011;378(9793):815-825. doi:10.1016/S0140-6736(11)60814-3</w:t>
      </w:r>
    </w:p>
    <w:p w14:paraId="1299ECF2" w14:textId="77777777" w:rsidR="003E36BD" w:rsidRPr="003E36BD" w:rsidRDefault="003E36BD" w:rsidP="003E36BD">
      <w:pPr>
        <w:pStyle w:val="Bibliography"/>
        <w:rPr>
          <w:rFonts w:ascii="Calibri" w:hAnsi="Calibri" w:cs="Calibri"/>
        </w:rPr>
      </w:pPr>
      <w:r w:rsidRPr="003E36BD">
        <w:rPr>
          <w:rFonts w:ascii="Calibri" w:hAnsi="Calibri" w:cs="Calibri"/>
        </w:rPr>
        <w:t xml:space="preserve">4. </w:t>
      </w:r>
      <w:r w:rsidRPr="003E36BD">
        <w:rPr>
          <w:rFonts w:ascii="Calibri" w:hAnsi="Calibri" w:cs="Calibri"/>
        </w:rPr>
        <w:tab/>
        <w:t xml:space="preserve">Villareal DT, Apovian CM, Kushner RF, Klein S. Obesity in Older Adults: Technical Review and Position Statement of the American Society for Nutrition and NAASO, The Obesity Society. </w:t>
      </w:r>
      <w:r w:rsidRPr="003E36BD">
        <w:rPr>
          <w:rFonts w:ascii="Calibri" w:hAnsi="Calibri" w:cs="Calibri"/>
          <w:i/>
          <w:iCs/>
        </w:rPr>
        <w:t>Obes Res</w:t>
      </w:r>
      <w:r w:rsidRPr="003E36BD">
        <w:rPr>
          <w:rFonts w:ascii="Calibri" w:hAnsi="Calibri" w:cs="Calibri"/>
        </w:rPr>
        <w:t>. 2005;13(11):1849-1863. doi:10.1038/oby.2005.228</w:t>
      </w:r>
    </w:p>
    <w:p w14:paraId="3623C61F" w14:textId="77777777" w:rsidR="003E36BD" w:rsidRPr="003E36BD" w:rsidRDefault="003E36BD" w:rsidP="003E36BD">
      <w:pPr>
        <w:pStyle w:val="Bibliography"/>
        <w:rPr>
          <w:rFonts w:ascii="Calibri" w:hAnsi="Calibri" w:cs="Calibri"/>
        </w:rPr>
      </w:pPr>
      <w:r w:rsidRPr="003E36BD">
        <w:rPr>
          <w:rFonts w:ascii="Calibri" w:hAnsi="Calibri" w:cs="Calibri"/>
        </w:rPr>
        <w:t xml:space="preserve">5. </w:t>
      </w:r>
      <w:r w:rsidRPr="003E36BD">
        <w:rPr>
          <w:rFonts w:ascii="Calibri" w:hAnsi="Calibri" w:cs="Calibri"/>
        </w:rPr>
        <w:tab/>
        <w:t xml:space="preserve">Swami V. Cultural Influences on Body Size Ideals. </w:t>
      </w:r>
      <w:r w:rsidRPr="003E36BD">
        <w:rPr>
          <w:rFonts w:ascii="Calibri" w:hAnsi="Calibri" w:cs="Calibri"/>
          <w:i/>
          <w:iCs/>
        </w:rPr>
        <w:t>Eur Psychol</w:t>
      </w:r>
      <w:r w:rsidRPr="003E36BD">
        <w:rPr>
          <w:rFonts w:ascii="Calibri" w:hAnsi="Calibri" w:cs="Calibri"/>
        </w:rPr>
        <w:t>. 2015;20(1):44-51. doi:10.1027/1016-9040/a000150</w:t>
      </w:r>
    </w:p>
    <w:p w14:paraId="157474AC" w14:textId="77777777" w:rsidR="003E36BD" w:rsidRPr="003E36BD" w:rsidRDefault="003E36BD" w:rsidP="003E36BD">
      <w:pPr>
        <w:pStyle w:val="Bibliography"/>
        <w:rPr>
          <w:rFonts w:ascii="Calibri" w:hAnsi="Calibri" w:cs="Calibri"/>
        </w:rPr>
      </w:pPr>
      <w:r w:rsidRPr="003E36BD">
        <w:rPr>
          <w:rFonts w:ascii="Calibri" w:hAnsi="Calibri" w:cs="Calibri"/>
        </w:rPr>
        <w:t xml:space="preserve">6. </w:t>
      </w:r>
      <w:r w:rsidRPr="003E36BD">
        <w:rPr>
          <w:rFonts w:ascii="Calibri" w:hAnsi="Calibri" w:cs="Calibri"/>
        </w:rPr>
        <w:tab/>
        <w:t xml:space="preserve">Bedford JL, Johnson CS. Societal Influences on Body Image Dissatisfaction in Younger and Older Women. </w:t>
      </w:r>
      <w:r w:rsidRPr="003E36BD">
        <w:rPr>
          <w:rFonts w:ascii="Calibri" w:hAnsi="Calibri" w:cs="Calibri"/>
          <w:i/>
          <w:iCs/>
        </w:rPr>
        <w:t>J Women Aging</w:t>
      </w:r>
      <w:r w:rsidRPr="003E36BD">
        <w:rPr>
          <w:rFonts w:ascii="Calibri" w:hAnsi="Calibri" w:cs="Calibri"/>
        </w:rPr>
        <w:t>. 2006;18(1):41-55. doi:10.1300/J074v18n01_04</w:t>
      </w:r>
    </w:p>
    <w:p w14:paraId="2FACA30E" w14:textId="77777777" w:rsidR="003E36BD" w:rsidRPr="003E36BD" w:rsidRDefault="003E36BD" w:rsidP="003E36BD">
      <w:pPr>
        <w:pStyle w:val="Bibliography"/>
        <w:rPr>
          <w:rFonts w:ascii="Calibri" w:hAnsi="Calibri" w:cs="Calibri"/>
        </w:rPr>
      </w:pPr>
      <w:r w:rsidRPr="003E36BD">
        <w:rPr>
          <w:rFonts w:ascii="Calibri" w:hAnsi="Calibri" w:cs="Calibri"/>
        </w:rPr>
        <w:t xml:space="preserve">7. </w:t>
      </w:r>
      <w:r w:rsidRPr="003E36BD">
        <w:rPr>
          <w:rFonts w:ascii="Calibri" w:hAnsi="Calibri" w:cs="Calibri"/>
        </w:rPr>
        <w:tab/>
        <w:t xml:space="preserve">Dunkel TM, Davidson D, Qurashi S. Body satisfaction and pressure to be thin in younger and older Muslim and non-Muslim women: The role of Western and non-Western dress preferences. </w:t>
      </w:r>
      <w:r w:rsidRPr="003E36BD">
        <w:rPr>
          <w:rFonts w:ascii="Calibri" w:hAnsi="Calibri" w:cs="Calibri"/>
          <w:i/>
          <w:iCs/>
        </w:rPr>
        <w:t>Body Image</w:t>
      </w:r>
      <w:r w:rsidRPr="003E36BD">
        <w:rPr>
          <w:rFonts w:ascii="Calibri" w:hAnsi="Calibri" w:cs="Calibri"/>
        </w:rPr>
        <w:t>. 2010;7(1):56-65. doi:10.1016/j.bodyim.2009.10.003</w:t>
      </w:r>
    </w:p>
    <w:p w14:paraId="0CF82F40" w14:textId="77777777" w:rsidR="003E36BD" w:rsidRPr="003E36BD" w:rsidRDefault="003E36BD" w:rsidP="003E36BD">
      <w:pPr>
        <w:pStyle w:val="Bibliography"/>
        <w:rPr>
          <w:rFonts w:ascii="Calibri" w:hAnsi="Calibri" w:cs="Calibri"/>
        </w:rPr>
      </w:pPr>
      <w:r w:rsidRPr="003E36BD">
        <w:rPr>
          <w:rFonts w:ascii="Calibri" w:hAnsi="Calibri" w:cs="Calibri"/>
        </w:rPr>
        <w:t xml:space="preserve">8. </w:t>
      </w:r>
      <w:r w:rsidRPr="003E36BD">
        <w:rPr>
          <w:rFonts w:ascii="Calibri" w:hAnsi="Calibri" w:cs="Calibri"/>
        </w:rPr>
        <w:tab/>
        <w:t xml:space="preserve">Tiggemann M. Body image across the adult life span: stability and change. </w:t>
      </w:r>
      <w:r w:rsidRPr="003E36BD">
        <w:rPr>
          <w:rFonts w:ascii="Calibri" w:hAnsi="Calibri" w:cs="Calibri"/>
          <w:i/>
          <w:iCs/>
        </w:rPr>
        <w:t>Body Image</w:t>
      </w:r>
      <w:r w:rsidRPr="003E36BD">
        <w:rPr>
          <w:rFonts w:ascii="Calibri" w:hAnsi="Calibri" w:cs="Calibri"/>
        </w:rPr>
        <w:t>. 2004;1(1):29-41. doi:10.1016/S1740-1445(03)00002-0</w:t>
      </w:r>
    </w:p>
    <w:p w14:paraId="28395197" w14:textId="77777777" w:rsidR="003E36BD" w:rsidRPr="003E36BD" w:rsidRDefault="003E36BD" w:rsidP="003E36BD">
      <w:pPr>
        <w:pStyle w:val="Bibliography"/>
        <w:rPr>
          <w:rFonts w:ascii="Calibri" w:hAnsi="Calibri" w:cs="Calibri"/>
        </w:rPr>
      </w:pPr>
      <w:r w:rsidRPr="003E36BD">
        <w:rPr>
          <w:rFonts w:ascii="Calibri" w:hAnsi="Calibri" w:cs="Calibri"/>
        </w:rPr>
        <w:t xml:space="preserve">9. </w:t>
      </w:r>
      <w:r w:rsidRPr="003E36BD">
        <w:rPr>
          <w:rFonts w:ascii="Calibri" w:hAnsi="Calibri" w:cs="Calibri"/>
        </w:rPr>
        <w:tab/>
        <w:t xml:space="preserve">Webster J, Tiggemann M. The Relationship Between Women’s Body Satisfaction and Self-Image Across the Life Span: The Role of Cognitive Control. </w:t>
      </w:r>
      <w:r w:rsidRPr="003E36BD">
        <w:rPr>
          <w:rFonts w:ascii="Calibri" w:hAnsi="Calibri" w:cs="Calibri"/>
          <w:i/>
          <w:iCs/>
        </w:rPr>
        <w:t>J Genet Psychol</w:t>
      </w:r>
      <w:r w:rsidRPr="003E36BD">
        <w:rPr>
          <w:rFonts w:ascii="Calibri" w:hAnsi="Calibri" w:cs="Calibri"/>
        </w:rPr>
        <w:t>. 2003;164(2):241-252. doi:10.1080/00221320309597980</w:t>
      </w:r>
    </w:p>
    <w:p w14:paraId="39FBCF32" w14:textId="77777777" w:rsidR="003E36BD" w:rsidRPr="003E36BD" w:rsidRDefault="003E36BD" w:rsidP="003E36BD">
      <w:pPr>
        <w:pStyle w:val="Bibliography"/>
        <w:rPr>
          <w:rFonts w:ascii="Calibri" w:hAnsi="Calibri" w:cs="Calibri"/>
        </w:rPr>
      </w:pPr>
      <w:r w:rsidRPr="003E36BD">
        <w:rPr>
          <w:rFonts w:ascii="Calibri" w:hAnsi="Calibri" w:cs="Calibri"/>
        </w:rPr>
        <w:t xml:space="preserve">10. </w:t>
      </w:r>
      <w:r w:rsidRPr="003E36BD">
        <w:rPr>
          <w:rFonts w:ascii="Calibri" w:hAnsi="Calibri" w:cs="Calibri"/>
        </w:rPr>
        <w:tab/>
        <w:t xml:space="preserve">Lamb CS, Jackson LA, Cassiday PB, Priest DJ. Body figure preferences of men and women: A comparison of two generations. </w:t>
      </w:r>
      <w:r w:rsidRPr="003E36BD">
        <w:rPr>
          <w:rFonts w:ascii="Calibri" w:hAnsi="Calibri" w:cs="Calibri"/>
          <w:i/>
          <w:iCs/>
        </w:rPr>
        <w:t>Sex Roles</w:t>
      </w:r>
      <w:r w:rsidRPr="003E36BD">
        <w:rPr>
          <w:rFonts w:ascii="Calibri" w:hAnsi="Calibri" w:cs="Calibri"/>
        </w:rPr>
        <w:t>. 1993;28(5-6):345-358. doi:10.1007/BF00289890</w:t>
      </w:r>
    </w:p>
    <w:p w14:paraId="0C4873A1" w14:textId="77777777" w:rsidR="003E36BD" w:rsidRPr="003E36BD" w:rsidRDefault="003E36BD" w:rsidP="003E36BD">
      <w:pPr>
        <w:pStyle w:val="Bibliography"/>
        <w:rPr>
          <w:rFonts w:ascii="Calibri" w:hAnsi="Calibri" w:cs="Calibri"/>
        </w:rPr>
      </w:pPr>
      <w:r w:rsidRPr="003E36BD">
        <w:rPr>
          <w:rFonts w:ascii="Calibri" w:hAnsi="Calibri" w:cs="Calibri"/>
        </w:rPr>
        <w:t xml:space="preserve">11. </w:t>
      </w:r>
      <w:r w:rsidRPr="003E36BD">
        <w:rPr>
          <w:rFonts w:ascii="Calibri" w:hAnsi="Calibri" w:cs="Calibri"/>
        </w:rPr>
        <w:tab/>
        <w:t xml:space="preserve">Rozin P, Fallon A. Body image, attitudes to weight, and misperceptions of figure preferences of the opposite sex: a comparison of men and women in two generations. </w:t>
      </w:r>
      <w:r w:rsidRPr="003E36BD">
        <w:rPr>
          <w:rFonts w:ascii="Calibri" w:hAnsi="Calibri" w:cs="Calibri"/>
          <w:i/>
          <w:iCs/>
        </w:rPr>
        <w:t>J Abnorm Psychol</w:t>
      </w:r>
      <w:r w:rsidRPr="003E36BD">
        <w:rPr>
          <w:rFonts w:ascii="Calibri" w:hAnsi="Calibri" w:cs="Calibri"/>
        </w:rPr>
        <w:t>. 1988;97(3):342-345.</w:t>
      </w:r>
    </w:p>
    <w:p w14:paraId="52889F62" w14:textId="77777777" w:rsidR="003E36BD" w:rsidRPr="003E36BD" w:rsidRDefault="003E36BD" w:rsidP="003E36BD">
      <w:pPr>
        <w:pStyle w:val="Bibliography"/>
        <w:rPr>
          <w:rFonts w:ascii="Calibri" w:hAnsi="Calibri" w:cs="Calibri"/>
        </w:rPr>
      </w:pPr>
      <w:r w:rsidRPr="003E36BD">
        <w:rPr>
          <w:rFonts w:ascii="Calibri" w:hAnsi="Calibri" w:cs="Calibri"/>
        </w:rPr>
        <w:t xml:space="preserve">12. </w:t>
      </w:r>
      <w:r w:rsidRPr="003E36BD">
        <w:rPr>
          <w:rFonts w:ascii="Calibri" w:hAnsi="Calibri" w:cs="Calibri"/>
        </w:rPr>
        <w:tab/>
        <w:t xml:space="preserve">Jackson SE, Holter L, Beeken RJ. ‘Just because I’m old it doesn’t mean I have to be fat’: a qualitative study exploring older adults’ views and experiences of weight management. </w:t>
      </w:r>
      <w:r w:rsidRPr="003E36BD">
        <w:rPr>
          <w:rFonts w:ascii="Calibri" w:hAnsi="Calibri" w:cs="Calibri"/>
          <w:i/>
          <w:iCs/>
        </w:rPr>
        <w:t>BMJ Open</w:t>
      </w:r>
      <w:r w:rsidRPr="003E36BD">
        <w:rPr>
          <w:rFonts w:ascii="Calibri" w:hAnsi="Calibri" w:cs="Calibri"/>
        </w:rPr>
        <w:t>. 2019;9(2):e025680. doi:10.1136/bmjopen-2018-025680</w:t>
      </w:r>
    </w:p>
    <w:p w14:paraId="5E575FC5" w14:textId="77777777" w:rsidR="003E36BD" w:rsidRPr="003E36BD" w:rsidRDefault="003E36BD" w:rsidP="003E36BD">
      <w:pPr>
        <w:pStyle w:val="Bibliography"/>
        <w:rPr>
          <w:rFonts w:ascii="Calibri" w:hAnsi="Calibri" w:cs="Calibri"/>
        </w:rPr>
      </w:pPr>
      <w:r w:rsidRPr="003E36BD">
        <w:rPr>
          <w:rFonts w:ascii="Calibri" w:hAnsi="Calibri" w:cs="Calibri"/>
        </w:rPr>
        <w:t xml:space="preserve">13. </w:t>
      </w:r>
      <w:r w:rsidRPr="003E36BD">
        <w:rPr>
          <w:rFonts w:ascii="Calibri" w:hAnsi="Calibri" w:cs="Calibri"/>
        </w:rPr>
        <w:tab/>
        <w:t xml:space="preserve">Tiggemann M. Body-size dissatisfaction: Individual differences in age and gender, and relationship with self-esteem. </w:t>
      </w:r>
      <w:r w:rsidRPr="003E36BD">
        <w:rPr>
          <w:rFonts w:ascii="Calibri" w:hAnsi="Calibri" w:cs="Calibri"/>
          <w:i/>
          <w:iCs/>
        </w:rPr>
        <w:t>Personal Individ Differ</w:t>
      </w:r>
      <w:r w:rsidRPr="003E36BD">
        <w:rPr>
          <w:rFonts w:ascii="Calibri" w:hAnsi="Calibri" w:cs="Calibri"/>
        </w:rPr>
        <w:t>. 1992;13(1):39-43. doi:10.1016/0191-8869(92)90215-B</w:t>
      </w:r>
    </w:p>
    <w:p w14:paraId="5901FB5B" w14:textId="77777777" w:rsidR="003E36BD" w:rsidRPr="003E36BD" w:rsidRDefault="003E36BD" w:rsidP="003E36BD">
      <w:pPr>
        <w:pStyle w:val="Bibliography"/>
        <w:rPr>
          <w:rFonts w:ascii="Calibri" w:hAnsi="Calibri" w:cs="Calibri"/>
        </w:rPr>
      </w:pPr>
      <w:r w:rsidRPr="003E36BD">
        <w:rPr>
          <w:rFonts w:ascii="Calibri" w:hAnsi="Calibri" w:cs="Calibri"/>
        </w:rPr>
        <w:lastRenderedPageBreak/>
        <w:t xml:space="preserve">14. </w:t>
      </w:r>
      <w:r w:rsidRPr="003E36BD">
        <w:rPr>
          <w:rFonts w:ascii="Calibri" w:hAnsi="Calibri" w:cs="Calibri"/>
        </w:rPr>
        <w:tab/>
        <w:t xml:space="preserve">St-Onge M-P, Gallagher D. Body composition changes with aging: The cause or the result of alterations in metabolic rate and macronutrient oxidation? </w:t>
      </w:r>
      <w:r w:rsidRPr="003E36BD">
        <w:rPr>
          <w:rFonts w:ascii="Calibri" w:hAnsi="Calibri" w:cs="Calibri"/>
          <w:i/>
          <w:iCs/>
        </w:rPr>
        <w:t>Nutr Burbank Los Angel Cty Calif</w:t>
      </w:r>
      <w:r w:rsidRPr="003E36BD">
        <w:rPr>
          <w:rFonts w:ascii="Calibri" w:hAnsi="Calibri" w:cs="Calibri"/>
        </w:rPr>
        <w:t>. 2010;26(2):152-155. doi:10.1016/j.nut.2009.07.004</w:t>
      </w:r>
    </w:p>
    <w:p w14:paraId="3C14B663" w14:textId="77777777" w:rsidR="003E36BD" w:rsidRPr="003E36BD" w:rsidRDefault="003E36BD" w:rsidP="003E36BD">
      <w:pPr>
        <w:pStyle w:val="Bibliography"/>
        <w:rPr>
          <w:rFonts w:ascii="Calibri" w:hAnsi="Calibri" w:cs="Calibri"/>
        </w:rPr>
      </w:pPr>
      <w:r w:rsidRPr="003E36BD">
        <w:rPr>
          <w:rFonts w:ascii="Calibri" w:hAnsi="Calibri" w:cs="Calibri"/>
        </w:rPr>
        <w:t xml:space="preserve">15. </w:t>
      </w:r>
      <w:r w:rsidRPr="003E36BD">
        <w:rPr>
          <w:rFonts w:ascii="Calibri" w:hAnsi="Calibri" w:cs="Calibri"/>
        </w:rPr>
        <w:tab/>
        <w:t xml:space="preserve">St-Onge M-P. Relationship between body composition changes and changes in physical function and metabolic risk factors in aging. </w:t>
      </w:r>
      <w:r w:rsidRPr="003E36BD">
        <w:rPr>
          <w:rFonts w:ascii="Calibri" w:hAnsi="Calibri" w:cs="Calibri"/>
          <w:i/>
          <w:iCs/>
        </w:rPr>
        <w:t>Curr Opin Clin Nutr Metab Care</w:t>
      </w:r>
      <w:r w:rsidRPr="003E36BD">
        <w:rPr>
          <w:rFonts w:ascii="Calibri" w:hAnsi="Calibri" w:cs="Calibri"/>
        </w:rPr>
        <w:t>. 2005;8(5):523-528.</w:t>
      </w:r>
    </w:p>
    <w:p w14:paraId="01A5D620" w14:textId="77777777" w:rsidR="003E36BD" w:rsidRPr="003E36BD" w:rsidRDefault="003E36BD" w:rsidP="003E36BD">
      <w:pPr>
        <w:pStyle w:val="Bibliography"/>
        <w:rPr>
          <w:rFonts w:ascii="Calibri" w:hAnsi="Calibri" w:cs="Calibri"/>
        </w:rPr>
      </w:pPr>
      <w:r w:rsidRPr="003E36BD">
        <w:rPr>
          <w:rFonts w:ascii="Calibri" w:hAnsi="Calibri" w:cs="Calibri"/>
        </w:rPr>
        <w:t xml:space="preserve">16. </w:t>
      </w:r>
      <w:r w:rsidRPr="003E36BD">
        <w:rPr>
          <w:rFonts w:ascii="Calibri" w:hAnsi="Calibri" w:cs="Calibri"/>
        </w:rPr>
        <w:tab/>
        <w:t xml:space="preserve">Park B, Cho HN, Choi E, et al. Self-perceptions of body weight status according to age-groups among Korean women: A nationwide population-based survey. </w:t>
      </w:r>
      <w:r w:rsidRPr="003E36BD">
        <w:rPr>
          <w:rFonts w:ascii="Calibri" w:hAnsi="Calibri" w:cs="Calibri"/>
          <w:i/>
          <w:iCs/>
        </w:rPr>
        <w:t>PLOS ONE</w:t>
      </w:r>
      <w:r w:rsidRPr="003E36BD">
        <w:rPr>
          <w:rFonts w:ascii="Calibri" w:hAnsi="Calibri" w:cs="Calibri"/>
        </w:rPr>
        <w:t>. 2019;14(1):e0210486. doi:10.1371/journal.pone.0210486</w:t>
      </w:r>
    </w:p>
    <w:p w14:paraId="52143B27" w14:textId="77777777" w:rsidR="003E36BD" w:rsidRPr="003E36BD" w:rsidRDefault="003E36BD" w:rsidP="003E36BD">
      <w:pPr>
        <w:pStyle w:val="Bibliography"/>
        <w:rPr>
          <w:rFonts w:ascii="Calibri" w:hAnsi="Calibri" w:cs="Calibri"/>
        </w:rPr>
      </w:pPr>
      <w:r w:rsidRPr="003E36BD">
        <w:rPr>
          <w:rFonts w:ascii="Calibri" w:hAnsi="Calibri" w:cs="Calibri"/>
        </w:rPr>
        <w:t xml:space="preserve">17. </w:t>
      </w:r>
      <w:r w:rsidRPr="003E36BD">
        <w:rPr>
          <w:rFonts w:ascii="Calibri" w:hAnsi="Calibri" w:cs="Calibri"/>
        </w:rPr>
        <w:tab/>
        <w:t xml:space="preserve">Monteagudo Sánchez C, Dijkstra SC, Visser M. Self-perception of body weight status in older Dutch adults. </w:t>
      </w:r>
      <w:r w:rsidRPr="003E36BD">
        <w:rPr>
          <w:rFonts w:ascii="Calibri" w:hAnsi="Calibri" w:cs="Calibri"/>
          <w:i/>
          <w:iCs/>
        </w:rPr>
        <w:t>J Nutr Health Aging</w:t>
      </w:r>
      <w:r w:rsidRPr="003E36BD">
        <w:rPr>
          <w:rFonts w:ascii="Calibri" w:hAnsi="Calibri" w:cs="Calibri"/>
        </w:rPr>
        <w:t>. 2015;19(6):612-618. doi:10.1007/s12603-015-0486-z</w:t>
      </w:r>
    </w:p>
    <w:p w14:paraId="6D2E237A" w14:textId="77777777" w:rsidR="003E36BD" w:rsidRPr="003E36BD" w:rsidRDefault="003E36BD" w:rsidP="003E36BD">
      <w:pPr>
        <w:pStyle w:val="Bibliography"/>
        <w:rPr>
          <w:rFonts w:ascii="Calibri" w:hAnsi="Calibri" w:cs="Calibri"/>
        </w:rPr>
      </w:pPr>
      <w:r w:rsidRPr="003E36BD">
        <w:rPr>
          <w:rFonts w:ascii="Calibri" w:hAnsi="Calibri" w:cs="Calibri"/>
        </w:rPr>
        <w:t xml:space="preserve">18. </w:t>
      </w:r>
      <w:r w:rsidRPr="003E36BD">
        <w:rPr>
          <w:rFonts w:ascii="Calibri" w:hAnsi="Calibri" w:cs="Calibri"/>
        </w:rPr>
        <w:tab/>
        <w:t xml:space="preserve">Steptoe A, Breeze E, Banks J, Nazroo J. Cohort profile: the English Longitudinal Study of Ageing. </w:t>
      </w:r>
      <w:r w:rsidRPr="003E36BD">
        <w:rPr>
          <w:rFonts w:ascii="Calibri" w:hAnsi="Calibri" w:cs="Calibri"/>
          <w:i/>
          <w:iCs/>
        </w:rPr>
        <w:t>Int J Epidemiol</w:t>
      </w:r>
      <w:r w:rsidRPr="003E36BD">
        <w:rPr>
          <w:rFonts w:ascii="Calibri" w:hAnsi="Calibri" w:cs="Calibri"/>
        </w:rPr>
        <w:t>. 2013;42(6):1640-1648. doi:10.1093/ije/dys168</w:t>
      </w:r>
    </w:p>
    <w:p w14:paraId="1E140299" w14:textId="77777777" w:rsidR="003E36BD" w:rsidRPr="003E36BD" w:rsidRDefault="003E36BD" w:rsidP="003E36BD">
      <w:pPr>
        <w:pStyle w:val="Bibliography"/>
        <w:rPr>
          <w:rFonts w:ascii="Calibri" w:hAnsi="Calibri" w:cs="Calibri"/>
        </w:rPr>
      </w:pPr>
      <w:r w:rsidRPr="003E36BD">
        <w:rPr>
          <w:rFonts w:ascii="Calibri" w:hAnsi="Calibri" w:cs="Calibri"/>
        </w:rPr>
        <w:t xml:space="preserve">19. </w:t>
      </w:r>
      <w:r w:rsidRPr="003E36BD">
        <w:rPr>
          <w:rFonts w:ascii="Calibri" w:hAnsi="Calibri" w:cs="Calibri"/>
        </w:rPr>
        <w:tab/>
        <w:t xml:space="preserve">Rose D, Pevalin DJ. </w:t>
      </w:r>
      <w:r w:rsidRPr="003E36BD">
        <w:rPr>
          <w:rFonts w:ascii="Calibri" w:hAnsi="Calibri" w:cs="Calibri"/>
          <w:i/>
          <w:iCs/>
        </w:rPr>
        <w:t>A Researcher’s Guide to the National Statistics Socio-Economic Classification</w:t>
      </w:r>
      <w:r w:rsidRPr="003E36BD">
        <w:rPr>
          <w:rFonts w:ascii="Calibri" w:hAnsi="Calibri" w:cs="Calibri"/>
        </w:rPr>
        <w:t>. SAGE Publications Ltd; 2003.</w:t>
      </w:r>
    </w:p>
    <w:p w14:paraId="00B4640E" w14:textId="77777777" w:rsidR="003E36BD" w:rsidRPr="003E36BD" w:rsidRDefault="003E36BD" w:rsidP="003E36BD">
      <w:pPr>
        <w:pStyle w:val="Bibliography"/>
        <w:rPr>
          <w:rFonts w:ascii="Calibri" w:hAnsi="Calibri" w:cs="Calibri"/>
        </w:rPr>
      </w:pPr>
      <w:r w:rsidRPr="003E36BD">
        <w:rPr>
          <w:rFonts w:ascii="Calibri" w:hAnsi="Calibri" w:cs="Calibri"/>
        </w:rPr>
        <w:t xml:space="preserve">20. </w:t>
      </w:r>
      <w:r w:rsidRPr="003E36BD">
        <w:rPr>
          <w:rFonts w:ascii="Calibri" w:hAnsi="Calibri" w:cs="Calibri"/>
        </w:rPr>
        <w:tab/>
        <w:t xml:space="preserve">Jackson SE, Johnson F, Croker H, Wardle J. Weight perceptions in a population sample of English adolescents: cause for celebration or concern? </w:t>
      </w:r>
      <w:r w:rsidRPr="003E36BD">
        <w:rPr>
          <w:rFonts w:ascii="Calibri" w:hAnsi="Calibri" w:cs="Calibri"/>
          <w:i/>
          <w:iCs/>
        </w:rPr>
        <w:t>Int J Obes</w:t>
      </w:r>
      <w:r w:rsidRPr="003E36BD">
        <w:rPr>
          <w:rFonts w:ascii="Calibri" w:hAnsi="Calibri" w:cs="Calibri"/>
        </w:rPr>
        <w:t>. 2015;39(10):1488-1493. doi:10.1038/ijo.2015.126</w:t>
      </w:r>
    </w:p>
    <w:p w14:paraId="236F109B" w14:textId="77777777" w:rsidR="003E36BD" w:rsidRPr="003E36BD" w:rsidRDefault="003E36BD" w:rsidP="003E36BD">
      <w:pPr>
        <w:pStyle w:val="Bibliography"/>
        <w:rPr>
          <w:rFonts w:ascii="Calibri" w:hAnsi="Calibri" w:cs="Calibri"/>
        </w:rPr>
      </w:pPr>
      <w:r w:rsidRPr="003E36BD">
        <w:rPr>
          <w:rFonts w:ascii="Calibri" w:hAnsi="Calibri" w:cs="Calibri"/>
        </w:rPr>
        <w:t xml:space="preserve">21. </w:t>
      </w:r>
      <w:r w:rsidRPr="003E36BD">
        <w:rPr>
          <w:rFonts w:ascii="Calibri" w:hAnsi="Calibri" w:cs="Calibri"/>
        </w:rPr>
        <w:tab/>
        <w:t xml:space="preserve">Steptoe A, Jackson SE. The Life Skills of Older Americans: Association with Economic, Psychological, Social, and Health Outcomes. </w:t>
      </w:r>
      <w:r w:rsidRPr="003E36BD">
        <w:rPr>
          <w:rFonts w:ascii="Calibri" w:hAnsi="Calibri" w:cs="Calibri"/>
          <w:i/>
          <w:iCs/>
        </w:rPr>
        <w:t>Sci Rep</w:t>
      </w:r>
      <w:r w:rsidRPr="003E36BD">
        <w:rPr>
          <w:rFonts w:ascii="Calibri" w:hAnsi="Calibri" w:cs="Calibri"/>
        </w:rPr>
        <w:t>. 2018;8(1):9669. doi:10.1038/s41598-018-27909-w</w:t>
      </w:r>
    </w:p>
    <w:p w14:paraId="76DCC187" w14:textId="77777777" w:rsidR="003E36BD" w:rsidRPr="003E36BD" w:rsidRDefault="003E36BD" w:rsidP="003E36BD">
      <w:pPr>
        <w:pStyle w:val="Bibliography"/>
        <w:rPr>
          <w:rFonts w:ascii="Calibri" w:hAnsi="Calibri" w:cs="Calibri"/>
        </w:rPr>
      </w:pPr>
      <w:r w:rsidRPr="003E36BD">
        <w:rPr>
          <w:rFonts w:ascii="Calibri" w:hAnsi="Calibri" w:cs="Calibri"/>
        </w:rPr>
        <w:t xml:space="preserve">22. </w:t>
      </w:r>
      <w:r w:rsidRPr="003E36BD">
        <w:rPr>
          <w:rFonts w:ascii="Calibri" w:hAnsi="Calibri" w:cs="Calibri"/>
        </w:rPr>
        <w:tab/>
        <w:t xml:space="preserve">DeSalvo KB, Bloser N, Reynolds K, He J, Muntner P. Mortality prediction with a single general self-rated health question. A meta-analysis. </w:t>
      </w:r>
      <w:r w:rsidRPr="003E36BD">
        <w:rPr>
          <w:rFonts w:ascii="Calibri" w:hAnsi="Calibri" w:cs="Calibri"/>
          <w:i/>
          <w:iCs/>
        </w:rPr>
        <w:t>J Gen Intern Med</w:t>
      </w:r>
      <w:r w:rsidRPr="003E36BD">
        <w:rPr>
          <w:rFonts w:ascii="Calibri" w:hAnsi="Calibri" w:cs="Calibri"/>
        </w:rPr>
        <w:t>. 2006;21(3):267-275. doi:10.1111/j.1525-1497.2005.00291.x</w:t>
      </w:r>
    </w:p>
    <w:p w14:paraId="0DF95EBB" w14:textId="77777777" w:rsidR="003E36BD" w:rsidRPr="003E36BD" w:rsidRDefault="003E36BD" w:rsidP="003E36BD">
      <w:pPr>
        <w:pStyle w:val="Bibliography"/>
        <w:rPr>
          <w:rFonts w:ascii="Calibri" w:hAnsi="Calibri" w:cs="Calibri"/>
        </w:rPr>
      </w:pPr>
      <w:r w:rsidRPr="003E36BD">
        <w:rPr>
          <w:rFonts w:ascii="Calibri" w:hAnsi="Calibri" w:cs="Calibri"/>
        </w:rPr>
        <w:t xml:space="preserve">23. </w:t>
      </w:r>
      <w:r w:rsidRPr="003E36BD">
        <w:rPr>
          <w:rFonts w:ascii="Calibri" w:hAnsi="Calibri" w:cs="Calibri"/>
        </w:rPr>
        <w:tab/>
        <w:t xml:space="preserve">Jackson SE, Hackett RA, Steptoe A. Associations between age discrimination and health and wellbeing: cross-sectional and prospective analysis of the English Longitudinal Study of Ageing. </w:t>
      </w:r>
      <w:r w:rsidRPr="003E36BD">
        <w:rPr>
          <w:rFonts w:ascii="Calibri" w:hAnsi="Calibri" w:cs="Calibri"/>
          <w:i/>
          <w:iCs/>
        </w:rPr>
        <w:t>Lancet Public Health</w:t>
      </w:r>
      <w:r w:rsidRPr="003E36BD">
        <w:rPr>
          <w:rFonts w:ascii="Calibri" w:hAnsi="Calibri" w:cs="Calibri"/>
        </w:rPr>
        <w:t>. 2019;in press.</w:t>
      </w:r>
    </w:p>
    <w:p w14:paraId="32B3DF69" w14:textId="77777777" w:rsidR="003E36BD" w:rsidRPr="003E36BD" w:rsidRDefault="003E36BD" w:rsidP="003E36BD">
      <w:pPr>
        <w:pStyle w:val="Bibliography"/>
        <w:rPr>
          <w:rFonts w:ascii="Calibri" w:hAnsi="Calibri" w:cs="Calibri"/>
        </w:rPr>
      </w:pPr>
      <w:r w:rsidRPr="003E36BD">
        <w:rPr>
          <w:rFonts w:ascii="Calibri" w:hAnsi="Calibri" w:cs="Calibri"/>
        </w:rPr>
        <w:t xml:space="preserve">24. </w:t>
      </w:r>
      <w:r w:rsidRPr="003E36BD">
        <w:rPr>
          <w:rFonts w:ascii="Calibri" w:hAnsi="Calibri" w:cs="Calibri"/>
        </w:rPr>
        <w:tab/>
        <w:t xml:space="preserve">Yaemsiri S, Slining MM, Agarwal SK. Perceived weight status, overweight diagnosis, and weight control among US adults: the NHANES 2003–2008 Study. </w:t>
      </w:r>
      <w:r w:rsidRPr="003E36BD">
        <w:rPr>
          <w:rFonts w:ascii="Calibri" w:hAnsi="Calibri" w:cs="Calibri"/>
          <w:i/>
          <w:iCs/>
        </w:rPr>
        <w:t>Int J Obes</w:t>
      </w:r>
      <w:r w:rsidRPr="003E36BD">
        <w:rPr>
          <w:rFonts w:ascii="Calibri" w:hAnsi="Calibri" w:cs="Calibri"/>
        </w:rPr>
        <w:t>. 2011;35(8):1063-1070. doi:10.1038/ijo.2010.229</w:t>
      </w:r>
    </w:p>
    <w:p w14:paraId="398E90D1" w14:textId="77777777" w:rsidR="003E36BD" w:rsidRPr="003E36BD" w:rsidRDefault="003E36BD" w:rsidP="003E36BD">
      <w:pPr>
        <w:pStyle w:val="Bibliography"/>
        <w:rPr>
          <w:rFonts w:ascii="Calibri" w:hAnsi="Calibri" w:cs="Calibri"/>
        </w:rPr>
      </w:pPr>
      <w:r w:rsidRPr="003E36BD">
        <w:rPr>
          <w:rFonts w:ascii="Calibri" w:hAnsi="Calibri" w:cs="Calibri"/>
        </w:rPr>
        <w:t xml:space="preserve">25. </w:t>
      </w:r>
      <w:r w:rsidRPr="003E36BD">
        <w:rPr>
          <w:rFonts w:ascii="Calibri" w:hAnsi="Calibri" w:cs="Calibri"/>
        </w:rPr>
        <w:tab/>
        <w:t xml:space="preserve">Clarke LCH. Beauty in Later Life: Older Women’s Perceptions of Physical Attractiveness. </w:t>
      </w:r>
      <w:r w:rsidRPr="003E36BD">
        <w:rPr>
          <w:rFonts w:ascii="Calibri" w:hAnsi="Calibri" w:cs="Calibri"/>
          <w:i/>
          <w:iCs/>
        </w:rPr>
        <w:t>Can J Aging Rev Can Vieil</w:t>
      </w:r>
      <w:r w:rsidRPr="003E36BD">
        <w:rPr>
          <w:rFonts w:ascii="Calibri" w:hAnsi="Calibri" w:cs="Calibri"/>
        </w:rPr>
        <w:t>. 2002;21(3):429-442. doi:10.1017/S0714980800001744</w:t>
      </w:r>
    </w:p>
    <w:p w14:paraId="2D567B51" w14:textId="77777777" w:rsidR="003E36BD" w:rsidRPr="003E36BD" w:rsidRDefault="003E36BD" w:rsidP="003E36BD">
      <w:pPr>
        <w:pStyle w:val="Bibliography"/>
        <w:rPr>
          <w:rFonts w:ascii="Calibri" w:hAnsi="Calibri" w:cs="Calibri"/>
        </w:rPr>
      </w:pPr>
      <w:r w:rsidRPr="003E36BD">
        <w:rPr>
          <w:rFonts w:ascii="Calibri" w:hAnsi="Calibri" w:cs="Calibri"/>
        </w:rPr>
        <w:t xml:space="preserve">26. </w:t>
      </w:r>
      <w:r w:rsidRPr="003E36BD">
        <w:rPr>
          <w:rFonts w:ascii="Calibri" w:hAnsi="Calibri" w:cs="Calibri"/>
        </w:rPr>
        <w:tab/>
        <w:t xml:space="preserve">Lavie CJ, Milani RV, Ventura HO. Obesity and the “Obesity Paradox” in Cardiovascular Diseases. </w:t>
      </w:r>
      <w:r w:rsidRPr="003E36BD">
        <w:rPr>
          <w:rFonts w:ascii="Calibri" w:hAnsi="Calibri" w:cs="Calibri"/>
          <w:i/>
          <w:iCs/>
        </w:rPr>
        <w:t>Clin Pharmacol Ther</w:t>
      </w:r>
      <w:r w:rsidRPr="003E36BD">
        <w:rPr>
          <w:rFonts w:ascii="Calibri" w:hAnsi="Calibri" w:cs="Calibri"/>
        </w:rPr>
        <w:t>. 2011;90(1):23-25. doi:10.1038/clpt.2011.87</w:t>
      </w:r>
    </w:p>
    <w:p w14:paraId="69C5A0A6" w14:textId="77777777" w:rsidR="003E36BD" w:rsidRPr="003E36BD" w:rsidRDefault="003E36BD" w:rsidP="003E36BD">
      <w:pPr>
        <w:pStyle w:val="Bibliography"/>
        <w:rPr>
          <w:rFonts w:ascii="Calibri" w:hAnsi="Calibri" w:cs="Calibri"/>
        </w:rPr>
      </w:pPr>
      <w:r w:rsidRPr="003E36BD">
        <w:rPr>
          <w:rFonts w:ascii="Calibri" w:hAnsi="Calibri" w:cs="Calibri"/>
        </w:rPr>
        <w:t xml:space="preserve">27. </w:t>
      </w:r>
      <w:r w:rsidRPr="003E36BD">
        <w:rPr>
          <w:rFonts w:ascii="Calibri" w:hAnsi="Calibri" w:cs="Calibri"/>
        </w:rPr>
        <w:tab/>
        <w:t xml:space="preserve">Lennon H, Sperrin M, Badrick E, Renehan AG. The Obesity Paradox in Cancer: a Review. </w:t>
      </w:r>
      <w:r w:rsidRPr="003E36BD">
        <w:rPr>
          <w:rFonts w:ascii="Calibri" w:hAnsi="Calibri" w:cs="Calibri"/>
          <w:i/>
          <w:iCs/>
        </w:rPr>
        <w:t>Curr Oncol Rep</w:t>
      </w:r>
      <w:r w:rsidRPr="003E36BD">
        <w:rPr>
          <w:rFonts w:ascii="Calibri" w:hAnsi="Calibri" w:cs="Calibri"/>
        </w:rPr>
        <w:t>. 2016;18(9):56. doi:10.1007/s11912-016-0539-4</w:t>
      </w:r>
    </w:p>
    <w:p w14:paraId="5DB0F26B" w14:textId="77777777" w:rsidR="003E36BD" w:rsidRPr="003E36BD" w:rsidRDefault="003E36BD" w:rsidP="003E36BD">
      <w:pPr>
        <w:pStyle w:val="Bibliography"/>
        <w:rPr>
          <w:rFonts w:ascii="Calibri" w:hAnsi="Calibri" w:cs="Calibri"/>
        </w:rPr>
      </w:pPr>
      <w:r w:rsidRPr="003E36BD">
        <w:rPr>
          <w:rFonts w:ascii="Calibri" w:hAnsi="Calibri" w:cs="Calibri"/>
        </w:rPr>
        <w:lastRenderedPageBreak/>
        <w:t xml:space="preserve">28. </w:t>
      </w:r>
      <w:r w:rsidRPr="003E36BD">
        <w:rPr>
          <w:rFonts w:ascii="Calibri" w:hAnsi="Calibri" w:cs="Calibri"/>
        </w:rPr>
        <w:tab/>
        <w:t xml:space="preserve">Park J, Ahmadi S-F, Streja E, et al. Obesity Paradox in End-Stage Kidney Disease Patients. </w:t>
      </w:r>
      <w:r w:rsidRPr="003E36BD">
        <w:rPr>
          <w:rFonts w:ascii="Calibri" w:hAnsi="Calibri" w:cs="Calibri"/>
          <w:i/>
          <w:iCs/>
        </w:rPr>
        <w:t>Prog Cardiovasc Dis</w:t>
      </w:r>
      <w:r w:rsidRPr="003E36BD">
        <w:rPr>
          <w:rFonts w:ascii="Calibri" w:hAnsi="Calibri" w:cs="Calibri"/>
        </w:rPr>
        <w:t>. 2014;56(4):415-425. doi:10.1016/j.pcad.2013.10.005</w:t>
      </w:r>
    </w:p>
    <w:p w14:paraId="6850E536" w14:textId="77777777" w:rsidR="003E36BD" w:rsidRPr="003E36BD" w:rsidRDefault="003E36BD" w:rsidP="003E36BD">
      <w:pPr>
        <w:pStyle w:val="Bibliography"/>
        <w:rPr>
          <w:rFonts w:ascii="Calibri" w:hAnsi="Calibri" w:cs="Calibri"/>
        </w:rPr>
      </w:pPr>
      <w:r w:rsidRPr="003E36BD">
        <w:rPr>
          <w:rFonts w:ascii="Calibri" w:hAnsi="Calibri" w:cs="Calibri"/>
        </w:rPr>
        <w:t xml:space="preserve">29. </w:t>
      </w:r>
      <w:r w:rsidRPr="003E36BD">
        <w:rPr>
          <w:rFonts w:ascii="Calibri" w:hAnsi="Calibri" w:cs="Calibri"/>
        </w:rPr>
        <w:tab/>
        <w:t xml:space="preserve">Chittal P, Babu AS, Lavie CJ. Obesity Paradox: Does Fat Alter Outcomes in Chronic Obstructive Pulmonary Disease? </w:t>
      </w:r>
      <w:r w:rsidRPr="003E36BD">
        <w:rPr>
          <w:rFonts w:ascii="Calibri" w:hAnsi="Calibri" w:cs="Calibri"/>
          <w:i/>
          <w:iCs/>
        </w:rPr>
        <w:t>COPD J Chronic Obstr Pulm Dis</w:t>
      </w:r>
      <w:r w:rsidRPr="003E36BD">
        <w:rPr>
          <w:rFonts w:ascii="Calibri" w:hAnsi="Calibri" w:cs="Calibri"/>
        </w:rPr>
        <w:t>. 2015;12(1):14-18. doi:10.3109/15412555.2014.915934</w:t>
      </w:r>
    </w:p>
    <w:p w14:paraId="02762981" w14:textId="77777777" w:rsidR="003E36BD" w:rsidRPr="003E36BD" w:rsidRDefault="003E36BD" w:rsidP="003E36BD">
      <w:pPr>
        <w:pStyle w:val="Bibliography"/>
        <w:rPr>
          <w:rFonts w:ascii="Calibri" w:hAnsi="Calibri" w:cs="Calibri"/>
        </w:rPr>
      </w:pPr>
      <w:r w:rsidRPr="003E36BD">
        <w:rPr>
          <w:rFonts w:ascii="Calibri" w:hAnsi="Calibri" w:cs="Calibri"/>
        </w:rPr>
        <w:t xml:space="preserve">30. </w:t>
      </w:r>
      <w:r w:rsidRPr="003E36BD">
        <w:rPr>
          <w:rFonts w:ascii="Calibri" w:hAnsi="Calibri" w:cs="Calibri"/>
        </w:rPr>
        <w:tab/>
        <w:t xml:space="preserve">Muennig P, Jia H, Lee R, Lubetkin E. I Think Therefore I Am: Perceived Ideal Weight as a Determinant of Health. </w:t>
      </w:r>
      <w:r w:rsidRPr="003E36BD">
        <w:rPr>
          <w:rFonts w:ascii="Calibri" w:hAnsi="Calibri" w:cs="Calibri"/>
          <w:i/>
          <w:iCs/>
        </w:rPr>
        <w:t>Am J Public Health</w:t>
      </w:r>
      <w:r w:rsidRPr="003E36BD">
        <w:rPr>
          <w:rFonts w:ascii="Calibri" w:hAnsi="Calibri" w:cs="Calibri"/>
        </w:rPr>
        <w:t>. 2008;98(3):501-506. doi:10.2105/AJPH.2007.114769</w:t>
      </w:r>
    </w:p>
    <w:p w14:paraId="0A22E806" w14:textId="77777777" w:rsidR="003E36BD" w:rsidRPr="003E36BD" w:rsidRDefault="003E36BD" w:rsidP="003E36BD">
      <w:pPr>
        <w:pStyle w:val="Bibliography"/>
        <w:rPr>
          <w:rFonts w:ascii="Calibri" w:hAnsi="Calibri" w:cs="Calibri"/>
        </w:rPr>
      </w:pPr>
      <w:r w:rsidRPr="003E36BD">
        <w:rPr>
          <w:rFonts w:ascii="Calibri" w:hAnsi="Calibri" w:cs="Calibri"/>
        </w:rPr>
        <w:t xml:space="preserve">31. </w:t>
      </w:r>
      <w:r w:rsidRPr="003E36BD">
        <w:rPr>
          <w:rFonts w:ascii="Calibri" w:hAnsi="Calibri" w:cs="Calibri"/>
        </w:rPr>
        <w:tab/>
        <w:t xml:space="preserve">Beck AM, Ovesen L. At which body mass index and degree of weight loss should hospitalized elderly patients be considered at nutritional risk? </w:t>
      </w:r>
      <w:r w:rsidRPr="003E36BD">
        <w:rPr>
          <w:rFonts w:ascii="Calibri" w:hAnsi="Calibri" w:cs="Calibri"/>
          <w:i/>
          <w:iCs/>
        </w:rPr>
        <w:t>Clin Nutr Edinb Scotl</w:t>
      </w:r>
      <w:r w:rsidRPr="003E36BD">
        <w:rPr>
          <w:rFonts w:ascii="Calibri" w:hAnsi="Calibri" w:cs="Calibri"/>
        </w:rPr>
        <w:t>. 1998;17(5):195-198.</w:t>
      </w:r>
    </w:p>
    <w:p w14:paraId="782BDD75" w14:textId="77777777" w:rsidR="003E36BD" w:rsidRPr="003E36BD" w:rsidRDefault="003E36BD" w:rsidP="003E36BD">
      <w:pPr>
        <w:pStyle w:val="Bibliography"/>
        <w:rPr>
          <w:rFonts w:ascii="Calibri" w:hAnsi="Calibri" w:cs="Calibri"/>
        </w:rPr>
      </w:pPr>
      <w:r w:rsidRPr="003E36BD">
        <w:rPr>
          <w:rFonts w:ascii="Calibri" w:hAnsi="Calibri" w:cs="Calibri"/>
        </w:rPr>
        <w:t xml:space="preserve">32. </w:t>
      </w:r>
      <w:r w:rsidRPr="003E36BD">
        <w:rPr>
          <w:rFonts w:ascii="Calibri" w:hAnsi="Calibri" w:cs="Calibri"/>
        </w:rPr>
        <w:tab/>
        <w:t xml:space="preserve">Sardinha LB, Teixeira PJ. Obesity screening in older women with the body mass index: A receiver operating characteristic (ROC) analysis. </w:t>
      </w:r>
      <w:r w:rsidRPr="003E36BD">
        <w:rPr>
          <w:rFonts w:ascii="Calibri" w:hAnsi="Calibri" w:cs="Calibri"/>
          <w:i/>
          <w:iCs/>
        </w:rPr>
        <w:t>Sci Sports</w:t>
      </w:r>
      <w:r w:rsidRPr="003E36BD">
        <w:rPr>
          <w:rFonts w:ascii="Calibri" w:hAnsi="Calibri" w:cs="Calibri"/>
        </w:rPr>
        <w:t>. 2000;15(4):212-219. doi:10.1016/S0765-1597(00)80008-8</w:t>
      </w:r>
    </w:p>
    <w:p w14:paraId="45DBD9F0" w14:textId="77777777" w:rsidR="003E36BD" w:rsidRPr="003E36BD" w:rsidRDefault="003E36BD" w:rsidP="003E36BD">
      <w:pPr>
        <w:pStyle w:val="Bibliography"/>
        <w:rPr>
          <w:rFonts w:ascii="Calibri" w:hAnsi="Calibri" w:cs="Calibri"/>
        </w:rPr>
      </w:pPr>
      <w:r w:rsidRPr="003E36BD">
        <w:rPr>
          <w:rFonts w:ascii="Calibri" w:hAnsi="Calibri" w:cs="Calibri"/>
        </w:rPr>
        <w:t xml:space="preserve">33. </w:t>
      </w:r>
      <w:r w:rsidRPr="003E36BD">
        <w:rPr>
          <w:rFonts w:ascii="Calibri" w:hAnsi="Calibri" w:cs="Calibri"/>
        </w:rPr>
        <w:tab/>
        <w:t xml:space="preserve">Cook Z, Kirk S, Lawrenson S, Sandford S. Use of BMI in the assessment of undernutrition in older subjects: reflecting on practice. </w:t>
      </w:r>
      <w:r w:rsidRPr="003E36BD">
        <w:rPr>
          <w:rFonts w:ascii="Calibri" w:hAnsi="Calibri" w:cs="Calibri"/>
          <w:i/>
          <w:iCs/>
        </w:rPr>
        <w:t>Proc Nutr Soc</w:t>
      </w:r>
      <w:r w:rsidRPr="003E36BD">
        <w:rPr>
          <w:rFonts w:ascii="Calibri" w:hAnsi="Calibri" w:cs="Calibri"/>
        </w:rPr>
        <w:t>. 2005;64(3):313-317. doi:10.1079/PNS2005437</w:t>
      </w:r>
    </w:p>
    <w:p w14:paraId="1E44B444" w14:textId="77777777" w:rsidR="003E36BD" w:rsidRPr="003E36BD" w:rsidRDefault="003E36BD" w:rsidP="003E36BD">
      <w:pPr>
        <w:pStyle w:val="Bibliography"/>
        <w:rPr>
          <w:rFonts w:ascii="Calibri" w:hAnsi="Calibri" w:cs="Calibri"/>
        </w:rPr>
      </w:pPr>
      <w:r w:rsidRPr="003E36BD">
        <w:rPr>
          <w:rFonts w:ascii="Calibri" w:hAnsi="Calibri" w:cs="Calibri"/>
        </w:rPr>
        <w:t xml:space="preserve">34. </w:t>
      </w:r>
      <w:r w:rsidRPr="003E36BD">
        <w:rPr>
          <w:rFonts w:ascii="Calibri" w:hAnsi="Calibri" w:cs="Calibri"/>
        </w:rPr>
        <w:tab/>
        <w:t xml:space="preserve">Vasconcelos F de AG de, Cordeiro BA, Rech CR, Petroski EL. Sensitivity and specificity of the body mass index for the diagnosis of overweight/obesity in elderly. </w:t>
      </w:r>
      <w:r w:rsidRPr="003E36BD">
        <w:rPr>
          <w:rFonts w:ascii="Calibri" w:hAnsi="Calibri" w:cs="Calibri"/>
          <w:i/>
          <w:iCs/>
        </w:rPr>
        <w:t>Cad Saúde Pública</w:t>
      </w:r>
      <w:r w:rsidRPr="003E36BD">
        <w:rPr>
          <w:rFonts w:ascii="Calibri" w:hAnsi="Calibri" w:cs="Calibri"/>
        </w:rPr>
        <w:t>. 2010;26:1519-1527. doi:10.1590/S0102-311X2010000800006</w:t>
      </w:r>
    </w:p>
    <w:p w14:paraId="4CC453A4" w14:textId="77777777" w:rsidR="003E36BD" w:rsidRPr="003E36BD" w:rsidRDefault="003E36BD" w:rsidP="003E36BD">
      <w:pPr>
        <w:pStyle w:val="Bibliography"/>
        <w:rPr>
          <w:rFonts w:ascii="Calibri" w:hAnsi="Calibri" w:cs="Calibri"/>
        </w:rPr>
      </w:pPr>
      <w:r w:rsidRPr="003E36BD">
        <w:rPr>
          <w:rFonts w:ascii="Calibri" w:hAnsi="Calibri" w:cs="Calibri"/>
        </w:rPr>
        <w:t xml:space="preserve">35. </w:t>
      </w:r>
      <w:r w:rsidRPr="003E36BD">
        <w:rPr>
          <w:rFonts w:ascii="Calibri" w:hAnsi="Calibri" w:cs="Calibri"/>
        </w:rPr>
        <w:tab/>
        <w:t xml:space="preserve">Oreopoulos A, Kalantar-Zadeh K, Sharma AM, Fonarow GC. The Obesity Paradox in the Elderly: Potential Mechanisms and Clinical Implications. </w:t>
      </w:r>
      <w:r w:rsidRPr="003E36BD">
        <w:rPr>
          <w:rFonts w:ascii="Calibri" w:hAnsi="Calibri" w:cs="Calibri"/>
          <w:i/>
          <w:iCs/>
        </w:rPr>
        <w:t>Clin Geriatr Med</w:t>
      </w:r>
      <w:r w:rsidRPr="003E36BD">
        <w:rPr>
          <w:rFonts w:ascii="Calibri" w:hAnsi="Calibri" w:cs="Calibri"/>
        </w:rPr>
        <w:t>. 2009;25(4):643-659. doi:10.1016/j.cger.2009.07.005</w:t>
      </w:r>
    </w:p>
    <w:p w14:paraId="22C9AA99" w14:textId="77777777" w:rsidR="003E36BD" w:rsidRPr="003E36BD" w:rsidRDefault="003E36BD" w:rsidP="003E36BD">
      <w:pPr>
        <w:pStyle w:val="Bibliography"/>
        <w:rPr>
          <w:rFonts w:ascii="Calibri" w:hAnsi="Calibri" w:cs="Calibri"/>
        </w:rPr>
      </w:pPr>
      <w:r w:rsidRPr="003E36BD">
        <w:rPr>
          <w:rFonts w:ascii="Calibri" w:hAnsi="Calibri" w:cs="Calibri"/>
        </w:rPr>
        <w:t xml:space="preserve">36. </w:t>
      </w:r>
      <w:r w:rsidRPr="003E36BD">
        <w:rPr>
          <w:rFonts w:ascii="Calibri" w:hAnsi="Calibri" w:cs="Calibri"/>
        </w:rPr>
        <w:tab/>
        <w:t>NHS Digital. Healthy weight. nhs.uk. https://www.nhs.uk/live-well/healthy-weight/. Published March 17, 2019. Accessed March 17, 2019.</w:t>
      </w:r>
    </w:p>
    <w:p w14:paraId="2DA27844" w14:textId="77777777" w:rsidR="003E36BD" w:rsidRPr="003E36BD" w:rsidRDefault="003E36BD" w:rsidP="003E36BD">
      <w:pPr>
        <w:pStyle w:val="Bibliography"/>
        <w:rPr>
          <w:rFonts w:ascii="Calibri" w:hAnsi="Calibri" w:cs="Calibri"/>
        </w:rPr>
      </w:pPr>
      <w:r w:rsidRPr="003E36BD">
        <w:rPr>
          <w:rFonts w:ascii="Calibri" w:hAnsi="Calibri" w:cs="Calibri"/>
        </w:rPr>
        <w:t xml:space="preserve">37. </w:t>
      </w:r>
      <w:r w:rsidRPr="003E36BD">
        <w:rPr>
          <w:rFonts w:ascii="Calibri" w:hAnsi="Calibri" w:cs="Calibri"/>
        </w:rPr>
        <w:tab/>
        <w:t>Centers for Disease Control and Prevention. Assessing Your Weight | Healthy Weight. https://www.cdc.gov/healthyweight/assessing/index.html. Published March 6, 2019. Accessed March 17, 2019.</w:t>
      </w:r>
    </w:p>
    <w:p w14:paraId="4CEC8385" w14:textId="77777777" w:rsidR="003E36BD" w:rsidRPr="003E36BD" w:rsidRDefault="003E36BD" w:rsidP="003E36BD">
      <w:pPr>
        <w:pStyle w:val="Bibliography"/>
        <w:rPr>
          <w:rFonts w:ascii="Calibri" w:hAnsi="Calibri" w:cs="Calibri"/>
        </w:rPr>
      </w:pPr>
      <w:r w:rsidRPr="003E36BD">
        <w:rPr>
          <w:rFonts w:ascii="Calibri" w:hAnsi="Calibri" w:cs="Calibri"/>
        </w:rPr>
        <w:t xml:space="preserve">38. </w:t>
      </w:r>
      <w:r w:rsidRPr="003E36BD">
        <w:rPr>
          <w:rFonts w:ascii="Calibri" w:hAnsi="Calibri" w:cs="Calibri"/>
        </w:rPr>
        <w:tab/>
        <w:t xml:space="preserve">Houston DK, Nicklas BJ, Zizza CA. Weighty Concerns: The Growing Prevalence of Obesity among Older Adults. </w:t>
      </w:r>
      <w:r w:rsidRPr="003E36BD">
        <w:rPr>
          <w:rFonts w:ascii="Calibri" w:hAnsi="Calibri" w:cs="Calibri"/>
          <w:i/>
          <w:iCs/>
        </w:rPr>
        <w:t>J Am Diet Assoc</w:t>
      </w:r>
      <w:r w:rsidRPr="003E36BD">
        <w:rPr>
          <w:rFonts w:ascii="Calibri" w:hAnsi="Calibri" w:cs="Calibri"/>
        </w:rPr>
        <w:t>. 2009;109(11):1886-1895. doi:10.1016/j.jada.2009.08.014</w:t>
      </w:r>
    </w:p>
    <w:p w14:paraId="287E75B6" w14:textId="77777777" w:rsidR="003E36BD" w:rsidRPr="003E36BD" w:rsidRDefault="003E36BD" w:rsidP="003E36BD">
      <w:pPr>
        <w:pStyle w:val="Bibliography"/>
        <w:rPr>
          <w:rFonts w:ascii="Calibri" w:hAnsi="Calibri" w:cs="Calibri"/>
        </w:rPr>
      </w:pPr>
      <w:r w:rsidRPr="003E36BD">
        <w:rPr>
          <w:rFonts w:ascii="Calibri" w:hAnsi="Calibri" w:cs="Calibri"/>
        </w:rPr>
        <w:t xml:space="preserve">39. </w:t>
      </w:r>
      <w:r w:rsidRPr="003E36BD">
        <w:rPr>
          <w:rFonts w:ascii="Calibri" w:hAnsi="Calibri" w:cs="Calibri"/>
        </w:rPr>
        <w:tab/>
        <w:t>Sommers A. U.S. Congressional Research Service: obesity among older Americans. 2011. http://www.legistorm.com/score_crs/show/id/104646.html. Accessed April 18, 2013.</w:t>
      </w:r>
    </w:p>
    <w:p w14:paraId="16768C47" w14:textId="77777777" w:rsidR="003E36BD" w:rsidRPr="003E36BD" w:rsidRDefault="003E36BD" w:rsidP="003E36BD">
      <w:pPr>
        <w:pStyle w:val="Bibliography"/>
        <w:rPr>
          <w:rFonts w:ascii="Calibri" w:hAnsi="Calibri" w:cs="Calibri"/>
        </w:rPr>
      </w:pPr>
      <w:r w:rsidRPr="003E36BD">
        <w:rPr>
          <w:rFonts w:ascii="Calibri" w:hAnsi="Calibri" w:cs="Calibri"/>
        </w:rPr>
        <w:t xml:space="preserve">40. </w:t>
      </w:r>
      <w:r w:rsidRPr="003E36BD">
        <w:rPr>
          <w:rFonts w:ascii="Calibri" w:hAnsi="Calibri" w:cs="Calibri"/>
        </w:rPr>
        <w:tab/>
        <w:t xml:space="preserve">Andres R, Elahi D, Tobin JD, Muller DC, Brant L. Impact of age on weight goals. </w:t>
      </w:r>
      <w:r w:rsidRPr="003E36BD">
        <w:rPr>
          <w:rFonts w:ascii="Calibri" w:hAnsi="Calibri" w:cs="Calibri"/>
          <w:i/>
          <w:iCs/>
        </w:rPr>
        <w:t>Ann Intern Med</w:t>
      </w:r>
      <w:r w:rsidRPr="003E36BD">
        <w:rPr>
          <w:rFonts w:ascii="Calibri" w:hAnsi="Calibri" w:cs="Calibri"/>
        </w:rPr>
        <w:t>. 1985;103(6 ( Pt 2)):1030-1033.</w:t>
      </w:r>
    </w:p>
    <w:p w14:paraId="5CF04C5E" w14:textId="77777777" w:rsidR="003E36BD" w:rsidRPr="003E36BD" w:rsidRDefault="003E36BD" w:rsidP="003E36BD">
      <w:pPr>
        <w:pStyle w:val="Bibliography"/>
        <w:rPr>
          <w:rFonts w:ascii="Calibri" w:hAnsi="Calibri" w:cs="Calibri"/>
        </w:rPr>
      </w:pPr>
      <w:r w:rsidRPr="003E36BD">
        <w:rPr>
          <w:rFonts w:ascii="Calibri" w:hAnsi="Calibri" w:cs="Calibri"/>
        </w:rPr>
        <w:t xml:space="preserve">41. </w:t>
      </w:r>
      <w:r w:rsidRPr="003E36BD">
        <w:rPr>
          <w:rFonts w:ascii="Calibri" w:hAnsi="Calibri" w:cs="Calibri"/>
        </w:rPr>
        <w:tab/>
        <w:t xml:space="preserve">Heiat A. Impact of Age on Definition of Standards for Ideal Weight. </w:t>
      </w:r>
      <w:r w:rsidRPr="003E36BD">
        <w:rPr>
          <w:rFonts w:ascii="Calibri" w:hAnsi="Calibri" w:cs="Calibri"/>
          <w:i/>
          <w:iCs/>
        </w:rPr>
        <w:t>Prev Cardiol</w:t>
      </w:r>
      <w:r w:rsidRPr="003E36BD">
        <w:rPr>
          <w:rFonts w:ascii="Calibri" w:hAnsi="Calibri" w:cs="Calibri"/>
        </w:rPr>
        <w:t>. 2003;6(2):104-107. doi:10.1111/j.1520-037X.2003.01046.x</w:t>
      </w:r>
    </w:p>
    <w:p w14:paraId="09AEA46B" w14:textId="77777777" w:rsidR="003E36BD" w:rsidRPr="003E36BD" w:rsidRDefault="003E36BD" w:rsidP="003E36BD">
      <w:pPr>
        <w:pStyle w:val="Bibliography"/>
        <w:rPr>
          <w:rFonts w:ascii="Calibri" w:hAnsi="Calibri" w:cs="Calibri"/>
        </w:rPr>
      </w:pPr>
      <w:r w:rsidRPr="003E36BD">
        <w:rPr>
          <w:rFonts w:ascii="Calibri" w:hAnsi="Calibri" w:cs="Calibri"/>
        </w:rPr>
        <w:t xml:space="preserve">42. </w:t>
      </w:r>
      <w:r w:rsidRPr="003E36BD">
        <w:rPr>
          <w:rFonts w:ascii="Calibri" w:hAnsi="Calibri" w:cs="Calibri"/>
        </w:rPr>
        <w:tab/>
        <w:t xml:space="preserve">DeCaria JE, Sharp C, Petrella RJ. Scoping review report: obesity in older adults. </w:t>
      </w:r>
      <w:r w:rsidRPr="003E36BD">
        <w:rPr>
          <w:rFonts w:ascii="Calibri" w:hAnsi="Calibri" w:cs="Calibri"/>
          <w:i/>
          <w:iCs/>
        </w:rPr>
        <w:t>Int J Obes</w:t>
      </w:r>
      <w:r w:rsidRPr="003E36BD">
        <w:rPr>
          <w:rFonts w:ascii="Calibri" w:hAnsi="Calibri" w:cs="Calibri"/>
        </w:rPr>
        <w:t>. March 2012. doi:10.1038/ijo.2012.29</w:t>
      </w:r>
    </w:p>
    <w:p w14:paraId="30C12EE8" w14:textId="0BFC6134" w:rsidR="00D15391" w:rsidRDefault="00E82B97" w:rsidP="005304CF">
      <w:r w:rsidRPr="00D55BAF">
        <w:lastRenderedPageBreak/>
        <w:fldChar w:fldCharType="end"/>
      </w:r>
    </w:p>
    <w:p w14:paraId="41C90539" w14:textId="77777777" w:rsidR="00D15391" w:rsidRDefault="00D15391">
      <w:pPr>
        <w:spacing w:after="200" w:line="276" w:lineRule="auto"/>
        <w:rPr>
          <w:rFonts w:eastAsiaTheme="majorEastAsia" w:cstheme="minorHAnsi"/>
          <w:b/>
          <w:bCs/>
          <w:sz w:val="26"/>
          <w:szCs w:val="26"/>
        </w:rPr>
      </w:pPr>
      <w:r>
        <w:br w:type="page"/>
      </w:r>
    </w:p>
    <w:p w14:paraId="22ED1100" w14:textId="77777777" w:rsidR="00C317CD" w:rsidRPr="000429D0" w:rsidRDefault="00C317CD" w:rsidP="00C317CD">
      <w:pPr>
        <w:pStyle w:val="Heading2"/>
      </w:pPr>
      <w:r w:rsidRPr="000429D0">
        <w:lastRenderedPageBreak/>
        <w:t>Funding</w:t>
      </w:r>
    </w:p>
    <w:p w14:paraId="7BB1F1B5" w14:textId="10935767" w:rsidR="00C317CD" w:rsidRPr="000429D0" w:rsidRDefault="00ED7E0F" w:rsidP="00C317CD">
      <w:pPr>
        <w:rPr>
          <w:shd w:val="clear" w:color="auto" w:fill="FFFFFF"/>
        </w:rPr>
      </w:pPr>
      <w:r>
        <w:rPr>
          <w:shd w:val="clear" w:color="auto" w:fill="FFFFFF"/>
        </w:rPr>
        <w:t>This work was</w:t>
      </w:r>
      <w:r w:rsidR="00C317CD">
        <w:rPr>
          <w:shd w:val="clear" w:color="auto" w:fill="FFFFFF"/>
        </w:rPr>
        <w:t xml:space="preserve"> supported by Cancer Research UK</w:t>
      </w:r>
      <w:r w:rsidR="00C317CD" w:rsidRPr="001C74C2">
        <w:rPr>
          <w:shd w:val="clear" w:color="auto" w:fill="FFFFFF"/>
        </w:rPr>
        <w:t xml:space="preserve"> (C1417/A22962)</w:t>
      </w:r>
      <w:r w:rsidR="00C317CD">
        <w:rPr>
          <w:shd w:val="clear" w:color="auto" w:fill="FFFFFF"/>
        </w:rPr>
        <w:t xml:space="preserve"> and the </w:t>
      </w:r>
      <w:r w:rsidR="00C317CD">
        <w:t>ESRC (</w:t>
      </w:r>
      <w:r w:rsidR="00C317CD" w:rsidRPr="00BA082E">
        <w:t>ES/R005990/1</w:t>
      </w:r>
      <w:r w:rsidR="00C317CD">
        <w:t xml:space="preserve">). </w:t>
      </w:r>
      <w:r w:rsidR="00C317CD" w:rsidRPr="000429D0">
        <w:rPr>
          <w:shd w:val="clear" w:color="auto" w:fill="FFFFFF"/>
        </w:rPr>
        <w:t>The funders had no final role in the study design; in the collection, analysis and interpretation of data; in the writing of the report; or in the decision to submit the paper for publication. All researchers listed as authors are independent from the funders and all final decisions about the research were taken by the investigators and were unrestricted.</w:t>
      </w:r>
      <w:r w:rsidR="00C317CD">
        <w:rPr>
          <w:shd w:val="clear" w:color="auto" w:fill="FFFFFF"/>
        </w:rPr>
        <w:t xml:space="preserve"> All</w:t>
      </w:r>
      <w:r w:rsidR="00C317CD" w:rsidRPr="005D5454">
        <w:rPr>
          <w:shd w:val="clear" w:color="auto" w:fill="FFFFFF"/>
        </w:rPr>
        <w:t xml:space="preserve"> authors had full access to </w:t>
      </w:r>
      <w:proofErr w:type="gramStart"/>
      <w:r w:rsidR="00C317CD" w:rsidRPr="005D5454">
        <w:rPr>
          <w:shd w:val="clear" w:color="auto" w:fill="FFFFFF"/>
        </w:rPr>
        <w:t>all of</w:t>
      </w:r>
      <w:proofErr w:type="gramEnd"/>
      <w:r w:rsidR="00C317CD" w:rsidRPr="005D5454">
        <w:rPr>
          <w:shd w:val="clear" w:color="auto" w:fill="FFFFFF"/>
        </w:rPr>
        <w:t xml:space="preserve"> the data (including statistical reports and tables) in the study and can take responsibility for the integrity of the data and the accuracy of the data analysis.</w:t>
      </w:r>
    </w:p>
    <w:p w14:paraId="74929C3F" w14:textId="77777777" w:rsidR="00C317CD" w:rsidRPr="00D55BAF" w:rsidRDefault="00C317CD" w:rsidP="00C317CD">
      <w:pPr>
        <w:sectPr w:rsidR="00C317CD" w:rsidRPr="00D55BAF" w:rsidSect="007824EE">
          <w:footerReference w:type="default" r:id="rId8"/>
          <w:pgSz w:w="12240" w:h="15840" w:code="1"/>
          <w:pgMar w:top="1440" w:right="1247" w:bottom="1440" w:left="1304" w:header="720" w:footer="720" w:gutter="0"/>
          <w:cols w:space="720"/>
          <w:noEndnote/>
          <w:docGrid w:linePitch="299"/>
        </w:sectPr>
      </w:pPr>
    </w:p>
    <w:p w14:paraId="05905219" w14:textId="7E313B9E" w:rsidR="007510E2" w:rsidRPr="000429D0" w:rsidRDefault="007510E2" w:rsidP="007510E2">
      <w:pPr>
        <w:pStyle w:val="Heading2"/>
      </w:pPr>
      <w:r>
        <w:lastRenderedPageBreak/>
        <w:t>Acknowledgments</w:t>
      </w:r>
      <w:r w:rsidRPr="000429D0">
        <w:t xml:space="preserve"> </w:t>
      </w:r>
    </w:p>
    <w:p w14:paraId="4E969E36" w14:textId="77777777" w:rsidR="007510E2" w:rsidRDefault="007510E2" w:rsidP="007510E2">
      <w:pPr>
        <w:pStyle w:val="Heading3"/>
      </w:pPr>
      <w:r w:rsidRPr="000429D0">
        <w:t>Authors’ contributions</w:t>
      </w:r>
    </w:p>
    <w:p w14:paraId="03404FD1" w14:textId="77777777" w:rsidR="007510E2" w:rsidRPr="00451E8D" w:rsidRDefault="007510E2" w:rsidP="007510E2">
      <w:r>
        <w:t>SEJ analysed the data and drafted the manuscript. All authors provided critical revisions and approved the final manuscript.</w:t>
      </w:r>
    </w:p>
    <w:p w14:paraId="5542C25E" w14:textId="77777777" w:rsidR="007510E2" w:rsidRDefault="007510E2" w:rsidP="007510E2">
      <w:pPr>
        <w:pStyle w:val="Heading3"/>
      </w:pPr>
      <w:r w:rsidRPr="000429D0">
        <w:t>Availability of data and materials</w:t>
      </w:r>
    </w:p>
    <w:p w14:paraId="7D2767E3" w14:textId="77777777" w:rsidR="007510E2" w:rsidRPr="00451E8D" w:rsidRDefault="007510E2" w:rsidP="007510E2">
      <w:r w:rsidRPr="00677873">
        <w:t>The datasets used and/or analysed during the current study are available from the corresponding author on reasonable request.</w:t>
      </w:r>
    </w:p>
    <w:p w14:paraId="6BC97B34" w14:textId="77777777" w:rsidR="007510E2" w:rsidRDefault="007510E2" w:rsidP="007510E2">
      <w:pPr>
        <w:pStyle w:val="Heading3"/>
      </w:pPr>
      <w:r w:rsidRPr="000429D0">
        <w:t>Competing interests</w:t>
      </w:r>
    </w:p>
    <w:p w14:paraId="2B8870F4" w14:textId="5D4835BB" w:rsidR="007510E2" w:rsidRPr="000429D0" w:rsidRDefault="007510E2" w:rsidP="007510E2">
      <w:pPr>
        <w:rPr>
          <w:shd w:val="clear" w:color="auto" w:fill="FFFFFF"/>
        </w:rPr>
      </w:pPr>
      <w:r>
        <w:rPr>
          <w:shd w:val="clear" w:color="auto" w:fill="FFFFFF"/>
        </w:rPr>
        <w:t>None.</w:t>
      </w:r>
    </w:p>
    <w:p w14:paraId="1BE45DBE" w14:textId="77777777" w:rsidR="00C317CD" w:rsidRDefault="00C317CD">
      <w:pPr>
        <w:spacing w:after="200" w:line="276" w:lineRule="auto"/>
        <w:rPr>
          <w:rFonts w:eastAsiaTheme="majorEastAsia" w:cstheme="minorHAnsi"/>
          <w:b/>
          <w:bCs/>
          <w:sz w:val="26"/>
          <w:szCs w:val="26"/>
        </w:rPr>
      </w:pPr>
      <w:r>
        <w:br w:type="page"/>
      </w:r>
    </w:p>
    <w:p w14:paraId="733CF0FD" w14:textId="3C40C578" w:rsidR="00F20161" w:rsidRPr="00D55BAF" w:rsidRDefault="00F20161" w:rsidP="00D55BAF">
      <w:pPr>
        <w:pStyle w:val="Heading2"/>
      </w:pPr>
      <w:r w:rsidRPr="00D55BAF">
        <w:lastRenderedPageBreak/>
        <w:t>Tables</w:t>
      </w:r>
    </w:p>
    <w:tbl>
      <w:tblPr>
        <w:tblStyle w:val="TableGrid"/>
        <w:tblW w:w="8004" w:type="dxa"/>
        <w:tblInd w:w="108" w:type="dxa"/>
        <w:tblBorders>
          <w:top w:val="single" w:sz="24" w:space="0" w:color="auto"/>
          <w:left w:val="none" w:sz="0" w:space="0" w:color="auto"/>
          <w:right w:val="none" w:sz="0" w:space="0" w:color="auto"/>
        </w:tblBorders>
        <w:tblLayout w:type="fixed"/>
        <w:tblLook w:val="04A0" w:firstRow="1" w:lastRow="0" w:firstColumn="1" w:lastColumn="0" w:noHBand="0" w:noVBand="1"/>
      </w:tblPr>
      <w:tblGrid>
        <w:gridCol w:w="284"/>
        <w:gridCol w:w="283"/>
        <w:gridCol w:w="2444"/>
        <w:gridCol w:w="1525"/>
        <w:gridCol w:w="1395"/>
        <w:gridCol w:w="1301"/>
        <w:gridCol w:w="772"/>
      </w:tblGrid>
      <w:tr w:rsidR="00D739D0" w:rsidRPr="007E5E62" w14:paraId="1446116C" w14:textId="77777777" w:rsidTr="0075411A">
        <w:tc>
          <w:tcPr>
            <w:tcW w:w="8004" w:type="dxa"/>
            <w:gridSpan w:val="7"/>
            <w:tcBorders>
              <w:top w:val="nil"/>
              <w:bottom w:val="single" w:sz="8" w:space="0" w:color="auto"/>
            </w:tcBorders>
          </w:tcPr>
          <w:p w14:paraId="03F62069" w14:textId="77777777" w:rsidR="00D739D0" w:rsidRPr="007E5E62" w:rsidRDefault="00D739D0" w:rsidP="00D739D0">
            <w:pPr>
              <w:pStyle w:val="ListParagraph"/>
              <w:tabs>
                <w:tab w:val="left" w:pos="5385"/>
                <w:tab w:val="left" w:pos="11400"/>
              </w:tabs>
              <w:spacing w:after="0" w:line="240" w:lineRule="auto"/>
              <w:ind w:left="0"/>
              <w:rPr>
                <w:b/>
                <w:sz w:val="20"/>
                <w:szCs w:val="20"/>
              </w:rPr>
            </w:pPr>
            <w:r w:rsidRPr="007E5E62">
              <w:rPr>
                <w:b/>
                <w:sz w:val="20"/>
                <w:szCs w:val="20"/>
              </w:rPr>
              <w:t xml:space="preserve">Table </w:t>
            </w:r>
            <w:r w:rsidRPr="007E5E62">
              <w:rPr>
                <w:b/>
                <w:noProof/>
                <w:sz w:val="20"/>
                <w:szCs w:val="20"/>
              </w:rPr>
              <w:t>1</w:t>
            </w:r>
            <w:r w:rsidR="007E0231">
              <w:rPr>
                <w:sz w:val="20"/>
                <w:szCs w:val="20"/>
              </w:rPr>
              <w:t xml:space="preserve"> </w:t>
            </w:r>
            <w:r>
              <w:rPr>
                <w:sz w:val="20"/>
                <w:szCs w:val="20"/>
              </w:rPr>
              <w:t>Sample demographic and anthropometric characteristics</w:t>
            </w:r>
          </w:p>
        </w:tc>
      </w:tr>
      <w:tr w:rsidR="00D739D0" w:rsidRPr="007E5E62" w14:paraId="7279BC9A" w14:textId="77777777" w:rsidTr="0052291B">
        <w:tblPrEx>
          <w:tblBorders>
            <w:top w:val="single" w:sz="4" w:space="0" w:color="auto"/>
            <w:insideV w:val="none" w:sz="0" w:space="0" w:color="auto"/>
          </w:tblBorders>
        </w:tblPrEx>
        <w:tc>
          <w:tcPr>
            <w:tcW w:w="3011" w:type="dxa"/>
            <w:gridSpan w:val="3"/>
            <w:tcBorders>
              <w:top w:val="nil"/>
              <w:bottom w:val="single" w:sz="8" w:space="0" w:color="auto"/>
              <w:right w:val="nil"/>
            </w:tcBorders>
          </w:tcPr>
          <w:p w14:paraId="5F171554" w14:textId="77777777" w:rsidR="00D739D0" w:rsidRPr="007E5E62" w:rsidRDefault="00D739D0" w:rsidP="00E23A12">
            <w:pPr>
              <w:spacing w:after="0" w:line="276" w:lineRule="auto"/>
              <w:contextualSpacing/>
              <w:rPr>
                <w:sz w:val="20"/>
                <w:szCs w:val="20"/>
              </w:rPr>
            </w:pPr>
          </w:p>
        </w:tc>
        <w:tc>
          <w:tcPr>
            <w:tcW w:w="1525" w:type="dxa"/>
            <w:tcBorders>
              <w:top w:val="nil"/>
              <w:bottom w:val="single" w:sz="8" w:space="0" w:color="auto"/>
              <w:right w:val="nil"/>
            </w:tcBorders>
            <w:vAlign w:val="bottom"/>
          </w:tcPr>
          <w:p w14:paraId="139A2118" w14:textId="77777777" w:rsidR="00D739D0" w:rsidRPr="007E5E62" w:rsidRDefault="00D739D0" w:rsidP="00E23A12">
            <w:pPr>
              <w:spacing w:after="0" w:line="276" w:lineRule="auto"/>
              <w:contextualSpacing/>
              <w:jc w:val="center"/>
              <w:rPr>
                <w:b/>
                <w:sz w:val="20"/>
                <w:szCs w:val="20"/>
              </w:rPr>
            </w:pPr>
            <w:r w:rsidRPr="007E5E62">
              <w:rPr>
                <w:b/>
                <w:sz w:val="20"/>
                <w:szCs w:val="20"/>
              </w:rPr>
              <w:t>Whole sample</w:t>
            </w:r>
          </w:p>
          <w:p w14:paraId="1AF44693" w14:textId="77777777" w:rsidR="00D739D0" w:rsidRPr="007E5E62" w:rsidRDefault="00D739D0" w:rsidP="00B50A78">
            <w:pPr>
              <w:spacing w:after="0" w:line="276" w:lineRule="auto"/>
              <w:contextualSpacing/>
              <w:jc w:val="center"/>
              <w:rPr>
                <w:b/>
                <w:sz w:val="20"/>
                <w:szCs w:val="20"/>
              </w:rPr>
            </w:pPr>
            <w:r w:rsidRPr="007E5E62">
              <w:rPr>
                <w:b/>
                <w:sz w:val="20"/>
                <w:szCs w:val="20"/>
              </w:rPr>
              <w:t>(</w:t>
            </w:r>
            <w:r w:rsidRPr="007E5E62">
              <w:rPr>
                <w:b/>
                <w:i/>
                <w:sz w:val="20"/>
                <w:szCs w:val="20"/>
              </w:rPr>
              <w:t>n</w:t>
            </w:r>
            <w:r w:rsidR="0099258A">
              <w:rPr>
                <w:b/>
                <w:sz w:val="20"/>
                <w:szCs w:val="20"/>
              </w:rPr>
              <w:t>=</w:t>
            </w:r>
            <w:r w:rsidR="00B50A78">
              <w:rPr>
                <w:b/>
                <w:sz w:val="20"/>
                <w:szCs w:val="20"/>
              </w:rPr>
              <w:t>5240</w:t>
            </w:r>
            <w:r w:rsidRPr="007E5E62">
              <w:rPr>
                <w:b/>
                <w:sz w:val="20"/>
                <w:szCs w:val="20"/>
              </w:rPr>
              <w:t>)</w:t>
            </w:r>
          </w:p>
        </w:tc>
        <w:tc>
          <w:tcPr>
            <w:tcW w:w="1395" w:type="dxa"/>
            <w:tcBorders>
              <w:top w:val="single" w:sz="4" w:space="0" w:color="auto"/>
              <w:left w:val="nil"/>
              <w:bottom w:val="single" w:sz="8" w:space="0" w:color="auto"/>
              <w:right w:val="nil"/>
            </w:tcBorders>
            <w:vAlign w:val="center"/>
          </w:tcPr>
          <w:p w14:paraId="2844395D" w14:textId="77777777" w:rsidR="00D739D0" w:rsidRPr="007E5E62" w:rsidRDefault="00B12AB3" w:rsidP="00B50A78">
            <w:pPr>
              <w:spacing w:after="0" w:line="276" w:lineRule="auto"/>
              <w:contextualSpacing/>
              <w:jc w:val="center"/>
              <w:rPr>
                <w:b/>
                <w:sz w:val="20"/>
                <w:szCs w:val="20"/>
              </w:rPr>
            </w:pPr>
            <w:r>
              <w:rPr>
                <w:b/>
                <w:sz w:val="20"/>
                <w:szCs w:val="20"/>
              </w:rPr>
              <w:t>Men</w:t>
            </w:r>
            <w:r w:rsidR="00D739D0" w:rsidRPr="007E5E62">
              <w:rPr>
                <w:b/>
                <w:sz w:val="20"/>
                <w:szCs w:val="20"/>
              </w:rPr>
              <w:br/>
              <w:t>(</w:t>
            </w:r>
            <w:r w:rsidR="00D739D0" w:rsidRPr="007E5E62">
              <w:rPr>
                <w:b/>
                <w:i/>
                <w:sz w:val="20"/>
                <w:szCs w:val="20"/>
              </w:rPr>
              <w:t>n</w:t>
            </w:r>
            <w:r w:rsidR="0099258A">
              <w:rPr>
                <w:b/>
                <w:sz w:val="20"/>
                <w:szCs w:val="20"/>
              </w:rPr>
              <w:t>=</w:t>
            </w:r>
            <w:r w:rsidR="00B50A78">
              <w:rPr>
                <w:b/>
                <w:sz w:val="20"/>
                <w:szCs w:val="20"/>
              </w:rPr>
              <w:t>2352</w:t>
            </w:r>
            <w:r w:rsidR="00D739D0" w:rsidRPr="007E5E62">
              <w:rPr>
                <w:b/>
                <w:sz w:val="20"/>
                <w:szCs w:val="20"/>
              </w:rPr>
              <w:t>)</w:t>
            </w:r>
          </w:p>
        </w:tc>
        <w:tc>
          <w:tcPr>
            <w:tcW w:w="1301" w:type="dxa"/>
            <w:tcBorders>
              <w:top w:val="single" w:sz="4" w:space="0" w:color="auto"/>
              <w:left w:val="nil"/>
              <w:bottom w:val="single" w:sz="8" w:space="0" w:color="auto"/>
              <w:right w:val="nil"/>
            </w:tcBorders>
          </w:tcPr>
          <w:p w14:paraId="5C5974F5" w14:textId="77777777" w:rsidR="00D739D0" w:rsidRPr="007E5E62" w:rsidRDefault="00B12AB3" w:rsidP="00B50A78">
            <w:pPr>
              <w:spacing w:after="0" w:line="276" w:lineRule="auto"/>
              <w:contextualSpacing/>
              <w:jc w:val="center"/>
              <w:rPr>
                <w:b/>
                <w:sz w:val="20"/>
                <w:szCs w:val="20"/>
              </w:rPr>
            </w:pPr>
            <w:r>
              <w:rPr>
                <w:b/>
                <w:sz w:val="20"/>
                <w:szCs w:val="20"/>
              </w:rPr>
              <w:t>Women</w:t>
            </w:r>
            <w:r w:rsidR="00D739D0" w:rsidRPr="007E5E62">
              <w:rPr>
                <w:b/>
                <w:sz w:val="20"/>
                <w:szCs w:val="20"/>
              </w:rPr>
              <w:br/>
              <w:t>(</w:t>
            </w:r>
            <w:r w:rsidR="00D739D0" w:rsidRPr="007E5E62">
              <w:rPr>
                <w:b/>
                <w:i/>
                <w:sz w:val="20"/>
                <w:szCs w:val="20"/>
              </w:rPr>
              <w:t>n</w:t>
            </w:r>
            <w:r w:rsidR="0099258A">
              <w:rPr>
                <w:b/>
                <w:sz w:val="20"/>
                <w:szCs w:val="20"/>
              </w:rPr>
              <w:t>=</w:t>
            </w:r>
            <w:r w:rsidR="00B50A78">
              <w:rPr>
                <w:b/>
                <w:sz w:val="20"/>
                <w:szCs w:val="20"/>
              </w:rPr>
              <w:t>2888</w:t>
            </w:r>
            <w:r w:rsidR="00D739D0" w:rsidRPr="007E5E62">
              <w:rPr>
                <w:b/>
                <w:sz w:val="20"/>
                <w:szCs w:val="20"/>
              </w:rPr>
              <w:t>)</w:t>
            </w:r>
          </w:p>
        </w:tc>
        <w:tc>
          <w:tcPr>
            <w:tcW w:w="772" w:type="dxa"/>
            <w:tcBorders>
              <w:top w:val="single" w:sz="4" w:space="0" w:color="auto"/>
              <w:left w:val="nil"/>
              <w:bottom w:val="single" w:sz="8" w:space="0" w:color="auto"/>
              <w:right w:val="nil"/>
            </w:tcBorders>
            <w:vAlign w:val="center"/>
          </w:tcPr>
          <w:p w14:paraId="6EE8C27A" w14:textId="77777777" w:rsidR="00D739D0" w:rsidRPr="007E5E62" w:rsidRDefault="00D739D0" w:rsidP="00E23A12">
            <w:pPr>
              <w:spacing w:after="0" w:line="276" w:lineRule="auto"/>
              <w:contextualSpacing/>
              <w:jc w:val="center"/>
              <w:rPr>
                <w:b/>
                <w:sz w:val="20"/>
                <w:szCs w:val="20"/>
              </w:rPr>
            </w:pPr>
            <w:r w:rsidRPr="007E5E62">
              <w:rPr>
                <w:b/>
                <w:i/>
                <w:sz w:val="20"/>
                <w:szCs w:val="20"/>
              </w:rPr>
              <w:t>p</w:t>
            </w:r>
            <w:r w:rsidRPr="007E5E62">
              <w:rPr>
                <w:b/>
                <w:sz w:val="20"/>
                <w:szCs w:val="20"/>
              </w:rPr>
              <w:t>*</w:t>
            </w:r>
          </w:p>
        </w:tc>
      </w:tr>
      <w:tr w:rsidR="00D739D0" w:rsidRPr="007E5E62" w14:paraId="2A9B7280"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43454A92" w14:textId="77777777" w:rsidR="00D739D0" w:rsidRPr="007E5E62" w:rsidRDefault="00D739D0" w:rsidP="00E23A12">
            <w:pPr>
              <w:spacing w:after="0" w:line="276" w:lineRule="auto"/>
              <w:contextualSpacing/>
              <w:rPr>
                <w:sz w:val="20"/>
                <w:szCs w:val="20"/>
              </w:rPr>
            </w:pPr>
            <w:r w:rsidRPr="007E5E62">
              <w:rPr>
                <w:sz w:val="20"/>
                <w:szCs w:val="20"/>
              </w:rPr>
              <w:t>Age (</w:t>
            </w:r>
            <w:r w:rsidR="00A17E7C">
              <w:rPr>
                <w:sz w:val="20"/>
                <w:szCs w:val="20"/>
              </w:rPr>
              <w:t xml:space="preserve">mean [SD] </w:t>
            </w:r>
            <w:r w:rsidRPr="007E5E62">
              <w:rPr>
                <w:sz w:val="20"/>
                <w:szCs w:val="20"/>
              </w:rPr>
              <w:t>years)</w:t>
            </w:r>
          </w:p>
        </w:tc>
        <w:tc>
          <w:tcPr>
            <w:tcW w:w="1525" w:type="dxa"/>
            <w:tcBorders>
              <w:top w:val="single" w:sz="4" w:space="0" w:color="auto"/>
              <w:bottom w:val="nil"/>
              <w:right w:val="nil"/>
            </w:tcBorders>
          </w:tcPr>
          <w:p w14:paraId="544A88CC" w14:textId="77777777" w:rsidR="00D739D0" w:rsidRPr="007E5E62" w:rsidRDefault="00C1299A" w:rsidP="00B50A78">
            <w:pPr>
              <w:spacing w:after="0" w:line="276" w:lineRule="auto"/>
              <w:contextualSpacing/>
              <w:jc w:val="center"/>
              <w:rPr>
                <w:sz w:val="20"/>
                <w:szCs w:val="20"/>
              </w:rPr>
            </w:pPr>
            <w:r>
              <w:rPr>
                <w:sz w:val="20"/>
                <w:szCs w:val="20"/>
              </w:rPr>
              <w:t>70.</w:t>
            </w:r>
            <w:r w:rsidR="00B50A78">
              <w:rPr>
                <w:sz w:val="20"/>
                <w:szCs w:val="20"/>
              </w:rPr>
              <w:t>07 (7.76</w:t>
            </w:r>
            <w:r>
              <w:rPr>
                <w:sz w:val="20"/>
                <w:szCs w:val="20"/>
              </w:rPr>
              <w:t>)</w:t>
            </w:r>
          </w:p>
        </w:tc>
        <w:tc>
          <w:tcPr>
            <w:tcW w:w="1395" w:type="dxa"/>
            <w:tcBorders>
              <w:top w:val="single" w:sz="4" w:space="0" w:color="auto"/>
              <w:left w:val="nil"/>
              <w:bottom w:val="nil"/>
              <w:right w:val="nil"/>
            </w:tcBorders>
            <w:vAlign w:val="center"/>
          </w:tcPr>
          <w:p w14:paraId="4A6ED812" w14:textId="77777777" w:rsidR="00D739D0" w:rsidRPr="007E5E62" w:rsidRDefault="00BE3974" w:rsidP="00E23A12">
            <w:pPr>
              <w:spacing w:after="0" w:line="276" w:lineRule="auto"/>
              <w:contextualSpacing/>
              <w:jc w:val="center"/>
              <w:rPr>
                <w:sz w:val="20"/>
                <w:szCs w:val="20"/>
              </w:rPr>
            </w:pPr>
            <w:r>
              <w:rPr>
                <w:sz w:val="20"/>
                <w:szCs w:val="20"/>
              </w:rPr>
              <w:t>7</w:t>
            </w:r>
            <w:r w:rsidR="00F86D8B">
              <w:rPr>
                <w:sz w:val="20"/>
                <w:szCs w:val="20"/>
              </w:rPr>
              <w:t>0.23</w:t>
            </w:r>
            <w:r>
              <w:rPr>
                <w:sz w:val="20"/>
                <w:szCs w:val="20"/>
              </w:rPr>
              <w:t xml:space="preserve"> (7.52)</w:t>
            </w:r>
          </w:p>
        </w:tc>
        <w:tc>
          <w:tcPr>
            <w:tcW w:w="1301" w:type="dxa"/>
            <w:tcBorders>
              <w:top w:val="single" w:sz="4" w:space="0" w:color="auto"/>
              <w:left w:val="nil"/>
              <w:bottom w:val="nil"/>
              <w:right w:val="nil"/>
            </w:tcBorders>
            <w:vAlign w:val="center"/>
          </w:tcPr>
          <w:p w14:paraId="1963FBD7" w14:textId="77777777" w:rsidR="00D739D0" w:rsidRPr="007E5E62" w:rsidRDefault="00F86D8B" w:rsidP="00F86D8B">
            <w:pPr>
              <w:spacing w:after="0" w:line="276" w:lineRule="auto"/>
              <w:contextualSpacing/>
              <w:jc w:val="center"/>
              <w:rPr>
                <w:sz w:val="20"/>
                <w:szCs w:val="20"/>
              </w:rPr>
            </w:pPr>
            <w:r>
              <w:rPr>
                <w:sz w:val="20"/>
                <w:szCs w:val="20"/>
              </w:rPr>
              <w:t>70.57</w:t>
            </w:r>
            <w:r w:rsidR="00BE3974">
              <w:rPr>
                <w:sz w:val="20"/>
                <w:szCs w:val="20"/>
              </w:rPr>
              <w:t xml:space="preserve"> (7.7</w:t>
            </w:r>
            <w:r>
              <w:rPr>
                <w:sz w:val="20"/>
                <w:szCs w:val="20"/>
              </w:rPr>
              <w:t>1</w:t>
            </w:r>
            <w:r w:rsidR="00BE3974">
              <w:rPr>
                <w:sz w:val="20"/>
                <w:szCs w:val="20"/>
              </w:rPr>
              <w:t>)</w:t>
            </w:r>
          </w:p>
        </w:tc>
        <w:tc>
          <w:tcPr>
            <w:tcW w:w="772" w:type="dxa"/>
            <w:tcBorders>
              <w:top w:val="single" w:sz="4" w:space="0" w:color="auto"/>
              <w:left w:val="nil"/>
              <w:bottom w:val="nil"/>
              <w:right w:val="nil"/>
            </w:tcBorders>
          </w:tcPr>
          <w:p w14:paraId="2BC11DA8" w14:textId="77777777" w:rsidR="00D739D0" w:rsidRPr="007E5E62" w:rsidRDefault="00BE3974" w:rsidP="00F86D8B">
            <w:pPr>
              <w:spacing w:after="0" w:line="276" w:lineRule="auto"/>
              <w:contextualSpacing/>
              <w:jc w:val="center"/>
              <w:rPr>
                <w:sz w:val="20"/>
                <w:szCs w:val="20"/>
              </w:rPr>
            </w:pPr>
            <w:r>
              <w:rPr>
                <w:sz w:val="20"/>
                <w:szCs w:val="20"/>
              </w:rPr>
              <w:t>0.</w:t>
            </w:r>
            <w:r w:rsidR="00F86D8B">
              <w:rPr>
                <w:sz w:val="20"/>
                <w:szCs w:val="20"/>
              </w:rPr>
              <w:t>117</w:t>
            </w:r>
          </w:p>
        </w:tc>
      </w:tr>
      <w:tr w:rsidR="00D739D0" w:rsidRPr="007E5E62" w14:paraId="34FE087A"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28846262" w14:textId="77777777" w:rsidR="00D739D0" w:rsidRPr="007E5E62" w:rsidRDefault="00D739D0" w:rsidP="00E23A12">
            <w:pPr>
              <w:spacing w:after="0" w:line="276" w:lineRule="auto"/>
              <w:contextualSpacing/>
              <w:rPr>
                <w:sz w:val="20"/>
                <w:szCs w:val="20"/>
                <w:vertAlign w:val="superscript"/>
              </w:rPr>
            </w:pPr>
            <w:r w:rsidRPr="007E5E62">
              <w:rPr>
                <w:sz w:val="20"/>
                <w:szCs w:val="20"/>
              </w:rPr>
              <w:t>Ethnicity</w:t>
            </w:r>
          </w:p>
        </w:tc>
        <w:tc>
          <w:tcPr>
            <w:tcW w:w="1525" w:type="dxa"/>
            <w:tcBorders>
              <w:top w:val="single" w:sz="4" w:space="0" w:color="auto"/>
              <w:bottom w:val="nil"/>
              <w:right w:val="nil"/>
            </w:tcBorders>
          </w:tcPr>
          <w:p w14:paraId="79BF00D2" w14:textId="77777777" w:rsidR="00D739D0" w:rsidRPr="007E5E62" w:rsidRDefault="00D739D0" w:rsidP="00E23A12">
            <w:pPr>
              <w:spacing w:after="0" w:line="276" w:lineRule="auto"/>
              <w:contextualSpacing/>
              <w:jc w:val="center"/>
              <w:rPr>
                <w:sz w:val="20"/>
                <w:szCs w:val="20"/>
              </w:rPr>
            </w:pPr>
          </w:p>
        </w:tc>
        <w:tc>
          <w:tcPr>
            <w:tcW w:w="1395" w:type="dxa"/>
            <w:tcBorders>
              <w:top w:val="single" w:sz="4" w:space="0" w:color="auto"/>
              <w:left w:val="nil"/>
              <w:bottom w:val="nil"/>
              <w:right w:val="nil"/>
            </w:tcBorders>
            <w:vAlign w:val="center"/>
          </w:tcPr>
          <w:p w14:paraId="2F8F7379" w14:textId="77777777" w:rsidR="00D739D0" w:rsidRPr="007E5E62" w:rsidRDefault="00D739D0" w:rsidP="00E23A12">
            <w:pPr>
              <w:spacing w:after="0" w:line="276" w:lineRule="auto"/>
              <w:contextualSpacing/>
              <w:jc w:val="center"/>
              <w:rPr>
                <w:color w:val="7030A0"/>
                <w:sz w:val="20"/>
                <w:szCs w:val="20"/>
              </w:rPr>
            </w:pPr>
          </w:p>
        </w:tc>
        <w:tc>
          <w:tcPr>
            <w:tcW w:w="1301" w:type="dxa"/>
            <w:tcBorders>
              <w:top w:val="single" w:sz="4" w:space="0" w:color="auto"/>
              <w:left w:val="nil"/>
              <w:bottom w:val="nil"/>
              <w:right w:val="nil"/>
            </w:tcBorders>
            <w:vAlign w:val="center"/>
          </w:tcPr>
          <w:p w14:paraId="2D4DB41D" w14:textId="77777777" w:rsidR="00D739D0" w:rsidRPr="007E5E62" w:rsidRDefault="00D739D0" w:rsidP="00E23A12">
            <w:pPr>
              <w:spacing w:after="0" w:line="276" w:lineRule="auto"/>
              <w:contextualSpacing/>
              <w:jc w:val="center"/>
              <w:rPr>
                <w:color w:val="7030A0"/>
                <w:sz w:val="20"/>
                <w:szCs w:val="20"/>
              </w:rPr>
            </w:pPr>
          </w:p>
        </w:tc>
        <w:tc>
          <w:tcPr>
            <w:tcW w:w="772" w:type="dxa"/>
            <w:tcBorders>
              <w:top w:val="single" w:sz="4" w:space="0" w:color="auto"/>
              <w:left w:val="nil"/>
              <w:bottom w:val="nil"/>
              <w:right w:val="nil"/>
            </w:tcBorders>
          </w:tcPr>
          <w:p w14:paraId="19037722" w14:textId="77777777" w:rsidR="00D739D0" w:rsidRPr="007E5E62" w:rsidRDefault="00D739D0" w:rsidP="00E23A12">
            <w:pPr>
              <w:spacing w:after="0" w:line="276" w:lineRule="auto"/>
              <w:contextualSpacing/>
              <w:jc w:val="center"/>
              <w:rPr>
                <w:sz w:val="20"/>
                <w:szCs w:val="20"/>
              </w:rPr>
            </w:pPr>
          </w:p>
        </w:tc>
      </w:tr>
      <w:tr w:rsidR="00D739D0" w:rsidRPr="007E5E62" w14:paraId="683B051A" w14:textId="77777777" w:rsidTr="0052291B">
        <w:tblPrEx>
          <w:tblBorders>
            <w:top w:val="single" w:sz="4" w:space="0" w:color="auto"/>
            <w:insideV w:val="none" w:sz="0" w:space="0" w:color="auto"/>
          </w:tblBorders>
        </w:tblPrEx>
        <w:tc>
          <w:tcPr>
            <w:tcW w:w="284" w:type="dxa"/>
            <w:tcBorders>
              <w:top w:val="nil"/>
              <w:bottom w:val="nil"/>
              <w:right w:val="nil"/>
            </w:tcBorders>
          </w:tcPr>
          <w:p w14:paraId="109801D8" w14:textId="77777777" w:rsidR="00D739D0" w:rsidRPr="007E5E62" w:rsidRDefault="00D739D0" w:rsidP="00E23A12">
            <w:pPr>
              <w:spacing w:after="0" w:line="276" w:lineRule="auto"/>
              <w:contextualSpacing/>
              <w:rPr>
                <w:sz w:val="20"/>
                <w:szCs w:val="20"/>
              </w:rPr>
            </w:pPr>
          </w:p>
        </w:tc>
        <w:tc>
          <w:tcPr>
            <w:tcW w:w="2727" w:type="dxa"/>
            <w:gridSpan w:val="2"/>
            <w:tcBorders>
              <w:top w:val="nil"/>
              <w:bottom w:val="single" w:sz="4" w:space="0" w:color="auto"/>
              <w:right w:val="nil"/>
            </w:tcBorders>
          </w:tcPr>
          <w:p w14:paraId="328B86EC" w14:textId="77777777" w:rsidR="00D739D0" w:rsidRPr="007E5E62" w:rsidRDefault="00D739D0" w:rsidP="00E23A12">
            <w:pPr>
              <w:spacing w:after="0" w:line="276" w:lineRule="auto"/>
              <w:contextualSpacing/>
              <w:rPr>
                <w:sz w:val="20"/>
                <w:szCs w:val="20"/>
              </w:rPr>
            </w:pPr>
            <w:r w:rsidRPr="007E5E62">
              <w:rPr>
                <w:sz w:val="20"/>
                <w:szCs w:val="20"/>
              </w:rPr>
              <w:t>White</w:t>
            </w:r>
          </w:p>
        </w:tc>
        <w:tc>
          <w:tcPr>
            <w:tcW w:w="1525" w:type="dxa"/>
            <w:tcBorders>
              <w:top w:val="nil"/>
              <w:bottom w:val="single" w:sz="4" w:space="0" w:color="auto"/>
              <w:right w:val="nil"/>
            </w:tcBorders>
          </w:tcPr>
          <w:p w14:paraId="2DC3E234" w14:textId="77777777" w:rsidR="00D739D0" w:rsidRPr="007E5E62" w:rsidRDefault="00CD3702" w:rsidP="00E23A12">
            <w:pPr>
              <w:spacing w:after="0" w:line="276" w:lineRule="auto"/>
              <w:contextualSpacing/>
              <w:jc w:val="center"/>
              <w:rPr>
                <w:sz w:val="20"/>
                <w:szCs w:val="20"/>
              </w:rPr>
            </w:pPr>
            <w:r>
              <w:rPr>
                <w:sz w:val="20"/>
                <w:szCs w:val="20"/>
              </w:rPr>
              <w:t>96.2</w:t>
            </w:r>
          </w:p>
        </w:tc>
        <w:tc>
          <w:tcPr>
            <w:tcW w:w="1395" w:type="dxa"/>
            <w:tcBorders>
              <w:top w:val="nil"/>
              <w:left w:val="nil"/>
              <w:bottom w:val="single" w:sz="4" w:space="0" w:color="auto"/>
              <w:right w:val="nil"/>
            </w:tcBorders>
            <w:vAlign w:val="center"/>
          </w:tcPr>
          <w:p w14:paraId="4EC9AFE5" w14:textId="77777777" w:rsidR="00D739D0" w:rsidRPr="007E5E62" w:rsidRDefault="00BE3974" w:rsidP="00E23A12">
            <w:pPr>
              <w:spacing w:after="0" w:line="276" w:lineRule="auto"/>
              <w:contextualSpacing/>
              <w:jc w:val="center"/>
              <w:rPr>
                <w:sz w:val="20"/>
                <w:szCs w:val="20"/>
              </w:rPr>
            </w:pPr>
            <w:r>
              <w:rPr>
                <w:sz w:val="20"/>
                <w:szCs w:val="20"/>
              </w:rPr>
              <w:t>95.8</w:t>
            </w:r>
          </w:p>
        </w:tc>
        <w:tc>
          <w:tcPr>
            <w:tcW w:w="1301" w:type="dxa"/>
            <w:tcBorders>
              <w:top w:val="nil"/>
              <w:left w:val="nil"/>
              <w:bottom w:val="single" w:sz="4" w:space="0" w:color="auto"/>
              <w:right w:val="nil"/>
            </w:tcBorders>
            <w:vAlign w:val="center"/>
          </w:tcPr>
          <w:p w14:paraId="2A6DB737" w14:textId="77777777" w:rsidR="00D739D0" w:rsidRPr="007E5E62" w:rsidRDefault="00F86D8B" w:rsidP="00E23A12">
            <w:pPr>
              <w:spacing w:after="0" w:line="276" w:lineRule="auto"/>
              <w:contextualSpacing/>
              <w:jc w:val="center"/>
              <w:rPr>
                <w:sz w:val="20"/>
                <w:szCs w:val="20"/>
              </w:rPr>
            </w:pPr>
            <w:r>
              <w:rPr>
                <w:sz w:val="20"/>
                <w:szCs w:val="20"/>
              </w:rPr>
              <w:t>96.6</w:t>
            </w:r>
          </w:p>
        </w:tc>
        <w:tc>
          <w:tcPr>
            <w:tcW w:w="772" w:type="dxa"/>
            <w:tcBorders>
              <w:top w:val="nil"/>
              <w:left w:val="nil"/>
              <w:bottom w:val="single" w:sz="4" w:space="0" w:color="auto"/>
              <w:right w:val="nil"/>
            </w:tcBorders>
          </w:tcPr>
          <w:p w14:paraId="4E1A7659" w14:textId="77777777" w:rsidR="00D739D0" w:rsidRPr="007E5E62" w:rsidRDefault="00BE3974" w:rsidP="00F86D8B">
            <w:pPr>
              <w:spacing w:after="0" w:line="276" w:lineRule="auto"/>
              <w:contextualSpacing/>
              <w:jc w:val="center"/>
              <w:rPr>
                <w:sz w:val="20"/>
                <w:szCs w:val="20"/>
              </w:rPr>
            </w:pPr>
            <w:r>
              <w:rPr>
                <w:sz w:val="20"/>
                <w:szCs w:val="20"/>
              </w:rPr>
              <w:t>0.</w:t>
            </w:r>
            <w:r w:rsidR="00F86D8B">
              <w:rPr>
                <w:sz w:val="20"/>
                <w:szCs w:val="20"/>
              </w:rPr>
              <w:t>163</w:t>
            </w:r>
          </w:p>
        </w:tc>
      </w:tr>
      <w:tr w:rsidR="00D739D0" w:rsidRPr="007E5E62" w14:paraId="47BF2F52" w14:textId="77777777" w:rsidTr="0052291B">
        <w:tblPrEx>
          <w:tblBorders>
            <w:top w:val="single" w:sz="4" w:space="0" w:color="auto"/>
            <w:insideV w:val="none" w:sz="0" w:space="0" w:color="auto"/>
          </w:tblBorders>
        </w:tblPrEx>
        <w:tc>
          <w:tcPr>
            <w:tcW w:w="284" w:type="dxa"/>
            <w:tcBorders>
              <w:top w:val="nil"/>
              <w:bottom w:val="single" w:sz="4" w:space="0" w:color="auto"/>
              <w:right w:val="nil"/>
            </w:tcBorders>
          </w:tcPr>
          <w:p w14:paraId="3B3FAF4E" w14:textId="77777777" w:rsidR="00D739D0" w:rsidRPr="007E5E62" w:rsidRDefault="00D739D0" w:rsidP="00E23A12">
            <w:pPr>
              <w:spacing w:after="0" w:line="276" w:lineRule="auto"/>
              <w:contextualSpacing/>
              <w:rPr>
                <w:sz w:val="20"/>
                <w:szCs w:val="20"/>
              </w:rPr>
            </w:pPr>
          </w:p>
        </w:tc>
        <w:tc>
          <w:tcPr>
            <w:tcW w:w="2727" w:type="dxa"/>
            <w:gridSpan w:val="2"/>
            <w:tcBorders>
              <w:top w:val="single" w:sz="4" w:space="0" w:color="auto"/>
              <w:bottom w:val="single" w:sz="4" w:space="0" w:color="auto"/>
              <w:right w:val="nil"/>
            </w:tcBorders>
          </w:tcPr>
          <w:p w14:paraId="15351CA7" w14:textId="77777777" w:rsidR="00D739D0" w:rsidRPr="007E5E62" w:rsidRDefault="00B80EF6" w:rsidP="00E23A12">
            <w:pPr>
              <w:spacing w:after="0" w:line="276" w:lineRule="auto"/>
              <w:contextualSpacing/>
              <w:rPr>
                <w:sz w:val="20"/>
                <w:szCs w:val="20"/>
              </w:rPr>
            </w:pPr>
            <w:r>
              <w:rPr>
                <w:sz w:val="20"/>
                <w:szCs w:val="20"/>
              </w:rPr>
              <w:t>Non-white</w:t>
            </w:r>
          </w:p>
        </w:tc>
        <w:tc>
          <w:tcPr>
            <w:tcW w:w="1525" w:type="dxa"/>
            <w:tcBorders>
              <w:top w:val="single" w:sz="4" w:space="0" w:color="auto"/>
              <w:bottom w:val="single" w:sz="4" w:space="0" w:color="auto"/>
              <w:right w:val="nil"/>
            </w:tcBorders>
          </w:tcPr>
          <w:p w14:paraId="3198F9ED" w14:textId="77777777" w:rsidR="00D739D0" w:rsidRPr="007E5E62" w:rsidRDefault="00CD3702" w:rsidP="00E23A12">
            <w:pPr>
              <w:spacing w:after="0" w:line="276" w:lineRule="auto"/>
              <w:contextualSpacing/>
              <w:jc w:val="center"/>
              <w:rPr>
                <w:sz w:val="20"/>
                <w:szCs w:val="20"/>
              </w:rPr>
            </w:pPr>
            <w:r>
              <w:rPr>
                <w:sz w:val="20"/>
                <w:szCs w:val="20"/>
              </w:rPr>
              <w:t>3.8</w:t>
            </w:r>
          </w:p>
        </w:tc>
        <w:tc>
          <w:tcPr>
            <w:tcW w:w="1395" w:type="dxa"/>
            <w:tcBorders>
              <w:top w:val="single" w:sz="4" w:space="0" w:color="auto"/>
              <w:left w:val="nil"/>
              <w:bottom w:val="single" w:sz="4" w:space="0" w:color="auto"/>
              <w:right w:val="nil"/>
            </w:tcBorders>
            <w:vAlign w:val="center"/>
          </w:tcPr>
          <w:p w14:paraId="54B8C8F8" w14:textId="77777777" w:rsidR="00D739D0" w:rsidRPr="007E5E62" w:rsidRDefault="00BE3974" w:rsidP="00E23A12">
            <w:pPr>
              <w:spacing w:after="0" w:line="276" w:lineRule="auto"/>
              <w:contextualSpacing/>
              <w:jc w:val="center"/>
              <w:rPr>
                <w:sz w:val="20"/>
                <w:szCs w:val="20"/>
              </w:rPr>
            </w:pPr>
            <w:r>
              <w:rPr>
                <w:sz w:val="20"/>
                <w:szCs w:val="20"/>
              </w:rPr>
              <w:t>4.2</w:t>
            </w:r>
          </w:p>
        </w:tc>
        <w:tc>
          <w:tcPr>
            <w:tcW w:w="1301" w:type="dxa"/>
            <w:tcBorders>
              <w:top w:val="single" w:sz="4" w:space="0" w:color="auto"/>
              <w:left w:val="nil"/>
              <w:bottom w:val="single" w:sz="4" w:space="0" w:color="auto"/>
              <w:right w:val="nil"/>
            </w:tcBorders>
            <w:vAlign w:val="center"/>
          </w:tcPr>
          <w:p w14:paraId="5002C40F" w14:textId="77777777" w:rsidR="00D739D0" w:rsidRPr="007E5E62" w:rsidRDefault="00F86D8B" w:rsidP="00E23A12">
            <w:pPr>
              <w:spacing w:after="0" w:line="276" w:lineRule="auto"/>
              <w:contextualSpacing/>
              <w:jc w:val="center"/>
              <w:rPr>
                <w:sz w:val="20"/>
                <w:szCs w:val="20"/>
              </w:rPr>
            </w:pPr>
            <w:r>
              <w:rPr>
                <w:sz w:val="20"/>
                <w:szCs w:val="20"/>
              </w:rPr>
              <w:t>3.4</w:t>
            </w:r>
          </w:p>
        </w:tc>
        <w:tc>
          <w:tcPr>
            <w:tcW w:w="772" w:type="dxa"/>
            <w:tcBorders>
              <w:top w:val="single" w:sz="4" w:space="0" w:color="auto"/>
              <w:left w:val="nil"/>
              <w:bottom w:val="single" w:sz="4" w:space="0" w:color="auto"/>
              <w:right w:val="nil"/>
            </w:tcBorders>
          </w:tcPr>
          <w:p w14:paraId="152857DB" w14:textId="77777777" w:rsidR="00D739D0" w:rsidRPr="007E5E62" w:rsidRDefault="00BE3974" w:rsidP="00E23A12">
            <w:pPr>
              <w:spacing w:after="0" w:line="276" w:lineRule="auto"/>
              <w:contextualSpacing/>
              <w:jc w:val="center"/>
              <w:rPr>
                <w:sz w:val="20"/>
                <w:szCs w:val="20"/>
              </w:rPr>
            </w:pPr>
            <w:r>
              <w:rPr>
                <w:sz w:val="20"/>
                <w:szCs w:val="20"/>
              </w:rPr>
              <w:t>-</w:t>
            </w:r>
          </w:p>
        </w:tc>
      </w:tr>
      <w:tr w:rsidR="00D739D0" w:rsidRPr="007E5E62" w14:paraId="5CBAAFA3"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0C873090" w14:textId="77777777" w:rsidR="00D739D0" w:rsidRPr="007E5E62" w:rsidRDefault="00D739D0" w:rsidP="00E23A12">
            <w:pPr>
              <w:spacing w:after="0" w:line="276" w:lineRule="auto"/>
              <w:contextualSpacing/>
              <w:rPr>
                <w:sz w:val="20"/>
                <w:szCs w:val="20"/>
                <w:vertAlign w:val="superscript"/>
              </w:rPr>
            </w:pPr>
            <w:r w:rsidRPr="007E5E62">
              <w:rPr>
                <w:sz w:val="20"/>
                <w:szCs w:val="20"/>
              </w:rPr>
              <w:t>SES</w:t>
            </w:r>
          </w:p>
        </w:tc>
        <w:tc>
          <w:tcPr>
            <w:tcW w:w="1525" w:type="dxa"/>
            <w:tcBorders>
              <w:top w:val="single" w:sz="4" w:space="0" w:color="auto"/>
              <w:bottom w:val="nil"/>
              <w:right w:val="nil"/>
            </w:tcBorders>
          </w:tcPr>
          <w:p w14:paraId="395EBAA3" w14:textId="77777777" w:rsidR="00D739D0" w:rsidRPr="007E5E62" w:rsidRDefault="00D739D0" w:rsidP="00E23A12">
            <w:pPr>
              <w:spacing w:after="0" w:line="276" w:lineRule="auto"/>
              <w:contextualSpacing/>
              <w:jc w:val="center"/>
              <w:rPr>
                <w:sz w:val="20"/>
                <w:szCs w:val="20"/>
              </w:rPr>
            </w:pPr>
          </w:p>
        </w:tc>
        <w:tc>
          <w:tcPr>
            <w:tcW w:w="1395" w:type="dxa"/>
            <w:tcBorders>
              <w:top w:val="single" w:sz="4" w:space="0" w:color="auto"/>
              <w:left w:val="nil"/>
              <w:bottom w:val="nil"/>
              <w:right w:val="nil"/>
            </w:tcBorders>
            <w:vAlign w:val="center"/>
          </w:tcPr>
          <w:p w14:paraId="022ACD25" w14:textId="77777777" w:rsidR="00D739D0" w:rsidRPr="007E5E62" w:rsidRDefault="00D739D0" w:rsidP="00E23A12">
            <w:pPr>
              <w:spacing w:after="0" w:line="276" w:lineRule="auto"/>
              <w:contextualSpacing/>
              <w:jc w:val="center"/>
              <w:rPr>
                <w:color w:val="7030A0"/>
                <w:sz w:val="20"/>
                <w:szCs w:val="20"/>
              </w:rPr>
            </w:pPr>
          </w:p>
        </w:tc>
        <w:tc>
          <w:tcPr>
            <w:tcW w:w="1301" w:type="dxa"/>
            <w:tcBorders>
              <w:top w:val="single" w:sz="4" w:space="0" w:color="auto"/>
              <w:left w:val="nil"/>
              <w:bottom w:val="nil"/>
              <w:right w:val="nil"/>
            </w:tcBorders>
            <w:vAlign w:val="center"/>
          </w:tcPr>
          <w:p w14:paraId="3F0CB452" w14:textId="77777777" w:rsidR="00D739D0" w:rsidRPr="007E5E62" w:rsidRDefault="00D739D0" w:rsidP="00E23A12">
            <w:pPr>
              <w:spacing w:after="0" w:line="276" w:lineRule="auto"/>
              <w:contextualSpacing/>
              <w:jc w:val="center"/>
              <w:rPr>
                <w:color w:val="7030A0"/>
                <w:sz w:val="20"/>
                <w:szCs w:val="20"/>
              </w:rPr>
            </w:pPr>
          </w:p>
        </w:tc>
        <w:tc>
          <w:tcPr>
            <w:tcW w:w="772" w:type="dxa"/>
            <w:tcBorders>
              <w:top w:val="single" w:sz="4" w:space="0" w:color="auto"/>
              <w:left w:val="nil"/>
              <w:bottom w:val="nil"/>
              <w:right w:val="nil"/>
            </w:tcBorders>
          </w:tcPr>
          <w:p w14:paraId="656E8A40" w14:textId="77777777" w:rsidR="00D739D0" w:rsidRPr="007E5E62" w:rsidRDefault="00D739D0" w:rsidP="00E23A12">
            <w:pPr>
              <w:spacing w:after="0" w:line="276" w:lineRule="auto"/>
              <w:contextualSpacing/>
              <w:jc w:val="center"/>
              <w:rPr>
                <w:sz w:val="20"/>
                <w:szCs w:val="20"/>
              </w:rPr>
            </w:pPr>
          </w:p>
        </w:tc>
      </w:tr>
      <w:tr w:rsidR="00D739D0" w:rsidRPr="007E5E62" w14:paraId="33BA3A0E" w14:textId="77777777" w:rsidTr="0052291B">
        <w:tblPrEx>
          <w:tblBorders>
            <w:top w:val="single" w:sz="4" w:space="0" w:color="auto"/>
            <w:insideV w:val="none" w:sz="0" w:space="0" w:color="auto"/>
          </w:tblBorders>
        </w:tblPrEx>
        <w:tc>
          <w:tcPr>
            <w:tcW w:w="284" w:type="dxa"/>
            <w:tcBorders>
              <w:top w:val="nil"/>
              <w:bottom w:val="nil"/>
              <w:right w:val="nil"/>
            </w:tcBorders>
          </w:tcPr>
          <w:p w14:paraId="00F0D9C2" w14:textId="77777777" w:rsidR="00D739D0" w:rsidRPr="007E5E62" w:rsidRDefault="00D739D0" w:rsidP="00E23A12">
            <w:pPr>
              <w:spacing w:after="0" w:line="276" w:lineRule="auto"/>
              <w:contextualSpacing/>
              <w:rPr>
                <w:sz w:val="20"/>
                <w:szCs w:val="20"/>
              </w:rPr>
            </w:pPr>
          </w:p>
        </w:tc>
        <w:tc>
          <w:tcPr>
            <w:tcW w:w="2727" w:type="dxa"/>
            <w:gridSpan w:val="2"/>
            <w:tcBorders>
              <w:top w:val="nil"/>
              <w:bottom w:val="single" w:sz="4" w:space="0" w:color="auto"/>
              <w:right w:val="nil"/>
            </w:tcBorders>
          </w:tcPr>
          <w:p w14:paraId="32DE9D47" w14:textId="77777777" w:rsidR="00D739D0" w:rsidRPr="007E5E62" w:rsidRDefault="00D739D0" w:rsidP="00E23A12">
            <w:pPr>
              <w:spacing w:after="0" w:line="276" w:lineRule="auto"/>
              <w:contextualSpacing/>
              <w:rPr>
                <w:sz w:val="20"/>
                <w:szCs w:val="20"/>
              </w:rPr>
            </w:pPr>
            <w:r w:rsidRPr="007E5E62">
              <w:rPr>
                <w:sz w:val="20"/>
                <w:szCs w:val="20"/>
              </w:rPr>
              <w:t>Higher</w:t>
            </w:r>
          </w:p>
        </w:tc>
        <w:tc>
          <w:tcPr>
            <w:tcW w:w="1525" w:type="dxa"/>
            <w:tcBorders>
              <w:top w:val="nil"/>
              <w:bottom w:val="single" w:sz="4" w:space="0" w:color="auto"/>
              <w:right w:val="nil"/>
            </w:tcBorders>
          </w:tcPr>
          <w:p w14:paraId="2144704F" w14:textId="77777777" w:rsidR="00D739D0" w:rsidRPr="007E5E62" w:rsidRDefault="00B50A78" w:rsidP="00E23A12">
            <w:pPr>
              <w:spacing w:after="0" w:line="276" w:lineRule="auto"/>
              <w:contextualSpacing/>
              <w:jc w:val="center"/>
              <w:rPr>
                <w:sz w:val="20"/>
                <w:szCs w:val="20"/>
              </w:rPr>
            </w:pPr>
            <w:r>
              <w:rPr>
                <w:sz w:val="20"/>
                <w:szCs w:val="20"/>
              </w:rPr>
              <w:t>32.4</w:t>
            </w:r>
          </w:p>
        </w:tc>
        <w:tc>
          <w:tcPr>
            <w:tcW w:w="1395" w:type="dxa"/>
            <w:tcBorders>
              <w:top w:val="nil"/>
              <w:left w:val="nil"/>
              <w:bottom w:val="single" w:sz="4" w:space="0" w:color="auto"/>
              <w:right w:val="nil"/>
            </w:tcBorders>
            <w:vAlign w:val="center"/>
          </w:tcPr>
          <w:p w14:paraId="59953890" w14:textId="77777777" w:rsidR="00D739D0" w:rsidRPr="007E5E62" w:rsidRDefault="00F86D8B" w:rsidP="00E23A12">
            <w:pPr>
              <w:spacing w:after="0" w:line="276" w:lineRule="auto"/>
              <w:contextualSpacing/>
              <w:jc w:val="center"/>
              <w:rPr>
                <w:sz w:val="20"/>
                <w:szCs w:val="20"/>
              </w:rPr>
            </w:pPr>
            <w:r>
              <w:rPr>
                <w:sz w:val="20"/>
                <w:szCs w:val="20"/>
              </w:rPr>
              <w:t>38.8</w:t>
            </w:r>
          </w:p>
        </w:tc>
        <w:tc>
          <w:tcPr>
            <w:tcW w:w="1301" w:type="dxa"/>
            <w:tcBorders>
              <w:top w:val="nil"/>
              <w:left w:val="nil"/>
              <w:bottom w:val="single" w:sz="4" w:space="0" w:color="auto"/>
              <w:right w:val="nil"/>
            </w:tcBorders>
            <w:vAlign w:val="center"/>
          </w:tcPr>
          <w:p w14:paraId="4CA7D4CD" w14:textId="77777777" w:rsidR="00D739D0" w:rsidRPr="007E5E62" w:rsidRDefault="00F86D8B" w:rsidP="00E23A12">
            <w:pPr>
              <w:spacing w:after="0" w:line="276" w:lineRule="auto"/>
              <w:contextualSpacing/>
              <w:jc w:val="center"/>
              <w:rPr>
                <w:sz w:val="20"/>
                <w:szCs w:val="20"/>
              </w:rPr>
            </w:pPr>
            <w:r>
              <w:rPr>
                <w:sz w:val="20"/>
                <w:szCs w:val="20"/>
              </w:rPr>
              <w:t>26.6</w:t>
            </w:r>
          </w:p>
        </w:tc>
        <w:tc>
          <w:tcPr>
            <w:tcW w:w="772" w:type="dxa"/>
            <w:tcBorders>
              <w:top w:val="nil"/>
              <w:left w:val="nil"/>
              <w:bottom w:val="single" w:sz="4" w:space="0" w:color="auto"/>
              <w:right w:val="nil"/>
            </w:tcBorders>
          </w:tcPr>
          <w:p w14:paraId="5D9B8E98" w14:textId="77777777" w:rsidR="00D739D0" w:rsidRPr="007E5E62" w:rsidRDefault="00BE3974" w:rsidP="00E23A12">
            <w:pPr>
              <w:spacing w:after="0" w:line="276" w:lineRule="auto"/>
              <w:contextualSpacing/>
              <w:jc w:val="center"/>
              <w:rPr>
                <w:sz w:val="20"/>
                <w:szCs w:val="20"/>
              </w:rPr>
            </w:pPr>
            <w:r>
              <w:rPr>
                <w:sz w:val="20"/>
                <w:szCs w:val="20"/>
              </w:rPr>
              <w:t>&lt;0.001</w:t>
            </w:r>
          </w:p>
        </w:tc>
      </w:tr>
      <w:tr w:rsidR="00D739D0" w:rsidRPr="007E5E62" w14:paraId="266DC174" w14:textId="77777777" w:rsidTr="0052291B">
        <w:tblPrEx>
          <w:tblBorders>
            <w:top w:val="single" w:sz="4" w:space="0" w:color="auto"/>
            <w:insideV w:val="none" w:sz="0" w:space="0" w:color="auto"/>
          </w:tblBorders>
        </w:tblPrEx>
        <w:tc>
          <w:tcPr>
            <w:tcW w:w="284" w:type="dxa"/>
            <w:tcBorders>
              <w:top w:val="nil"/>
              <w:bottom w:val="nil"/>
              <w:right w:val="nil"/>
            </w:tcBorders>
          </w:tcPr>
          <w:p w14:paraId="0A5206F4" w14:textId="77777777" w:rsidR="00D739D0" w:rsidRPr="007E5E62" w:rsidRDefault="00D739D0" w:rsidP="00E23A12">
            <w:pPr>
              <w:spacing w:after="0" w:line="276" w:lineRule="auto"/>
              <w:contextualSpacing/>
              <w:rPr>
                <w:sz w:val="20"/>
                <w:szCs w:val="20"/>
              </w:rPr>
            </w:pPr>
          </w:p>
        </w:tc>
        <w:tc>
          <w:tcPr>
            <w:tcW w:w="2727" w:type="dxa"/>
            <w:gridSpan w:val="2"/>
            <w:tcBorders>
              <w:top w:val="single" w:sz="4" w:space="0" w:color="auto"/>
              <w:bottom w:val="single" w:sz="4" w:space="0" w:color="auto"/>
              <w:right w:val="nil"/>
            </w:tcBorders>
          </w:tcPr>
          <w:p w14:paraId="07E16648" w14:textId="77777777" w:rsidR="00D739D0" w:rsidRPr="007E5E62" w:rsidRDefault="00D739D0" w:rsidP="00E23A12">
            <w:pPr>
              <w:spacing w:after="0" w:line="276" w:lineRule="auto"/>
              <w:contextualSpacing/>
              <w:rPr>
                <w:sz w:val="20"/>
                <w:szCs w:val="20"/>
              </w:rPr>
            </w:pPr>
            <w:r w:rsidRPr="007E5E62">
              <w:rPr>
                <w:sz w:val="20"/>
                <w:szCs w:val="20"/>
              </w:rPr>
              <w:t>Intermediate</w:t>
            </w:r>
          </w:p>
        </w:tc>
        <w:tc>
          <w:tcPr>
            <w:tcW w:w="1525" w:type="dxa"/>
            <w:tcBorders>
              <w:top w:val="single" w:sz="4" w:space="0" w:color="auto"/>
              <w:bottom w:val="single" w:sz="4" w:space="0" w:color="auto"/>
              <w:right w:val="nil"/>
            </w:tcBorders>
          </w:tcPr>
          <w:p w14:paraId="6D1D8F00" w14:textId="77777777" w:rsidR="00D739D0" w:rsidRPr="007E5E62" w:rsidRDefault="00B50A78" w:rsidP="00E23A12">
            <w:pPr>
              <w:spacing w:after="0" w:line="276" w:lineRule="auto"/>
              <w:contextualSpacing/>
              <w:jc w:val="center"/>
              <w:rPr>
                <w:sz w:val="20"/>
                <w:szCs w:val="20"/>
              </w:rPr>
            </w:pPr>
            <w:r>
              <w:rPr>
                <w:sz w:val="20"/>
                <w:szCs w:val="20"/>
              </w:rPr>
              <w:t>26.8</w:t>
            </w:r>
          </w:p>
        </w:tc>
        <w:tc>
          <w:tcPr>
            <w:tcW w:w="1395" w:type="dxa"/>
            <w:tcBorders>
              <w:top w:val="single" w:sz="4" w:space="0" w:color="auto"/>
              <w:left w:val="nil"/>
              <w:bottom w:val="single" w:sz="4" w:space="0" w:color="auto"/>
              <w:right w:val="nil"/>
            </w:tcBorders>
            <w:vAlign w:val="center"/>
          </w:tcPr>
          <w:p w14:paraId="2203F1B5" w14:textId="77777777" w:rsidR="00D739D0" w:rsidRPr="007E5E62" w:rsidRDefault="00F86D8B" w:rsidP="00E23A12">
            <w:pPr>
              <w:spacing w:after="0" w:line="276" w:lineRule="auto"/>
              <w:contextualSpacing/>
              <w:jc w:val="center"/>
              <w:rPr>
                <w:sz w:val="20"/>
                <w:szCs w:val="20"/>
              </w:rPr>
            </w:pPr>
            <w:r>
              <w:rPr>
                <w:sz w:val="20"/>
                <w:szCs w:val="20"/>
              </w:rPr>
              <w:t>21.9</w:t>
            </w:r>
          </w:p>
        </w:tc>
        <w:tc>
          <w:tcPr>
            <w:tcW w:w="1301" w:type="dxa"/>
            <w:tcBorders>
              <w:top w:val="single" w:sz="4" w:space="0" w:color="auto"/>
              <w:left w:val="nil"/>
              <w:bottom w:val="single" w:sz="4" w:space="0" w:color="auto"/>
              <w:right w:val="nil"/>
            </w:tcBorders>
            <w:vAlign w:val="center"/>
          </w:tcPr>
          <w:p w14:paraId="0C5C663A" w14:textId="77777777" w:rsidR="00D739D0" w:rsidRPr="007E5E62" w:rsidRDefault="00F86D8B" w:rsidP="00E23A12">
            <w:pPr>
              <w:spacing w:after="0" w:line="276" w:lineRule="auto"/>
              <w:contextualSpacing/>
              <w:jc w:val="center"/>
              <w:rPr>
                <w:sz w:val="20"/>
                <w:szCs w:val="20"/>
              </w:rPr>
            </w:pPr>
            <w:r>
              <w:rPr>
                <w:sz w:val="20"/>
                <w:szCs w:val="20"/>
              </w:rPr>
              <w:t>31.3</w:t>
            </w:r>
          </w:p>
        </w:tc>
        <w:tc>
          <w:tcPr>
            <w:tcW w:w="772" w:type="dxa"/>
            <w:tcBorders>
              <w:top w:val="single" w:sz="4" w:space="0" w:color="auto"/>
              <w:left w:val="nil"/>
              <w:bottom w:val="single" w:sz="4" w:space="0" w:color="auto"/>
              <w:right w:val="nil"/>
            </w:tcBorders>
          </w:tcPr>
          <w:p w14:paraId="4FCA7EC2" w14:textId="77777777" w:rsidR="00D739D0" w:rsidRPr="007E5E62" w:rsidRDefault="00BE3974" w:rsidP="00E23A12">
            <w:pPr>
              <w:spacing w:after="0" w:line="276" w:lineRule="auto"/>
              <w:contextualSpacing/>
              <w:jc w:val="center"/>
              <w:rPr>
                <w:sz w:val="20"/>
                <w:szCs w:val="20"/>
              </w:rPr>
            </w:pPr>
            <w:r>
              <w:rPr>
                <w:sz w:val="20"/>
                <w:szCs w:val="20"/>
              </w:rPr>
              <w:t>-</w:t>
            </w:r>
          </w:p>
        </w:tc>
      </w:tr>
      <w:tr w:rsidR="00D739D0" w:rsidRPr="007E5E62" w14:paraId="36D53F85" w14:textId="77777777" w:rsidTr="0052291B">
        <w:tblPrEx>
          <w:tblBorders>
            <w:top w:val="single" w:sz="4" w:space="0" w:color="auto"/>
            <w:insideV w:val="none" w:sz="0" w:space="0" w:color="auto"/>
          </w:tblBorders>
        </w:tblPrEx>
        <w:tc>
          <w:tcPr>
            <w:tcW w:w="284" w:type="dxa"/>
            <w:tcBorders>
              <w:top w:val="nil"/>
              <w:bottom w:val="single" w:sz="4" w:space="0" w:color="auto"/>
              <w:right w:val="nil"/>
            </w:tcBorders>
          </w:tcPr>
          <w:p w14:paraId="5BA344F9" w14:textId="77777777" w:rsidR="00D739D0" w:rsidRPr="007E5E62" w:rsidRDefault="00D739D0" w:rsidP="00E23A12">
            <w:pPr>
              <w:spacing w:after="0" w:line="276" w:lineRule="auto"/>
              <w:contextualSpacing/>
              <w:rPr>
                <w:sz w:val="20"/>
                <w:szCs w:val="20"/>
              </w:rPr>
            </w:pPr>
          </w:p>
        </w:tc>
        <w:tc>
          <w:tcPr>
            <w:tcW w:w="2727" w:type="dxa"/>
            <w:gridSpan w:val="2"/>
            <w:tcBorders>
              <w:top w:val="single" w:sz="4" w:space="0" w:color="auto"/>
              <w:bottom w:val="single" w:sz="4" w:space="0" w:color="auto"/>
              <w:right w:val="nil"/>
            </w:tcBorders>
          </w:tcPr>
          <w:p w14:paraId="2199E963" w14:textId="77777777" w:rsidR="00D739D0" w:rsidRPr="007E5E62" w:rsidRDefault="00D739D0" w:rsidP="00E23A12">
            <w:pPr>
              <w:spacing w:after="0" w:line="276" w:lineRule="auto"/>
              <w:contextualSpacing/>
              <w:rPr>
                <w:sz w:val="20"/>
                <w:szCs w:val="20"/>
              </w:rPr>
            </w:pPr>
            <w:r w:rsidRPr="007E5E62">
              <w:rPr>
                <w:sz w:val="20"/>
                <w:szCs w:val="20"/>
              </w:rPr>
              <w:t>Lower</w:t>
            </w:r>
          </w:p>
        </w:tc>
        <w:tc>
          <w:tcPr>
            <w:tcW w:w="1525" w:type="dxa"/>
            <w:tcBorders>
              <w:top w:val="single" w:sz="4" w:space="0" w:color="auto"/>
              <w:bottom w:val="single" w:sz="4" w:space="0" w:color="auto"/>
              <w:right w:val="nil"/>
            </w:tcBorders>
          </w:tcPr>
          <w:p w14:paraId="289B4825" w14:textId="77777777" w:rsidR="00D739D0" w:rsidRPr="007E5E62" w:rsidRDefault="00B50A78" w:rsidP="00E23A12">
            <w:pPr>
              <w:spacing w:after="0" w:line="276" w:lineRule="auto"/>
              <w:contextualSpacing/>
              <w:jc w:val="center"/>
              <w:rPr>
                <w:sz w:val="20"/>
                <w:szCs w:val="20"/>
              </w:rPr>
            </w:pPr>
            <w:r>
              <w:rPr>
                <w:sz w:val="20"/>
                <w:szCs w:val="20"/>
              </w:rPr>
              <w:t>40.8</w:t>
            </w:r>
          </w:p>
        </w:tc>
        <w:tc>
          <w:tcPr>
            <w:tcW w:w="1395" w:type="dxa"/>
            <w:tcBorders>
              <w:top w:val="single" w:sz="4" w:space="0" w:color="auto"/>
              <w:left w:val="nil"/>
              <w:bottom w:val="single" w:sz="4" w:space="0" w:color="auto"/>
              <w:right w:val="nil"/>
            </w:tcBorders>
            <w:vAlign w:val="center"/>
          </w:tcPr>
          <w:p w14:paraId="682B6A5D" w14:textId="77777777" w:rsidR="00D739D0" w:rsidRPr="007E5E62" w:rsidRDefault="00F86D8B" w:rsidP="00E23A12">
            <w:pPr>
              <w:spacing w:after="0" w:line="276" w:lineRule="auto"/>
              <w:contextualSpacing/>
              <w:jc w:val="center"/>
              <w:rPr>
                <w:sz w:val="20"/>
                <w:szCs w:val="20"/>
              </w:rPr>
            </w:pPr>
            <w:r>
              <w:rPr>
                <w:sz w:val="20"/>
                <w:szCs w:val="20"/>
              </w:rPr>
              <w:t>39.4</w:t>
            </w:r>
          </w:p>
        </w:tc>
        <w:tc>
          <w:tcPr>
            <w:tcW w:w="1301" w:type="dxa"/>
            <w:tcBorders>
              <w:top w:val="single" w:sz="4" w:space="0" w:color="auto"/>
              <w:left w:val="nil"/>
              <w:bottom w:val="single" w:sz="4" w:space="0" w:color="auto"/>
              <w:right w:val="nil"/>
            </w:tcBorders>
            <w:vAlign w:val="center"/>
          </w:tcPr>
          <w:p w14:paraId="649C5118" w14:textId="77777777" w:rsidR="00D739D0" w:rsidRPr="007E5E62" w:rsidRDefault="00F86D8B" w:rsidP="00E23A12">
            <w:pPr>
              <w:spacing w:after="0" w:line="276" w:lineRule="auto"/>
              <w:contextualSpacing/>
              <w:jc w:val="center"/>
              <w:rPr>
                <w:sz w:val="20"/>
                <w:szCs w:val="20"/>
              </w:rPr>
            </w:pPr>
            <w:r>
              <w:rPr>
                <w:sz w:val="20"/>
                <w:szCs w:val="20"/>
              </w:rPr>
              <w:t>42.2</w:t>
            </w:r>
          </w:p>
        </w:tc>
        <w:tc>
          <w:tcPr>
            <w:tcW w:w="772" w:type="dxa"/>
            <w:tcBorders>
              <w:top w:val="single" w:sz="4" w:space="0" w:color="auto"/>
              <w:left w:val="nil"/>
              <w:bottom w:val="single" w:sz="4" w:space="0" w:color="auto"/>
              <w:right w:val="nil"/>
            </w:tcBorders>
          </w:tcPr>
          <w:p w14:paraId="5BDFE15B" w14:textId="77777777" w:rsidR="00D739D0" w:rsidRPr="007E5E62" w:rsidRDefault="00BE3974" w:rsidP="00E23A12">
            <w:pPr>
              <w:spacing w:after="0" w:line="276" w:lineRule="auto"/>
              <w:contextualSpacing/>
              <w:jc w:val="center"/>
              <w:rPr>
                <w:sz w:val="20"/>
                <w:szCs w:val="20"/>
              </w:rPr>
            </w:pPr>
            <w:r>
              <w:rPr>
                <w:sz w:val="20"/>
                <w:szCs w:val="20"/>
              </w:rPr>
              <w:t>-</w:t>
            </w:r>
          </w:p>
        </w:tc>
      </w:tr>
      <w:tr w:rsidR="0075411A" w:rsidRPr="007E5E62" w14:paraId="31489B09" w14:textId="77777777" w:rsidTr="00970D58">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2DF29487" w14:textId="77777777" w:rsidR="0075411A" w:rsidRPr="007E5E62" w:rsidRDefault="0075411A" w:rsidP="00970D58">
            <w:pPr>
              <w:spacing w:after="0" w:line="276" w:lineRule="auto"/>
              <w:contextualSpacing/>
              <w:rPr>
                <w:sz w:val="20"/>
                <w:szCs w:val="20"/>
                <w:vertAlign w:val="superscript"/>
              </w:rPr>
            </w:pPr>
            <w:r>
              <w:rPr>
                <w:sz w:val="20"/>
                <w:szCs w:val="20"/>
              </w:rPr>
              <w:t>Self-rated health</w:t>
            </w:r>
          </w:p>
        </w:tc>
        <w:tc>
          <w:tcPr>
            <w:tcW w:w="1525" w:type="dxa"/>
            <w:tcBorders>
              <w:top w:val="single" w:sz="4" w:space="0" w:color="auto"/>
              <w:bottom w:val="nil"/>
              <w:right w:val="nil"/>
            </w:tcBorders>
          </w:tcPr>
          <w:p w14:paraId="4E38D642" w14:textId="77777777" w:rsidR="0075411A" w:rsidRPr="007E5E62" w:rsidRDefault="0075411A" w:rsidP="00970D58">
            <w:pPr>
              <w:spacing w:after="0" w:line="276" w:lineRule="auto"/>
              <w:contextualSpacing/>
              <w:jc w:val="center"/>
              <w:rPr>
                <w:sz w:val="20"/>
                <w:szCs w:val="20"/>
              </w:rPr>
            </w:pPr>
          </w:p>
        </w:tc>
        <w:tc>
          <w:tcPr>
            <w:tcW w:w="1395" w:type="dxa"/>
            <w:tcBorders>
              <w:top w:val="single" w:sz="4" w:space="0" w:color="auto"/>
              <w:left w:val="nil"/>
              <w:bottom w:val="nil"/>
              <w:right w:val="nil"/>
            </w:tcBorders>
            <w:vAlign w:val="center"/>
          </w:tcPr>
          <w:p w14:paraId="75808C4C" w14:textId="77777777" w:rsidR="0075411A" w:rsidRPr="007E5E62" w:rsidRDefault="0075411A" w:rsidP="00970D58">
            <w:pPr>
              <w:spacing w:after="0" w:line="276" w:lineRule="auto"/>
              <w:contextualSpacing/>
              <w:jc w:val="center"/>
              <w:rPr>
                <w:color w:val="7030A0"/>
                <w:sz w:val="20"/>
                <w:szCs w:val="20"/>
              </w:rPr>
            </w:pPr>
          </w:p>
        </w:tc>
        <w:tc>
          <w:tcPr>
            <w:tcW w:w="1301" w:type="dxa"/>
            <w:tcBorders>
              <w:top w:val="single" w:sz="4" w:space="0" w:color="auto"/>
              <w:left w:val="nil"/>
              <w:bottom w:val="nil"/>
              <w:right w:val="nil"/>
            </w:tcBorders>
            <w:vAlign w:val="center"/>
          </w:tcPr>
          <w:p w14:paraId="5F933625" w14:textId="77777777" w:rsidR="0075411A" w:rsidRPr="007E5E62" w:rsidRDefault="0075411A" w:rsidP="00970D58">
            <w:pPr>
              <w:spacing w:after="0" w:line="276" w:lineRule="auto"/>
              <w:contextualSpacing/>
              <w:jc w:val="center"/>
              <w:rPr>
                <w:color w:val="7030A0"/>
                <w:sz w:val="20"/>
                <w:szCs w:val="20"/>
              </w:rPr>
            </w:pPr>
          </w:p>
        </w:tc>
        <w:tc>
          <w:tcPr>
            <w:tcW w:w="772" w:type="dxa"/>
            <w:tcBorders>
              <w:top w:val="single" w:sz="4" w:space="0" w:color="auto"/>
              <w:left w:val="nil"/>
              <w:bottom w:val="nil"/>
              <w:right w:val="nil"/>
            </w:tcBorders>
          </w:tcPr>
          <w:p w14:paraId="2D911112" w14:textId="77777777" w:rsidR="0075411A" w:rsidRPr="007E5E62" w:rsidRDefault="0075411A" w:rsidP="00970D58">
            <w:pPr>
              <w:spacing w:after="0" w:line="276" w:lineRule="auto"/>
              <w:contextualSpacing/>
              <w:jc w:val="center"/>
              <w:rPr>
                <w:sz w:val="20"/>
                <w:szCs w:val="20"/>
              </w:rPr>
            </w:pPr>
          </w:p>
        </w:tc>
      </w:tr>
      <w:tr w:rsidR="0075411A" w:rsidRPr="007E5E62" w14:paraId="531C0FC8" w14:textId="77777777" w:rsidTr="00970D58">
        <w:tblPrEx>
          <w:tblBorders>
            <w:top w:val="single" w:sz="4" w:space="0" w:color="auto"/>
            <w:insideV w:val="none" w:sz="0" w:space="0" w:color="auto"/>
          </w:tblBorders>
        </w:tblPrEx>
        <w:tc>
          <w:tcPr>
            <w:tcW w:w="284" w:type="dxa"/>
            <w:tcBorders>
              <w:top w:val="nil"/>
              <w:bottom w:val="nil"/>
              <w:right w:val="nil"/>
            </w:tcBorders>
          </w:tcPr>
          <w:p w14:paraId="49706449" w14:textId="77777777" w:rsidR="0075411A" w:rsidRPr="007E5E62" w:rsidRDefault="0075411A" w:rsidP="00970D58">
            <w:pPr>
              <w:spacing w:after="0" w:line="276" w:lineRule="auto"/>
              <w:contextualSpacing/>
              <w:rPr>
                <w:sz w:val="20"/>
                <w:szCs w:val="20"/>
              </w:rPr>
            </w:pPr>
          </w:p>
        </w:tc>
        <w:tc>
          <w:tcPr>
            <w:tcW w:w="2727" w:type="dxa"/>
            <w:gridSpan w:val="2"/>
            <w:tcBorders>
              <w:top w:val="nil"/>
              <w:bottom w:val="single" w:sz="4" w:space="0" w:color="auto"/>
              <w:right w:val="nil"/>
            </w:tcBorders>
          </w:tcPr>
          <w:p w14:paraId="77C43150" w14:textId="77777777" w:rsidR="0075411A" w:rsidRPr="007E5E62" w:rsidRDefault="0075411A" w:rsidP="00970D58">
            <w:pPr>
              <w:spacing w:after="0" w:line="276" w:lineRule="auto"/>
              <w:contextualSpacing/>
              <w:rPr>
                <w:sz w:val="20"/>
                <w:szCs w:val="20"/>
              </w:rPr>
            </w:pPr>
            <w:r>
              <w:rPr>
                <w:sz w:val="20"/>
                <w:szCs w:val="20"/>
              </w:rPr>
              <w:t>Good/very good/excellent</w:t>
            </w:r>
          </w:p>
        </w:tc>
        <w:tc>
          <w:tcPr>
            <w:tcW w:w="1525" w:type="dxa"/>
            <w:tcBorders>
              <w:top w:val="nil"/>
              <w:bottom w:val="single" w:sz="4" w:space="0" w:color="auto"/>
              <w:right w:val="nil"/>
            </w:tcBorders>
          </w:tcPr>
          <w:p w14:paraId="3CA4C060" w14:textId="77777777" w:rsidR="0075411A" w:rsidRPr="007E5E62" w:rsidRDefault="0075411A" w:rsidP="00970D58">
            <w:pPr>
              <w:spacing w:after="0" w:line="276" w:lineRule="auto"/>
              <w:contextualSpacing/>
              <w:jc w:val="center"/>
              <w:rPr>
                <w:sz w:val="20"/>
                <w:szCs w:val="20"/>
              </w:rPr>
            </w:pPr>
            <w:r>
              <w:rPr>
                <w:sz w:val="20"/>
                <w:szCs w:val="20"/>
              </w:rPr>
              <w:t>72.7</w:t>
            </w:r>
          </w:p>
        </w:tc>
        <w:tc>
          <w:tcPr>
            <w:tcW w:w="1395" w:type="dxa"/>
            <w:tcBorders>
              <w:top w:val="nil"/>
              <w:left w:val="nil"/>
              <w:bottom w:val="single" w:sz="4" w:space="0" w:color="auto"/>
              <w:right w:val="nil"/>
            </w:tcBorders>
            <w:vAlign w:val="center"/>
          </w:tcPr>
          <w:p w14:paraId="1774F586" w14:textId="77777777" w:rsidR="0075411A" w:rsidRPr="007E5E62" w:rsidRDefault="0075411A" w:rsidP="00970D58">
            <w:pPr>
              <w:spacing w:after="0" w:line="276" w:lineRule="auto"/>
              <w:contextualSpacing/>
              <w:jc w:val="center"/>
              <w:rPr>
                <w:sz w:val="20"/>
                <w:szCs w:val="20"/>
              </w:rPr>
            </w:pPr>
            <w:r>
              <w:rPr>
                <w:sz w:val="20"/>
                <w:szCs w:val="20"/>
              </w:rPr>
              <w:t>72.5</w:t>
            </w:r>
          </w:p>
        </w:tc>
        <w:tc>
          <w:tcPr>
            <w:tcW w:w="1301" w:type="dxa"/>
            <w:tcBorders>
              <w:top w:val="nil"/>
              <w:left w:val="nil"/>
              <w:bottom w:val="single" w:sz="4" w:space="0" w:color="auto"/>
              <w:right w:val="nil"/>
            </w:tcBorders>
            <w:vAlign w:val="center"/>
          </w:tcPr>
          <w:p w14:paraId="7CFBD690" w14:textId="77777777" w:rsidR="0075411A" w:rsidRPr="007E5E62" w:rsidRDefault="0075411A" w:rsidP="00970D58">
            <w:pPr>
              <w:spacing w:after="0" w:line="276" w:lineRule="auto"/>
              <w:contextualSpacing/>
              <w:jc w:val="center"/>
              <w:rPr>
                <w:sz w:val="20"/>
                <w:szCs w:val="20"/>
              </w:rPr>
            </w:pPr>
            <w:r>
              <w:rPr>
                <w:sz w:val="20"/>
                <w:szCs w:val="20"/>
              </w:rPr>
              <w:t>72.9</w:t>
            </w:r>
          </w:p>
        </w:tc>
        <w:tc>
          <w:tcPr>
            <w:tcW w:w="772" w:type="dxa"/>
            <w:tcBorders>
              <w:top w:val="nil"/>
              <w:left w:val="nil"/>
              <w:bottom w:val="single" w:sz="4" w:space="0" w:color="auto"/>
              <w:right w:val="nil"/>
            </w:tcBorders>
          </w:tcPr>
          <w:p w14:paraId="64635E0D" w14:textId="77777777" w:rsidR="0075411A" w:rsidRPr="007E5E62" w:rsidRDefault="0075411A" w:rsidP="00970D58">
            <w:pPr>
              <w:spacing w:after="0" w:line="276" w:lineRule="auto"/>
              <w:contextualSpacing/>
              <w:jc w:val="center"/>
              <w:rPr>
                <w:sz w:val="20"/>
                <w:szCs w:val="20"/>
              </w:rPr>
            </w:pPr>
            <w:r>
              <w:rPr>
                <w:sz w:val="20"/>
                <w:szCs w:val="20"/>
              </w:rPr>
              <w:t>0.790</w:t>
            </w:r>
          </w:p>
        </w:tc>
      </w:tr>
      <w:tr w:rsidR="0075411A" w:rsidRPr="007E5E62" w14:paraId="59F65DB4" w14:textId="77777777" w:rsidTr="00970D58">
        <w:tblPrEx>
          <w:tblBorders>
            <w:top w:val="single" w:sz="4" w:space="0" w:color="auto"/>
            <w:insideV w:val="none" w:sz="0" w:space="0" w:color="auto"/>
          </w:tblBorders>
        </w:tblPrEx>
        <w:tc>
          <w:tcPr>
            <w:tcW w:w="284" w:type="dxa"/>
            <w:tcBorders>
              <w:top w:val="nil"/>
              <w:bottom w:val="single" w:sz="4" w:space="0" w:color="auto"/>
              <w:right w:val="nil"/>
            </w:tcBorders>
          </w:tcPr>
          <w:p w14:paraId="76965D8B" w14:textId="77777777" w:rsidR="0075411A" w:rsidRPr="007E5E62" w:rsidRDefault="0075411A" w:rsidP="00970D58">
            <w:pPr>
              <w:spacing w:after="0" w:line="276" w:lineRule="auto"/>
              <w:contextualSpacing/>
              <w:rPr>
                <w:sz w:val="20"/>
                <w:szCs w:val="20"/>
              </w:rPr>
            </w:pPr>
          </w:p>
        </w:tc>
        <w:tc>
          <w:tcPr>
            <w:tcW w:w="2727" w:type="dxa"/>
            <w:gridSpan w:val="2"/>
            <w:tcBorders>
              <w:top w:val="single" w:sz="4" w:space="0" w:color="auto"/>
              <w:bottom w:val="single" w:sz="4" w:space="0" w:color="auto"/>
              <w:right w:val="nil"/>
            </w:tcBorders>
          </w:tcPr>
          <w:p w14:paraId="018FA14D" w14:textId="77777777" w:rsidR="0075411A" w:rsidRPr="007E5E62" w:rsidRDefault="0075411A" w:rsidP="00970D58">
            <w:pPr>
              <w:spacing w:after="0" w:line="276" w:lineRule="auto"/>
              <w:contextualSpacing/>
              <w:rPr>
                <w:sz w:val="20"/>
                <w:szCs w:val="20"/>
              </w:rPr>
            </w:pPr>
            <w:r>
              <w:rPr>
                <w:sz w:val="20"/>
                <w:szCs w:val="20"/>
              </w:rPr>
              <w:t>Fair/poor</w:t>
            </w:r>
          </w:p>
        </w:tc>
        <w:tc>
          <w:tcPr>
            <w:tcW w:w="1525" w:type="dxa"/>
            <w:tcBorders>
              <w:top w:val="single" w:sz="4" w:space="0" w:color="auto"/>
              <w:bottom w:val="single" w:sz="4" w:space="0" w:color="auto"/>
              <w:right w:val="nil"/>
            </w:tcBorders>
          </w:tcPr>
          <w:p w14:paraId="7E2BA790" w14:textId="77777777" w:rsidR="0075411A" w:rsidRPr="007E5E62" w:rsidRDefault="0075411A" w:rsidP="00970D58">
            <w:pPr>
              <w:spacing w:after="0" w:line="276" w:lineRule="auto"/>
              <w:contextualSpacing/>
              <w:jc w:val="center"/>
              <w:rPr>
                <w:sz w:val="20"/>
                <w:szCs w:val="20"/>
              </w:rPr>
            </w:pPr>
            <w:r>
              <w:rPr>
                <w:sz w:val="20"/>
                <w:szCs w:val="20"/>
              </w:rPr>
              <w:t>27.3</w:t>
            </w:r>
          </w:p>
        </w:tc>
        <w:tc>
          <w:tcPr>
            <w:tcW w:w="1395" w:type="dxa"/>
            <w:tcBorders>
              <w:top w:val="single" w:sz="4" w:space="0" w:color="auto"/>
              <w:left w:val="nil"/>
              <w:bottom w:val="single" w:sz="4" w:space="0" w:color="auto"/>
              <w:right w:val="nil"/>
            </w:tcBorders>
            <w:vAlign w:val="center"/>
          </w:tcPr>
          <w:p w14:paraId="6BC8400A" w14:textId="77777777" w:rsidR="0075411A" w:rsidRPr="007E5E62" w:rsidRDefault="0075411A" w:rsidP="00970D58">
            <w:pPr>
              <w:spacing w:after="0" w:line="276" w:lineRule="auto"/>
              <w:contextualSpacing/>
              <w:jc w:val="center"/>
              <w:rPr>
                <w:sz w:val="20"/>
                <w:szCs w:val="20"/>
              </w:rPr>
            </w:pPr>
            <w:r>
              <w:rPr>
                <w:sz w:val="20"/>
                <w:szCs w:val="20"/>
              </w:rPr>
              <w:t>27.5</w:t>
            </w:r>
          </w:p>
        </w:tc>
        <w:tc>
          <w:tcPr>
            <w:tcW w:w="1301" w:type="dxa"/>
            <w:tcBorders>
              <w:top w:val="single" w:sz="4" w:space="0" w:color="auto"/>
              <w:left w:val="nil"/>
              <w:bottom w:val="single" w:sz="4" w:space="0" w:color="auto"/>
              <w:right w:val="nil"/>
            </w:tcBorders>
            <w:vAlign w:val="center"/>
          </w:tcPr>
          <w:p w14:paraId="7C4DA741" w14:textId="77777777" w:rsidR="0075411A" w:rsidRPr="007E5E62" w:rsidRDefault="0075411A" w:rsidP="00970D58">
            <w:pPr>
              <w:spacing w:after="0" w:line="276" w:lineRule="auto"/>
              <w:contextualSpacing/>
              <w:jc w:val="center"/>
              <w:rPr>
                <w:sz w:val="20"/>
                <w:szCs w:val="20"/>
              </w:rPr>
            </w:pPr>
            <w:r>
              <w:rPr>
                <w:sz w:val="20"/>
                <w:szCs w:val="20"/>
              </w:rPr>
              <w:t>27.1</w:t>
            </w:r>
          </w:p>
        </w:tc>
        <w:tc>
          <w:tcPr>
            <w:tcW w:w="772" w:type="dxa"/>
            <w:tcBorders>
              <w:top w:val="single" w:sz="4" w:space="0" w:color="auto"/>
              <w:left w:val="nil"/>
              <w:bottom w:val="single" w:sz="4" w:space="0" w:color="auto"/>
              <w:right w:val="nil"/>
            </w:tcBorders>
          </w:tcPr>
          <w:p w14:paraId="4A1670E8" w14:textId="77777777" w:rsidR="0075411A" w:rsidRPr="007E5E62" w:rsidRDefault="0075411A" w:rsidP="00970D58">
            <w:pPr>
              <w:spacing w:after="0" w:line="276" w:lineRule="auto"/>
              <w:contextualSpacing/>
              <w:jc w:val="center"/>
              <w:rPr>
                <w:sz w:val="20"/>
                <w:szCs w:val="20"/>
              </w:rPr>
            </w:pPr>
            <w:r>
              <w:rPr>
                <w:sz w:val="20"/>
                <w:szCs w:val="20"/>
              </w:rPr>
              <w:t>-</w:t>
            </w:r>
          </w:p>
        </w:tc>
      </w:tr>
      <w:tr w:rsidR="0075411A" w:rsidRPr="007E5E62" w14:paraId="5F50F966"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5B75B208" w14:textId="77777777" w:rsidR="0075411A" w:rsidRPr="007E5E62" w:rsidRDefault="0075411A" w:rsidP="0075411A">
            <w:pPr>
              <w:spacing w:after="0" w:line="276" w:lineRule="auto"/>
              <w:contextualSpacing/>
              <w:rPr>
                <w:sz w:val="20"/>
              </w:rPr>
            </w:pPr>
            <w:r>
              <w:rPr>
                <w:sz w:val="20"/>
              </w:rPr>
              <w:t>Chronic health conditions</w:t>
            </w:r>
          </w:p>
        </w:tc>
        <w:tc>
          <w:tcPr>
            <w:tcW w:w="1525" w:type="dxa"/>
            <w:tcBorders>
              <w:top w:val="single" w:sz="4" w:space="0" w:color="auto"/>
              <w:bottom w:val="nil"/>
              <w:right w:val="nil"/>
            </w:tcBorders>
          </w:tcPr>
          <w:p w14:paraId="4D3BCF79" w14:textId="77777777" w:rsidR="0075411A" w:rsidRPr="007E5E62" w:rsidRDefault="0075411A" w:rsidP="0075411A">
            <w:pPr>
              <w:spacing w:after="0" w:line="276" w:lineRule="auto"/>
              <w:contextualSpacing/>
              <w:jc w:val="center"/>
              <w:rPr>
                <w:sz w:val="20"/>
                <w:szCs w:val="20"/>
              </w:rPr>
            </w:pPr>
          </w:p>
        </w:tc>
        <w:tc>
          <w:tcPr>
            <w:tcW w:w="1395" w:type="dxa"/>
            <w:tcBorders>
              <w:top w:val="single" w:sz="4" w:space="0" w:color="auto"/>
              <w:left w:val="nil"/>
              <w:bottom w:val="nil"/>
              <w:right w:val="nil"/>
            </w:tcBorders>
            <w:vAlign w:val="center"/>
          </w:tcPr>
          <w:p w14:paraId="0A932462" w14:textId="77777777" w:rsidR="0075411A" w:rsidRPr="007E5E62" w:rsidRDefault="0075411A" w:rsidP="0075411A">
            <w:pPr>
              <w:spacing w:after="0" w:line="276" w:lineRule="auto"/>
              <w:contextualSpacing/>
              <w:jc w:val="center"/>
              <w:rPr>
                <w:color w:val="7030A0"/>
                <w:sz w:val="20"/>
                <w:szCs w:val="20"/>
              </w:rPr>
            </w:pPr>
          </w:p>
        </w:tc>
        <w:tc>
          <w:tcPr>
            <w:tcW w:w="1301" w:type="dxa"/>
            <w:tcBorders>
              <w:top w:val="single" w:sz="4" w:space="0" w:color="auto"/>
              <w:left w:val="nil"/>
              <w:bottom w:val="nil"/>
              <w:right w:val="nil"/>
            </w:tcBorders>
            <w:vAlign w:val="center"/>
          </w:tcPr>
          <w:p w14:paraId="49E78BC2" w14:textId="77777777" w:rsidR="0075411A" w:rsidRPr="007E5E62" w:rsidRDefault="0075411A" w:rsidP="0075411A">
            <w:pPr>
              <w:spacing w:after="0" w:line="276" w:lineRule="auto"/>
              <w:contextualSpacing/>
              <w:jc w:val="center"/>
              <w:rPr>
                <w:color w:val="7030A0"/>
                <w:sz w:val="20"/>
                <w:szCs w:val="20"/>
              </w:rPr>
            </w:pPr>
          </w:p>
        </w:tc>
        <w:tc>
          <w:tcPr>
            <w:tcW w:w="772" w:type="dxa"/>
            <w:tcBorders>
              <w:top w:val="single" w:sz="4" w:space="0" w:color="auto"/>
              <w:left w:val="nil"/>
              <w:bottom w:val="nil"/>
              <w:right w:val="nil"/>
            </w:tcBorders>
          </w:tcPr>
          <w:p w14:paraId="52E9683E" w14:textId="77777777" w:rsidR="0075411A" w:rsidRPr="007E5E62" w:rsidRDefault="0075411A" w:rsidP="0075411A">
            <w:pPr>
              <w:spacing w:after="0" w:line="276" w:lineRule="auto"/>
              <w:contextualSpacing/>
              <w:jc w:val="center"/>
              <w:rPr>
                <w:sz w:val="20"/>
                <w:szCs w:val="20"/>
              </w:rPr>
            </w:pPr>
          </w:p>
        </w:tc>
      </w:tr>
      <w:tr w:rsidR="0075411A" w:rsidRPr="007E5E62" w14:paraId="3CABCCA8" w14:textId="77777777" w:rsidTr="00970D58">
        <w:tblPrEx>
          <w:tblBorders>
            <w:top w:val="single" w:sz="4" w:space="0" w:color="auto"/>
            <w:insideV w:val="none" w:sz="0" w:space="0" w:color="auto"/>
          </w:tblBorders>
        </w:tblPrEx>
        <w:tc>
          <w:tcPr>
            <w:tcW w:w="284" w:type="dxa"/>
            <w:tcBorders>
              <w:top w:val="nil"/>
              <w:bottom w:val="nil"/>
              <w:right w:val="nil"/>
            </w:tcBorders>
          </w:tcPr>
          <w:p w14:paraId="407CA6F4" w14:textId="77777777" w:rsidR="0075411A" w:rsidRPr="007E5E62" w:rsidRDefault="0075411A" w:rsidP="0075411A">
            <w:pPr>
              <w:spacing w:after="0" w:line="276" w:lineRule="auto"/>
              <w:contextualSpacing/>
              <w:rPr>
                <w:sz w:val="20"/>
                <w:szCs w:val="20"/>
              </w:rPr>
            </w:pPr>
          </w:p>
        </w:tc>
        <w:tc>
          <w:tcPr>
            <w:tcW w:w="2727" w:type="dxa"/>
            <w:gridSpan w:val="2"/>
            <w:tcBorders>
              <w:top w:val="nil"/>
              <w:bottom w:val="single" w:sz="4" w:space="0" w:color="auto"/>
              <w:right w:val="nil"/>
            </w:tcBorders>
            <w:vAlign w:val="center"/>
          </w:tcPr>
          <w:p w14:paraId="091DC3DF" w14:textId="77777777" w:rsidR="0075411A" w:rsidRPr="0046486F" w:rsidRDefault="0075411A" w:rsidP="0075411A">
            <w:pPr>
              <w:spacing w:after="0" w:line="276" w:lineRule="auto"/>
              <w:contextualSpacing/>
              <w:rPr>
                <w:sz w:val="20"/>
              </w:rPr>
            </w:pPr>
            <w:r>
              <w:rPr>
                <w:sz w:val="20"/>
              </w:rPr>
              <w:t>None</w:t>
            </w:r>
          </w:p>
        </w:tc>
        <w:tc>
          <w:tcPr>
            <w:tcW w:w="1525" w:type="dxa"/>
            <w:tcBorders>
              <w:top w:val="nil"/>
              <w:bottom w:val="single" w:sz="4" w:space="0" w:color="auto"/>
              <w:right w:val="nil"/>
            </w:tcBorders>
          </w:tcPr>
          <w:p w14:paraId="55F004B2" w14:textId="77777777" w:rsidR="0075411A" w:rsidRPr="007E5E62" w:rsidRDefault="0075411A" w:rsidP="0075411A">
            <w:pPr>
              <w:spacing w:after="0" w:line="276" w:lineRule="auto"/>
              <w:contextualSpacing/>
              <w:jc w:val="center"/>
              <w:rPr>
                <w:sz w:val="20"/>
                <w:szCs w:val="20"/>
              </w:rPr>
            </w:pPr>
            <w:r>
              <w:rPr>
                <w:sz w:val="20"/>
                <w:szCs w:val="20"/>
              </w:rPr>
              <w:t>42.0</w:t>
            </w:r>
          </w:p>
        </w:tc>
        <w:tc>
          <w:tcPr>
            <w:tcW w:w="1395" w:type="dxa"/>
            <w:tcBorders>
              <w:top w:val="nil"/>
              <w:left w:val="nil"/>
              <w:bottom w:val="single" w:sz="4" w:space="0" w:color="auto"/>
              <w:right w:val="nil"/>
            </w:tcBorders>
            <w:vAlign w:val="center"/>
          </w:tcPr>
          <w:p w14:paraId="73F113D3" w14:textId="77777777" w:rsidR="0075411A" w:rsidRPr="007E5E62" w:rsidRDefault="0075411A" w:rsidP="0075411A">
            <w:pPr>
              <w:spacing w:after="0" w:line="276" w:lineRule="auto"/>
              <w:contextualSpacing/>
              <w:jc w:val="center"/>
              <w:rPr>
                <w:sz w:val="20"/>
                <w:szCs w:val="20"/>
              </w:rPr>
            </w:pPr>
            <w:r>
              <w:rPr>
                <w:sz w:val="20"/>
                <w:szCs w:val="20"/>
              </w:rPr>
              <w:t>46.2</w:t>
            </w:r>
          </w:p>
        </w:tc>
        <w:tc>
          <w:tcPr>
            <w:tcW w:w="1301" w:type="dxa"/>
            <w:tcBorders>
              <w:top w:val="nil"/>
              <w:left w:val="nil"/>
              <w:bottom w:val="single" w:sz="4" w:space="0" w:color="auto"/>
              <w:right w:val="nil"/>
            </w:tcBorders>
            <w:vAlign w:val="center"/>
          </w:tcPr>
          <w:p w14:paraId="02928CD4" w14:textId="77777777" w:rsidR="0075411A" w:rsidRPr="007E5E62" w:rsidRDefault="0075411A" w:rsidP="0075411A">
            <w:pPr>
              <w:spacing w:after="0" w:line="276" w:lineRule="auto"/>
              <w:contextualSpacing/>
              <w:jc w:val="center"/>
              <w:rPr>
                <w:sz w:val="20"/>
                <w:szCs w:val="20"/>
              </w:rPr>
            </w:pPr>
            <w:r>
              <w:rPr>
                <w:sz w:val="20"/>
                <w:szCs w:val="20"/>
              </w:rPr>
              <w:t>38.1</w:t>
            </w:r>
          </w:p>
        </w:tc>
        <w:tc>
          <w:tcPr>
            <w:tcW w:w="772" w:type="dxa"/>
            <w:tcBorders>
              <w:top w:val="nil"/>
              <w:left w:val="nil"/>
              <w:bottom w:val="single" w:sz="4" w:space="0" w:color="auto"/>
              <w:right w:val="nil"/>
            </w:tcBorders>
          </w:tcPr>
          <w:p w14:paraId="4B314834" w14:textId="77777777" w:rsidR="0075411A" w:rsidRPr="007E5E62" w:rsidRDefault="0075411A" w:rsidP="0075411A">
            <w:pPr>
              <w:spacing w:after="0" w:line="276" w:lineRule="auto"/>
              <w:contextualSpacing/>
              <w:jc w:val="center"/>
              <w:rPr>
                <w:sz w:val="20"/>
                <w:szCs w:val="20"/>
              </w:rPr>
            </w:pPr>
            <w:r>
              <w:rPr>
                <w:sz w:val="20"/>
                <w:szCs w:val="20"/>
              </w:rPr>
              <w:t>&lt;0.001</w:t>
            </w:r>
          </w:p>
        </w:tc>
      </w:tr>
      <w:tr w:rsidR="0075411A" w:rsidRPr="007E5E62" w14:paraId="65CEDA21" w14:textId="77777777" w:rsidTr="00970D58">
        <w:tblPrEx>
          <w:tblBorders>
            <w:top w:val="single" w:sz="4" w:space="0" w:color="auto"/>
            <w:insideV w:val="none" w:sz="0" w:space="0" w:color="auto"/>
          </w:tblBorders>
        </w:tblPrEx>
        <w:tc>
          <w:tcPr>
            <w:tcW w:w="284" w:type="dxa"/>
            <w:tcBorders>
              <w:top w:val="nil"/>
              <w:bottom w:val="single" w:sz="4" w:space="0" w:color="auto"/>
              <w:right w:val="nil"/>
            </w:tcBorders>
          </w:tcPr>
          <w:p w14:paraId="25D72ABD" w14:textId="77777777" w:rsidR="0075411A" w:rsidRPr="007E5E62" w:rsidRDefault="0075411A" w:rsidP="0075411A">
            <w:pPr>
              <w:spacing w:after="0" w:line="276" w:lineRule="auto"/>
              <w:contextualSpacing/>
              <w:rPr>
                <w:sz w:val="20"/>
                <w:szCs w:val="20"/>
              </w:rPr>
            </w:pPr>
          </w:p>
        </w:tc>
        <w:tc>
          <w:tcPr>
            <w:tcW w:w="2727" w:type="dxa"/>
            <w:gridSpan w:val="2"/>
            <w:tcBorders>
              <w:top w:val="single" w:sz="4" w:space="0" w:color="auto"/>
              <w:bottom w:val="single" w:sz="4" w:space="0" w:color="auto"/>
              <w:right w:val="nil"/>
            </w:tcBorders>
            <w:vAlign w:val="center"/>
          </w:tcPr>
          <w:p w14:paraId="4A8F691B" w14:textId="77777777" w:rsidR="0075411A" w:rsidRPr="0046486F" w:rsidRDefault="0075411A" w:rsidP="0075411A">
            <w:pPr>
              <w:spacing w:after="0" w:line="276" w:lineRule="auto"/>
              <w:contextualSpacing/>
              <w:rPr>
                <w:sz w:val="20"/>
              </w:rPr>
            </w:pPr>
            <w:r>
              <w:rPr>
                <w:rFonts w:cstheme="minorHAnsi"/>
                <w:sz w:val="20"/>
              </w:rPr>
              <w:t>≥</w:t>
            </w:r>
            <w:r>
              <w:rPr>
                <w:sz w:val="20"/>
              </w:rPr>
              <w:t>1</w:t>
            </w:r>
          </w:p>
        </w:tc>
        <w:tc>
          <w:tcPr>
            <w:tcW w:w="1525" w:type="dxa"/>
            <w:tcBorders>
              <w:top w:val="single" w:sz="4" w:space="0" w:color="auto"/>
              <w:bottom w:val="single" w:sz="4" w:space="0" w:color="auto"/>
              <w:right w:val="nil"/>
            </w:tcBorders>
          </w:tcPr>
          <w:p w14:paraId="7ABFFF7B" w14:textId="77777777" w:rsidR="0075411A" w:rsidRPr="007E5E62" w:rsidRDefault="0075411A" w:rsidP="0075411A">
            <w:pPr>
              <w:spacing w:after="0" w:line="276" w:lineRule="auto"/>
              <w:contextualSpacing/>
              <w:jc w:val="center"/>
              <w:rPr>
                <w:sz w:val="20"/>
                <w:szCs w:val="20"/>
              </w:rPr>
            </w:pPr>
            <w:r>
              <w:rPr>
                <w:sz w:val="20"/>
                <w:szCs w:val="20"/>
              </w:rPr>
              <w:t>58.0</w:t>
            </w:r>
          </w:p>
        </w:tc>
        <w:tc>
          <w:tcPr>
            <w:tcW w:w="1395" w:type="dxa"/>
            <w:tcBorders>
              <w:top w:val="single" w:sz="4" w:space="0" w:color="auto"/>
              <w:left w:val="nil"/>
              <w:bottom w:val="single" w:sz="4" w:space="0" w:color="auto"/>
              <w:right w:val="nil"/>
            </w:tcBorders>
            <w:vAlign w:val="center"/>
          </w:tcPr>
          <w:p w14:paraId="32B9073F" w14:textId="77777777" w:rsidR="0075411A" w:rsidRPr="007E5E62" w:rsidRDefault="0075411A" w:rsidP="0075411A">
            <w:pPr>
              <w:spacing w:after="0" w:line="276" w:lineRule="auto"/>
              <w:contextualSpacing/>
              <w:jc w:val="center"/>
              <w:rPr>
                <w:sz w:val="20"/>
                <w:szCs w:val="20"/>
              </w:rPr>
            </w:pPr>
            <w:r>
              <w:rPr>
                <w:sz w:val="20"/>
                <w:szCs w:val="20"/>
              </w:rPr>
              <w:t>53.8</w:t>
            </w:r>
          </w:p>
        </w:tc>
        <w:tc>
          <w:tcPr>
            <w:tcW w:w="1301" w:type="dxa"/>
            <w:tcBorders>
              <w:top w:val="single" w:sz="4" w:space="0" w:color="auto"/>
              <w:left w:val="nil"/>
              <w:bottom w:val="single" w:sz="4" w:space="0" w:color="auto"/>
              <w:right w:val="nil"/>
            </w:tcBorders>
            <w:vAlign w:val="center"/>
          </w:tcPr>
          <w:p w14:paraId="7F57D593" w14:textId="77777777" w:rsidR="0075411A" w:rsidRPr="007E5E62" w:rsidRDefault="0075411A" w:rsidP="0075411A">
            <w:pPr>
              <w:spacing w:after="0" w:line="276" w:lineRule="auto"/>
              <w:contextualSpacing/>
              <w:jc w:val="center"/>
              <w:rPr>
                <w:sz w:val="20"/>
                <w:szCs w:val="20"/>
              </w:rPr>
            </w:pPr>
            <w:r>
              <w:rPr>
                <w:sz w:val="20"/>
                <w:szCs w:val="20"/>
              </w:rPr>
              <w:t>61.9</w:t>
            </w:r>
          </w:p>
        </w:tc>
        <w:tc>
          <w:tcPr>
            <w:tcW w:w="772" w:type="dxa"/>
            <w:tcBorders>
              <w:top w:val="single" w:sz="4" w:space="0" w:color="auto"/>
              <w:left w:val="nil"/>
              <w:bottom w:val="single" w:sz="4" w:space="0" w:color="auto"/>
              <w:right w:val="nil"/>
            </w:tcBorders>
          </w:tcPr>
          <w:p w14:paraId="67A95280" w14:textId="77777777" w:rsidR="0075411A" w:rsidRPr="007E5E62" w:rsidRDefault="0075411A" w:rsidP="0075411A">
            <w:pPr>
              <w:spacing w:after="0" w:line="276" w:lineRule="auto"/>
              <w:contextualSpacing/>
              <w:jc w:val="center"/>
              <w:rPr>
                <w:sz w:val="20"/>
                <w:szCs w:val="20"/>
              </w:rPr>
            </w:pPr>
            <w:r>
              <w:rPr>
                <w:sz w:val="20"/>
                <w:szCs w:val="20"/>
              </w:rPr>
              <w:t>-</w:t>
            </w:r>
          </w:p>
        </w:tc>
      </w:tr>
      <w:tr w:rsidR="0075411A" w:rsidRPr="007E5E62" w14:paraId="438D52CE"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4B9317D4" w14:textId="77777777" w:rsidR="0075411A" w:rsidRPr="007E5E62" w:rsidRDefault="0075411A" w:rsidP="0075411A">
            <w:pPr>
              <w:spacing w:after="0" w:line="276" w:lineRule="auto"/>
              <w:contextualSpacing/>
              <w:rPr>
                <w:sz w:val="20"/>
                <w:szCs w:val="20"/>
              </w:rPr>
            </w:pPr>
            <w:r w:rsidRPr="007E5E62">
              <w:rPr>
                <w:sz w:val="20"/>
                <w:szCs w:val="20"/>
              </w:rPr>
              <w:t>Height (</w:t>
            </w:r>
            <w:r>
              <w:rPr>
                <w:sz w:val="20"/>
                <w:szCs w:val="20"/>
              </w:rPr>
              <w:t xml:space="preserve">mean [SD] </w:t>
            </w:r>
            <w:r w:rsidRPr="007E5E62">
              <w:rPr>
                <w:sz w:val="20"/>
                <w:szCs w:val="20"/>
              </w:rPr>
              <w:t>cm)</w:t>
            </w:r>
          </w:p>
        </w:tc>
        <w:tc>
          <w:tcPr>
            <w:tcW w:w="1525" w:type="dxa"/>
            <w:tcBorders>
              <w:top w:val="single" w:sz="4" w:space="0" w:color="auto"/>
              <w:bottom w:val="nil"/>
              <w:right w:val="nil"/>
            </w:tcBorders>
          </w:tcPr>
          <w:p w14:paraId="6505F2CF" w14:textId="77777777" w:rsidR="0075411A" w:rsidRPr="007E5E62" w:rsidRDefault="0075411A" w:rsidP="0075411A">
            <w:pPr>
              <w:spacing w:after="0" w:line="276" w:lineRule="auto"/>
              <w:contextualSpacing/>
              <w:jc w:val="center"/>
              <w:rPr>
                <w:sz w:val="20"/>
                <w:szCs w:val="20"/>
              </w:rPr>
            </w:pPr>
            <w:r>
              <w:rPr>
                <w:sz w:val="20"/>
                <w:szCs w:val="20"/>
              </w:rPr>
              <w:t>166.31 (9.44)</w:t>
            </w:r>
          </w:p>
        </w:tc>
        <w:tc>
          <w:tcPr>
            <w:tcW w:w="1395" w:type="dxa"/>
            <w:tcBorders>
              <w:top w:val="single" w:sz="4" w:space="0" w:color="auto"/>
              <w:left w:val="nil"/>
              <w:bottom w:val="nil"/>
              <w:right w:val="nil"/>
            </w:tcBorders>
            <w:vAlign w:val="center"/>
          </w:tcPr>
          <w:p w14:paraId="3040E463" w14:textId="77777777" w:rsidR="0075411A" w:rsidRPr="007E5E62" w:rsidRDefault="0075411A" w:rsidP="0075411A">
            <w:pPr>
              <w:spacing w:after="0" w:line="276" w:lineRule="auto"/>
              <w:contextualSpacing/>
              <w:jc w:val="center"/>
              <w:rPr>
                <w:sz w:val="20"/>
                <w:szCs w:val="20"/>
              </w:rPr>
            </w:pPr>
            <w:r>
              <w:rPr>
                <w:sz w:val="20"/>
                <w:szCs w:val="20"/>
              </w:rPr>
              <w:t>173.10 (6.90)</w:t>
            </w:r>
          </w:p>
        </w:tc>
        <w:tc>
          <w:tcPr>
            <w:tcW w:w="1301" w:type="dxa"/>
            <w:tcBorders>
              <w:top w:val="single" w:sz="4" w:space="0" w:color="auto"/>
              <w:left w:val="nil"/>
              <w:bottom w:val="nil"/>
              <w:right w:val="nil"/>
            </w:tcBorders>
            <w:vAlign w:val="center"/>
          </w:tcPr>
          <w:p w14:paraId="4486871A" w14:textId="77777777" w:rsidR="0075411A" w:rsidRPr="007E5E62" w:rsidRDefault="0075411A" w:rsidP="0075411A">
            <w:pPr>
              <w:spacing w:after="0" w:line="276" w:lineRule="auto"/>
              <w:contextualSpacing/>
              <w:jc w:val="center"/>
              <w:rPr>
                <w:sz w:val="20"/>
                <w:szCs w:val="20"/>
              </w:rPr>
            </w:pPr>
            <w:r>
              <w:rPr>
                <w:sz w:val="20"/>
                <w:szCs w:val="20"/>
              </w:rPr>
              <w:t>160.01 (6.66)</w:t>
            </w:r>
          </w:p>
        </w:tc>
        <w:tc>
          <w:tcPr>
            <w:tcW w:w="772" w:type="dxa"/>
            <w:tcBorders>
              <w:top w:val="single" w:sz="4" w:space="0" w:color="auto"/>
              <w:left w:val="nil"/>
              <w:bottom w:val="nil"/>
              <w:right w:val="nil"/>
            </w:tcBorders>
          </w:tcPr>
          <w:p w14:paraId="77F9C1D0" w14:textId="77777777" w:rsidR="0075411A" w:rsidRPr="007E5E62" w:rsidRDefault="0075411A" w:rsidP="0075411A">
            <w:pPr>
              <w:spacing w:after="0" w:line="276" w:lineRule="auto"/>
              <w:contextualSpacing/>
              <w:jc w:val="center"/>
              <w:rPr>
                <w:sz w:val="20"/>
                <w:szCs w:val="20"/>
              </w:rPr>
            </w:pPr>
            <w:r>
              <w:rPr>
                <w:sz w:val="20"/>
                <w:szCs w:val="20"/>
              </w:rPr>
              <w:t>&lt;0.001</w:t>
            </w:r>
          </w:p>
        </w:tc>
      </w:tr>
      <w:tr w:rsidR="0075411A" w:rsidRPr="007E5E62" w14:paraId="42D53B11"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1FAE879F" w14:textId="77777777" w:rsidR="0075411A" w:rsidRPr="007E5E62" w:rsidRDefault="0075411A" w:rsidP="0075411A">
            <w:pPr>
              <w:spacing w:after="0" w:line="276" w:lineRule="auto"/>
              <w:contextualSpacing/>
              <w:rPr>
                <w:sz w:val="20"/>
                <w:szCs w:val="20"/>
              </w:rPr>
            </w:pPr>
            <w:r w:rsidRPr="007E5E62">
              <w:rPr>
                <w:sz w:val="20"/>
                <w:szCs w:val="20"/>
              </w:rPr>
              <w:t>Weight (</w:t>
            </w:r>
            <w:r>
              <w:rPr>
                <w:sz w:val="20"/>
                <w:szCs w:val="20"/>
              </w:rPr>
              <w:t xml:space="preserve">mean [SD] </w:t>
            </w:r>
            <w:r w:rsidRPr="007E5E62">
              <w:rPr>
                <w:sz w:val="20"/>
                <w:szCs w:val="20"/>
              </w:rPr>
              <w:t>kg)</w:t>
            </w:r>
          </w:p>
        </w:tc>
        <w:tc>
          <w:tcPr>
            <w:tcW w:w="1525" w:type="dxa"/>
            <w:tcBorders>
              <w:top w:val="single" w:sz="4" w:space="0" w:color="auto"/>
              <w:bottom w:val="nil"/>
              <w:right w:val="nil"/>
            </w:tcBorders>
          </w:tcPr>
          <w:p w14:paraId="0595AFFD" w14:textId="77777777" w:rsidR="0075411A" w:rsidRPr="00BE494A" w:rsidRDefault="0075411A" w:rsidP="0075411A">
            <w:pPr>
              <w:spacing w:after="0" w:line="276" w:lineRule="auto"/>
              <w:contextualSpacing/>
              <w:jc w:val="center"/>
              <w:rPr>
                <w:sz w:val="20"/>
                <w:szCs w:val="20"/>
              </w:rPr>
            </w:pPr>
            <w:r>
              <w:rPr>
                <w:sz w:val="20"/>
                <w:szCs w:val="20"/>
              </w:rPr>
              <w:t>78.64 (16.35)</w:t>
            </w:r>
          </w:p>
        </w:tc>
        <w:tc>
          <w:tcPr>
            <w:tcW w:w="1395" w:type="dxa"/>
            <w:tcBorders>
              <w:top w:val="single" w:sz="4" w:space="0" w:color="auto"/>
              <w:left w:val="nil"/>
              <w:bottom w:val="nil"/>
              <w:right w:val="nil"/>
            </w:tcBorders>
            <w:vAlign w:val="center"/>
          </w:tcPr>
          <w:p w14:paraId="5A8D2C7D" w14:textId="77777777" w:rsidR="0075411A" w:rsidRPr="007E5E62" w:rsidRDefault="0075411A" w:rsidP="0075411A">
            <w:pPr>
              <w:spacing w:after="0" w:line="276" w:lineRule="auto"/>
              <w:contextualSpacing/>
              <w:jc w:val="center"/>
              <w:rPr>
                <w:sz w:val="20"/>
                <w:szCs w:val="20"/>
              </w:rPr>
            </w:pPr>
            <w:r>
              <w:rPr>
                <w:sz w:val="20"/>
                <w:szCs w:val="20"/>
              </w:rPr>
              <w:t>84.59 (15.04)</w:t>
            </w:r>
          </w:p>
        </w:tc>
        <w:tc>
          <w:tcPr>
            <w:tcW w:w="1301" w:type="dxa"/>
            <w:tcBorders>
              <w:top w:val="single" w:sz="4" w:space="0" w:color="auto"/>
              <w:left w:val="nil"/>
              <w:bottom w:val="nil"/>
              <w:right w:val="nil"/>
            </w:tcBorders>
            <w:vAlign w:val="center"/>
          </w:tcPr>
          <w:p w14:paraId="74F09E5C" w14:textId="77777777" w:rsidR="0075411A" w:rsidRPr="007E5E62" w:rsidRDefault="0075411A" w:rsidP="0075411A">
            <w:pPr>
              <w:spacing w:after="0" w:line="276" w:lineRule="auto"/>
              <w:contextualSpacing/>
              <w:jc w:val="center"/>
              <w:rPr>
                <w:sz w:val="20"/>
                <w:szCs w:val="20"/>
              </w:rPr>
            </w:pPr>
            <w:r>
              <w:rPr>
                <w:sz w:val="20"/>
                <w:szCs w:val="20"/>
              </w:rPr>
              <w:t>72.81 (15.29)</w:t>
            </w:r>
          </w:p>
        </w:tc>
        <w:tc>
          <w:tcPr>
            <w:tcW w:w="772" w:type="dxa"/>
            <w:tcBorders>
              <w:top w:val="single" w:sz="4" w:space="0" w:color="auto"/>
              <w:left w:val="nil"/>
              <w:bottom w:val="nil"/>
              <w:right w:val="nil"/>
            </w:tcBorders>
          </w:tcPr>
          <w:p w14:paraId="4DF81F4A" w14:textId="77777777" w:rsidR="0075411A" w:rsidRPr="007E5E62" w:rsidRDefault="0075411A" w:rsidP="0075411A">
            <w:pPr>
              <w:spacing w:after="0" w:line="276" w:lineRule="auto"/>
              <w:contextualSpacing/>
              <w:jc w:val="center"/>
              <w:rPr>
                <w:sz w:val="20"/>
                <w:szCs w:val="20"/>
              </w:rPr>
            </w:pPr>
            <w:r>
              <w:rPr>
                <w:sz w:val="20"/>
                <w:szCs w:val="20"/>
              </w:rPr>
              <w:t>&lt;0.001</w:t>
            </w:r>
          </w:p>
        </w:tc>
      </w:tr>
      <w:tr w:rsidR="0075411A" w:rsidRPr="007E5E62" w14:paraId="55B9F473"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0947C535" w14:textId="77777777" w:rsidR="0075411A" w:rsidRPr="007E5E62" w:rsidRDefault="0075411A" w:rsidP="0075411A">
            <w:pPr>
              <w:spacing w:after="0" w:line="276" w:lineRule="auto"/>
              <w:contextualSpacing/>
              <w:rPr>
                <w:sz w:val="20"/>
                <w:szCs w:val="20"/>
                <w:vertAlign w:val="superscript"/>
              </w:rPr>
            </w:pPr>
            <w:r>
              <w:rPr>
                <w:sz w:val="20"/>
                <w:szCs w:val="20"/>
              </w:rPr>
              <w:t>BMI (mean [SD] kg/m</w:t>
            </w:r>
            <w:r w:rsidRPr="00A17E7C">
              <w:rPr>
                <w:sz w:val="20"/>
                <w:szCs w:val="20"/>
                <w:vertAlign w:val="superscript"/>
              </w:rPr>
              <w:t>2</w:t>
            </w:r>
            <w:r>
              <w:rPr>
                <w:sz w:val="20"/>
                <w:szCs w:val="20"/>
              </w:rPr>
              <w:t>)</w:t>
            </w:r>
          </w:p>
        </w:tc>
        <w:tc>
          <w:tcPr>
            <w:tcW w:w="1525" w:type="dxa"/>
            <w:tcBorders>
              <w:top w:val="single" w:sz="4" w:space="0" w:color="auto"/>
              <w:bottom w:val="nil"/>
              <w:right w:val="nil"/>
            </w:tcBorders>
          </w:tcPr>
          <w:p w14:paraId="2165476A" w14:textId="77777777" w:rsidR="0075411A" w:rsidRPr="00BE494A" w:rsidRDefault="0075411A" w:rsidP="0075411A">
            <w:pPr>
              <w:spacing w:after="0" w:line="276" w:lineRule="auto"/>
              <w:contextualSpacing/>
              <w:jc w:val="center"/>
              <w:rPr>
                <w:sz w:val="20"/>
                <w:szCs w:val="20"/>
              </w:rPr>
            </w:pPr>
            <w:r>
              <w:rPr>
                <w:sz w:val="20"/>
                <w:szCs w:val="20"/>
              </w:rPr>
              <w:t>28.39 (5.28)</w:t>
            </w:r>
          </w:p>
        </w:tc>
        <w:tc>
          <w:tcPr>
            <w:tcW w:w="1395" w:type="dxa"/>
            <w:tcBorders>
              <w:top w:val="single" w:sz="4" w:space="0" w:color="auto"/>
              <w:left w:val="nil"/>
              <w:bottom w:val="nil"/>
              <w:right w:val="nil"/>
            </w:tcBorders>
            <w:vAlign w:val="center"/>
          </w:tcPr>
          <w:p w14:paraId="45717A16" w14:textId="77777777" w:rsidR="0075411A" w:rsidRPr="007E5E62" w:rsidRDefault="0075411A" w:rsidP="0075411A">
            <w:pPr>
              <w:spacing w:after="0" w:line="276" w:lineRule="auto"/>
              <w:contextualSpacing/>
              <w:jc w:val="center"/>
              <w:rPr>
                <w:sz w:val="20"/>
                <w:szCs w:val="20"/>
              </w:rPr>
            </w:pPr>
            <w:r>
              <w:rPr>
                <w:sz w:val="20"/>
                <w:szCs w:val="20"/>
              </w:rPr>
              <w:t>28.21 (4.61)</w:t>
            </w:r>
          </w:p>
        </w:tc>
        <w:tc>
          <w:tcPr>
            <w:tcW w:w="1301" w:type="dxa"/>
            <w:tcBorders>
              <w:top w:val="single" w:sz="4" w:space="0" w:color="auto"/>
              <w:left w:val="nil"/>
              <w:bottom w:val="nil"/>
              <w:right w:val="nil"/>
            </w:tcBorders>
            <w:vAlign w:val="center"/>
          </w:tcPr>
          <w:p w14:paraId="2D6569E5" w14:textId="77777777" w:rsidR="0075411A" w:rsidRPr="007E5E62" w:rsidRDefault="0075411A" w:rsidP="0075411A">
            <w:pPr>
              <w:spacing w:after="0" w:line="276" w:lineRule="auto"/>
              <w:contextualSpacing/>
              <w:jc w:val="center"/>
              <w:rPr>
                <w:sz w:val="20"/>
                <w:szCs w:val="20"/>
              </w:rPr>
            </w:pPr>
            <w:r>
              <w:rPr>
                <w:sz w:val="20"/>
                <w:szCs w:val="20"/>
              </w:rPr>
              <w:t>28.45 (5.76)</w:t>
            </w:r>
          </w:p>
        </w:tc>
        <w:tc>
          <w:tcPr>
            <w:tcW w:w="772" w:type="dxa"/>
            <w:tcBorders>
              <w:top w:val="single" w:sz="4" w:space="0" w:color="auto"/>
              <w:left w:val="nil"/>
              <w:bottom w:val="nil"/>
              <w:right w:val="nil"/>
            </w:tcBorders>
          </w:tcPr>
          <w:p w14:paraId="269C501B" w14:textId="77777777" w:rsidR="0075411A" w:rsidRPr="007E5E62" w:rsidRDefault="0075411A" w:rsidP="0075411A">
            <w:pPr>
              <w:spacing w:after="0" w:line="276" w:lineRule="auto"/>
              <w:contextualSpacing/>
              <w:jc w:val="center"/>
              <w:rPr>
                <w:sz w:val="20"/>
                <w:szCs w:val="20"/>
              </w:rPr>
            </w:pPr>
            <w:r>
              <w:rPr>
                <w:sz w:val="20"/>
                <w:szCs w:val="20"/>
              </w:rPr>
              <w:t>0.116</w:t>
            </w:r>
          </w:p>
        </w:tc>
      </w:tr>
      <w:tr w:rsidR="0075411A" w:rsidRPr="007E5E62" w14:paraId="5884E2FC" w14:textId="77777777" w:rsidTr="0052291B">
        <w:tblPrEx>
          <w:tblBorders>
            <w:top w:val="single" w:sz="4" w:space="0" w:color="auto"/>
            <w:insideV w:val="none" w:sz="0" w:space="0" w:color="auto"/>
          </w:tblBorders>
        </w:tblPrEx>
        <w:tc>
          <w:tcPr>
            <w:tcW w:w="3011" w:type="dxa"/>
            <w:gridSpan w:val="3"/>
            <w:tcBorders>
              <w:top w:val="single" w:sz="4" w:space="0" w:color="auto"/>
              <w:bottom w:val="nil"/>
              <w:right w:val="nil"/>
            </w:tcBorders>
          </w:tcPr>
          <w:p w14:paraId="59E3B50B" w14:textId="77777777" w:rsidR="0075411A" w:rsidRPr="007E5E62" w:rsidRDefault="0075411A" w:rsidP="0075411A">
            <w:pPr>
              <w:spacing w:after="0" w:line="276" w:lineRule="auto"/>
              <w:contextualSpacing/>
              <w:rPr>
                <w:sz w:val="20"/>
                <w:szCs w:val="20"/>
                <w:vertAlign w:val="superscript"/>
              </w:rPr>
            </w:pPr>
            <w:r w:rsidRPr="007E5E62">
              <w:rPr>
                <w:sz w:val="20"/>
                <w:szCs w:val="20"/>
              </w:rPr>
              <w:t>Weight status</w:t>
            </w:r>
          </w:p>
        </w:tc>
        <w:tc>
          <w:tcPr>
            <w:tcW w:w="1525" w:type="dxa"/>
            <w:tcBorders>
              <w:top w:val="single" w:sz="4" w:space="0" w:color="auto"/>
              <w:bottom w:val="nil"/>
              <w:right w:val="nil"/>
            </w:tcBorders>
          </w:tcPr>
          <w:p w14:paraId="0FA55BF6" w14:textId="77777777" w:rsidR="0075411A" w:rsidRPr="007E5E62" w:rsidRDefault="0075411A" w:rsidP="0075411A">
            <w:pPr>
              <w:spacing w:after="0" w:line="276" w:lineRule="auto"/>
              <w:contextualSpacing/>
              <w:jc w:val="center"/>
              <w:rPr>
                <w:sz w:val="20"/>
                <w:szCs w:val="20"/>
              </w:rPr>
            </w:pPr>
          </w:p>
        </w:tc>
        <w:tc>
          <w:tcPr>
            <w:tcW w:w="1395" w:type="dxa"/>
            <w:tcBorders>
              <w:top w:val="single" w:sz="4" w:space="0" w:color="auto"/>
              <w:left w:val="nil"/>
              <w:bottom w:val="nil"/>
              <w:right w:val="nil"/>
            </w:tcBorders>
            <w:vAlign w:val="center"/>
          </w:tcPr>
          <w:p w14:paraId="55C5B499" w14:textId="77777777" w:rsidR="0075411A" w:rsidRPr="007E5E62" w:rsidRDefault="0075411A" w:rsidP="0075411A">
            <w:pPr>
              <w:spacing w:after="0" w:line="276" w:lineRule="auto"/>
              <w:contextualSpacing/>
              <w:jc w:val="center"/>
              <w:rPr>
                <w:color w:val="7030A0"/>
                <w:sz w:val="20"/>
                <w:szCs w:val="20"/>
              </w:rPr>
            </w:pPr>
          </w:p>
        </w:tc>
        <w:tc>
          <w:tcPr>
            <w:tcW w:w="1301" w:type="dxa"/>
            <w:tcBorders>
              <w:top w:val="single" w:sz="4" w:space="0" w:color="auto"/>
              <w:left w:val="nil"/>
              <w:bottom w:val="nil"/>
              <w:right w:val="nil"/>
            </w:tcBorders>
            <w:vAlign w:val="center"/>
          </w:tcPr>
          <w:p w14:paraId="1CAE2F52" w14:textId="77777777" w:rsidR="0075411A" w:rsidRPr="007E5E62" w:rsidRDefault="0075411A" w:rsidP="0075411A">
            <w:pPr>
              <w:spacing w:after="0" w:line="276" w:lineRule="auto"/>
              <w:contextualSpacing/>
              <w:jc w:val="center"/>
              <w:rPr>
                <w:color w:val="7030A0"/>
                <w:sz w:val="20"/>
                <w:szCs w:val="20"/>
              </w:rPr>
            </w:pPr>
          </w:p>
        </w:tc>
        <w:tc>
          <w:tcPr>
            <w:tcW w:w="772" w:type="dxa"/>
            <w:tcBorders>
              <w:top w:val="single" w:sz="4" w:space="0" w:color="auto"/>
              <w:left w:val="nil"/>
              <w:bottom w:val="nil"/>
              <w:right w:val="nil"/>
            </w:tcBorders>
          </w:tcPr>
          <w:p w14:paraId="615A192E" w14:textId="77777777" w:rsidR="0075411A" w:rsidRPr="007E5E62" w:rsidRDefault="0075411A" w:rsidP="0075411A">
            <w:pPr>
              <w:spacing w:after="0" w:line="276" w:lineRule="auto"/>
              <w:contextualSpacing/>
              <w:jc w:val="center"/>
              <w:rPr>
                <w:sz w:val="20"/>
                <w:szCs w:val="20"/>
              </w:rPr>
            </w:pPr>
          </w:p>
        </w:tc>
      </w:tr>
      <w:tr w:rsidR="0075411A" w:rsidRPr="007E5E62" w14:paraId="3F68DC48" w14:textId="77777777" w:rsidTr="0052291B">
        <w:tblPrEx>
          <w:tblBorders>
            <w:top w:val="single" w:sz="4" w:space="0" w:color="auto"/>
            <w:insideV w:val="none" w:sz="0" w:space="0" w:color="auto"/>
          </w:tblBorders>
        </w:tblPrEx>
        <w:tc>
          <w:tcPr>
            <w:tcW w:w="284" w:type="dxa"/>
            <w:tcBorders>
              <w:top w:val="nil"/>
              <w:bottom w:val="nil"/>
              <w:right w:val="nil"/>
            </w:tcBorders>
          </w:tcPr>
          <w:p w14:paraId="7D04BF40" w14:textId="77777777" w:rsidR="0075411A" w:rsidRPr="007E5E62" w:rsidRDefault="0075411A" w:rsidP="0075411A">
            <w:pPr>
              <w:spacing w:after="0" w:line="276" w:lineRule="auto"/>
              <w:contextualSpacing/>
              <w:rPr>
                <w:sz w:val="20"/>
                <w:szCs w:val="20"/>
              </w:rPr>
            </w:pPr>
          </w:p>
        </w:tc>
        <w:tc>
          <w:tcPr>
            <w:tcW w:w="2727" w:type="dxa"/>
            <w:gridSpan w:val="2"/>
            <w:tcBorders>
              <w:top w:val="nil"/>
              <w:bottom w:val="nil"/>
              <w:right w:val="nil"/>
            </w:tcBorders>
          </w:tcPr>
          <w:p w14:paraId="3A29F50F" w14:textId="77777777" w:rsidR="0075411A" w:rsidRPr="007E5E62" w:rsidRDefault="0075411A" w:rsidP="0075411A">
            <w:pPr>
              <w:spacing w:after="0" w:line="276" w:lineRule="auto"/>
              <w:contextualSpacing/>
              <w:rPr>
                <w:sz w:val="20"/>
                <w:szCs w:val="20"/>
              </w:rPr>
            </w:pPr>
            <w:r w:rsidRPr="007E5E62">
              <w:rPr>
                <w:sz w:val="20"/>
                <w:szCs w:val="20"/>
              </w:rPr>
              <w:t>Normal-weight</w:t>
            </w:r>
          </w:p>
        </w:tc>
        <w:tc>
          <w:tcPr>
            <w:tcW w:w="1525" w:type="dxa"/>
            <w:tcBorders>
              <w:top w:val="nil"/>
              <w:bottom w:val="nil"/>
              <w:right w:val="nil"/>
            </w:tcBorders>
          </w:tcPr>
          <w:p w14:paraId="76AB0F32" w14:textId="77777777" w:rsidR="0075411A" w:rsidRPr="007E5E62" w:rsidRDefault="0075411A" w:rsidP="0075411A">
            <w:pPr>
              <w:spacing w:after="0" w:line="276" w:lineRule="auto"/>
              <w:contextualSpacing/>
              <w:jc w:val="center"/>
              <w:rPr>
                <w:sz w:val="20"/>
                <w:szCs w:val="20"/>
              </w:rPr>
            </w:pPr>
            <w:r>
              <w:rPr>
                <w:sz w:val="20"/>
                <w:szCs w:val="20"/>
              </w:rPr>
              <w:t>27.5</w:t>
            </w:r>
          </w:p>
        </w:tc>
        <w:tc>
          <w:tcPr>
            <w:tcW w:w="1395" w:type="dxa"/>
            <w:tcBorders>
              <w:top w:val="nil"/>
              <w:left w:val="nil"/>
              <w:bottom w:val="nil"/>
              <w:right w:val="nil"/>
            </w:tcBorders>
            <w:vAlign w:val="center"/>
          </w:tcPr>
          <w:p w14:paraId="1B72EDB3" w14:textId="77777777" w:rsidR="0075411A" w:rsidRPr="007E5E62" w:rsidRDefault="0075411A" w:rsidP="0075411A">
            <w:pPr>
              <w:spacing w:after="0" w:line="276" w:lineRule="auto"/>
              <w:contextualSpacing/>
              <w:jc w:val="center"/>
              <w:rPr>
                <w:sz w:val="20"/>
                <w:szCs w:val="20"/>
              </w:rPr>
            </w:pPr>
            <w:r>
              <w:rPr>
                <w:sz w:val="20"/>
                <w:szCs w:val="20"/>
              </w:rPr>
              <w:t>23.8</w:t>
            </w:r>
          </w:p>
        </w:tc>
        <w:tc>
          <w:tcPr>
            <w:tcW w:w="1301" w:type="dxa"/>
            <w:tcBorders>
              <w:top w:val="nil"/>
              <w:left w:val="nil"/>
              <w:bottom w:val="nil"/>
              <w:right w:val="nil"/>
            </w:tcBorders>
            <w:vAlign w:val="center"/>
          </w:tcPr>
          <w:p w14:paraId="23159B4F" w14:textId="77777777" w:rsidR="0075411A" w:rsidRPr="007E5E62" w:rsidRDefault="0075411A" w:rsidP="0075411A">
            <w:pPr>
              <w:spacing w:after="0" w:line="276" w:lineRule="auto"/>
              <w:contextualSpacing/>
              <w:jc w:val="center"/>
              <w:rPr>
                <w:sz w:val="20"/>
                <w:szCs w:val="20"/>
              </w:rPr>
            </w:pPr>
            <w:r>
              <w:rPr>
                <w:sz w:val="20"/>
                <w:szCs w:val="20"/>
              </w:rPr>
              <w:t>30.8</w:t>
            </w:r>
          </w:p>
        </w:tc>
        <w:tc>
          <w:tcPr>
            <w:tcW w:w="772" w:type="dxa"/>
            <w:tcBorders>
              <w:top w:val="nil"/>
              <w:left w:val="nil"/>
              <w:bottom w:val="nil"/>
              <w:right w:val="nil"/>
            </w:tcBorders>
          </w:tcPr>
          <w:p w14:paraId="0EF3F0C8" w14:textId="77777777" w:rsidR="0075411A" w:rsidRPr="00A25202" w:rsidRDefault="0075411A" w:rsidP="0075411A">
            <w:pPr>
              <w:spacing w:after="0" w:line="276" w:lineRule="auto"/>
              <w:contextualSpacing/>
              <w:jc w:val="center"/>
              <w:rPr>
                <w:sz w:val="20"/>
                <w:szCs w:val="20"/>
              </w:rPr>
            </w:pPr>
            <w:r>
              <w:rPr>
                <w:sz w:val="20"/>
                <w:szCs w:val="20"/>
              </w:rPr>
              <w:t>&lt;0.001</w:t>
            </w:r>
          </w:p>
        </w:tc>
      </w:tr>
      <w:tr w:rsidR="0075411A" w:rsidRPr="007E5E62" w14:paraId="1F45B18E" w14:textId="77777777" w:rsidTr="0052291B">
        <w:tblPrEx>
          <w:tblBorders>
            <w:top w:val="single" w:sz="4" w:space="0" w:color="auto"/>
            <w:insideV w:val="none" w:sz="0" w:space="0" w:color="auto"/>
          </w:tblBorders>
        </w:tblPrEx>
        <w:tc>
          <w:tcPr>
            <w:tcW w:w="284" w:type="dxa"/>
            <w:tcBorders>
              <w:top w:val="nil"/>
              <w:bottom w:val="nil"/>
              <w:right w:val="nil"/>
            </w:tcBorders>
          </w:tcPr>
          <w:p w14:paraId="34D795C4" w14:textId="77777777" w:rsidR="0075411A" w:rsidRPr="007E5E62" w:rsidRDefault="0075411A" w:rsidP="0075411A">
            <w:pPr>
              <w:spacing w:after="0" w:line="276" w:lineRule="auto"/>
              <w:contextualSpacing/>
              <w:rPr>
                <w:sz w:val="20"/>
                <w:szCs w:val="20"/>
              </w:rPr>
            </w:pPr>
          </w:p>
        </w:tc>
        <w:tc>
          <w:tcPr>
            <w:tcW w:w="283" w:type="dxa"/>
            <w:tcBorders>
              <w:top w:val="nil"/>
              <w:bottom w:val="nil"/>
              <w:right w:val="nil"/>
            </w:tcBorders>
          </w:tcPr>
          <w:p w14:paraId="4D99515A" w14:textId="77777777" w:rsidR="0075411A" w:rsidRPr="007E5E62" w:rsidRDefault="0075411A" w:rsidP="0075411A">
            <w:pPr>
              <w:spacing w:after="0" w:line="276" w:lineRule="auto"/>
              <w:contextualSpacing/>
              <w:rPr>
                <w:sz w:val="20"/>
                <w:szCs w:val="20"/>
              </w:rPr>
            </w:pPr>
          </w:p>
        </w:tc>
        <w:tc>
          <w:tcPr>
            <w:tcW w:w="2444" w:type="dxa"/>
            <w:tcBorders>
              <w:top w:val="single" w:sz="4" w:space="0" w:color="auto"/>
              <w:bottom w:val="single" w:sz="4" w:space="0" w:color="auto"/>
              <w:right w:val="nil"/>
            </w:tcBorders>
          </w:tcPr>
          <w:p w14:paraId="0DD2B8AC" w14:textId="1BFDD1BF" w:rsidR="0075411A" w:rsidRPr="00FD718E" w:rsidRDefault="0075411A" w:rsidP="0075411A">
            <w:pPr>
              <w:spacing w:after="0" w:line="276" w:lineRule="auto"/>
              <w:contextualSpacing/>
              <w:rPr>
                <w:i/>
                <w:sz w:val="20"/>
                <w:szCs w:val="20"/>
              </w:rPr>
            </w:pPr>
            <w:r w:rsidRPr="00FD718E">
              <w:rPr>
                <w:i/>
                <w:sz w:val="20"/>
                <w:szCs w:val="20"/>
              </w:rPr>
              <w:t>Lower normal-weight</w:t>
            </w:r>
          </w:p>
        </w:tc>
        <w:tc>
          <w:tcPr>
            <w:tcW w:w="1525" w:type="dxa"/>
            <w:tcBorders>
              <w:top w:val="single" w:sz="4" w:space="0" w:color="auto"/>
              <w:bottom w:val="single" w:sz="4" w:space="0" w:color="auto"/>
              <w:right w:val="nil"/>
            </w:tcBorders>
          </w:tcPr>
          <w:p w14:paraId="68036331" w14:textId="7985C5AF" w:rsidR="0075411A" w:rsidRPr="00417C9A" w:rsidRDefault="0075411A" w:rsidP="0075411A">
            <w:pPr>
              <w:spacing w:after="0" w:line="276" w:lineRule="auto"/>
              <w:contextualSpacing/>
              <w:jc w:val="center"/>
              <w:rPr>
                <w:sz w:val="20"/>
                <w:szCs w:val="20"/>
              </w:rPr>
            </w:pPr>
            <w:r>
              <w:rPr>
                <w:sz w:val="20"/>
                <w:szCs w:val="20"/>
              </w:rPr>
              <w:t>7.1</w:t>
            </w:r>
          </w:p>
        </w:tc>
        <w:tc>
          <w:tcPr>
            <w:tcW w:w="1395" w:type="dxa"/>
            <w:tcBorders>
              <w:top w:val="single" w:sz="4" w:space="0" w:color="auto"/>
              <w:left w:val="nil"/>
              <w:bottom w:val="single" w:sz="4" w:space="0" w:color="auto"/>
              <w:right w:val="nil"/>
            </w:tcBorders>
            <w:vAlign w:val="center"/>
          </w:tcPr>
          <w:p w14:paraId="65013E4B" w14:textId="3125283F" w:rsidR="0075411A" w:rsidRPr="00417C9A" w:rsidRDefault="0075411A" w:rsidP="0075411A">
            <w:pPr>
              <w:spacing w:after="0" w:line="276" w:lineRule="auto"/>
              <w:contextualSpacing/>
              <w:jc w:val="center"/>
              <w:rPr>
                <w:sz w:val="20"/>
                <w:szCs w:val="20"/>
              </w:rPr>
            </w:pPr>
            <w:r>
              <w:rPr>
                <w:sz w:val="20"/>
                <w:szCs w:val="20"/>
              </w:rPr>
              <w:t>4.7</w:t>
            </w:r>
          </w:p>
        </w:tc>
        <w:tc>
          <w:tcPr>
            <w:tcW w:w="1301" w:type="dxa"/>
            <w:tcBorders>
              <w:top w:val="single" w:sz="4" w:space="0" w:color="auto"/>
              <w:left w:val="nil"/>
              <w:bottom w:val="single" w:sz="4" w:space="0" w:color="auto"/>
              <w:right w:val="nil"/>
            </w:tcBorders>
            <w:vAlign w:val="center"/>
          </w:tcPr>
          <w:p w14:paraId="7BBFA7DF" w14:textId="54B4A4DA" w:rsidR="0075411A" w:rsidRPr="00417C9A" w:rsidRDefault="0075411A" w:rsidP="0075411A">
            <w:pPr>
              <w:spacing w:after="0" w:line="276" w:lineRule="auto"/>
              <w:contextualSpacing/>
              <w:jc w:val="center"/>
              <w:rPr>
                <w:sz w:val="20"/>
                <w:szCs w:val="20"/>
              </w:rPr>
            </w:pPr>
            <w:r>
              <w:rPr>
                <w:sz w:val="20"/>
                <w:szCs w:val="20"/>
              </w:rPr>
              <w:t>9.2</w:t>
            </w:r>
          </w:p>
        </w:tc>
        <w:tc>
          <w:tcPr>
            <w:tcW w:w="772" w:type="dxa"/>
            <w:tcBorders>
              <w:top w:val="single" w:sz="4" w:space="0" w:color="auto"/>
              <w:left w:val="nil"/>
              <w:bottom w:val="single" w:sz="4" w:space="0" w:color="auto"/>
              <w:right w:val="nil"/>
            </w:tcBorders>
          </w:tcPr>
          <w:p w14:paraId="0298140C" w14:textId="49978420" w:rsidR="0075411A" w:rsidRPr="00A25202" w:rsidRDefault="0075411A" w:rsidP="0075411A">
            <w:pPr>
              <w:spacing w:after="0" w:line="276" w:lineRule="auto"/>
              <w:contextualSpacing/>
              <w:jc w:val="center"/>
              <w:rPr>
                <w:sz w:val="20"/>
                <w:szCs w:val="20"/>
              </w:rPr>
            </w:pPr>
            <w:r>
              <w:rPr>
                <w:sz w:val="20"/>
                <w:szCs w:val="20"/>
              </w:rPr>
              <w:t>-</w:t>
            </w:r>
          </w:p>
        </w:tc>
      </w:tr>
      <w:tr w:rsidR="0075411A" w:rsidRPr="007E5E62" w14:paraId="56E4E6C2" w14:textId="77777777" w:rsidTr="0052291B">
        <w:tblPrEx>
          <w:tblBorders>
            <w:top w:val="single" w:sz="4" w:space="0" w:color="auto"/>
            <w:insideV w:val="none" w:sz="0" w:space="0" w:color="auto"/>
          </w:tblBorders>
        </w:tblPrEx>
        <w:tc>
          <w:tcPr>
            <w:tcW w:w="284" w:type="dxa"/>
            <w:tcBorders>
              <w:top w:val="nil"/>
              <w:bottom w:val="nil"/>
              <w:right w:val="nil"/>
            </w:tcBorders>
          </w:tcPr>
          <w:p w14:paraId="4FB959F9" w14:textId="77777777" w:rsidR="0075411A" w:rsidRPr="007E5E62" w:rsidRDefault="0075411A" w:rsidP="0075411A">
            <w:pPr>
              <w:spacing w:after="0" w:line="276" w:lineRule="auto"/>
              <w:contextualSpacing/>
              <w:rPr>
                <w:sz w:val="20"/>
                <w:szCs w:val="20"/>
              </w:rPr>
            </w:pPr>
          </w:p>
        </w:tc>
        <w:tc>
          <w:tcPr>
            <w:tcW w:w="283" w:type="dxa"/>
            <w:tcBorders>
              <w:top w:val="nil"/>
              <w:bottom w:val="single" w:sz="4" w:space="0" w:color="auto"/>
              <w:right w:val="nil"/>
            </w:tcBorders>
          </w:tcPr>
          <w:p w14:paraId="14BD7795" w14:textId="77777777" w:rsidR="0075411A" w:rsidRPr="007E5E62" w:rsidRDefault="0075411A" w:rsidP="0075411A">
            <w:pPr>
              <w:spacing w:after="0" w:line="276" w:lineRule="auto"/>
              <w:contextualSpacing/>
              <w:rPr>
                <w:sz w:val="20"/>
                <w:szCs w:val="20"/>
              </w:rPr>
            </w:pPr>
          </w:p>
        </w:tc>
        <w:tc>
          <w:tcPr>
            <w:tcW w:w="2444" w:type="dxa"/>
            <w:tcBorders>
              <w:top w:val="single" w:sz="4" w:space="0" w:color="auto"/>
              <w:bottom w:val="single" w:sz="4" w:space="0" w:color="auto"/>
              <w:right w:val="nil"/>
            </w:tcBorders>
          </w:tcPr>
          <w:p w14:paraId="43A1459A" w14:textId="77777777" w:rsidR="0075411A" w:rsidRPr="00FD718E" w:rsidRDefault="0075411A" w:rsidP="0075411A">
            <w:pPr>
              <w:spacing w:after="0" w:line="276" w:lineRule="auto"/>
              <w:contextualSpacing/>
              <w:rPr>
                <w:i/>
                <w:sz w:val="20"/>
                <w:szCs w:val="20"/>
              </w:rPr>
            </w:pPr>
            <w:r w:rsidRPr="00FD718E">
              <w:rPr>
                <w:i/>
                <w:sz w:val="20"/>
                <w:szCs w:val="20"/>
              </w:rPr>
              <w:t>Upper normal-weight</w:t>
            </w:r>
          </w:p>
        </w:tc>
        <w:tc>
          <w:tcPr>
            <w:tcW w:w="1525" w:type="dxa"/>
            <w:tcBorders>
              <w:top w:val="single" w:sz="4" w:space="0" w:color="auto"/>
              <w:bottom w:val="single" w:sz="4" w:space="0" w:color="auto"/>
              <w:right w:val="nil"/>
            </w:tcBorders>
          </w:tcPr>
          <w:p w14:paraId="1CF800CF" w14:textId="77777777" w:rsidR="0075411A" w:rsidRPr="00417C9A" w:rsidRDefault="0075411A" w:rsidP="0075411A">
            <w:pPr>
              <w:spacing w:after="0" w:line="276" w:lineRule="auto"/>
              <w:contextualSpacing/>
              <w:jc w:val="center"/>
              <w:rPr>
                <w:sz w:val="20"/>
                <w:szCs w:val="20"/>
              </w:rPr>
            </w:pPr>
            <w:r>
              <w:rPr>
                <w:sz w:val="20"/>
                <w:szCs w:val="20"/>
              </w:rPr>
              <w:t>20.4</w:t>
            </w:r>
          </w:p>
        </w:tc>
        <w:tc>
          <w:tcPr>
            <w:tcW w:w="1395" w:type="dxa"/>
            <w:tcBorders>
              <w:top w:val="single" w:sz="4" w:space="0" w:color="auto"/>
              <w:left w:val="nil"/>
              <w:bottom w:val="single" w:sz="4" w:space="0" w:color="auto"/>
              <w:right w:val="nil"/>
            </w:tcBorders>
            <w:vAlign w:val="center"/>
          </w:tcPr>
          <w:p w14:paraId="7143D332" w14:textId="77777777" w:rsidR="0075411A" w:rsidRPr="00417C9A" w:rsidRDefault="0075411A" w:rsidP="0075411A">
            <w:pPr>
              <w:spacing w:after="0" w:line="276" w:lineRule="auto"/>
              <w:contextualSpacing/>
              <w:jc w:val="center"/>
              <w:rPr>
                <w:sz w:val="20"/>
                <w:szCs w:val="20"/>
              </w:rPr>
            </w:pPr>
            <w:r>
              <w:rPr>
                <w:sz w:val="20"/>
                <w:szCs w:val="20"/>
              </w:rPr>
              <w:t>19.1</w:t>
            </w:r>
          </w:p>
        </w:tc>
        <w:tc>
          <w:tcPr>
            <w:tcW w:w="1301" w:type="dxa"/>
            <w:tcBorders>
              <w:top w:val="single" w:sz="4" w:space="0" w:color="auto"/>
              <w:left w:val="nil"/>
              <w:bottom w:val="single" w:sz="4" w:space="0" w:color="auto"/>
              <w:right w:val="nil"/>
            </w:tcBorders>
            <w:vAlign w:val="center"/>
          </w:tcPr>
          <w:p w14:paraId="520A28BD" w14:textId="77777777" w:rsidR="0075411A" w:rsidRPr="00417C9A" w:rsidRDefault="0075411A" w:rsidP="0075411A">
            <w:pPr>
              <w:spacing w:after="0" w:line="276" w:lineRule="auto"/>
              <w:contextualSpacing/>
              <w:jc w:val="center"/>
              <w:rPr>
                <w:sz w:val="20"/>
                <w:szCs w:val="20"/>
              </w:rPr>
            </w:pPr>
            <w:r>
              <w:rPr>
                <w:sz w:val="20"/>
                <w:szCs w:val="20"/>
              </w:rPr>
              <w:t>21.5</w:t>
            </w:r>
          </w:p>
        </w:tc>
        <w:tc>
          <w:tcPr>
            <w:tcW w:w="772" w:type="dxa"/>
            <w:tcBorders>
              <w:top w:val="single" w:sz="4" w:space="0" w:color="auto"/>
              <w:left w:val="nil"/>
              <w:bottom w:val="single" w:sz="4" w:space="0" w:color="auto"/>
              <w:right w:val="nil"/>
            </w:tcBorders>
          </w:tcPr>
          <w:p w14:paraId="6AC9B300" w14:textId="736459EF" w:rsidR="0075411A" w:rsidRPr="00A25202" w:rsidRDefault="0075411A" w:rsidP="0075411A">
            <w:pPr>
              <w:spacing w:after="0" w:line="276" w:lineRule="auto"/>
              <w:contextualSpacing/>
              <w:jc w:val="center"/>
              <w:rPr>
                <w:sz w:val="20"/>
                <w:szCs w:val="20"/>
              </w:rPr>
            </w:pPr>
            <w:r>
              <w:rPr>
                <w:sz w:val="20"/>
                <w:szCs w:val="20"/>
              </w:rPr>
              <w:t>-</w:t>
            </w:r>
          </w:p>
        </w:tc>
      </w:tr>
      <w:tr w:rsidR="0075411A" w:rsidRPr="007E5E62" w14:paraId="1698D548" w14:textId="77777777" w:rsidTr="0052291B">
        <w:tblPrEx>
          <w:tblBorders>
            <w:top w:val="single" w:sz="4" w:space="0" w:color="auto"/>
            <w:insideV w:val="none" w:sz="0" w:space="0" w:color="auto"/>
          </w:tblBorders>
        </w:tblPrEx>
        <w:tc>
          <w:tcPr>
            <w:tcW w:w="284" w:type="dxa"/>
            <w:tcBorders>
              <w:top w:val="nil"/>
              <w:bottom w:val="nil"/>
              <w:right w:val="nil"/>
            </w:tcBorders>
          </w:tcPr>
          <w:p w14:paraId="26757FB6" w14:textId="77777777" w:rsidR="0075411A" w:rsidRPr="007E5E62" w:rsidRDefault="0075411A" w:rsidP="0075411A">
            <w:pPr>
              <w:spacing w:after="0" w:line="276" w:lineRule="auto"/>
              <w:contextualSpacing/>
              <w:rPr>
                <w:sz w:val="20"/>
                <w:szCs w:val="20"/>
              </w:rPr>
            </w:pPr>
          </w:p>
        </w:tc>
        <w:tc>
          <w:tcPr>
            <w:tcW w:w="2727" w:type="dxa"/>
            <w:gridSpan w:val="2"/>
            <w:tcBorders>
              <w:top w:val="single" w:sz="4" w:space="0" w:color="auto"/>
              <w:bottom w:val="single" w:sz="4" w:space="0" w:color="auto"/>
              <w:right w:val="nil"/>
            </w:tcBorders>
          </w:tcPr>
          <w:p w14:paraId="04B13DCA" w14:textId="77777777" w:rsidR="0075411A" w:rsidRPr="007E5E62" w:rsidRDefault="0075411A" w:rsidP="0075411A">
            <w:pPr>
              <w:spacing w:after="0" w:line="276" w:lineRule="auto"/>
              <w:contextualSpacing/>
              <w:rPr>
                <w:sz w:val="20"/>
                <w:szCs w:val="20"/>
              </w:rPr>
            </w:pPr>
            <w:r w:rsidRPr="007E5E62">
              <w:rPr>
                <w:sz w:val="20"/>
                <w:szCs w:val="20"/>
              </w:rPr>
              <w:t>Overweight</w:t>
            </w:r>
          </w:p>
        </w:tc>
        <w:tc>
          <w:tcPr>
            <w:tcW w:w="1525" w:type="dxa"/>
            <w:tcBorders>
              <w:top w:val="single" w:sz="4" w:space="0" w:color="auto"/>
              <w:bottom w:val="single" w:sz="4" w:space="0" w:color="auto"/>
              <w:right w:val="nil"/>
            </w:tcBorders>
          </w:tcPr>
          <w:p w14:paraId="1E9C2B9A" w14:textId="77777777" w:rsidR="0075411A" w:rsidRPr="007E5E62" w:rsidRDefault="0075411A" w:rsidP="0075411A">
            <w:pPr>
              <w:spacing w:after="0" w:line="276" w:lineRule="auto"/>
              <w:contextualSpacing/>
              <w:jc w:val="center"/>
              <w:rPr>
                <w:sz w:val="20"/>
                <w:szCs w:val="20"/>
              </w:rPr>
            </w:pPr>
            <w:r>
              <w:rPr>
                <w:sz w:val="20"/>
                <w:szCs w:val="20"/>
              </w:rPr>
              <w:t>40.3</w:t>
            </w:r>
          </w:p>
        </w:tc>
        <w:tc>
          <w:tcPr>
            <w:tcW w:w="1395" w:type="dxa"/>
            <w:tcBorders>
              <w:top w:val="single" w:sz="4" w:space="0" w:color="auto"/>
              <w:left w:val="nil"/>
              <w:bottom w:val="single" w:sz="4" w:space="0" w:color="auto"/>
              <w:right w:val="nil"/>
            </w:tcBorders>
            <w:vAlign w:val="center"/>
          </w:tcPr>
          <w:p w14:paraId="684175C7" w14:textId="77777777" w:rsidR="0075411A" w:rsidRPr="007E5E62" w:rsidRDefault="0075411A" w:rsidP="0075411A">
            <w:pPr>
              <w:spacing w:after="0" w:line="276" w:lineRule="auto"/>
              <w:contextualSpacing/>
              <w:jc w:val="center"/>
              <w:rPr>
                <w:sz w:val="20"/>
                <w:szCs w:val="20"/>
              </w:rPr>
            </w:pPr>
            <w:r>
              <w:rPr>
                <w:sz w:val="20"/>
                <w:szCs w:val="20"/>
              </w:rPr>
              <w:t>46.1</w:t>
            </w:r>
          </w:p>
        </w:tc>
        <w:tc>
          <w:tcPr>
            <w:tcW w:w="1301" w:type="dxa"/>
            <w:tcBorders>
              <w:top w:val="single" w:sz="4" w:space="0" w:color="auto"/>
              <w:left w:val="nil"/>
              <w:bottom w:val="single" w:sz="4" w:space="0" w:color="auto"/>
              <w:right w:val="nil"/>
            </w:tcBorders>
            <w:vAlign w:val="center"/>
          </w:tcPr>
          <w:p w14:paraId="32505465" w14:textId="77777777" w:rsidR="0075411A" w:rsidRPr="007E5E62" w:rsidRDefault="0075411A" w:rsidP="0075411A">
            <w:pPr>
              <w:spacing w:after="0" w:line="276" w:lineRule="auto"/>
              <w:contextualSpacing/>
              <w:jc w:val="center"/>
              <w:rPr>
                <w:sz w:val="20"/>
                <w:szCs w:val="20"/>
              </w:rPr>
            </w:pPr>
            <w:r>
              <w:rPr>
                <w:sz w:val="20"/>
                <w:szCs w:val="20"/>
              </w:rPr>
              <w:t>35.0</w:t>
            </w:r>
          </w:p>
        </w:tc>
        <w:tc>
          <w:tcPr>
            <w:tcW w:w="772" w:type="dxa"/>
            <w:tcBorders>
              <w:top w:val="single" w:sz="4" w:space="0" w:color="auto"/>
              <w:left w:val="nil"/>
              <w:bottom w:val="single" w:sz="4" w:space="0" w:color="auto"/>
              <w:right w:val="nil"/>
            </w:tcBorders>
          </w:tcPr>
          <w:p w14:paraId="4EC27F42" w14:textId="77777777" w:rsidR="0075411A" w:rsidRPr="007E5E62" w:rsidRDefault="0075411A" w:rsidP="0075411A">
            <w:pPr>
              <w:spacing w:after="0" w:line="276" w:lineRule="auto"/>
              <w:contextualSpacing/>
              <w:jc w:val="center"/>
              <w:rPr>
                <w:sz w:val="20"/>
                <w:szCs w:val="20"/>
              </w:rPr>
            </w:pPr>
            <w:r>
              <w:rPr>
                <w:sz w:val="20"/>
                <w:szCs w:val="20"/>
              </w:rPr>
              <w:t>-</w:t>
            </w:r>
          </w:p>
        </w:tc>
      </w:tr>
      <w:tr w:rsidR="0075411A" w:rsidRPr="007E5E62" w14:paraId="15293E54" w14:textId="77777777" w:rsidTr="0052291B">
        <w:tblPrEx>
          <w:tblBorders>
            <w:top w:val="single" w:sz="4" w:space="0" w:color="auto"/>
            <w:insideV w:val="none" w:sz="0" w:space="0" w:color="auto"/>
          </w:tblBorders>
        </w:tblPrEx>
        <w:tc>
          <w:tcPr>
            <w:tcW w:w="284" w:type="dxa"/>
            <w:tcBorders>
              <w:top w:val="nil"/>
              <w:bottom w:val="single" w:sz="4" w:space="0" w:color="auto"/>
              <w:right w:val="nil"/>
            </w:tcBorders>
          </w:tcPr>
          <w:p w14:paraId="003AD785" w14:textId="77777777" w:rsidR="0075411A" w:rsidRPr="007E5E62" w:rsidRDefault="0075411A" w:rsidP="0075411A">
            <w:pPr>
              <w:spacing w:after="0" w:line="276" w:lineRule="auto"/>
              <w:contextualSpacing/>
              <w:rPr>
                <w:sz w:val="20"/>
                <w:szCs w:val="20"/>
              </w:rPr>
            </w:pPr>
          </w:p>
        </w:tc>
        <w:tc>
          <w:tcPr>
            <w:tcW w:w="2727" w:type="dxa"/>
            <w:gridSpan w:val="2"/>
            <w:tcBorders>
              <w:top w:val="single" w:sz="4" w:space="0" w:color="auto"/>
              <w:bottom w:val="single" w:sz="4" w:space="0" w:color="auto"/>
              <w:right w:val="nil"/>
            </w:tcBorders>
          </w:tcPr>
          <w:p w14:paraId="6C6AAACF" w14:textId="77777777" w:rsidR="0075411A" w:rsidRPr="007E5E62" w:rsidRDefault="0075411A" w:rsidP="0075411A">
            <w:pPr>
              <w:spacing w:after="0" w:line="276" w:lineRule="auto"/>
              <w:contextualSpacing/>
              <w:rPr>
                <w:sz w:val="20"/>
                <w:szCs w:val="20"/>
              </w:rPr>
            </w:pPr>
            <w:r w:rsidRPr="007E5E62">
              <w:rPr>
                <w:sz w:val="20"/>
                <w:szCs w:val="20"/>
              </w:rPr>
              <w:t>Obese</w:t>
            </w:r>
          </w:p>
        </w:tc>
        <w:tc>
          <w:tcPr>
            <w:tcW w:w="1525" w:type="dxa"/>
            <w:tcBorders>
              <w:top w:val="single" w:sz="4" w:space="0" w:color="auto"/>
              <w:bottom w:val="single" w:sz="4" w:space="0" w:color="auto"/>
              <w:right w:val="nil"/>
            </w:tcBorders>
          </w:tcPr>
          <w:p w14:paraId="5327A875" w14:textId="77777777" w:rsidR="0075411A" w:rsidRPr="007E5E62" w:rsidRDefault="0075411A" w:rsidP="0075411A">
            <w:pPr>
              <w:spacing w:after="0" w:line="276" w:lineRule="auto"/>
              <w:contextualSpacing/>
              <w:jc w:val="center"/>
              <w:rPr>
                <w:sz w:val="20"/>
                <w:szCs w:val="20"/>
              </w:rPr>
            </w:pPr>
            <w:r>
              <w:rPr>
                <w:sz w:val="20"/>
                <w:szCs w:val="20"/>
              </w:rPr>
              <w:t>32.3</w:t>
            </w:r>
          </w:p>
        </w:tc>
        <w:tc>
          <w:tcPr>
            <w:tcW w:w="1395" w:type="dxa"/>
            <w:tcBorders>
              <w:top w:val="single" w:sz="4" w:space="0" w:color="auto"/>
              <w:left w:val="nil"/>
              <w:bottom w:val="single" w:sz="4" w:space="0" w:color="auto"/>
              <w:right w:val="nil"/>
            </w:tcBorders>
            <w:vAlign w:val="center"/>
          </w:tcPr>
          <w:p w14:paraId="33766FE4" w14:textId="77777777" w:rsidR="0075411A" w:rsidRPr="007E5E62" w:rsidRDefault="0075411A" w:rsidP="0075411A">
            <w:pPr>
              <w:spacing w:after="0" w:line="276" w:lineRule="auto"/>
              <w:contextualSpacing/>
              <w:jc w:val="center"/>
              <w:rPr>
                <w:sz w:val="20"/>
                <w:szCs w:val="20"/>
              </w:rPr>
            </w:pPr>
            <w:r>
              <w:rPr>
                <w:sz w:val="20"/>
                <w:szCs w:val="20"/>
              </w:rPr>
              <w:t>30.1</w:t>
            </w:r>
          </w:p>
        </w:tc>
        <w:tc>
          <w:tcPr>
            <w:tcW w:w="1301" w:type="dxa"/>
            <w:tcBorders>
              <w:top w:val="single" w:sz="4" w:space="0" w:color="auto"/>
              <w:left w:val="nil"/>
              <w:bottom w:val="single" w:sz="4" w:space="0" w:color="auto"/>
              <w:right w:val="nil"/>
            </w:tcBorders>
            <w:vAlign w:val="center"/>
          </w:tcPr>
          <w:p w14:paraId="61AF3A12" w14:textId="77777777" w:rsidR="0075411A" w:rsidRPr="007E5E62" w:rsidRDefault="0075411A" w:rsidP="0075411A">
            <w:pPr>
              <w:spacing w:after="0" w:line="276" w:lineRule="auto"/>
              <w:contextualSpacing/>
              <w:jc w:val="center"/>
              <w:rPr>
                <w:sz w:val="20"/>
                <w:szCs w:val="20"/>
              </w:rPr>
            </w:pPr>
            <w:r>
              <w:rPr>
                <w:sz w:val="20"/>
                <w:szCs w:val="20"/>
              </w:rPr>
              <w:t>34.2</w:t>
            </w:r>
          </w:p>
        </w:tc>
        <w:tc>
          <w:tcPr>
            <w:tcW w:w="772" w:type="dxa"/>
            <w:tcBorders>
              <w:top w:val="single" w:sz="4" w:space="0" w:color="auto"/>
              <w:left w:val="nil"/>
              <w:bottom w:val="single" w:sz="4" w:space="0" w:color="auto"/>
              <w:right w:val="nil"/>
            </w:tcBorders>
          </w:tcPr>
          <w:p w14:paraId="1A539FE1" w14:textId="77777777" w:rsidR="0075411A" w:rsidRPr="007E5E62" w:rsidRDefault="0075411A" w:rsidP="0075411A">
            <w:pPr>
              <w:spacing w:after="0" w:line="276" w:lineRule="auto"/>
              <w:contextualSpacing/>
              <w:jc w:val="center"/>
              <w:rPr>
                <w:sz w:val="20"/>
                <w:szCs w:val="20"/>
              </w:rPr>
            </w:pPr>
            <w:r>
              <w:rPr>
                <w:sz w:val="20"/>
                <w:szCs w:val="20"/>
              </w:rPr>
              <w:t>-</w:t>
            </w:r>
          </w:p>
        </w:tc>
      </w:tr>
      <w:tr w:rsidR="0075411A" w:rsidRPr="007E5E62" w14:paraId="5C827645" w14:textId="77777777" w:rsidTr="0075411A">
        <w:tblPrEx>
          <w:tblBorders>
            <w:top w:val="single" w:sz="4" w:space="0" w:color="auto"/>
            <w:insideV w:val="none" w:sz="0" w:space="0" w:color="auto"/>
          </w:tblBorders>
        </w:tblPrEx>
        <w:trPr>
          <w:trHeight w:val="252"/>
        </w:trPr>
        <w:tc>
          <w:tcPr>
            <w:tcW w:w="8004" w:type="dxa"/>
            <w:gridSpan w:val="7"/>
            <w:tcBorders>
              <w:top w:val="single" w:sz="8" w:space="0" w:color="auto"/>
              <w:bottom w:val="nil"/>
            </w:tcBorders>
          </w:tcPr>
          <w:p w14:paraId="6A48C9D8" w14:textId="77777777" w:rsidR="0075411A" w:rsidRPr="007E5E62" w:rsidRDefault="0075411A" w:rsidP="0075411A">
            <w:pPr>
              <w:tabs>
                <w:tab w:val="left" w:pos="5385"/>
              </w:tabs>
              <w:spacing w:after="0" w:line="276" w:lineRule="auto"/>
              <w:contextualSpacing/>
              <w:rPr>
                <w:sz w:val="18"/>
                <w:szCs w:val="18"/>
              </w:rPr>
            </w:pPr>
            <w:r w:rsidRPr="007E5E62">
              <w:rPr>
                <w:sz w:val="18"/>
                <w:szCs w:val="18"/>
              </w:rPr>
              <w:t>Weighted means and proportions are shown. Sample sizes (</w:t>
            </w:r>
            <w:r w:rsidRPr="007E5E62">
              <w:rPr>
                <w:i/>
                <w:sz w:val="18"/>
                <w:szCs w:val="18"/>
              </w:rPr>
              <w:t>n</w:t>
            </w:r>
            <w:r w:rsidRPr="007E5E62">
              <w:rPr>
                <w:sz w:val="18"/>
                <w:szCs w:val="18"/>
              </w:rPr>
              <w:t xml:space="preserve">) are shown unweighted. </w:t>
            </w:r>
            <w:r w:rsidRPr="007E5E62">
              <w:rPr>
                <w:sz w:val="18"/>
                <w:szCs w:val="18"/>
              </w:rPr>
              <w:br/>
            </w:r>
            <w:r w:rsidRPr="007E5E62">
              <w:rPr>
                <w:i/>
                <w:sz w:val="18"/>
                <w:szCs w:val="18"/>
              </w:rPr>
              <w:t>*p</w:t>
            </w:r>
            <w:r w:rsidRPr="007E5E62">
              <w:rPr>
                <w:sz w:val="18"/>
                <w:szCs w:val="18"/>
              </w:rPr>
              <w:t xml:space="preserve"> values are for the association between each variable and sex.</w:t>
            </w:r>
          </w:p>
          <w:p w14:paraId="05745F8E" w14:textId="77777777" w:rsidR="0075411A" w:rsidRPr="007E5E62" w:rsidRDefault="0075411A" w:rsidP="0075411A">
            <w:pPr>
              <w:tabs>
                <w:tab w:val="left" w:pos="5385"/>
              </w:tabs>
              <w:spacing w:after="0" w:line="276" w:lineRule="auto"/>
              <w:contextualSpacing/>
              <w:rPr>
                <w:sz w:val="20"/>
                <w:szCs w:val="20"/>
              </w:rPr>
            </w:pPr>
            <w:r w:rsidRPr="007E5E62">
              <w:rPr>
                <w:sz w:val="18"/>
                <w:szCs w:val="18"/>
              </w:rPr>
              <w:t>SD = standard deviat</w:t>
            </w:r>
            <w:r>
              <w:rPr>
                <w:sz w:val="18"/>
                <w:szCs w:val="18"/>
              </w:rPr>
              <w:t>ion; SES = socioeconomic status; BMI = body mass index</w:t>
            </w:r>
            <w:r w:rsidRPr="007E5E62">
              <w:rPr>
                <w:sz w:val="18"/>
                <w:szCs w:val="18"/>
              </w:rPr>
              <w:t>.</w:t>
            </w:r>
          </w:p>
        </w:tc>
      </w:tr>
    </w:tbl>
    <w:p w14:paraId="14000AF0" w14:textId="77777777" w:rsidR="0075411A" w:rsidRDefault="0075411A">
      <w:pPr>
        <w:spacing w:after="200" w:line="276" w:lineRule="auto"/>
        <w:rPr>
          <w:rFonts w:cstheme="minorHAnsi"/>
        </w:rPr>
      </w:pPr>
    </w:p>
    <w:p w14:paraId="60B052CE" w14:textId="77777777" w:rsidR="0075411A" w:rsidRDefault="0075411A" w:rsidP="0075411A">
      <w:r>
        <w:br w:type="page"/>
      </w:r>
    </w:p>
    <w:p w14:paraId="7D73C722" w14:textId="13D8A587" w:rsidR="00AB3FD4" w:rsidRDefault="00AB3FD4">
      <w:pPr>
        <w:spacing w:after="200" w:line="276" w:lineRule="auto"/>
        <w:rPr>
          <w:rFonts w:cstheme="minorHAnsi"/>
        </w:rPr>
        <w:sectPr w:rsidR="00AB3FD4" w:rsidSect="006C1529">
          <w:footerReference w:type="default" r:id="rId9"/>
          <w:pgSz w:w="12240" w:h="15840" w:code="1"/>
          <w:pgMar w:top="1440" w:right="1247" w:bottom="1440" w:left="1304" w:header="720" w:footer="720" w:gutter="0"/>
          <w:cols w:space="720"/>
          <w:noEndnote/>
          <w:docGrid w:linePitch="299"/>
        </w:sectPr>
      </w:pPr>
    </w:p>
    <w:tbl>
      <w:tblPr>
        <w:tblStyle w:val="TableGrid"/>
        <w:tblW w:w="15310" w:type="dxa"/>
        <w:tblInd w:w="-1134" w:type="dxa"/>
        <w:tblBorders>
          <w:top w:val="single" w:sz="24" w:space="0" w:color="auto"/>
          <w:left w:val="none" w:sz="0" w:space="0" w:color="auto"/>
          <w:right w:val="none" w:sz="0" w:space="0" w:color="auto"/>
        </w:tblBorders>
        <w:tblLayout w:type="fixed"/>
        <w:tblLook w:val="04A0" w:firstRow="1" w:lastRow="0" w:firstColumn="1" w:lastColumn="0" w:noHBand="0" w:noVBand="1"/>
      </w:tblPr>
      <w:tblGrid>
        <w:gridCol w:w="280"/>
        <w:gridCol w:w="1698"/>
        <w:gridCol w:w="670"/>
        <w:gridCol w:w="1738"/>
        <w:gridCol w:w="711"/>
        <w:gridCol w:w="284"/>
        <w:gridCol w:w="671"/>
        <w:gridCol w:w="1598"/>
        <w:gridCol w:w="851"/>
        <w:gridCol w:w="236"/>
        <w:gridCol w:w="614"/>
        <w:gridCol w:w="1700"/>
        <w:gridCol w:w="885"/>
        <w:gridCol w:w="243"/>
        <w:gridCol w:w="577"/>
        <w:gridCol w:w="1700"/>
        <w:gridCol w:w="854"/>
      </w:tblGrid>
      <w:tr w:rsidR="00AB3FD4" w:rsidRPr="00747310" w14:paraId="03C976DB" w14:textId="26606BAC" w:rsidTr="00AB3FD4">
        <w:tc>
          <w:tcPr>
            <w:tcW w:w="15310" w:type="dxa"/>
            <w:gridSpan w:val="17"/>
            <w:tcBorders>
              <w:top w:val="nil"/>
              <w:bottom w:val="single" w:sz="8" w:space="0" w:color="auto"/>
            </w:tcBorders>
          </w:tcPr>
          <w:p w14:paraId="355A61B1" w14:textId="16DDEFD4" w:rsidR="00AB3FD4" w:rsidRPr="00747310" w:rsidRDefault="00AB3FD4" w:rsidP="00AD02BF">
            <w:pPr>
              <w:tabs>
                <w:tab w:val="left" w:pos="5385"/>
              </w:tabs>
              <w:spacing w:after="0" w:line="276" w:lineRule="auto"/>
              <w:rPr>
                <w:b/>
                <w:sz w:val="20"/>
              </w:rPr>
            </w:pPr>
            <w:r w:rsidRPr="00747310">
              <w:rPr>
                <w:b/>
                <w:sz w:val="20"/>
              </w:rPr>
              <w:lastRenderedPageBreak/>
              <w:t xml:space="preserve">Table </w:t>
            </w:r>
            <w:r>
              <w:rPr>
                <w:b/>
                <w:noProof/>
                <w:sz w:val="20"/>
              </w:rPr>
              <w:t>2</w:t>
            </w:r>
            <w:r>
              <w:rPr>
                <w:sz w:val="20"/>
              </w:rPr>
              <w:t xml:space="preserve"> Multivariable models testing associations with feeling ‘too heavy’ and ‘too light’ among normal-weight older men and women</w:t>
            </w:r>
          </w:p>
        </w:tc>
      </w:tr>
      <w:tr w:rsidR="00AB3FD4" w:rsidRPr="00096BA6" w14:paraId="501FE475" w14:textId="676297E5" w:rsidTr="00AB3FD4">
        <w:tblPrEx>
          <w:tblBorders>
            <w:top w:val="single" w:sz="4" w:space="0" w:color="auto"/>
            <w:insideV w:val="none" w:sz="0" w:space="0" w:color="auto"/>
          </w:tblBorders>
        </w:tblPrEx>
        <w:tc>
          <w:tcPr>
            <w:tcW w:w="1978" w:type="dxa"/>
            <w:gridSpan w:val="2"/>
            <w:tcBorders>
              <w:top w:val="nil"/>
              <w:bottom w:val="nil"/>
              <w:right w:val="nil"/>
            </w:tcBorders>
            <w:vAlign w:val="center"/>
          </w:tcPr>
          <w:p w14:paraId="580557D9" w14:textId="77777777" w:rsidR="00AB3FD4" w:rsidRPr="00096BA6" w:rsidRDefault="00AB3FD4" w:rsidP="00AD02BF">
            <w:pPr>
              <w:spacing w:after="0" w:line="276" w:lineRule="auto"/>
              <w:contextualSpacing/>
              <w:jc w:val="center"/>
              <w:rPr>
                <w:sz w:val="20"/>
              </w:rPr>
            </w:pPr>
          </w:p>
        </w:tc>
        <w:tc>
          <w:tcPr>
            <w:tcW w:w="6523" w:type="dxa"/>
            <w:gridSpan w:val="7"/>
            <w:tcBorders>
              <w:top w:val="single" w:sz="4" w:space="0" w:color="auto"/>
              <w:left w:val="nil"/>
              <w:bottom w:val="single" w:sz="8" w:space="0" w:color="auto"/>
              <w:right w:val="nil"/>
            </w:tcBorders>
            <w:vAlign w:val="center"/>
          </w:tcPr>
          <w:p w14:paraId="529242F7" w14:textId="3D3D1E0D" w:rsidR="00AB3FD4" w:rsidRPr="00096BA6" w:rsidRDefault="00AB3FD4" w:rsidP="00AD02BF">
            <w:pPr>
              <w:spacing w:after="0" w:line="276" w:lineRule="auto"/>
              <w:contextualSpacing/>
              <w:jc w:val="center"/>
              <w:rPr>
                <w:b/>
                <w:sz w:val="20"/>
                <w:szCs w:val="20"/>
              </w:rPr>
            </w:pPr>
            <w:r>
              <w:rPr>
                <w:b/>
                <w:sz w:val="20"/>
                <w:szCs w:val="20"/>
              </w:rPr>
              <w:t>Too heavy</w:t>
            </w:r>
          </w:p>
        </w:tc>
        <w:tc>
          <w:tcPr>
            <w:tcW w:w="236" w:type="dxa"/>
            <w:tcBorders>
              <w:top w:val="single" w:sz="4" w:space="0" w:color="auto"/>
              <w:left w:val="nil"/>
              <w:bottom w:val="nil"/>
              <w:right w:val="nil"/>
            </w:tcBorders>
          </w:tcPr>
          <w:p w14:paraId="4C6A08CD" w14:textId="77777777" w:rsidR="00AB3FD4" w:rsidRDefault="00AB3FD4" w:rsidP="00AD02BF">
            <w:pPr>
              <w:spacing w:after="0" w:line="276" w:lineRule="auto"/>
              <w:contextualSpacing/>
              <w:jc w:val="center"/>
              <w:rPr>
                <w:b/>
                <w:sz w:val="20"/>
                <w:szCs w:val="20"/>
              </w:rPr>
            </w:pPr>
          </w:p>
        </w:tc>
        <w:tc>
          <w:tcPr>
            <w:tcW w:w="6573" w:type="dxa"/>
            <w:gridSpan w:val="7"/>
            <w:tcBorders>
              <w:top w:val="single" w:sz="4" w:space="0" w:color="auto"/>
              <w:left w:val="nil"/>
              <w:bottom w:val="single" w:sz="8" w:space="0" w:color="auto"/>
              <w:right w:val="nil"/>
            </w:tcBorders>
          </w:tcPr>
          <w:p w14:paraId="133BE4BF" w14:textId="2BA820B7" w:rsidR="00AB3FD4" w:rsidRDefault="00AB3FD4" w:rsidP="00AD02BF">
            <w:pPr>
              <w:spacing w:after="0" w:line="276" w:lineRule="auto"/>
              <w:contextualSpacing/>
              <w:jc w:val="center"/>
              <w:rPr>
                <w:b/>
                <w:sz w:val="20"/>
                <w:szCs w:val="20"/>
              </w:rPr>
            </w:pPr>
            <w:r>
              <w:rPr>
                <w:b/>
                <w:sz w:val="20"/>
                <w:szCs w:val="20"/>
              </w:rPr>
              <w:t>Too light</w:t>
            </w:r>
          </w:p>
        </w:tc>
      </w:tr>
      <w:tr w:rsidR="00AB3FD4" w:rsidRPr="00096BA6" w14:paraId="062B56C3" w14:textId="7BC32237" w:rsidTr="00AB3FD4">
        <w:tblPrEx>
          <w:tblBorders>
            <w:top w:val="single" w:sz="4" w:space="0" w:color="auto"/>
            <w:insideV w:val="none" w:sz="0" w:space="0" w:color="auto"/>
          </w:tblBorders>
        </w:tblPrEx>
        <w:tc>
          <w:tcPr>
            <w:tcW w:w="1978" w:type="dxa"/>
            <w:gridSpan w:val="2"/>
            <w:vMerge w:val="restart"/>
            <w:tcBorders>
              <w:top w:val="nil"/>
              <w:right w:val="nil"/>
            </w:tcBorders>
            <w:vAlign w:val="center"/>
          </w:tcPr>
          <w:p w14:paraId="62E15C84" w14:textId="77777777" w:rsidR="00AB3FD4" w:rsidRPr="00096BA6" w:rsidRDefault="00AB3FD4" w:rsidP="00AB3FD4">
            <w:pPr>
              <w:spacing w:after="0" w:line="276" w:lineRule="auto"/>
              <w:contextualSpacing/>
              <w:jc w:val="center"/>
              <w:rPr>
                <w:sz w:val="20"/>
              </w:rPr>
            </w:pPr>
          </w:p>
        </w:tc>
        <w:tc>
          <w:tcPr>
            <w:tcW w:w="3119" w:type="dxa"/>
            <w:gridSpan w:val="3"/>
            <w:tcBorders>
              <w:top w:val="single" w:sz="4" w:space="0" w:color="auto"/>
              <w:left w:val="nil"/>
              <w:bottom w:val="single" w:sz="8" w:space="0" w:color="auto"/>
              <w:right w:val="nil"/>
            </w:tcBorders>
            <w:vAlign w:val="center"/>
          </w:tcPr>
          <w:p w14:paraId="7AA70D31" w14:textId="77777777" w:rsidR="00AB3FD4" w:rsidRPr="00096BA6" w:rsidRDefault="00AB3FD4" w:rsidP="00AB3FD4">
            <w:pPr>
              <w:spacing w:after="0" w:line="276" w:lineRule="auto"/>
              <w:contextualSpacing/>
              <w:jc w:val="center"/>
              <w:rPr>
                <w:b/>
                <w:sz w:val="20"/>
                <w:szCs w:val="20"/>
              </w:rPr>
            </w:pPr>
            <w:r w:rsidRPr="00096BA6">
              <w:rPr>
                <w:b/>
                <w:sz w:val="20"/>
                <w:szCs w:val="20"/>
              </w:rPr>
              <w:t>Men (</w:t>
            </w:r>
            <w:r w:rsidRPr="00096BA6">
              <w:rPr>
                <w:b/>
                <w:i/>
                <w:sz w:val="20"/>
                <w:szCs w:val="20"/>
              </w:rPr>
              <w:t>n</w:t>
            </w:r>
            <w:r w:rsidRPr="00096BA6">
              <w:rPr>
                <w:b/>
                <w:sz w:val="20"/>
                <w:szCs w:val="20"/>
              </w:rPr>
              <w:t>=581)</w:t>
            </w:r>
          </w:p>
        </w:tc>
        <w:tc>
          <w:tcPr>
            <w:tcW w:w="284" w:type="dxa"/>
            <w:tcBorders>
              <w:top w:val="single" w:sz="4" w:space="0" w:color="auto"/>
              <w:left w:val="nil"/>
              <w:bottom w:val="nil"/>
              <w:right w:val="nil"/>
            </w:tcBorders>
            <w:vAlign w:val="center"/>
          </w:tcPr>
          <w:p w14:paraId="75B1F773" w14:textId="77777777" w:rsidR="00AB3FD4" w:rsidRPr="00096BA6" w:rsidRDefault="00AB3FD4" w:rsidP="00AB3FD4">
            <w:pPr>
              <w:spacing w:after="0" w:line="276" w:lineRule="auto"/>
              <w:contextualSpacing/>
              <w:jc w:val="center"/>
              <w:rPr>
                <w:b/>
                <w:sz w:val="20"/>
              </w:rPr>
            </w:pPr>
          </w:p>
        </w:tc>
        <w:tc>
          <w:tcPr>
            <w:tcW w:w="3120" w:type="dxa"/>
            <w:gridSpan w:val="3"/>
            <w:tcBorders>
              <w:top w:val="single" w:sz="4" w:space="0" w:color="auto"/>
              <w:left w:val="nil"/>
              <w:bottom w:val="single" w:sz="8" w:space="0" w:color="auto"/>
              <w:right w:val="nil"/>
            </w:tcBorders>
          </w:tcPr>
          <w:p w14:paraId="476EF149" w14:textId="77777777" w:rsidR="00AB3FD4" w:rsidRPr="00096BA6" w:rsidRDefault="00AB3FD4" w:rsidP="00AB3FD4">
            <w:pPr>
              <w:spacing w:after="0" w:line="276" w:lineRule="auto"/>
              <w:contextualSpacing/>
              <w:jc w:val="center"/>
              <w:rPr>
                <w:b/>
                <w:sz w:val="20"/>
                <w:szCs w:val="20"/>
              </w:rPr>
            </w:pPr>
            <w:r w:rsidRPr="00096BA6">
              <w:rPr>
                <w:b/>
                <w:sz w:val="20"/>
                <w:szCs w:val="20"/>
              </w:rPr>
              <w:t>Women (</w:t>
            </w:r>
            <w:r w:rsidRPr="00096BA6">
              <w:rPr>
                <w:b/>
                <w:i/>
                <w:sz w:val="20"/>
                <w:szCs w:val="20"/>
              </w:rPr>
              <w:t>n</w:t>
            </w:r>
            <w:r w:rsidRPr="00096BA6">
              <w:rPr>
                <w:b/>
                <w:sz w:val="20"/>
                <w:szCs w:val="20"/>
              </w:rPr>
              <w:t>=917)</w:t>
            </w:r>
          </w:p>
        </w:tc>
        <w:tc>
          <w:tcPr>
            <w:tcW w:w="236" w:type="dxa"/>
            <w:tcBorders>
              <w:top w:val="nil"/>
              <w:left w:val="nil"/>
              <w:bottom w:val="nil"/>
              <w:right w:val="nil"/>
            </w:tcBorders>
          </w:tcPr>
          <w:p w14:paraId="080485FB" w14:textId="77777777" w:rsidR="00AB3FD4" w:rsidRPr="00096BA6" w:rsidRDefault="00AB3FD4" w:rsidP="00AB3FD4">
            <w:pPr>
              <w:spacing w:after="0" w:line="276" w:lineRule="auto"/>
              <w:contextualSpacing/>
              <w:jc w:val="center"/>
              <w:rPr>
                <w:b/>
                <w:sz w:val="20"/>
                <w:szCs w:val="20"/>
              </w:rPr>
            </w:pPr>
          </w:p>
        </w:tc>
        <w:tc>
          <w:tcPr>
            <w:tcW w:w="3199" w:type="dxa"/>
            <w:gridSpan w:val="3"/>
            <w:tcBorders>
              <w:top w:val="single" w:sz="4" w:space="0" w:color="auto"/>
              <w:left w:val="nil"/>
              <w:bottom w:val="single" w:sz="8" w:space="0" w:color="auto"/>
              <w:right w:val="nil"/>
            </w:tcBorders>
            <w:vAlign w:val="center"/>
          </w:tcPr>
          <w:p w14:paraId="4F053958" w14:textId="7C6C48A6" w:rsidR="00AB3FD4" w:rsidRPr="00096BA6" w:rsidRDefault="00AB3FD4" w:rsidP="00AB3FD4">
            <w:pPr>
              <w:spacing w:after="0" w:line="276" w:lineRule="auto"/>
              <w:contextualSpacing/>
              <w:jc w:val="center"/>
              <w:rPr>
                <w:b/>
                <w:sz w:val="20"/>
                <w:szCs w:val="20"/>
              </w:rPr>
            </w:pPr>
            <w:r w:rsidRPr="00096BA6">
              <w:rPr>
                <w:b/>
                <w:sz w:val="20"/>
                <w:szCs w:val="20"/>
              </w:rPr>
              <w:t>Men (</w:t>
            </w:r>
            <w:r w:rsidRPr="00096BA6">
              <w:rPr>
                <w:b/>
                <w:i/>
                <w:sz w:val="20"/>
                <w:szCs w:val="20"/>
              </w:rPr>
              <w:t>n</w:t>
            </w:r>
            <w:r w:rsidRPr="00096BA6">
              <w:rPr>
                <w:b/>
                <w:sz w:val="20"/>
                <w:szCs w:val="20"/>
              </w:rPr>
              <w:t>=581)</w:t>
            </w:r>
          </w:p>
        </w:tc>
        <w:tc>
          <w:tcPr>
            <w:tcW w:w="243" w:type="dxa"/>
            <w:tcBorders>
              <w:top w:val="single" w:sz="4" w:space="0" w:color="auto"/>
              <w:left w:val="nil"/>
              <w:bottom w:val="nil"/>
              <w:right w:val="nil"/>
            </w:tcBorders>
            <w:vAlign w:val="center"/>
          </w:tcPr>
          <w:p w14:paraId="1675CB40" w14:textId="77777777" w:rsidR="00AB3FD4" w:rsidRPr="00096BA6" w:rsidRDefault="00AB3FD4" w:rsidP="00AB3FD4">
            <w:pPr>
              <w:spacing w:after="0" w:line="276" w:lineRule="auto"/>
              <w:contextualSpacing/>
              <w:jc w:val="center"/>
              <w:rPr>
                <w:b/>
                <w:sz w:val="20"/>
                <w:szCs w:val="20"/>
              </w:rPr>
            </w:pPr>
          </w:p>
        </w:tc>
        <w:tc>
          <w:tcPr>
            <w:tcW w:w="3131" w:type="dxa"/>
            <w:gridSpan w:val="3"/>
            <w:tcBorders>
              <w:top w:val="single" w:sz="4" w:space="0" w:color="auto"/>
              <w:left w:val="nil"/>
              <w:bottom w:val="single" w:sz="8" w:space="0" w:color="auto"/>
              <w:right w:val="nil"/>
            </w:tcBorders>
          </w:tcPr>
          <w:p w14:paraId="5FA4AF4D" w14:textId="612BF8B2" w:rsidR="00AB3FD4" w:rsidRPr="00096BA6" w:rsidRDefault="00AB3FD4" w:rsidP="00AB3FD4">
            <w:pPr>
              <w:spacing w:after="0" w:line="276" w:lineRule="auto"/>
              <w:contextualSpacing/>
              <w:jc w:val="center"/>
              <w:rPr>
                <w:b/>
                <w:sz w:val="20"/>
                <w:szCs w:val="20"/>
              </w:rPr>
            </w:pPr>
            <w:r w:rsidRPr="00096BA6">
              <w:rPr>
                <w:b/>
                <w:sz w:val="20"/>
                <w:szCs w:val="20"/>
              </w:rPr>
              <w:t>Women (</w:t>
            </w:r>
            <w:r w:rsidRPr="00096BA6">
              <w:rPr>
                <w:b/>
                <w:i/>
                <w:sz w:val="20"/>
                <w:szCs w:val="20"/>
              </w:rPr>
              <w:t>n</w:t>
            </w:r>
            <w:r w:rsidRPr="00096BA6">
              <w:rPr>
                <w:b/>
                <w:sz w:val="20"/>
                <w:szCs w:val="20"/>
              </w:rPr>
              <w:t>=917)</w:t>
            </w:r>
          </w:p>
        </w:tc>
      </w:tr>
      <w:tr w:rsidR="00AB3FD4" w:rsidRPr="006F3C95" w14:paraId="103C38CC" w14:textId="4BE605F2" w:rsidTr="00AB3FD4">
        <w:tblPrEx>
          <w:tblBorders>
            <w:top w:val="single" w:sz="4" w:space="0" w:color="auto"/>
            <w:insideV w:val="none" w:sz="0" w:space="0" w:color="auto"/>
          </w:tblBorders>
        </w:tblPrEx>
        <w:tc>
          <w:tcPr>
            <w:tcW w:w="1978" w:type="dxa"/>
            <w:gridSpan w:val="2"/>
            <w:vMerge/>
            <w:tcBorders>
              <w:bottom w:val="single" w:sz="8" w:space="0" w:color="auto"/>
              <w:right w:val="nil"/>
            </w:tcBorders>
            <w:vAlign w:val="center"/>
          </w:tcPr>
          <w:p w14:paraId="47AC3721" w14:textId="77777777" w:rsidR="00AB3FD4" w:rsidRPr="00747310" w:rsidRDefault="00AB3FD4" w:rsidP="00AB3FD4">
            <w:pPr>
              <w:spacing w:after="0" w:line="276" w:lineRule="auto"/>
              <w:contextualSpacing/>
              <w:jc w:val="center"/>
              <w:rPr>
                <w:color w:val="FF0000"/>
                <w:sz w:val="20"/>
              </w:rPr>
            </w:pPr>
          </w:p>
        </w:tc>
        <w:tc>
          <w:tcPr>
            <w:tcW w:w="670" w:type="dxa"/>
            <w:tcBorders>
              <w:top w:val="single" w:sz="4" w:space="0" w:color="auto"/>
              <w:left w:val="nil"/>
              <w:bottom w:val="single" w:sz="8" w:space="0" w:color="auto"/>
              <w:right w:val="nil"/>
            </w:tcBorders>
          </w:tcPr>
          <w:p w14:paraId="34CBC0FC" w14:textId="77777777" w:rsidR="00AB3FD4" w:rsidRDefault="00AB3FD4" w:rsidP="00AB3FD4">
            <w:pPr>
              <w:spacing w:after="0" w:line="276" w:lineRule="auto"/>
              <w:contextualSpacing/>
              <w:jc w:val="center"/>
              <w:rPr>
                <w:b/>
                <w:sz w:val="20"/>
              </w:rPr>
            </w:pPr>
            <w:r>
              <w:rPr>
                <w:b/>
                <w:sz w:val="20"/>
              </w:rPr>
              <w:t>%*</w:t>
            </w:r>
          </w:p>
        </w:tc>
        <w:tc>
          <w:tcPr>
            <w:tcW w:w="1738" w:type="dxa"/>
            <w:tcBorders>
              <w:top w:val="single" w:sz="4" w:space="0" w:color="auto"/>
              <w:left w:val="nil"/>
              <w:bottom w:val="single" w:sz="8" w:space="0" w:color="auto"/>
              <w:right w:val="nil"/>
            </w:tcBorders>
            <w:vAlign w:val="center"/>
          </w:tcPr>
          <w:p w14:paraId="07B74EC7" w14:textId="77777777" w:rsidR="00AB3FD4" w:rsidRPr="008933B5" w:rsidRDefault="00AB3FD4" w:rsidP="00AB3FD4">
            <w:pPr>
              <w:spacing w:after="0" w:line="276" w:lineRule="auto"/>
              <w:contextualSpacing/>
              <w:jc w:val="center"/>
              <w:rPr>
                <w:b/>
                <w:sz w:val="20"/>
              </w:rPr>
            </w:pPr>
            <w:r>
              <w:rPr>
                <w:b/>
                <w:sz w:val="20"/>
              </w:rPr>
              <w:t>OR [95% CI]</w:t>
            </w:r>
          </w:p>
        </w:tc>
        <w:tc>
          <w:tcPr>
            <w:tcW w:w="711" w:type="dxa"/>
            <w:tcBorders>
              <w:top w:val="single" w:sz="4" w:space="0" w:color="auto"/>
              <w:left w:val="nil"/>
              <w:bottom w:val="single" w:sz="8" w:space="0" w:color="auto"/>
              <w:right w:val="nil"/>
            </w:tcBorders>
            <w:vAlign w:val="center"/>
          </w:tcPr>
          <w:p w14:paraId="1E55E9DC" w14:textId="77777777" w:rsidR="00AB3FD4" w:rsidRPr="006F3C95" w:rsidRDefault="00AB3FD4" w:rsidP="00AB3FD4">
            <w:pPr>
              <w:spacing w:after="0" w:line="276" w:lineRule="auto"/>
              <w:contextualSpacing/>
              <w:jc w:val="center"/>
              <w:rPr>
                <w:b/>
                <w:i/>
                <w:sz w:val="20"/>
              </w:rPr>
            </w:pPr>
            <w:r w:rsidRPr="006F3C95">
              <w:rPr>
                <w:b/>
                <w:i/>
                <w:sz w:val="20"/>
              </w:rPr>
              <w:t>p</w:t>
            </w:r>
          </w:p>
        </w:tc>
        <w:tc>
          <w:tcPr>
            <w:tcW w:w="284" w:type="dxa"/>
            <w:tcBorders>
              <w:top w:val="nil"/>
              <w:left w:val="nil"/>
              <w:bottom w:val="single" w:sz="8" w:space="0" w:color="auto"/>
              <w:right w:val="nil"/>
            </w:tcBorders>
            <w:vAlign w:val="center"/>
          </w:tcPr>
          <w:p w14:paraId="60F94DEC" w14:textId="77777777" w:rsidR="00AB3FD4" w:rsidRDefault="00AB3FD4" w:rsidP="00AB3FD4">
            <w:pPr>
              <w:spacing w:after="0" w:line="276" w:lineRule="auto"/>
              <w:contextualSpacing/>
              <w:jc w:val="center"/>
              <w:rPr>
                <w:b/>
                <w:sz w:val="20"/>
              </w:rPr>
            </w:pPr>
          </w:p>
        </w:tc>
        <w:tc>
          <w:tcPr>
            <w:tcW w:w="671" w:type="dxa"/>
            <w:tcBorders>
              <w:top w:val="single" w:sz="4" w:space="0" w:color="auto"/>
              <w:left w:val="nil"/>
              <w:bottom w:val="single" w:sz="8" w:space="0" w:color="auto"/>
              <w:right w:val="nil"/>
            </w:tcBorders>
          </w:tcPr>
          <w:p w14:paraId="572F4EFE" w14:textId="77777777" w:rsidR="00AB3FD4" w:rsidRDefault="00AB3FD4" w:rsidP="00AB3FD4">
            <w:pPr>
              <w:spacing w:after="0" w:line="276" w:lineRule="auto"/>
              <w:contextualSpacing/>
              <w:jc w:val="center"/>
              <w:rPr>
                <w:b/>
                <w:sz w:val="20"/>
              </w:rPr>
            </w:pPr>
            <w:r>
              <w:rPr>
                <w:b/>
                <w:sz w:val="20"/>
              </w:rPr>
              <w:t>%*</w:t>
            </w:r>
          </w:p>
        </w:tc>
        <w:tc>
          <w:tcPr>
            <w:tcW w:w="1598" w:type="dxa"/>
            <w:tcBorders>
              <w:top w:val="single" w:sz="4" w:space="0" w:color="auto"/>
              <w:left w:val="nil"/>
              <w:bottom w:val="single" w:sz="8" w:space="0" w:color="auto"/>
              <w:right w:val="nil"/>
            </w:tcBorders>
            <w:vAlign w:val="center"/>
          </w:tcPr>
          <w:p w14:paraId="4CF65491" w14:textId="77777777" w:rsidR="00AB3FD4" w:rsidRPr="008933B5" w:rsidRDefault="00AB3FD4" w:rsidP="00AB3FD4">
            <w:pPr>
              <w:spacing w:after="0" w:line="276" w:lineRule="auto"/>
              <w:contextualSpacing/>
              <w:jc w:val="center"/>
              <w:rPr>
                <w:b/>
                <w:sz w:val="20"/>
              </w:rPr>
            </w:pPr>
            <w:r>
              <w:rPr>
                <w:b/>
                <w:sz w:val="20"/>
              </w:rPr>
              <w:t>OR [95% CI]</w:t>
            </w:r>
          </w:p>
        </w:tc>
        <w:tc>
          <w:tcPr>
            <w:tcW w:w="851" w:type="dxa"/>
            <w:tcBorders>
              <w:top w:val="single" w:sz="4" w:space="0" w:color="auto"/>
              <w:left w:val="nil"/>
              <w:bottom w:val="single" w:sz="8" w:space="0" w:color="auto"/>
              <w:right w:val="nil"/>
            </w:tcBorders>
            <w:vAlign w:val="center"/>
          </w:tcPr>
          <w:p w14:paraId="211726E7" w14:textId="77777777" w:rsidR="00AB3FD4" w:rsidRPr="006F3C95" w:rsidRDefault="00AB3FD4" w:rsidP="00AB3FD4">
            <w:pPr>
              <w:spacing w:after="0" w:line="276" w:lineRule="auto"/>
              <w:contextualSpacing/>
              <w:jc w:val="center"/>
              <w:rPr>
                <w:b/>
                <w:sz w:val="20"/>
              </w:rPr>
            </w:pPr>
            <w:r w:rsidRPr="006F3C95">
              <w:rPr>
                <w:b/>
                <w:i/>
                <w:sz w:val="20"/>
              </w:rPr>
              <w:t>p</w:t>
            </w:r>
          </w:p>
        </w:tc>
        <w:tc>
          <w:tcPr>
            <w:tcW w:w="236" w:type="dxa"/>
            <w:tcBorders>
              <w:top w:val="nil"/>
              <w:left w:val="nil"/>
              <w:bottom w:val="single" w:sz="4" w:space="0" w:color="auto"/>
              <w:right w:val="nil"/>
            </w:tcBorders>
          </w:tcPr>
          <w:p w14:paraId="527F011C" w14:textId="77777777" w:rsidR="00AB3FD4" w:rsidRPr="006F3C95" w:rsidRDefault="00AB3FD4" w:rsidP="00AB3FD4">
            <w:pPr>
              <w:spacing w:after="0" w:line="276" w:lineRule="auto"/>
              <w:contextualSpacing/>
              <w:jc w:val="center"/>
              <w:rPr>
                <w:b/>
                <w:i/>
                <w:sz w:val="20"/>
              </w:rPr>
            </w:pPr>
          </w:p>
        </w:tc>
        <w:tc>
          <w:tcPr>
            <w:tcW w:w="614" w:type="dxa"/>
            <w:tcBorders>
              <w:top w:val="single" w:sz="4" w:space="0" w:color="auto"/>
              <w:left w:val="nil"/>
              <w:bottom w:val="single" w:sz="8" w:space="0" w:color="auto"/>
              <w:right w:val="nil"/>
            </w:tcBorders>
          </w:tcPr>
          <w:p w14:paraId="60716E4A" w14:textId="00A9B98F" w:rsidR="00AB3FD4" w:rsidRPr="006F3C95" w:rsidRDefault="00AB3FD4" w:rsidP="00AB3FD4">
            <w:pPr>
              <w:spacing w:after="0" w:line="276" w:lineRule="auto"/>
              <w:contextualSpacing/>
              <w:jc w:val="center"/>
              <w:rPr>
                <w:b/>
                <w:i/>
                <w:sz w:val="20"/>
              </w:rPr>
            </w:pPr>
            <w:r>
              <w:rPr>
                <w:b/>
                <w:sz w:val="20"/>
              </w:rPr>
              <w:t>%*</w:t>
            </w:r>
          </w:p>
        </w:tc>
        <w:tc>
          <w:tcPr>
            <w:tcW w:w="1700" w:type="dxa"/>
            <w:tcBorders>
              <w:top w:val="single" w:sz="4" w:space="0" w:color="auto"/>
              <w:left w:val="nil"/>
              <w:bottom w:val="single" w:sz="8" w:space="0" w:color="auto"/>
              <w:right w:val="nil"/>
            </w:tcBorders>
            <w:vAlign w:val="center"/>
          </w:tcPr>
          <w:p w14:paraId="6D5A7419" w14:textId="0A40547B" w:rsidR="00AB3FD4" w:rsidRPr="006F3C95" w:rsidRDefault="00AB3FD4" w:rsidP="00AB3FD4">
            <w:pPr>
              <w:spacing w:after="0" w:line="276" w:lineRule="auto"/>
              <w:contextualSpacing/>
              <w:jc w:val="center"/>
              <w:rPr>
                <w:b/>
                <w:i/>
                <w:sz w:val="20"/>
              </w:rPr>
            </w:pPr>
            <w:r>
              <w:rPr>
                <w:b/>
                <w:sz w:val="20"/>
              </w:rPr>
              <w:t>OR [95% CI]</w:t>
            </w:r>
          </w:p>
        </w:tc>
        <w:tc>
          <w:tcPr>
            <w:tcW w:w="885" w:type="dxa"/>
            <w:tcBorders>
              <w:top w:val="single" w:sz="4" w:space="0" w:color="auto"/>
              <w:left w:val="nil"/>
              <w:bottom w:val="single" w:sz="8" w:space="0" w:color="auto"/>
              <w:right w:val="nil"/>
            </w:tcBorders>
            <w:vAlign w:val="center"/>
          </w:tcPr>
          <w:p w14:paraId="4224D69F" w14:textId="60F5A8A2" w:rsidR="00AB3FD4" w:rsidRPr="006F3C95" w:rsidRDefault="00AB3FD4" w:rsidP="00AB3FD4">
            <w:pPr>
              <w:spacing w:after="0" w:line="276" w:lineRule="auto"/>
              <w:contextualSpacing/>
              <w:jc w:val="center"/>
              <w:rPr>
                <w:b/>
                <w:i/>
                <w:sz w:val="20"/>
              </w:rPr>
            </w:pPr>
            <w:r w:rsidRPr="006F3C95">
              <w:rPr>
                <w:b/>
                <w:i/>
                <w:sz w:val="20"/>
              </w:rPr>
              <w:t>p</w:t>
            </w:r>
          </w:p>
        </w:tc>
        <w:tc>
          <w:tcPr>
            <w:tcW w:w="243" w:type="dxa"/>
            <w:tcBorders>
              <w:top w:val="nil"/>
              <w:left w:val="nil"/>
              <w:bottom w:val="single" w:sz="8" w:space="0" w:color="auto"/>
              <w:right w:val="nil"/>
            </w:tcBorders>
            <w:vAlign w:val="center"/>
          </w:tcPr>
          <w:p w14:paraId="1A4A6F33" w14:textId="77777777" w:rsidR="00AB3FD4" w:rsidRPr="006F3C95" w:rsidRDefault="00AB3FD4" w:rsidP="00AB3FD4">
            <w:pPr>
              <w:spacing w:after="0" w:line="276" w:lineRule="auto"/>
              <w:contextualSpacing/>
              <w:jc w:val="center"/>
              <w:rPr>
                <w:b/>
                <w:i/>
                <w:sz w:val="20"/>
              </w:rPr>
            </w:pPr>
          </w:p>
        </w:tc>
        <w:tc>
          <w:tcPr>
            <w:tcW w:w="577" w:type="dxa"/>
            <w:tcBorders>
              <w:top w:val="single" w:sz="4" w:space="0" w:color="auto"/>
              <w:left w:val="nil"/>
              <w:bottom w:val="single" w:sz="8" w:space="0" w:color="auto"/>
              <w:right w:val="nil"/>
            </w:tcBorders>
          </w:tcPr>
          <w:p w14:paraId="3498BE69" w14:textId="4B532BCD" w:rsidR="00AB3FD4" w:rsidRPr="006F3C95" w:rsidRDefault="00AB3FD4" w:rsidP="00AB3FD4">
            <w:pPr>
              <w:spacing w:after="0" w:line="276" w:lineRule="auto"/>
              <w:contextualSpacing/>
              <w:jc w:val="center"/>
              <w:rPr>
                <w:b/>
                <w:i/>
                <w:sz w:val="20"/>
              </w:rPr>
            </w:pPr>
            <w:r>
              <w:rPr>
                <w:b/>
                <w:sz w:val="20"/>
              </w:rPr>
              <w:t>%*</w:t>
            </w:r>
          </w:p>
        </w:tc>
        <w:tc>
          <w:tcPr>
            <w:tcW w:w="1700" w:type="dxa"/>
            <w:tcBorders>
              <w:top w:val="single" w:sz="4" w:space="0" w:color="auto"/>
              <w:left w:val="nil"/>
              <w:bottom w:val="single" w:sz="8" w:space="0" w:color="auto"/>
              <w:right w:val="nil"/>
            </w:tcBorders>
            <w:vAlign w:val="center"/>
          </w:tcPr>
          <w:p w14:paraId="62CD958A" w14:textId="50C42AA4" w:rsidR="00AB3FD4" w:rsidRPr="006F3C95" w:rsidRDefault="00AB3FD4" w:rsidP="00AB3FD4">
            <w:pPr>
              <w:spacing w:after="0" w:line="276" w:lineRule="auto"/>
              <w:contextualSpacing/>
              <w:jc w:val="center"/>
              <w:rPr>
                <w:b/>
                <w:i/>
                <w:sz w:val="20"/>
              </w:rPr>
            </w:pPr>
            <w:r>
              <w:rPr>
                <w:b/>
                <w:sz w:val="20"/>
              </w:rPr>
              <w:t>OR [95% CI]</w:t>
            </w:r>
          </w:p>
        </w:tc>
        <w:tc>
          <w:tcPr>
            <w:tcW w:w="854" w:type="dxa"/>
            <w:tcBorders>
              <w:top w:val="single" w:sz="4" w:space="0" w:color="auto"/>
              <w:left w:val="nil"/>
              <w:bottom w:val="single" w:sz="8" w:space="0" w:color="auto"/>
              <w:right w:val="nil"/>
            </w:tcBorders>
            <w:vAlign w:val="center"/>
          </w:tcPr>
          <w:p w14:paraId="03EEAF58" w14:textId="10A4C73F" w:rsidR="00AB3FD4" w:rsidRPr="006F3C95" w:rsidRDefault="00AB3FD4" w:rsidP="00AB3FD4">
            <w:pPr>
              <w:spacing w:after="0" w:line="276" w:lineRule="auto"/>
              <w:contextualSpacing/>
              <w:jc w:val="center"/>
              <w:rPr>
                <w:b/>
                <w:i/>
                <w:sz w:val="20"/>
              </w:rPr>
            </w:pPr>
            <w:r w:rsidRPr="006F3C95">
              <w:rPr>
                <w:b/>
                <w:i/>
                <w:sz w:val="20"/>
              </w:rPr>
              <w:t>p</w:t>
            </w:r>
          </w:p>
        </w:tc>
      </w:tr>
      <w:tr w:rsidR="00AB3FD4" w:rsidRPr="00897348" w14:paraId="2F90B65D" w14:textId="76C97F22" w:rsidTr="00AB3FD4">
        <w:tblPrEx>
          <w:tblBorders>
            <w:top w:val="single" w:sz="4" w:space="0" w:color="auto"/>
            <w:insideV w:val="none" w:sz="0" w:space="0" w:color="auto"/>
          </w:tblBorders>
        </w:tblPrEx>
        <w:tc>
          <w:tcPr>
            <w:tcW w:w="1978" w:type="dxa"/>
            <w:gridSpan w:val="2"/>
            <w:tcBorders>
              <w:top w:val="single" w:sz="8" w:space="0" w:color="auto"/>
              <w:bottom w:val="single" w:sz="4" w:space="0" w:color="auto"/>
              <w:right w:val="nil"/>
            </w:tcBorders>
          </w:tcPr>
          <w:p w14:paraId="715BAB85" w14:textId="77777777" w:rsidR="00AB3FD4" w:rsidRPr="007E5E62" w:rsidRDefault="00AB3FD4" w:rsidP="00AB3FD4">
            <w:pPr>
              <w:spacing w:after="0" w:line="276" w:lineRule="auto"/>
              <w:contextualSpacing/>
              <w:rPr>
                <w:sz w:val="20"/>
              </w:rPr>
            </w:pPr>
            <w:r>
              <w:rPr>
                <w:sz w:val="20"/>
              </w:rPr>
              <w:t>Age (years)</w:t>
            </w:r>
          </w:p>
        </w:tc>
        <w:tc>
          <w:tcPr>
            <w:tcW w:w="670" w:type="dxa"/>
            <w:tcBorders>
              <w:top w:val="single" w:sz="8" w:space="0" w:color="auto"/>
              <w:bottom w:val="single" w:sz="4" w:space="0" w:color="auto"/>
              <w:right w:val="nil"/>
            </w:tcBorders>
          </w:tcPr>
          <w:p w14:paraId="64CFFD1C" w14:textId="77777777" w:rsidR="00AB3FD4" w:rsidRPr="00F03F36" w:rsidRDefault="00AB3FD4" w:rsidP="00AB3FD4">
            <w:pPr>
              <w:spacing w:after="0" w:line="276" w:lineRule="auto"/>
              <w:contextualSpacing/>
              <w:jc w:val="center"/>
              <w:rPr>
                <w:b/>
                <w:sz w:val="20"/>
              </w:rPr>
            </w:pPr>
            <w:r w:rsidRPr="00F03F36">
              <w:rPr>
                <w:b/>
                <w:sz w:val="20"/>
              </w:rPr>
              <w:t>-</w:t>
            </w:r>
          </w:p>
        </w:tc>
        <w:tc>
          <w:tcPr>
            <w:tcW w:w="1738" w:type="dxa"/>
            <w:tcBorders>
              <w:top w:val="single" w:sz="8" w:space="0" w:color="auto"/>
              <w:left w:val="nil"/>
              <w:bottom w:val="single" w:sz="4" w:space="0" w:color="auto"/>
              <w:right w:val="nil"/>
            </w:tcBorders>
          </w:tcPr>
          <w:p w14:paraId="1A2DF550" w14:textId="77777777" w:rsidR="00AB3FD4" w:rsidRPr="00F320B5" w:rsidRDefault="00AB3FD4" w:rsidP="00AB3FD4">
            <w:pPr>
              <w:spacing w:after="0" w:line="276" w:lineRule="auto"/>
              <w:contextualSpacing/>
              <w:jc w:val="center"/>
              <w:rPr>
                <w:sz w:val="20"/>
              </w:rPr>
            </w:pPr>
            <w:r>
              <w:rPr>
                <w:sz w:val="20"/>
              </w:rPr>
              <w:t>1.01 [0.96-1.06]</w:t>
            </w:r>
          </w:p>
        </w:tc>
        <w:tc>
          <w:tcPr>
            <w:tcW w:w="711" w:type="dxa"/>
            <w:tcBorders>
              <w:top w:val="single" w:sz="8" w:space="0" w:color="auto"/>
              <w:left w:val="nil"/>
              <w:bottom w:val="single" w:sz="4" w:space="0" w:color="auto"/>
              <w:right w:val="nil"/>
            </w:tcBorders>
            <w:vAlign w:val="center"/>
          </w:tcPr>
          <w:p w14:paraId="7028C53E" w14:textId="77777777" w:rsidR="00AB3FD4" w:rsidRPr="00F320B5" w:rsidRDefault="00AB3FD4" w:rsidP="00AB3FD4">
            <w:pPr>
              <w:spacing w:after="0" w:line="276" w:lineRule="auto"/>
              <w:contextualSpacing/>
              <w:jc w:val="center"/>
              <w:rPr>
                <w:sz w:val="20"/>
              </w:rPr>
            </w:pPr>
            <w:r>
              <w:rPr>
                <w:sz w:val="20"/>
              </w:rPr>
              <w:t>0.717</w:t>
            </w:r>
          </w:p>
        </w:tc>
        <w:tc>
          <w:tcPr>
            <w:tcW w:w="284" w:type="dxa"/>
            <w:tcBorders>
              <w:top w:val="single" w:sz="8" w:space="0" w:color="auto"/>
              <w:left w:val="nil"/>
              <w:bottom w:val="single" w:sz="4" w:space="0" w:color="auto"/>
              <w:right w:val="nil"/>
            </w:tcBorders>
            <w:vAlign w:val="center"/>
          </w:tcPr>
          <w:p w14:paraId="6723CACA" w14:textId="77777777" w:rsidR="00AB3FD4" w:rsidRPr="00F320B5" w:rsidRDefault="00AB3FD4" w:rsidP="00AB3FD4">
            <w:pPr>
              <w:spacing w:after="0" w:line="276" w:lineRule="auto"/>
              <w:contextualSpacing/>
              <w:jc w:val="center"/>
              <w:rPr>
                <w:sz w:val="20"/>
              </w:rPr>
            </w:pPr>
          </w:p>
        </w:tc>
        <w:tc>
          <w:tcPr>
            <w:tcW w:w="671" w:type="dxa"/>
            <w:tcBorders>
              <w:top w:val="single" w:sz="8" w:space="0" w:color="auto"/>
              <w:left w:val="nil"/>
              <w:bottom w:val="single" w:sz="4" w:space="0" w:color="auto"/>
              <w:right w:val="nil"/>
            </w:tcBorders>
          </w:tcPr>
          <w:p w14:paraId="63279D8B" w14:textId="77777777" w:rsidR="00AB3FD4" w:rsidRPr="00F320B5" w:rsidRDefault="00AB3FD4" w:rsidP="00AB3FD4">
            <w:pPr>
              <w:spacing w:after="0" w:line="276" w:lineRule="auto"/>
              <w:contextualSpacing/>
              <w:jc w:val="center"/>
              <w:rPr>
                <w:sz w:val="20"/>
              </w:rPr>
            </w:pPr>
            <w:r w:rsidRPr="00F320B5">
              <w:rPr>
                <w:sz w:val="20"/>
              </w:rPr>
              <w:t>-</w:t>
            </w:r>
          </w:p>
        </w:tc>
        <w:tc>
          <w:tcPr>
            <w:tcW w:w="1598" w:type="dxa"/>
            <w:tcBorders>
              <w:top w:val="single" w:sz="8" w:space="0" w:color="auto"/>
              <w:left w:val="nil"/>
              <w:bottom w:val="single" w:sz="4" w:space="0" w:color="auto"/>
              <w:right w:val="nil"/>
            </w:tcBorders>
          </w:tcPr>
          <w:p w14:paraId="01D3C87F" w14:textId="77777777" w:rsidR="00AB3FD4" w:rsidRPr="00897348" w:rsidRDefault="00AB3FD4" w:rsidP="00AB3FD4">
            <w:pPr>
              <w:spacing w:after="0" w:line="276" w:lineRule="auto"/>
              <w:contextualSpacing/>
              <w:jc w:val="center"/>
              <w:rPr>
                <w:sz w:val="20"/>
              </w:rPr>
            </w:pPr>
            <w:r>
              <w:rPr>
                <w:sz w:val="20"/>
              </w:rPr>
              <w:t>0.97 [0.94-1.00]</w:t>
            </w:r>
          </w:p>
        </w:tc>
        <w:tc>
          <w:tcPr>
            <w:tcW w:w="851" w:type="dxa"/>
            <w:tcBorders>
              <w:top w:val="single" w:sz="8" w:space="0" w:color="auto"/>
              <w:left w:val="nil"/>
              <w:bottom w:val="single" w:sz="4" w:space="0" w:color="auto"/>
              <w:right w:val="nil"/>
            </w:tcBorders>
          </w:tcPr>
          <w:p w14:paraId="34BF724D" w14:textId="77777777" w:rsidR="00AB3FD4" w:rsidRPr="00897348" w:rsidRDefault="00AB3FD4" w:rsidP="00AB3FD4">
            <w:pPr>
              <w:spacing w:after="0" w:line="276" w:lineRule="auto"/>
              <w:contextualSpacing/>
              <w:jc w:val="center"/>
              <w:rPr>
                <w:sz w:val="20"/>
              </w:rPr>
            </w:pPr>
            <w:r>
              <w:rPr>
                <w:sz w:val="20"/>
              </w:rPr>
              <w:t>0.049</w:t>
            </w:r>
          </w:p>
        </w:tc>
        <w:tc>
          <w:tcPr>
            <w:tcW w:w="236" w:type="dxa"/>
            <w:tcBorders>
              <w:top w:val="single" w:sz="4" w:space="0" w:color="auto"/>
              <w:left w:val="nil"/>
              <w:bottom w:val="single" w:sz="4" w:space="0" w:color="auto"/>
              <w:right w:val="nil"/>
            </w:tcBorders>
          </w:tcPr>
          <w:p w14:paraId="2B1F3616" w14:textId="77777777" w:rsidR="00AB3FD4" w:rsidRDefault="00AB3FD4" w:rsidP="00AB3FD4">
            <w:pPr>
              <w:spacing w:after="0" w:line="276" w:lineRule="auto"/>
              <w:contextualSpacing/>
              <w:jc w:val="center"/>
              <w:rPr>
                <w:sz w:val="20"/>
              </w:rPr>
            </w:pPr>
          </w:p>
        </w:tc>
        <w:tc>
          <w:tcPr>
            <w:tcW w:w="614" w:type="dxa"/>
            <w:tcBorders>
              <w:top w:val="single" w:sz="8" w:space="0" w:color="auto"/>
              <w:left w:val="nil"/>
              <w:bottom w:val="single" w:sz="4" w:space="0" w:color="auto"/>
              <w:right w:val="nil"/>
            </w:tcBorders>
          </w:tcPr>
          <w:p w14:paraId="0C71F9D8" w14:textId="1A3BD12B" w:rsidR="00AB3FD4" w:rsidRDefault="00AB3FD4" w:rsidP="00AB3FD4">
            <w:pPr>
              <w:spacing w:after="0" w:line="276" w:lineRule="auto"/>
              <w:contextualSpacing/>
              <w:jc w:val="center"/>
              <w:rPr>
                <w:sz w:val="20"/>
              </w:rPr>
            </w:pPr>
            <w:r w:rsidRPr="00F03F36">
              <w:rPr>
                <w:b/>
                <w:sz w:val="20"/>
              </w:rPr>
              <w:t>-</w:t>
            </w:r>
          </w:p>
        </w:tc>
        <w:tc>
          <w:tcPr>
            <w:tcW w:w="1700" w:type="dxa"/>
            <w:tcBorders>
              <w:top w:val="single" w:sz="8" w:space="0" w:color="auto"/>
              <w:left w:val="nil"/>
              <w:bottom w:val="single" w:sz="4" w:space="0" w:color="auto"/>
              <w:right w:val="nil"/>
            </w:tcBorders>
          </w:tcPr>
          <w:p w14:paraId="676AB1D9" w14:textId="03D41E3D" w:rsidR="00AB3FD4" w:rsidRDefault="00AB3FD4" w:rsidP="00AB3FD4">
            <w:pPr>
              <w:spacing w:after="0" w:line="276" w:lineRule="auto"/>
              <w:contextualSpacing/>
              <w:jc w:val="center"/>
              <w:rPr>
                <w:sz w:val="20"/>
              </w:rPr>
            </w:pPr>
            <w:r>
              <w:rPr>
                <w:sz w:val="20"/>
              </w:rPr>
              <w:t>1.01 [0.97-1.05]</w:t>
            </w:r>
          </w:p>
        </w:tc>
        <w:tc>
          <w:tcPr>
            <w:tcW w:w="885" w:type="dxa"/>
            <w:tcBorders>
              <w:top w:val="single" w:sz="8" w:space="0" w:color="auto"/>
              <w:left w:val="nil"/>
              <w:bottom w:val="single" w:sz="4" w:space="0" w:color="auto"/>
              <w:right w:val="nil"/>
            </w:tcBorders>
            <w:vAlign w:val="center"/>
          </w:tcPr>
          <w:p w14:paraId="0335B318" w14:textId="7B98C5CD" w:rsidR="00AB3FD4" w:rsidRDefault="00AB3FD4" w:rsidP="00AB3FD4">
            <w:pPr>
              <w:spacing w:after="0" w:line="276" w:lineRule="auto"/>
              <w:contextualSpacing/>
              <w:jc w:val="center"/>
              <w:rPr>
                <w:sz w:val="20"/>
              </w:rPr>
            </w:pPr>
            <w:r>
              <w:rPr>
                <w:sz w:val="20"/>
              </w:rPr>
              <w:t>0.745</w:t>
            </w:r>
          </w:p>
        </w:tc>
        <w:tc>
          <w:tcPr>
            <w:tcW w:w="243" w:type="dxa"/>
            <w:tcBorders>
              <w:top w:val="single" w:sz="8" w:space="0" w:color="auto"/>
              <w:left w:val="nil"/>
              <w:bottom w:val="single" w:sz="4" w:space="0" w:color="auto"/>
              <w:right w:val="nil"/>
            </w:tcBorders>
            <w:vAlign w:val="center"/>
          </w:tcPr>
          <w:p w14:paraId="3E244A5A" w14:textId="77777777" w:rsidR="00AB3FD4" w:rsidRDefault="00AB3FD4" w:rsidP="00AB3FD4">
            <w:pPr>
              <w:spacing w:after="0" w:line="276" w:lineRule="auto"/>
              <w:contextualSpacing/>
              <w:jc w:val="center"/>
              <w:rPr>
                <w:sz w:val="20"/>
              </w:rPr>
            </w:pPr>
          </w:p>
        </w:tc>
        <w:tc>
          <w:tcPr>
            <w:tcW w:w="577" w:type="dxa"/>
            <w:tcBorders>
              <w:top w:val="single" w:sz="8" w:space="0" w:color="auto"/>
              <w:left w:val="nil"/>
              <w:bottom w:val="single" w:sz="4" w:space="0" w:color="auto"/>
              <w:right w:val="nil"/>
            </w:tcBorders>
          </w:tcPr>
          <w:p w14:paraId="1145461A" w14:textId="2EE939CB" w:rsidR="00AB3FD4" w:rsidRDefault="00AB3FD4" w:rsidP="00AB3FD4">
            <w:pPr>
              <w:spacing w:after="0" w:line="276" w:lineRule="auto"/>
              <w:contextualSpacing/>
              <w:jc w:val="center"/>
              <w:rPr>
                <w:sz w:val="20"/>
              </w:rPr>
            </w:pPr>
            <w:r w:rsidRPr="00F320B5">
              <w:rPr>
                <w:sz w:val="20"/>
              </w:rPr>
              <w:t>-</w:t>
            </w:r>
          </w:p>
        </w:tc>
        <w:tc>
          <w:tcPr>
            <w:tcW w:w="1700" w:type="dxa"/>
            <w:tcBorders>
              <w:top w:val="single" w:sz="8" w:space="0" w:color="auto"/>
              <w:left w:val="nil"/>
              <w:bottom w:val="single" w:sz="4" w:space="0" w:color="auto"/>
              <w:right w:val="nil"/>
            </w:tcBorders>
          </w:tcPr>
          <w:p w14:paraId="299F110A" w14:textId="445ADF03" w:rsidR="00AB3FD4" w:rsidRDefault="00AB3FD4" w:rsidP="00AB3FD4">
            <w:pPr>
              <w:spacing w:after="0" w:line="276" w:lineRule="auto"/>
              <w:contextualSpacing/>
              <w:jc w:val="center"/>
              <w:rPr>
                <w:sz w:val="20"/>
              </w:rPr>
            </w:pPr>
            <w:r>
              <w:rPr>
                <w:sz w:val="20"/>
              </w:rPr>
              <w:t>1.04 [1.00-1.09]</w:t>
            </w:r>
          </w:p>
        </w:tc>
        <w:tc>
          <w:tcPr>
            <w:tcW w:w="854" w:type="dxa"/>
            <w:tcBorders>
              <w:top w:val="single" w:sz="8" w:space="0" w:color="auto"/>
              <w:left w:val="nil"/>
              <w:bottom w:val="single" w:sz="4" w:space="0" w:color="auto"/>
              <w:right w:val="nil"/>
            </w:tcBorders>
          </w:tcPr>
          <w:p w14:paraId="565D6BF2" w14:textId="6D2A4DC1" w:rsidR="00AB3FD4" w:rsidRDefault="00AB3FD4" w:rsidP="00AB3FD4">
            <w:pPr>
              <w:spacing w:after="0" w:line="276" w:lineRule="auto"/>
              <w:contextualSpacing/>
              <w:jc w:val="center"/>
              <w:rPr>
                <w:sz w:val="20"/>
              </w:rPr>
            </w:pPr>
            <w:r>
              <w:rPr>
                <w:sz w:val="20"/>
              </w:rPr>
              <w:t>0.042</w:t>
            </w:r>
          </w:p>
        </w:tc>
      </w:tr>
      <w:tr w:rsidR="00AB3FD4" w:rsidRPr="00897348" w14:paraId="4C449D9C" w14:textId="59030F69" w:rsidTr="00AB3FD4">
        <w:tblPrEx>
          <w:tblBorders>
            <w:top w:val="single" w:sz="4" w:space="0" w:color="auto"/>
            <w:insideV w:val="none" w:sz="0" w:space="0" w:color="auto"/>
          </w:tblBorders>
        </w:tblPrEx>
        <w:tc>
          <w:tcPr>
            <w:tcW w:w="1978" w:type="dxa"/>
            <w:gridSpan w:val="2"/>
            <w:tcBorders>
              <w:top w:val="single" w:sz="4" w:space="0" w:color="auto"/>
              <w:bottom w:val="nil"/>
              <w:right w:val="nil"/>
            </w:tcBorders>
          </w:tcPr>
          <w:p w14:paraId="5DB0D5B7" w14:textId="77777777" w:rsidR="00AB3FD4" w:rsidRPr="007E5E62" w:rsidRDefault="00AB3FD4" w:rsidP="00AB3FD4">
            <w:pPr>
              <w:spacing w:after="0" w:line="276" w:lineRule="auto"/>
              <w:contextualSpacing/>
              <w:rPr>
                <w:sz w:val="20"/>
              </w:rPr>
            </w:pPr>
            <w:r>
              <w:rPr>
                <w:sz w:val="20"/>
              </w:rPr>
              <w:t>Ethnicity</w:t>
            </w:r>
          </w:p>
        </w:tc>
        <w:tc>
          <w:tcPr>
            <w:tcW w:w="670" w:type="dxa"/>
            <w:tcBorders>
              <w:top w:val="single" w:sz="4" w:space="0" w:color="auto"/>
              <w:bottom w:val="nil"/>
              <w:right w:val="nil"/>
            </w:tcBorders>
          </w:tcPr>
          <w:p w14:paraId="6403B5B4" w14:textId="77777777" w:rsidR="00AB3FD4" w:rsidRPr="00A036B2" w:rsidRDefault="00AB3FD4" w:rsidP="00AB3FD4">
            <w:pPr>
              <w:spacing w:after="0" w:line="276" w:lineRule="auto"/>
              <w:contextualSpacing/>
              <w:jc w:val="center"/>
              <w:rPr>
                <w:b/>
                <w:color w:val="FF0000"/>
                <w:sz w:val="20"/>
              </w:rPr>
            </w:pPr>
          </w:p>
        </w:tc>
        <w:tc>
          <w:tcPr>
            <w:tcW w:w="1738" w:type="dxa"/>
            <w:tcBorders>
              <w:top w:val="single" w:sz="4" w:space="0" w:color="auto"/>
              <w:left w:val="nil"/>
              <w:bottom w:val="nil"/>
              <w:right w:val="nil"/>
            </w:tcBorders>
          </w:tcPr>
          <w:p w14:paraId="7D5EADA0" w14:textId="77777777" w:rsidR="00AB3FD4" w:rsidRPr="00F320B5" w:rsidRDefault="00AB3FD4" w:rsidP="00AB3FD4">
            <w:pPr>
              <w:spacing w:after="0" w:line="276" w:lineRule="auto"/>
              <w:contextualSpacing/>
              <w:jc w:val="center"/>
              <w:rPr>
                <w:color w:val="FF0000"/>
                <w:sz w:val="20"/>
              </w:rPr>
            </w:pPr>
          </w:p>
        </w:tc>
        <w:tc>
          <w:tcPr>
            <w:tcW w:w="711" w:type="dxa"/>
            <w:tcBorders>
              <w:top w:val="single" w:sz="4" w:space="0" w:color="auto"/>
              <w:left w:val="nil"/>
              <w:bottom w:val="nil"/>
              <w:right w:val="nil"/>
            </w:tcBorders>
            <w:vAlign w:val="center"/>
          </w:tcPr>
          <w:p w14:paraId="3437E144" w14:textId="77777777" w:rsidR="00AB3FD4" w:rsidRPr="00F320B5" w:rsidRDefault="00AB3FD4" w:rsidP="00AB3FD4">
            <w:pPr>
              <w:spacing w:after="0" w:line="276" w:lineRule="auto"/>
              <w:contextualSpacing/>
              <w:jc w:val="center"/>
              <w:rPr>
                <w:color w:val="FF0000"/>
                <w:sz w:val="20"/>
              </w:rPr>
            </w:pPr>
          </w:p>
        </w:tc>
        <w:tc>
          <w:tcPr>
            <w:tcW w:w="284" w:type="dxa"/>
            <w:tcBorders>
              <w:top w:val="single" w:sz="4" w:space="0" w:color="auto"/>
              <w:left w:val="nil"/>
              <w:bottom w:val="nil"/>
              <w:right w:val="nil"/>
            </w:tcBorders>
            <w:vAlign w:val="center"/>
          </w:tcPr>
          <w:p w14:paraId="5EC9B735" w14:textId="77777777" w:rsidR="00AB3FD4" w:rsidRPr="00F320B5" w:rsidRDefault="00AB3FD4" w:rsidP="00AB3FD4">
            <w:pPr>
              <w:spacing w:after="0" w:line="276" w:lineRule="auto"/>
              <w:contextualSpacing/>
              <w:jc w:val="center"/>
              <w:rPr>
                <w:color w:val="FF0000"/>
                <w:sz w:val="20"/>
              </w:rPr>
            </w:pPr>
          </w:p>
        </w:tc>
        <w:tc>
          <w:tcPr>
            <w:tcW w:w="671" w:type="dxa"/>
            <w:tcBorders>
              <w:top w:val="single" w:sz="4" w:space="0" w:color="auto"/>
              <w:left w:val="nil"/>
              <w:bottom w:val="nil"/>
              <w:right w:val="nil"/>
            </w:tcBorders>
          </w:tcPr>
          <w:p w14:paraId="7B864D5C" w14:textId="77777777" w:rsidR="00AB3FD4" w:rsidRPr="00F320B5" w:rsidRDefault="00AB3FD4" w:rsidP="00AB3FD4">
            <w:pPr>
              <w:spacing w:after="0" w:line="276" w:lineRule="auto"/>
              <w:contextualSpacing/>
              <w:jc w:val="center"/>
              <w:rPr>
                <w:color w:val="FF0000"/>
                <w:sz w:val="20"/>
              </w:rPr>
            </w:pPr>
          </w:p>
        </w:tc>
        <w:tc>
          <w:tcPr>
            <w:tcW w:w="1598" w:type="dxa"/>
            <w:tcBorders>
              <w:top w:val="single" w:sz="4" w:space="0" w:color="auto"/>
              <w:left w:val="nil"/>
              <w:bottom w:val="nil"/>
              <w:right w:val="nil"/>
            </w:tcBorders>
          </w:tcPr>
          <w:p w14:paraId="6A52ABD8" w14:textId="77777777" w:rsidR="00AB3FD4" w:rsidRPr="00897348" w:rsidRDefault="00AB3FD4" w:rsidP="00AB3FD4">
            <w:pPr>
              <w:spacing w:after="0" w:line="276" w:lineRule="auto"/>
              <w:contextualSpacing/>
              <w:jc w:val="center"/>
              <w:rPr>
                <w:sz w:val="20"/>
              </w:rPr>
            </w:pPr>
          </w:p>
        </w:tc>
        <w:tc>
          <w:tcPr>
            <w:tcW w:w="851" w:type="dxa"/>
            <w:tcBorders>
              <w:top w:val="single" w:sz="4" w:space="0" w:color="auto"/>
              <w:left w:val="nil"/>
              <w:bottom w:val="nil"/>
              <w:right w:val="nil"/>
            </w:tcBorders>
          </w:tcPr>
          <w:p w14:paraId="00976D31" w14:textId="77777777" w:rsidR="00AB3FD4" w:rsidRPr="00897348" w:rsidRDefault="00AB3FD4" w:rsidP="00AB3FD4">
            <w:pPr>
              <w:spacing w:after="0" w:line="276" w:lineRule="auto"/>
              <w:contextualSpacing/>
              <w:jc w:val="center"/>
              <w:rPr>
                <w:sz w:val="20"/>
              </w:rPr>
            </w:pPr>
          </w:p>
        </w:tc>
        <w:tc>
          <w:tcPr>
            <w:tcW w:w="236" w:type="dxa"/>
            <w:tcBorders>
              <w:top w:val="single" w:sz="4" w:space="0" w:color="auto"/>
              <w:left w:val="nil"/>
              <w:bottom w:val="nil"/>
              <w:right w:val="nil"/>
            </w:tcBorders>
          </w:tcPr>
          <w:p w14:paraId="65730995" w14:textId="77777777" w:rsidR="00AB3FD4" w:rsidRPr="00897348" w:rsidRDefault="00AB3FD4" w:rsidP="00AB3FD4">
            <w:pPr>
              <w:spacing w:after="0" w:line="276" w:lineRule="auto"/>
              <w:contextualSpacing/>
              <w:jc w:val="center"/>
              <w:rPr>
                <w:sz w:val="20"/>
              </w:rPr>
            </w:pPr>
          </w:p>
        </w:tc>
        <w:tc>
          <w:tcPr>
            <w:tcW w:w="614" w:type="dxa"/>
            <w:tcBorders>
              <w:top w:val="single" w:sz="4" w:space="0" w:color="auto"/>
              <w:left w:val="nil"/>
              <w:bottom w:val="nil"/>
              <w:right w:val="nil"/>
            </w:tcBorders>
          </w:tcPr>
          <w:p w14:paraId="5D9E359E"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09437C30" w14:textId="0B8A8F0A" w:rsidR="00AB3FD4" w:rsidRPr="00897348" w:rsidRDefault="00AB3FD4" w:rsidP="00AB3FD4">
            <w:pPr>
              <w:spacing w:after="0" w:line="276" w:lineRule="auto"/>
              <w:contextualSpacing/>
              <w:jc w:val="center"/>
              <w:rPr>
                <w:sz w:val="20"/>
              </w:rPr>
            </w:pPr>
          </w:p>
        </w:tc>
        <w:tc>
          <w:tcPr>
            <w:tcW w:w="885" w:type="dxa"/>
            <w:tcBorders>
              <w:top w:val="single" w:sz="4" w:space="0" w:color="auto"/>
              <w:left w:val="nil"/>
              <w:bottom w:val="nil"/>
              <w:right w:val="nil"/>
            </w:tcBorders>
          </w:tcPr>
          <w:p w14:paraId="7CFFF5DB" w14:textId="77777777" w:rsidR="00AB3FD4" w:rsidRPr="00897348" w:rsidRDefault="00AB3FD4" w:rsidP="00AB3FD4">
            <w:pPr>
              <w:spacing w:after="0" w:line="276" w:lineRule="auto"/>
              <w:contextualSpacing/>
              <w:jc w:val="center"/>
              <w:rPr>
                <w:sz w:val="20"/>
              </w:rPr>
            </w:pPr>
          </w:p>
        </w:tc>
        <w:tc>
          <w:tcPr>
            <w:tcW w:w="243" w:type="dxa"/>
            <w:tcBorders>
              <w:top w:val="single" w:sz="4" w:space="0" w:color="auto"/>
              <w:left w:val="nil"/>
              <w:bottom w:val="nil"/>
              <w:right w:val="nil"/>
            </w:tcBorders>
          </w:tcPr>
          <w:p w14:paraId="0287CA26" w14:textId="77777777" w:rsidR="00AB3FD4" w:rsidRPr="00897348" w:rsidRDefault="00AB3FD4" w:rsidP="00AB3FD4">
            <w:pPr>
              <w:spacing w:after="0" w:line="276" w:lineRule="auto"/>
              <w:contextualSpacing/>
              <w:jc w:val="center"/>
              <w:rPr>
                <w:sz w:val="20"/>
              </w:rPr>
            </w:pPr>
          </w:p>
        </w:tc>
        <w:tc>
          <w:tcPr>
            <w:tcW w:w="577" w:type="dxa"/>
            <w:tcBorders>
              <w:top w:val="single" w:sz="4" w:space="0" w:color="auto"/>
              <w:left w:val="nil"/>
              <w:bottom w:val="nil"/>
              <w:right w:val="nil"/>
            </w:tcBorders>
          </w:tcPr>
          <w:p w14:paraId="2E62C363"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1DEE6D8F" w14:textId="77777777" w:rsidR="00AB3FD4" w:rsidRPr="00897348" w:rsidRDefault="00AB3FD4" w:rsidP="00AB3FD4">
            <w:pPr>
              <w:spacing w:after="0" w:line="276" w:lineRule="auto"/>
              <w:contextualSpacing/>
              <w:jc w:val="center"/>
              <w:rPr>
                <w:sz w:val="20"/>
              </w:rPr>
            </w:pPr>
          </w:p>
        </w:tc>
        <w:tc>
          <w:tcPr>
            <w:tcW w:w="854" w:type="dxa"/>
            <w:tcBorders>
              <w:top w:val="single" w:sz="4" w:space="0" w:color="auto"/>
              <w:left w:val="nil"/>
              <w:bottom w:val="nil"/>
              <w:right w:val="nil"/>
            </w:tcBorders>
          </w:tcPr>
          <w:p w14:paraId="5EEDC118" w14:textId="77777777" w:rsidR="00AB3FD4" w:rsidRPr="00897348" w:rsidRDefault="00AB3FD4" w:rsidP="00AB3FD4">
            <w:pPr>
              <w:spacing w:after="0" w:line="276" w:lineRule="auto"/>
              <w:contextualSpacing/>
              <w:jc w:val="center"/>
              <w:rPr>
                <w:sz w:val="20"/>
              </w:rPr>
            </w:pPr>
          </w:p>
        </w:tc>
      </w:tr>
      <w:tr w:rsidR="00AB3FD4" w:rsidRPr="00F320B5" w14:paraId="65F7F54A" w14:textId="62158DC2" w:rsidTr="00AB3FD4">
        <w:tblPrEx>
          <w:tblBorders>
            <w:top w:val="single" w:sz="4" w:space="0" w:color="auto"/>
            <w:insideV w:val="none" w:sz="0" w:space="0" w:color="auto"/>
          </w:tblBorders>
        </w:tblPrEx>
        <w:tc>
          <w:tcPr>
            <w:tcW w:w="280" w:type="dxa"/>
            <w:tcBorders>
              <w:top w:val="nil"/>
              <w:bottom w:val="nil"/>
              <w:right w:val="nil"/>
            </w:tcBorders>
          </w:tcPr>
          <w:p w14:paraId="7F5F34F9"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vAlign w:val="center"/>
          </w:tcPr>
          <w:p w14:paraId="02802ED2" w14:textId="77777777" w:rsidR="00AB3FD4" w:rsidRPr="0046486F" w:rsidRDefault="00AB3FD4" w:rsidP="00AB3FD4">
            <w:pPr>
              <w:spacing w:after="0" w:line="276" w:lineRule="auto"/>
              <w:contextualSpacing/>
              <w:rPr>
                <w:sz w:val="20"/>
              </w:rPr>
            </w:pPr>
            <w:r>
              <w:rPr>
                <w:sz w:val="20"/>
              </w:rPr>
              <w:t>White</w:t>
            </w:r>
          </w:p>
        </w:tc>
        <w:tc>
          <w:tcPr>
            <w:tcW w:w="670" w:type="dxa"/>
            <w:tcBorders>
              <w:top w:val="nil"/>
              <w:left w:val="nil"/>
              <w:bottom w:val="single" w:sz="4" w:space="0" w:color="auto"/>
              <w:right w:val="nil"/>
            </w:tcBorders>
          </w:tcPr>
          <w:p w14:paraId="0A90D33B" w14:textId="77777777" w:rsidR="00AB3FD4" w:rsidRPr="0046486F" w:rsidRDefault="00AB3FD4" w:rsidP="00AB3FD4">
            <w:pPr>
              <w:spacing w:after="0" w:line="276" w:lineRule="auto"/>
              <w:contextualSpacing/>
              <w:jc w:val="center"/>
              <w:rPr>
                <w:sz w:val="20"/>
              </w:rPr>
            </w:pPr>
            <w:r>
              <w:rPr>
                <w:sz w:val="20"/>
              </w:rPr>
              <w:t>5.7</w:t>
            </w:r>
          </w:p>
        </w:tc>
        <w:tc>
          <w:tcPr>
            <w:tcW w:w="1738" w:type="dxa"/>
            <w:tcBorders>
              <w:top w:val="nil"/>
              <w:left w:val="nil"/>
              <w:bottom w:val="single" w:sz="4" w:space="0" w:color="auto"/>
              <w:right w:val="nil"/>
            </w:tcBorders>
          </w:tcPr>
          <w:p w14:paraId="710446F7" w14:textId="77777777" w:rsidR="00AB3FD4" w:rsidRPr="00F320B5" w:rsidRDefault="00AB3FD4" w:rsidP="00AB3FD4">
            <w:pPr>
              <w:spacing w:after="0" w:line="276" w:lineRule="auto"/>
              <w:contextualSpacing/>
              <w:jc w:val="center"/>
              <w:rPr>
                <w:sz w:val="20"/>
              </w:rPr>
            </w:pPr>
            <w:r>
              <w:rPr>
                <w:sz w:val="20"/>
              </w:rPr>
              <w:t>1.00</w:t>
            </w:r>
          </w:p>
        </w:tc>
        <w:tc>
          <w:tcPr>
            <w:tcW w:w="711" w:type="dxa"/>
            <w:tcBorders>
              <w:top w:val="nil"/>
              <w:left w:val="nil"/>
              <w:bottom w:val="single" w:sz="4" w:space="0" w:color="auto"/>
              <w:right w:val="nil"/>
            </w:tcBorders>
          </w:tcPr>
          <w:p w14:paraId="4C235BF8" w14:textId="77777777" w:rsidR="00AB3FD4" w:rsidRPr="00F320B5" w:rsidRDefault="00AB3FD4" w:rsidP="00AB3FD4">
            <w:pPr>
              <w:spacing w:after="0" w:line="276" w:lineRule="auto"/>
              <w:contextualSpacing/>
              <w:jc w:val="center"/>
              <w:rPr>
                <w:sz w:val="20"/>
              </w:rPr>
            </w:pPr>
            <w:r>
              <w:rPr>
                <w:sz w:val="20"/>
              </w:rPr>
              <w:t>-</w:t>
            </w:r>
          </w:p>
        </w:tc>
        <w:tc>
          <w:tcPr>
            <w:tcW w:w="284" w:type="dxa"/>
            <w:tcBorders>
              <w:top w:val="nil"/>
              <w:left w:val="nil"/>
              <w:bottom w:val="single" w:sz="4" w:space="0" w:color="auto"/>
              <w:right w:val="nil"/>
            </w:tcBorders>
            <w:vAlign w:val="center"/>
          </w:tcPr>
          <w:p w14:paraId="038C1988"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30BC211E" w14:textId="77777777" w:rsidR="00AB3FD4" w:rsidRDefault="00AB3FD4" w:rsidP="00AB3FD4">
            <w:pPr>
              <w:spacing w:after="0" w:line="276" w:lineRule="auto"/>
              <w:contextualSpacing/>
              <w:jc w:val="center"/>
              <w:rPr>
                <w:sz w:val="20"/>
              </w:rPr>
            </w:pPr>
            <w:r>
              <w:rPr>
                <w:sz w:val="20"/>
              </w:rPr>
              <w:t>12.6</w:t>
            </w:r>
          </w:p>
        </w:tc>
        <w:tc>
          <w:tcPr>
            <w:tcW w:w="1598" w:type="dxa"/>
            <w:tcBorders>
              <w:top w:val="nil"/>
              <w:left w:val="nil"/>
              <w:bottom w:val="single" w:sz="4" w:space="0" w:color="auto"/>
              <w:right w:val="nil"/>
            </w:tcBorders>
          </w:tcPr>
          <w:p w14:paraId="3C4F43E8" w14:textId="77777777" w:rsidR="00AB3FD4" w:rsidRPr="00F320B5" w:rsidRDefault="00AB3FD4" w:rsidP="00AB3FD4">
            <w:pPr>
              <w:spacing w:after="0" w:line="276" w:lineRule="auto"/>
              <w:contextualSpacing/>
              <w:jc w:val="center"/>
              <w:rPr>
                <w:sz w:val="20"/>
              </w:rPr>
            </w:pPr>
            <w:r>
              <w:rPr>
                <w:sz w:val="20"/>
              </w:rPr>
              <w:t>1.00</w:t>
            </w:r>
          </w:p>
        </w:tc>
        <w:tc>
          <w:tcPr>
            <w:tcW w:w="851" w:type="dxa"/>
            <w:tcBorders>
              <w:top w:val="nil"/>
              <w:left w:val="nil"/>
              <w:bottom w:val="single" w:sz="4" w:space="0" w:color="auto"/>
              <w:right w:val="nil"/>
            </w:tcBorders>
          </w:tcPr>
          <w:p w14:paraId="47ECE41D" w14:textId="77777777" w:rsidR="00AB3FD4" w:rsidRPr="00F320B5" w:rsidRDefault="00AB3FD4" w:rsidP="00AB3FD4">
            <w:pPr>
              <w:spacing w:after="0" w:line="276" w:lineRule="auto"/>
              <w:contextualSpacing/>
              <w:jc w:val="center"/>
              <w:rPr>
                <w:sz w:val="20"/>
              </w:rPr>
            </w:pPr>
            <w:r>
              <w:rPr>
                <w:sz w:val="20"/>
              </w:rPr>
              <w:t>-</w:t>
            </w:r>
          </w:p>
        </w:tc>
        <w:tc>
          <w:tcPr>
            <w:tcW w:w="236" w:type="dxa"/>
            <w:tcBorders>
              <w:top w:val="nil"/>
              <w:left w:val="nil"/>
              <w:bottom w:val="single" w:sz="4" w:space="0" w:color="auto"/>
              <w:right w:val="nil"/>
            </w:tcBorders>
          </w:tcPr>
          <w:p w14:paraId="6FEC35B9"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3EF6C43A" w14:textId="4672591F" w:rsidR="00AB3FD4" w:rsidRDefault="00AB3FD4" w:rsidP="00AB3FD4">
            <w:pPr>
              <w:spacing w:after="0" w:line="276" w:lineRule="auto"/>
              <w:contextualSpacing/>
              <w:jc w:val="center"/>
              <w:rPr>
                <w:sz w:val="20"/>
              </w:rPr>
            </w:pPr>
            <w:r>
              <w:rPr>
                <w:sz w:val="20"/>
              </w:rPr>
              <w:t>12.2</w:t>
            </w:r>
          </w:p>
        </w:tc>
        <w:tc>
          <w:tcPr>
            <w:tcW w:w="1700" w:type="dxa"/>
            <w:tcBorders>
              <w:top w:val="nil"/>
              <w:left w:val="nil"/>
              <w:bottom w:val="single" w:sz="4" w:space="0" w:color="auto"/>
              <w:right w:val="nil"/>
            </w:tcBorders>
          </w:tcPr>
          <w:p w14:paraId="53D5E9C6" w14:textId="2BD1D60D" w:rsidR="00AB3FD4" w:rsidRDefault="00AB3FD4" w:rsidP="00AB3FD4">
            <w:pPr>
              <w:spacing w:after="0" w:line="276" w:lineRule="auto"/>
              <w:contextualSpacing/>
              <w:jc w:val="center"/>
              <w:rPr>
                <w:sz w:val="20"/>
              </w:rPr>
            </w:pPr>
            <w:r>
              <w:rPr>
                <w:sz w:val="20"/>
              </w:rPr>
              <w:t>1.00</w:t>
            </w:r>
          </w:p>
        </w:tc>
        <w:tc>
          <w:tcPr>
            <w:tcW w:w="885" w:type="dxa"/>
            <w:tcBorders>
              <w:top w:val="nil"/>
              <w:left w:val="nil"/>
              <w:bottom w:val="single" w:sz="4" w:space="0" w:color="auto"/>
              <w:right w:val="nil"/>
            </w:tcBorders>
          </w:tcPr>
          <w:p w14:paraId="50763C9A" w14:textId="2C0D77C2" w:rsidR="00AB3FD4" w:rsidRDefault="00AB3FD4" w:rsidP="00AB3FD4">
            <w:pPr>
              <w:spacing w:after="0" w:line="276" w:lineRule="auto"/>
              <w:contextualSpacing/>
              <w:jc w:val="center"/>
              <w:rPr>
                <w:sz w:val="20"/>
              </w:rPr>
            </w:pPr>
            <w:r>
              <w:rPr>
                <w:sz w:val="20"/>
              </w:rPr>
              <w:t>-</w:t>
            </w:r>
          </w:p>
        </w:tc>
        <w:tc>
          <w:tcPr>
            <w:tcW w:w="243" w:type="dxa"/>
            <w:tcBorders>
              <w:top w:val="nil"/>
              <w:left w:val="nil"/>
              <w:bottom w:val="single" w:sz="4" w:space="0" w:color="auto"/>
              <w:right w:val="nil"/>
            </w:tcBorders>
            <w:vAlign w:val="center"/>
          </w:tcPr>
          <w:p w14:paraId="62FFBA75"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07A10488" w14:textId="1BB80873" w:rsidR="00AB3FD4" w:rsidRDefault="00AB3FD4" w:rsidP="00AB3FD4">
            <w:pPr>
              <w:spacing w:after="0" w:line="276" w:lineRule="auto"/>
              <w:contextualSpacing/>
              <w:jc w:val="center"/>
              <w:rPr>
                <w:sz w:val="20"/>
              </w:rPr>
            </w:pPr>
            <w:r>
              <w:rPr>
                <w:sz w:val="20"/>
              </w:rPr>
              <w:t>7.1</w:t>
            </w:r>
          </w:p>
        </w:tc>
        <w:tc>
          <w:tcPr>
            <w:tcW w:w="1700" w:type="dxa"/>
            <w:tcBorders>
              <w:top w:val="nil"/>
              <w:left w:val="nil"/>
              <w:bottom w:val="single" w:sz="4" w:space="0" w:color="auto"/>
              <w:right w:val="nil"/>
            </w:tcBorders>
          </w:tcPr>
          <w:p w14:paraId="473789B5" w14:textId="7E28D560" w:rsidR="00AB3FD4" w:rsidRDefault="00AB3FD4" w:rsidP="00AB3FD4">
            <w:pPr>
              <w:spacing w:after="0" w:line="276" w:lineRule="auto"/>
              <w:contextualSpacing/>
              <w:jc w:val="center"/>
              <w:rPr>
                <w:sz w:val="20"/>
              </w:rPr>
            </w:pPr>
            <w:r>
              <w:rPr>
                <w:sz w:val="20"/>
              </w:rPr>
              <w:t>1.00</w:t>
            </w:r>
          </w:p>
        </w:tc>
        <w:tc>
          <w:tcPr>
            <w:tcW w:w="854" w:type="dxa"/>
            <w:tcBorders>
              <w:top w:val="nil"/>
              <w:left w:val="nil"/>
              <w:bottom w:val="single" w:sz="4" w:space="0" w:color="auto"/>
              <w:right w:val="nil"/>
            </w:tcBorders>
          </w:tcPr>
          <w:p w14:paraId="38AAB65A" w14:textId="7F8ECD84" w:rsidR="00AB3FD4" w:rsidRDefault="00AB3FD4" w:rsidP="00AB3FD4">
            <w:pPr>
              <w:spacing w:after="0" w:line="276" w:lineRule="auto"/>
              <w:contextualSpacing/>
              <w:jc w:val="center"/>
              <w:rPr>
                <w:sz w:val="20"/>
              </w:rPr>
            </w:pPr>
            <w:r>
              <w:rPr>
                <w:sz w:val="20"/>
              </w:rPr>
              <w:t>-</w:t>
            </w:r>
          </w:p>
        </w:tc>
      </w:tr>
      <w:tr w:rsidR="00AB3FD4" w:rsidRPr="00897348" w14:paraId="62D43B5A" w14:textId="08226D1F" w:rsidTr="00AB3FD4">
        <w:tblPrEx>
          <w:tblBorders>
            <w:top w:val="single" w:sz="4" w:space="0" w:color="auto"/>
            <w:insideV w:val="none" w:sz="0" w:space="0" w:color="auto"/>
          </w:tblBorders>
        </w:tblPrEx>
        <w:tc>
          <w:tcPr>
            <w:tcW w:w="280" w:type="dxa"/>
            <w:tcBorders>
              <w:top w:val="nil"/>
              <w:bottom w:val="single" w:sz="4" w:space="0" w:color="auto"/>
              <w:right w:val="nil"/>
            </w:tcBorders>
          </w:tcPr>
          <w:p w14:paraId="748A0008"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vAlign w:val="center"/>
          </w:tcPr>
          <w:p w14:paraId="6D301F2D" w14:textId="77777777" w:rsidR="00AB3FD4" w:rsidRPr="0046486F" w:rsidRDefault="00AB3FD4" w:rsidP="00AB3FD4">
            <w:pPr>
              <w:spacing w:after="0" w:line="276" w:lineRule="auto"/>
              <w:contextualSpacing/>
              <w:rPr>
                <w:sz w:val="20"/>
              </w:rPr>
            </w:pPr>
            <w:r>
              <w:rPr>
                <w:sz w:val="20"/>
              </w:rPr>
              <w:t>Non-white</w:t>
            </w:r>
          </w:p>
        </w:tc>
        <w:tc>
          <w:tcPr>
            <w:tcW w:w="670" w:type="dxa"/>
            <w:tcBorders>
              <w:top w:val="nil"/>
              <w:left w:val="nil"/>
              <w:bottom w:val="single" w:sz="4" w:space="0" w:color="auto"/>
              <w:right w:val="nil"/>
            </w:tcBorders>
          </w:tcPr>
          <w:p w14:paraId="6A28ED51" w14:textId="77777777" w:rsidR="00AB3FD4" w:rsidRPr="0046486F" w:rsidRDefault="00AB3FD4" w:rsidP="00AB3FD4">
            <w:pPr>
              <w:spacing w:after="0" w:line="276" w:lineRule="auto"/>
              <w:contextualSpacing/>
              <w:jc w:val="center"/>
              <w:rPr>
                <w:sz w:val="20"/>
              </w:rPr>
            </w:pPr>
            <w:r>
              <w:rPr>
                <w:sz w:val="20"/>
              </w:rPr>
              <w:t>4.8</w:t>
            </w:r>
          </w:p>
        </w:tc>
        <w:tc>
          <w:tcPr>
            <w:tcW w:w="1738" w:type="dxa"/>
            <w:tcBorders>
              <w:top w:val="nil"/>
              <w:left w:val="nil"/>
              <w:bottom w:val="single" w:sz="4" w:space="0" w:color="auto"/>
              <w:right w:val="nil"/>
            </w:tcBorders>
          </w:tcPr>
          <w:p w14:paraId="3F2532E3" w14:textId="77777777" w:rsidR="00AB3FD4" w:rsidRPr="00F320B5" w:rsidRDefault="00AB3FD4" w:rsidP="00AB3FD4">
            <w:pPr>
              <w:spacing w:after="0" w:line="276" w:lineRule="auto"/>
              <w:contextualSpacing/>
              <w:jc w:val="center"/>
              <w:rPr>
                <w:sz w:val="20"/>
              </w:rPr>
            </w:pPr>
            <w:r>
              <w:rPr>
                <w:sz w:val="20"/>
              </w:rPr>
              <w:t>0.94 [0.14-6.55]</w:t>
            </w:r>
          </w:p>
        </w:tc>
        <w:tc>
          <w:tcPr>
            <w:tcW w:w="711" w:type="dxa"/>
            <w:tcBorders>
              <w:top w:val="nil"/>
              <w:left w:val="nil"/>
              <w:bottom w:val="single" w:sz="4" w:space="0" w:color="auto"/>
              <w:right w:val="nil"/>
            </w:tcBorders>
          </w:tcPr>
          <w:p w14:paraId="111E0EFA" w14:textId="77777777" w:rsidR="00AB3FD4" w:rsidRPr="00F320B5" w:rsidRDefault="00AB3FD4" w:rsidP="00AB3FD4">
            <w:pPr>
              <w:spacing w:after="0" w:line="276" w:lineRule="auto"/>
              <w:contextualSpacing/>
              <w:jc w:val="center"/>
              <w:rPr>
                <w:sz w:val="20"/>
              </w:rPr>
            </w:pPr>
            <w:r>
              <w:rPr>
                <w:sz w:val="20"/>
              </w:rPr>
              <w:t>0.952</w:t>
            </w:r>
          </w:p>
        </w:tc>
        <w:tc>
          <w:tcPr>
            <w:tcW w:w="284" w:type="dxa"/>
            <w:tcBorders>
              <w:top w:val="nil"/>
              <w:left w:val="nil"/>
              <w:bottom w:val="single" w:sz="4" w:space="0" w:color="auto"/>
              <w:right w:val="nil"/>
            </w:tcBorders>
          </w:tcPr>
          <w:p w14:paraId="49313E7F"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01377864" w14:textId="77777777" w:rsidR="00AB3FD4" w:rsidRDefault="00AB3FD4" w:rsidP="00AB3FD4">
            <w:pPr>
              <w:spacing w:after="0" w:line="276" w:lineRule="auto"/>
              <w:contextualSpacing/>
              <w:jc w:val="center"/>
              <w:rPr>
                <w:sz w:val="20"/>
              </w:rPr>
            </w:pPr>
            <w:r>
              <w:rPr>
                <w:sz w:val="20"/>
              </w:rPr>
              <w:t>9.5</w:t>
            </w:r>
          </w:p>
        </w:tc>
        <w:tc>
          <w:tcPr>
            <w:tcW w:w="1598" w:type="dxa"/>
            <w:tcBorders>
              <w:top w:val="nil"/>
              <w:left w:val="nil"/>
              <w:bottom w:val="single" w:sz="4" w:space="0" w:color="auto"/>
              <w:right w:val="nil"/>
            </w:tcBorders>
          </w:tcPr>
          <w:p w14:paraId="4812372B" w14:textId="77777777" w:rsidR="00AB3FD4" w:rsidRPr="00897348" w:rsidRDefault="00AB3FD4" w:rsidP="00AB3FD4">
            <w:pPr>
              <w:spacing w:after="0" w:line="276" w:lineRule="auto"/>
              <w:contextualSpacing/>
              <w:jc w:val="center"/>
              <w:rPr>
                <w:sz w:val="20"/>
              </w:rPr>
            </w:pPr>
            <w:r>
              <w:rPr>
                <w:sz w:val="20"/>
              </w:rPr>
              <w:t>0.42 [0.09-1.89]</w:t>
            </w:r>
          </w:p>
        </w:tc>
        <w:tc>
          <w:tcPr>
            <w:tcW w:w="851" w:type="dxa"/>
            <w:tcBorders>
              <w:top w:val="nil"/>
              <w:left w:val="nil"/>
              <w:bottom w:val="single" w:sz="4" w:space="0" w:color="auto"/>
              <w:right w:val="nil"/>
            </w:tcBorders>
          </w:tcPr>
          <w:p w14:paraId="7DDB5837" w14:textId="77777777" w:rsidR="00AB3FD4" w:rsidRPr="00897348" w:rsidRDefault="00AB3FD4" w:rsidP="00AB3FD4">
            <w:pPr>
              <w:spacing w:after="0" w:line="276" w:lineRule="auto"/>
              <w:contextualSpacing/>
              <w:jc w:val="center"/>
              <w:rPr>
                <w:sz w:val="20"/>
              </w:rPr>
            </w:pPr>
            <w:r>
              <w:rPr>
                <w:sz w:val="20"/>
              </w:rPr>
              <w:t>0.258</w:t>
            </w:r>
          </w:p>
        </w:tc>
        <w:tc>
          <w:tcPr>
            <w:tcW w:w="236" w:type="dxa"/>
            <w:tcBorders>
              <w:top w:val="nil"/>
              <w:left w:val="nil"/>
              <w:bottom w:val="single" w:sz="4" w:space="0" w:color="auto"/>
              <w:right w:val="nil"/>
            </w:tcBorders>
          </w:tcPr>
          <w:p w14:paraId="2BC0EA3F"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7D54D4F0" w14:textId="246F34B8" w:rsidR="00AB3FD4" w:rsidRDefault="00AB3FD4" w:rsidP="00AB3FD4">
            <w:pPr>
              <w:spacing w:after="0" w:line="276" w:lineRule="auto"/>
              <w:contextualSpacing/>
              <w:jc w:val="center"/>
              <w:rPr>
                <w:sz w:val="20"/>
              </w:rPr>
            </w:pPr>
            <w:r>
              <w:rPr>
                <w:sz w:val="20"/>
              </w:rPr>
              <w:t>42.9</w:t>
            </w:r>
          </w:p>
        </w:tc>
        <w:tc>
          <w:tcPr>
            <w:tcW w:w="1700" w:type="dxa"/>
            <w:tcBorders>
              <w:top w:val="nil"/>
              <w:left w:val="nil"/>
              <w:bottom w:val="single" w:sz="4" w:space="0" w:color="auto"/>
              <w:right w:val="nil"/>
            </w:tcBorders>
          </w:tcPr>
          <w:p w14:paraId="22E73E44" w14:textId="594642BF" w:rsidR="00AB3FD4" w:rsidRDefault="00AB3FD4" w:rsidP="00AB3FD4">
            <w:pPr>
              <w:spacing w:after="0" w:line="276" w:lineRule="auto"/>
              <w:contextualSpacing/>
              <w:jc w:val="center"/>
              <w:rPr>
                <w:sz w:val="20"/>
              </w:rPr>
            </w:pPr>
            <w:r>
              <w:rPr>
                <w:sz w:val="20"/>
              </w:rPr>
              <w:t>6.26 [2.09-18.76]</w:t>
            </w:r>
          </w:p>
        </w:tc>
        <w:tc>
          <w:tcPr>
            <w:tcW w:w="885" w:type="dxa"/>
            <w:tcBorders>
              <w:top w:val="nil"/>
              <w:left w:val="nil"/>
              <w:bottom w:val="single" w:sz="4" w:space="0" w:color="auto"/>
              <w:right w:val="nil"/>
            </w:tcBorders>
          </w:tcPr>
          <w:p w14:paraId="1C4C8634" w14:textId="777B734C" w:rsidR="00AB3FD4" w:rsidRDefault="00AB3FD4" w:rsidP="00AB3FD4">
            <w:pPr>
              <w:spacing w:after="0" w:line="276" w:lineRule="auto"/>
              <w:contextualSpacing/>
              <w:jc w:val="center"/>
              <w:rPr>
                <w:sz w:val="20"/>
              </w:rPr>
            </w:pPr>
            <w:r>
              <w:rPr>
                <w:sz w:val="20"/>
              </w:rPr>
              <w:t>0.001</w:t>
            </w:r>
          </w:p>
        </w:tc>
        <w:tc>
          <w:tcPr>
            <w:tcW w:w="243" w:type="dxa"/>
            <w:tcBorders>
              <w:top w:val="nil"/>
              <w:left w:val="nil"/>
              <w:bottom w:val="single" w:sz="4" w:space="0" w:color="auto"/>
              <w:right w:val="nil"/>
            </w:tcBorders>
          </w:tcPr>
          <w:p w14:paraId="3EC54804"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3168941A" w14:textId="5603299D" w:rsidR="00AB3FD4" w:rsidRDefault="00AB3FD4" w:rsidP="00AB3FD4">
            <w:pPr>
              <w:spacing w:after="0" w:line="276" w:lineRule="auto"/>
              <w:contextualSpacing/>
              <w:jc w:val="center"/>
              <w:rPr>
                <w:sz w:val="20"/>
              </w:rPr>
            </w:pPr>
            <w:r>
              <w:rPr>
                <w:sz w:val="20"/>
              </w:rPr>
              <w:t>9.5</w:t>
            </w:r>
          </w:p>
        </w:tc>
        <w:tc>
          <w:tcPr>
            <w:tcW w:w="1700" w:type="dxa"/>
            <w:tcBorders>
              <w:top w:val="nil"/>
              <w:left w:val="nil"/>
              <w:bottom w:val="single" w:sz="4" w:space="0" w:color="auto"/>
              <w:right w:val="nil"/>
            </w:tcBorders>
          </w:tcPr>
          <w:p w14:paraId="14066A56" w14:textId="52604161" w:rsidR="00AB3FD4" w:rsidRDefault="00AB3FD4" w:rsidP="00AB3FD4">
            <w:pPr>
              <w:spacing w:after="0" w:line="276" w:lineRule="auto"/>
              <w:contextualSpacing/>
              <w:jc w:val="center"/>
              <w:rPr>
                <w:sz w:val="20"/>
              </w:rPr>
            </w:pPr>
            <w:r>
              <w:rPr>
                <w:sz w:val="20"/>
              </w:rPr>
              <w:t>1.96 [0.36-10.82]</w:t>
            </w:r>
          </w:p>
        </w:tc>
        <w:tc>
          <w:tcPr>
            <w:tcW w:w="854" w:type="dxa"/>
            <w:tcBorders>
              <w:top w:val="nil"/>
              <w:left w:val="nil"/>
              <w:bottom w:val="single" w:sz="4" w:space="0" w:color="auto"/>
              <w:right w:val="nil"/>
            </w:tcBorders>
          </w:tcPr>
          <w:p w14:paraId="552A2442" w14:textId="51B8FBCE" w:rsidR="00AB3FD4" w:rsidRDefault="00AB3FD4" w:rsidP="00AB3FD4">
            <w:pPr>
              <w:spacing w:after="0" w:line="276" w:lineRule="auto"/>
              <w:contextualSpacing/>
              <w:jc w:val="center"/>
              <w:rPr>
                <w:sz w:val="20"/>
              </w:rPr>
            </w:pPr>
            <w:r>
              <w:rPr>
                <w:sz w:val="20"/>
              </w:rPr>
              <w:t>0.440</w:t>
            </w:r>
          </w:p>
        </w:tc>
      </w:tr>
      <w:tr w:rsidR="00AB3FD4" w:rsidRPr="00897348" w14:paraId="49547499" w14:textId="4CBDC899" w:rsidTr="00AB3FD4">
        <w:tblPrEx>
          <w:tblBorders>
            <w:top w:val="single" w:sz="4" w:space="0" w:color="auto"/>
            <w:insideV w:val="none" w:sz="0" w:space="0" w:color="auto"/>
          </w:tblBorders>
        </w:tblPrEx>
        <w:tc>
          <w:tcPr>
            <w:tcW w:w="1978" w:type="dxa"/>
            <w:gridSpan w:val="2"/>
            <w:tcBorders>
              <w:top w:val="single" w:sz="4" w:space="0" w:color="auto"/>
              <w:bottom w:val="nil"/>
              <w:right w:val="nil"/>
            </w:tcBorders>
          </w:tcPr>
          <w:p w14:paraId="02F5D1D4" w14:textId="77777777" w:rsidR="00AB3FD4" w:rsidRPr="007E5E62" w:rsidRDefault="00AB3FD4" w:rsidP="00AB3FD4">
            <w:pPr>
              <w:spacing w:after="0" w:line="276" w:lineRule="auto"/>
              <w:contextualSpacing/>
              <w:rPr>
                <w:sz w:val="20"/>
              </w:rPr>
            </w:pPr>
            <w:r>
              <w:rPr>
                <w:sz w:val="20"/>
              </w:rPr>
              <w:t>SES</w:t>
            </w:r>
          </w:p>
        </w:tc>
        <w:tc>
          <w:tcPr>
            <w:tcW w:w="670" w:type="dxa"/>
            <w:tcBorders>
              <w:top w:val="single" w:sz="4" w:space="0" w:color="auto"/>
              <w:bottom w:val="nil"/>
              <w:right w:val="nil"/>
            </w:tcBorders>
          </w:tcPr>
          <w:p w14:paraId="2B7F553C" w14:textId="77777777" w:rsidR="00AB3FD4" w:rsidRPr="00A036B2" w:rsidRDefault="00AB3FD4" w:rsidP="00AB3FD4">
            <w:pPr>
              <w:spacing w:after="0" w:line="276" w:lineRule="auto"/>
              <w:contextualSpacing/>
              <w:jc w:val="center"/>
              <w:rPr>
                <w:b/>
                <w:color w:val="FF0000"/>
                <w:sz w:val="20"/>
              </w:rPr>
            </w:pPr>
          </w:p>
        </w:tc>
        <w:tc>
          <w:tcPr>
            <w:tcW w:w="1738" w:type="dxa"/>
            <w:tcBorders>
              <w:top w:val="single" w:sz="4" w:space="0" w:color="auto"/>
              <w:left w:val="nil"/>
              <w:bottom w:val="nil"/>
              <w:right w:val="nil"/>
            </w:tcBorders>
          </w:tcPr>
          <w:p w14:paraId="4EF5A083" w14:textId="77777777" w:rsidR="00AB3FD4" w:rsidRPr="00A036B2" w:rsidRDefault="00AB3FD4" w:rsidP="00AB3FD4">
            <w:pPr>
              <w:spacing w:after="0" w:line="276" w:lineRule="auto"/>
              <w:contextualSpacing/>
              <w:jc w:val="center"/>
              <w:rPr>
                <w:b/>
                <w:color w:val="FF0000"/>
                <w:sz w:val="20"/>
              </w:rPr>
            </w:pPr>
          </w:p>
        </w:tc>
        <w:tc>
          <w:tcPr>
            <w:tcW w:w="711" w:type="dxa"/>
            <w:tcBorders>
              <w:top w:val="single" w:sz="4" w:space="0" w:color="auto"/>
              <w:left w:val="nil"/>
              <w:bottom w:val="nil"/>
              <w:right w:val="nil"/>
            </w:tcBorders>
            <w:vAlign w:val="center"/>
          </w:tcPr>
          <w:p w14:paraId="401B9788" w14:textId="77777777" w:rsidR="00AB3FD4" w:rsidRPr="00F320B5" w:rsidRDefault="00AB3FD4" w:rsidP="00AB3FD4">
            <w:pPr>
              <w:spacing w:after="0" w:line="276" w:lineRule="auto"/>
              <w:contextualSpacing/>
              <w:jc w:val="center"/>
              <w:rPr>
                <w:color w:val="FF0000"/>
                <w:sz w:val="20"/>
              </w:rPr>
            </w:pPr>
          </w:p>
        </w:tc>
        <w:tc>
          <w:tcPr>
            <w:tcW w:w="284" w:type="dxa"/>
            <w:tcBorders>
              <w:top w:val="single" w:sz="4" w:space="0" w:color="auto"/>
              <w:left w:val="nil"/>
              <w:bottom w:val="nil"/>
              <w:right w:val="nil"/>
            </w:tcBorders>
            <w:vAlign w:val="center"/>
          </w:tcPr>
          <w:p w14:paraId="7D91235B" w14:textId="77777777" w:rsidR="00AB3FD4" w:rsidRPr="00F320B5" w:rsidRDefault="00AB3FD4" w:rsidP="00AB3FD4">
            <w:pPr>
              <w:spacing w:after="0" w:line="276" w:lineRule="auto"/>
              <w:contextualSpacing/>
              <w:jc w:val="center"/>
              <w:rPr>
                <w:color w:val="FF0000"/>
                <w:sz w:val="20"/>
              </w:rPr>
            </w:pPr>
          </w:p>
        </w:tc>
        <w:tc>
          <w:tcPr>
            <w:tcW w:w="671" w:type="dxa"/>
            <w:tcBorders>
              <w:top w:val="single" w:sz="4" w:space="0" w:color="auto"/>
              <w:left w:val="nil"/>
              <w:bottom w:val="nil"/>
              <w:right w:val="nil"/>
            </w:tcBorders>
          </w:tcPr>
          <w:p w14:paraId="440649ED" w14:textId="77777777" w:rsidR="00AB3FD4" w:rsidRPr="00F320B5" w:rsidRDefault="00AB3FD4" w:rsidP="00AB3FD4">
            <w:pPr>
              <w:spacing w:after="0" w:line="276" w:lineRule="auto"/>
              <w:contextualSpacing/>
              <w:jc w:val="center"/>
              <w:rPr>
                <w:color w:val="FF0000"/>
                <w:sz w:val="20"/>
              </w:rPr>
            </w:pPr>
          </w:p>
        </w:tc>
        <w:tc>
          <w:tcPr>
            <w:tcW w:w="1598" w:type="dxa"/>
            <w:tcBorders>
              <w:top w:val="single" w:sz="4" w:space="0" w:color="auto"/>
              <w:left w:val="nil"/>
              <w:bottom w:val="nil"/>
              <w:right w:val="nil"/>
            </w:tcBorders>
          </w:tcPr>
          <w:p w14:paraId="404EEA48" w14:textId="77777777" w:rsidR="00AB3FD4" w:rsidRPr="00A036B2" w:rsidRDefault="00AB3FD4" w:rsidP="00AB3FD4">
            <w:pPr>
              <w:spacing w:after="0" w:line="276" w:lineRule="auto"/>
              <w:contextualSpacing/>
              <w:jc w:val="center"/>
              <w:rPr>
                <w:b/>
                <w:color w:val="FF0000"/>
                <w:sz w:val="20"/>
              </w:rPr>
            </w:pPr>
          </w:p>
        </w:tc>
        <w:tc>
          <w:tcPr>
            <w:tcW w:w="851" w:type="dxa"/>
            <w:tcBorders>
              <w:top w:val="single" w:sz="4" w:space="0" w:color="auto"/>
              <w:left w:val="nil"/>
              <w:bottom w:val="nil"/>
              <w:right w:val="nil"/>
            </w:tcBorders>
          </w:tcPr>
          <w:p w14:paraId="2E7E9630" w14:textId="77777777" w:rsidR="00AB3FD4" w:rsidRPr="00897348" w:rsidRDefault="00AB3FD4" w:rsidP="00AB3FD4">
            <w:pPr>
              <w:spacing w:after="0" w:line="276" w:lineRule="auto"/>
              <w:contextualSpacing/>
              <w:jc w:val="center"/>
              <w:rPr>
                <w:sz w:val="20"/>
              </w:rPr>
            </w:pPr>
          </w:p>
        </w:tc>
        <w:tc>
          <w:tcPr>
            <w:tcW w:w="236" w:type="dxa"/>
            <w:tcBorders>
              <w:top w:val="single" w:sz="4" w:space="0" w:color="auto"/>
              <w:left w:val="nil"/>
              <w:bottom w:val="nil"/>
              <w:right w:val="nil"/>
            </w:tcBorders>
          </w:tcPr>
          <w:p w14:paraId="27C58082" w14:textId="77777777" w:rsidR="00AB3FD4" w:rsidRPr="00897348" w:rsidRDefault="00AB3FD4" w:rsidP="00AB3FD4">
            <w:pPr>
              <w:spacing w:after="0" w:line="276" w:lineRule="auto"/>
              <w:contextualSpacing/>
              <w:jc w:val="center"/>
              <w:rPr>
                <w:sz w:val="20"/>
              </w:rPr>
            </w:pPr>
          </w:p>
        </w:tc>
        <w:tc>
          <w:tcPr>
            <w:tcW w:w="614" w:type="dxa"/>
            <w:tcBorders>
              <w:top w:val="single" w:sz="4" w:space="0" w:color="auto"/>
              <w:left w:val="nil"/>
              <w:bottom w:val="nil"/>
              <w:right w:val="nil"/>
            </w:tcBorders>
          </w:tcPr>
          <w:p w14:paraId="718EE106"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5EDFB66B" w14:textId="3A79E68F" w:rsidR="00AB3FD4" w:rsidRPr="00897348" w:rsidRDefault="00AB3FD4" w:rsidP="00AB3FD4">
            <w:pPr>
              <w:spacing w:after="0" w:line="276" w:lineRule="auto"/>
              <w:contextualSpacing/>
              <w:jc w:val="center"/>
              <w:rPr>
                <w:sz w:val="20"/>
              </w:rPr>
            </w:pPr>
          </w:p>
        </w:tc>
        <w:tc>
          <w:tcPr>
            <w:tcW w:w="885" w:type="dxa"/>
            <w:tcBorders>
              <w:top w:val="single" w:sz="4" w:space="0" w:color="auto"/>
              <w:left w:val="nil"/>
              <w:bottom w:val="nil"/>
              <w:right w:val="nil"/>
            </w:tcBorders>
          </w:tcPr>
          <w:p w14:paraId="476613BE" w14:textId="77777777" w:rsidR="00AB3FD4" w:rsidRPr="00897348" w:rsidRDefault="00AB3FD4" w:rsidP="00AB3FD4">
            <w:pPr>
              <w:spacing w:after="0" w:line="276" w:lineRule="auto"/>
              <w:contextualSpacing/>
              <w:jc w:val="center"/>
              <w:rPr>
                <w:sz w:val="20"/>
              </w:rPr>
            </w:pPr>
          </w:p>
        </w:tc>
        <w:tc>
          <w:tcPr>
            <w:tcW w:w="243" w:type="dxa"/>
            <w:tcBorders>
              <w:top w:val="single" w:sz="4" w:space="0" w:color="auto"/>
              <w:left w:val="nil"/>
              <w:bottom w:val="nil"/>
              <w:right w:val="nil"/>
            </w:tcBorders>
          </w:tcPr>
          <w:p w14:paraId="321036F1" w14:textId="77777777" w:rsidR="00AB3FD4" w:rsidRPr="00897348" w:rsidRDefault="00AB3FD4" w:rsidP="00AB3FD4">
            <w:pPr>
              <w:spacing w:after="0" w:line="276" w:lineRule="auto"/>
              <w:contextualSpacing/>
              <w:jc w:val="center"/>
              <w:rPr>
                <w:sz w:val="20"/>
              </w:rPr>
            </w:pPr>
          </w:p>
        </w:tc>
        <w:tc>
          <w:tcPr>
            <w:tcW w:w="577" w:type="dxa"/>
            <w:tcBorders>
              <w:top w:val="single" w:sz="4" w:space="0" w:color="auto"/>
              <w:left w:val="nil"/>
              <w:bottom w:val="nil"/>
              <w:right w:val="nil"/>
            </w:tcBorders>
          </w:tcPr>
          <w:p w14:paraId="33188A00"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4F7302A8" w14:textId="77777777" w:rsidR="00AB3FD4" w:rsidRPr="00897348" w:rsidRDefault="00AB3FD4" w:rsidP="00AB3FD4">
            <w:pPr>
              <w:spacing w:after="0" w:line="276" w:lineRule="auto"/>
              <w:contextualSpacing/>
              <w:jc w:val="center"/>
              <w:rPr>
                <w:sz w:val="20"/>
              </w:rPr>
            </w:pPr>
          </w:p>
        </w:tc>
        <w:tc>
          <w:tcPr>
            <w:tcW w:w="854" w:type="dxa"/>
            <w:tcBorders>
              <w:top w:val="single" w:sz="4" w:space="0" w:color="auto"/>
              <w:left w:val="nil"/>
              <w:bottom w:val="nil"/>
              <w:right w:val="nil"/>
            </w:tcBorders>
          </w:tcPr>
          <w:p w14:paraId="0A39CD03" w14:textId="77777777" w:rsidR="00AB3FD4" w:rsidRPr="00897348" w:rsidRDefault="00AB3FD4" w:rsidP="00AB3FD4">
            <w:pPr>
              <w:spacing w:after="0" w:line="276" w:lineRule="auto"/>
              <w:contextualSpacing/>
              <w:jc w:val="center"/>
              <w:rPr>
                <w:sz w:val="20"/>
              </w:rPr>
            </w:pPr>
          </w:p>
        </w:tc>
      </w:tr>
      <w:tr w:rsidR="00AB3FD4" w:rsidRPr="00F320B5" w14:paraId="2E6A086A" w14:textId="667AA7BB" w:rsidTr="00AB3FD4">
        <w:tblPrEx>
          <w:tblBorders>
            <w:top w:val="single" w:sz="4" w:space="0" w:color="auto"/>
            <w:insideV w:val="none" w:sz="0" w:space="0" w:color="auto"/>
          </w:tblBorders>
        </w:tblPrEx>
        <w:tc>
          <w:tcPr>
            <w:tcW w:w="280" w:type="dxa"/>
            <w:tcBorders>
              <w:top w:val="nil"/>
              <w:bottom w:val="nil"/>
              <w:right w:val="nil"/>
            </w:tcBorders>
          </w:tcPr>
          <w:p w14:paraId="4809DE29"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tcPr>
          <w:p w14:paraId="3D9C96CC" w14:textId="77777777" w:rsidR="00AB3FD4" w:rsidRPr="007E5E62" w:rsidRDefault="00AB3FD4" w:rsidP="00AB3FD4">
            <w:pPr>
              <w:spacing w:after="0" w:line="276" w:lineRule="auto"/>
              <w:contextualSpacing/>
              <w:rPr>
                <w:sz w:val="20"/>
                <w:szCs w:val="20"/>
              </w:rPr>
            </w:pPr>
            <w:r w:rsidRPr="007E5E62">
              <w:rPr>
                <w:sz w:val="20"/>
                <w:szCs w:val="20"/>
              </w:rPr>
              <w:t>Higher</w:t>
            </w:r>
          </w:p>
        </w:tc>
        <w:tc>
          <w:tcPr>
            <w:tcW w:w="670" w:type="dxa"/>
            <w:tcBorders>
              <w:top w:val="nil"/>
              <w:left w:val="nil"/>
              <w:bottom w:val="single" w:sz="4" w:space="0" w:color="auto"/>
              <w:right w:val="nil"/>
            </w:tcBorders>
          </w:tcPr>
          <w:p w14:paraId="3B51EA06" w14:textId="77777777" w:rsidR="00AB3FD4" w:rsidRPr="0046486F" w:rsidRDefault="00AB3FD4" w:rsidP="00AB3FD4">
            <w:pPr>
              <w:spacing w:after="0" w:line="276" w:lineRule="auto"/>
              <w:contextualSpacing/>
              <w:jc w:val="center"/>
              <w:rPr>
                <w:sz w:val="20"/>
              </w:rPr>
            </w:pPr>
            <w:r>
              <w:rPr>
                <w:sz w:val="20"/>
              </w:rPr>
              <w:t>5.4</w:t>
            </w:r>
          </w:p>
        </w:tc>
        <w:tc>
          <w:tcPr>
            <w:tcW w:w="1738" w:type="dxa"/>
            <w:tcBorders>
              <w:top w:val="nil"/>
              <w:left w:val="nil"/>
              <w:bottom w:val="single" w:sz="4" w:space="0" w:color="auto"/>
              <w:right w:val="nil"/>
            </w:tcBorders>
          </w:tcPr>
          <w:p w14:paraId="508BC0D2" w14:textId="77777777" w:rsidR="00AB3FD4" w:rsidRPr="00F320B5" w:rsidRDefault="00AB3FD4" w:rsidP="00AB3FD4">
            <w:pPr>
              <w:spacing w:after="0" w:line="276" w:lineRule="auto"/>
              <w:contextualSpacing/>
              <w:jc w:val="center"/>
              <w:rPr>
                <w:sz w:val="20"/>
              </w:rPr>
            </w:pPr>
            <w:r>
              <w:rPr>
                <w:sz w:val="20"/>
              </w:rPr>
              <w:t>1.00</w:t>
            </w:r>
          </w:p>
        </w:tc>
        <w:tc>
          <w:tcPr>
            <w:tcW w:w="711" w:type="dxa"/>
            <w:tcBorders>
              <w:top w:val="nil"/>
              <w:left w:val="nil"/>
              <w:bottom w:val="single" w:sz="4" w:space="0" w:color="auto"/>
              <w:right w:val="nil"/>
            </w:tcBorders>
          </w:tcPr>
          <w:p w14:paraId="1C710D8F" w14:textId="77777777" w:rsidR="00AB3FD4" w:rsidRPr="00F320B5" w:rsidRDefault="00AB3FD4" w:rsidP="00AB3FD4">
            <w:pPr>
              <w:spacing w:after="0" w:line="276" w:lineRule="auto"/>
              <w:contextualSpacing/>
              <w:jc w:val="center"/>
              <w:rPr>
                <w:sz w:val="20"/>
              </w:rPr>
            </w:pPr>
            <w:r>
              <w:rPr>
                <w:sz w:val="20"/>
              </w:rPr>
              <w:t>-</w:t>
            </w:r>
          </w:p>
        </w:tc>
        <w:tc>
          <w:tcPr>
            <w:tcW w:w="284" w:type="dxa"/>
            <w:tcBorders>
              <w:top w:val="nil"/>
              <w:left w:val="nil"/>
              <w:bottom w:val="single" w:sz="4" w:space="0" w:color="auto"/>
              <w:right w:val="nil"/>
            </w:tcBorders>
            <w:vAlign w:val="center"/>
          </w:tcPr>
          <w:p w14:paraId="3821F58D"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09D5EA75" w14:textId="77777777" w:rsidR="00AB3FD4" w:rsidRDefault="00AB3FD4" w:rsidP="00AB3FD4">
            <w:pPr>
              <w:spacing w:after="0" w:line="276" w:lineRule="auto"/>
              <w:contextualSpacing/>
              <w:jc w:val="center"/>
              <w:rPr>
                <w:sz w:val="20"/>
              </w:rPr>
            </w:pPr>
            <w:r>
              <w:rPr>
                <w:sz w:val="20"/>
              </w:rPr>
              <w:t>11.9</w:t>
            </w:r>
          </w:p>
        </w:tc>
        <w:tc>
          <w:tcPr>
            <w:tcW w:w="1598" w:type="dxa"/>
            <w:tcBorders>
              <w:top w:val="nil"/>
              <w:left w:val="nil"/>
              <w:bottom w:val="single" w:sz="4" w:space="0" w:color="auto"/>
              <w:right w:val="nil"/>
            </w:tcBorders>
          </w:tcPr>
          <w:p w14:paraId="6E9041E0" w14:textId="77777777" w:rsidR="00AB3FD4" w:rsidRPr="00F320B5" w:rsidRDefault="00AB3FD4" w:rsidP="00AB3FD4">
            <w:pPr>
              <w:spacing w:after="0" w:line="276" w:lineRule="auto"/>
              <w:contextualSpacing/>
              <w:jc w:val="center"/>
              <w:rPr>
                <w:sz w:val="20"/>
              </w:rPr>
            </w:pPr>
            <w:r>
              <w:rPr>
                <w:sz w:val="20"/>
              </w:rPr>
              <w:t>1.00</w:t>
            </w:r>
          </w:p>
        </w:tc>
        <w:tc>
          <w:tcPr>
            <w:tcW w:w="851" w:type="dxa"/>
            <w:tcBorders>
              <w:top w:val="nil"/>
              <w:left w:val="nil"/>
              <w:bottom w:val="single" w:sz="4" w:space="0" w:color="auto"/>
              <w:right w:val="nil"/>
            </w:tcBorders>
          </w:tcPr>
          <w:p w14:paraId="2F3C1122" w14:textId="77777777" w:rsidR="00AB3FD4" w:rsidRPr="00F320B5" w:rsidRDefault="00AB3FD4" w:rsidP="00AB3FD4">
            <w:pPr>
              <w:spacing w:after="0" w:line="276" w:lineRule="auto"/>
              <w:contextualSpacing/>
              <w:jc w:val="center"/>
              <w:rPr>
                <w:sz w:val="20"/>
              </w:rPr>
            </w:pPr>
            <w:r>
              <w:rPr>
                <w:sz w:val="20"/>
              </w:rPr>
              <w:t>-</w:t>
            </w:r>
          </w:p>
        </w:tc>
        <w:tc>
          <w:tcPr>
            <w:tcW w:w="236" w:type="dxa"/>
            <w:tcBorders>
              <w:top w:val="nil"/>
              <w:left w:val="nil"/>
              <w:bottom w:val="single" w:sz="4" w:space="0" w:color="auto"/>
              <w:right w:val="nil"/>
            </w:tcBorders>
          </w:tcPr>
          <w:p w14:paraId="0A81A141"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03C89614" w14:textId="24349632" w:rsidR="00AB3FD4" w:rsidRDefault="00AB3FD4" w:rsidP="00AB3FD4">
            <w:pPr>
              <w:spacing w:after="0" w:line="276" w:lineRule="auto"/>
              <w:contextualSpacing/>
              <w:jc w:val="center"/>
              <w:rPr>
                <w:sz w:val="20"/>
              </w:rPr>
            </w:pPr>
            <w:r>
              <w:rPr>
                <w:sz w:val="20"/>
              </w:rPr>
              <w:t>10.3</w:t>
            </w:r>
          </w:p>
        </w:tc>
        <w:tc>
          <w:tcPr>
            <w:tcW w:w="1700" w:type="dxa"/>
            <w:tcBorders>
              <w:top w:val="nil"/>
              <w:left w:val="nil"/>
              <w:bottom w:val="single" w:sz="4" w:space="0" w:color="auto"/>
              <w:right w:val="nil"/>
            </w:tcBorders>
          </w:tcPr>
          <w:p w14:paraId="2A13F8CE" w14:textId="1072C021" w:rsidR="00AB3FD4" w:rsidRDefault="00AB3FD4" w:rsidP="00AB3FD4">
            <w:pPr>
              <w:spacing w:after="0" w:line="276" w:lineRule="auto"/>
              <w:contextualSpacing/>
              <w:jc w:val="center"/>
              <w:rPr>
                <w:sz w:val="20"/>
              </w:rPr>
            </w:pPr>
            <w:r>
              <w:rPr>
                <w:sz w:val="20"/>
              </w:rPr>
              <w:t>1.00</w:t>
            </w:r>
          </w:p>
        </w:tc>
        <w:tc>
          <w:tcPr>
            <w:tcW w:w="885" w:type="dxa"/>
            <w:tcBorders>
              <w:top w:val="nil"/>
              <w:left w:val="nil"/>
              <w:bottom w:val="single" w:sz="4" w:space="0" w:color="auto"/>
              <w:right w:val="nil"/>
            </w:tcBorders>
          </w:tcPr>
          <w:p w14:paraId="5B3CC788" w14:textId="1D415BCD" w:rsidR="00AB3FD4" w:rsidRDefault="00AB3FD4" w:rsidP="00AB3FD4">
            <w:pPr>
              <w:spacing w:after="0" w:line="276" w:lineRule="auto"/>
              <w:contextualSpacing/>
              <w:jc w:val="center"/>
              <w:rPr>
                <w:sz w:val="20"/>
              </w:rPr>
            </w:pPr>
            <w:r>
              <w:rPr>
                <w:sz w:val="20"/>
              </w:rPr>
              <w:t>-</w:t>
            </w:r>
          </w:p>
        </w:tc>
        <w:tc>
          <w:tcPr>
            <w:tcW w:w="243" w:type="dxa"/>
            <w:tcBorders>
              <w:top w:val="nil"/>
              <w:left w:val="nil"/>
              <w:bottom w:val="single" w:sz="4" w:space="0" w:color="auto"/>
              <w:right w:val="nil"/>
            </w:tcBorders>
            <w:vAlign w:val="center"/>
          </w:tcPr>
          <w:p w14:paraId="45BF9E4C"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6328A70B" w14:textId="6F6B8895" w:rsidR="00AB3FD4" w:rsidRDefault="00AB3FD4" w:rsidP="00AB3FD4">
            <w:pPr>
              <w:spacing w:after="0" w:line="276" w:lineRule="auto"/>
              <w:contextualSpacing/>
              <w:jc w:val="center"/>
              <w:rPr>
                <w:sz w:val="20"/>
              </w:rPr>
            </w:pPr>
            <w:r>
              <w:rPr>
                <w:sz w:val="20"/>
              </w:rPr>
              <w:t>3.7</w:t>
            </w:r>
          </w:p>
        </w:tc>
        <w:tc>
          <w:tcPr>
            <w:tcW w:w="1700" w:type="dxa"/>
            <w:tcBorders>
              <w:top w:val="nil"/>
              <w:left w:val="nil"/>
              <w:bottom w:val="single" w:sz="4" w:space="0" w:color="auto"/>
              <w:right w:val="nil"/>
            </w:tcBorders>
          </w:tcPr>
          <w:p w14:paraId="299D3E3E" w14:textId="0B63B66A" w:rsidR="00AB3FD4" w:rsidRDefault="00AB3FD4" w:rsidP="00AB3FD4">
            <w:pPr>
              <w:spacing w:after="0" w:line="276" w:lineRule="auto"/>
              <w:contextualSpacing/>
              <w:jc w:val="center"/>
              <w:rPr>
                <w:sz w:val="20"/>
              </w:rPr>
            </w:pPr>
            <w:r>
              <w:rPr>
                <w:sz w:val="20"/>
              </w:rPr>
              <w:t>1.00</w:t>
            </w:r>
          </w:p>
        </w:tc>
        <w:tc>
          <w:tcPr>
            <w:tcW w:w="854" w:type="dxa"/>
            <w:tcBorders>
              <w:top w:val="nil"/>
              <w:left w:val="nil"/>
              <w:bottom w:val="single" w:sz="4" w:space="0" w:color="auto"/>
              <w:right w:val="nil"/>
            </w:tcBorders>
          </w:tcPr>
          <w:p w14:paraId="1069A3EC" w14:textId="0B59C4C5" w:rsidR="00AB3FD4" w:rsidRDefault="00AB3FD4" w:rsidP="00AB3FD4">
            <w:pPr>
              <w:spacing w:after="0" w:line="276" w:lineRule="auto"/>
              <w:contextualSpacing/>
              <w:jc w:val="center"/>
              <w:rPr>
                <w:sz w:val="20"/>
              </w:rPr>
            </w:pPr>
            <w:r>
              <w:rPr>
                <w:sz w:val="20"/>
              </w:rPr>
              <w:t>-</w:t>
            </w:r>
          </w:p>
        </w:tc>
      </w:tr>
      <w:tr w:rsidR="00AB3FD4" w:rsidRPr="00897348" w14:paraId="3171E602" w14:textId="3FC24E94" w:rsidTr="00AB3FD4">
        <w:tblPrEx>
          <w:tblBorders>
            <w:top w:val="single" w:sz="4" w:space="0" w:color="auto"/>
            <w:insideV w:val="none" w:sz="0" w:space="0" w:color="auto"/>
          </w:tblBorders>
        </w:tblPrEx>
        <w:tc>
          <w:tcPr>
            <w:tcW w:w="280" w:type="dxa"/>
            <w:tcBorders>
              <w:top w:val="nil"/>
              <w:bottom w:val="nil"/>
              <w:right w:val="nil"/>
            </w:tcBorders>
          </w:tcPr>
          <w:p w14:paraId="34D193CA"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tcPr>
          <w:p w14:paraId="671F7895" w14:textId="77777777" w:rsidR="00AB3FD4" w:rsidRPr="007E5E62" w:rsidRDefault="00AB3FD4" w:rsidP="00AB3FD4">
            <w:pPr>
              <w:spacing w:after="0" w:line="276" w:lineRule="auto"/>
              <w:contextualSpacing/>
              <w:rPr>
                <w:sz w:val="20"/>
                <w:szCs w:val="20"/>
              </w:rPr>
            </w:pPr>
            <w:r w:rsidRPr="007E5E62">
              <w:rPr>
                <w:sz w:val="20"/>
                <w:szCs w:val="20"/>
              </w:rPr>
              <w:t>Intermediate</w:t>
            </w:r>
          </w:p>
        </w:tc>
        <w:tc>
          <w:tcPr>
            <w:tcW w:w="670" w:type="dxa"/>
            <w:tcBorders>
              <w:top w:val="nil"/>
              <w:left w:val="nil"/>
              <w:bottom w:val="single" w:sz="4" w:space="0" w:color="auto"/>
              <w:right w:val="nil"/>
            </w:tcBorders>
          </w:tcPr>
          <w:p w14:paraId="3D61E1EB" w14:textId="77777777" w:rsidR="00AB3FD4" w:rsidRPr="0046486F" w:rsidRDefault="00AB3FD4" w:rsidP="00AB3FD4">
            <w:pPr>
              <w:spacing w:after="0" w:line="276" w:lineRule="auto"/>
              <w:contextualSpacing/>
              <w:jc w:val="center"/>
              <w:rPr>
                <w:sz w:val="20"/>
              </w:rPr>
            </w:pPr>
            <w:r>
              <w:rPr>
                <w:sz w:val="20"/>
              </w:rPr>
              <w:t>7.8</w:t>
            </w:r>
          </w:p>
        </w:tc>
        <w:tc>
          <w:tcPr>
            <w:tcW w:w="1738" w:type="dxa"/>
            <w:tcBorders>
              <w:top w:val="nil"/>
              <w:left w:val="nil"/>
              <w:bottom w:val="single" w:sz="4" w:space="0" w:color="auto"/>
              <w:right w:val="nil"/>
            </w:tcBorders>
          </w:tcPr>
          <w:p w14:paraId="6F24BC86" w14:textId="77777777" w:rsidR="00AB3FD4" w:rsidRPr="00F320B5" w:rsidRDefault="00AB3FD4" w:rsidP="00AB3FD4">
            <w:pPr>
              <w:spacing w:after="0" w:line="276" w:lineRule="auto"/>
              <w:contextualSpacing/>
              <w:jc w:val="center"/>
              <w:rPr>
                <w:sz w:val="20"/>
              </w:rPr>
            </w:pPr>
            <w:r>
              <w:rPr>
                <w:sz w:val="20"/>
              </w:rPr>
              <w:t>1.40 [0.53-3.71]</w:t>
            </w:r>
          </w:p>
        </w:tc>
        <w:tc>
          <w:tcPr>
            <w:tcW w:w="711" w:type="dxa"/>
            <w:tcBorders>
              <w:top w:val="nil"/>
              <w:left w:val="nil"/>
              <w:bottom w:val="single" w:sz="4" w:space="0" w:color="auto"/>
              <w:right w:val="nil"/>
            </w:tcBorders>
          </w:tcPr>
          <w:p w14:paraId="6F615DCF" w14:textId="77777777" w:rsidR="00AB3FD4" w:rsidRPr="00F320B5" w:rsidRDefault="00AB3FD4" w:rsidP="00AB3FD4">
            <w:pPr>
              <w:spacing w:after="0" w:line="276" w:lineRule="auto"/>
              <w:contextualSpacing/>
              <w:jc w:val="center"/>
              <w:rPr>
                <w:sz w:val="20"/>
              </w:rPr>
            </w:pPr>
            <w:r>
              <w:rPr>
                <w:sz w:val="20"/>
              </w:rPr>
              <w:t>0.504</w:t>
            </w:r>
          </w:p>
        </w:tc>
        <w:tc>
          <w:tcPr>
            <w:tcW w:w="284" w:type="dxa"/>
            <w:tcBorders>
              <w:top w:val="nil"/>
              <w:left w:val="nil"/>
              <w:bottom w:val="single" w:sz="4" w:space="0" w:color="auto"/>
              <w:right w:val="nil"/>
            </w:tcBorders>
            <w:vAlign w:val="center"/>
          </w:tcPr>
          <w:p w14:paraId="0558B53B"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372D429E" w14:textId="77777777" w:rsidR="00AB3FD4" w:rsidRDefault="00AB3FD4" w:rsidP="00AB3FD4">
            <w:pPr>
              <w:spacing w:after="0" w:line="276" w:lineRule="auto"/>
              <w:contextualSpacing/>
              <w:jc w:val="center"/>
              <w:rPr>
                <w:sz w:val="20"/>
              </w:rPr>
            </w:pPr>
            <w:r>
              <w:rPr>
                <w:sz w:val="20"/>
              </w:rPr>
              <w:t>12.5</w:t>
            </w:r>
          </w:p>
        </w:tc>
        <w:tc>
          <w:tcPr>
            <w:tcW w:w="1598" w:type="dxa"/>
            <w:tcBorders>
              <w:top w:val="nil"/>
              <w:left w:val="nil"/>
              <w:bottom w:val="single" w:sz="4" w:space="0" w:color="auto"/>
              <w:right w:val="nil"/>
            </w:tcBorders>
          </w:tcPr>
          <w:p w14:paraId="5E618B5A" w14:textId="77777777" w:rsidR="00AB3FD4" w:rsidRPr="00897348" w:rsidRDefault="00AB3FD4" w:rsidP="00AB3FD4">
            <w:pPr>
              <w:spacing w:after="0" w:line="276" w:lineRule="auto"/>
              <w:contextualSpacing/>
              <w:jc w:val="center"/>
              <w:rPr>
                <w:sz w:val="20"/>
              </w:rPr>
            </w:pPr>
            <w:r>
              <w:rPr>
                <w:sz w:val="20"/>
              </w:rPr>
              <w:t>1.18 [0.64-2.17]</w:t>
            </w:r>
          </w:p>
        </w:tc>
        <w:tc>
          <w:tcPr>
            <w:tcW w:w="851" w:type="dxa"/>
            <w:tcBorders>
              <w:top w:val="nil"/>
              <w:left w:val="nil"/>
              <w:bottom w:val="single" w:sz="4" w:space="0" w:color="auto"/>
              <w:right w:val="nil"/>
            </w:tcBorders>
          </w:tcPr>
          <w:p w14:paraId="5F2BE15F" w14:textId="77777777" w:rsidR="00AB3FD4" w:rsidRPr="00897348" w:rsidRDefault="00AB3FD4" w:rsidP="00AB3FD4">
            <w:pPr>
              <w:spacing w:after="0" w:line="276" w:lineRule="auto"/>
              <w:contextualSpacing/>
              <w:jc w:val="center"/>
              <w:rPr>
                <w:sz w:val="20"/>
              </w:rPr>
            </w:pPr>
            <w:r>
              <w:rPr>
                <w:sz w:val="20"/>
              </w:rPr>
              <w:t>0.605</w:t>
            </w:r>
          </w:p>
        </w:tc>
        <w:tc>
          <w:tcPr>
            <w:tcW w:w="236" w:type="dxa"/>
            <w:tcBorders>
              <w:top w:val="nil"/>
              <w:left w:val="nil"/>
              <w:bottom w:val="single" w:sz="4" w:space="0" w:color="auto"/>
              <w:right w:val="nil"/>
            </w:tcBorders>
          </w:tcPr>
          <w:p w14:paraId="1C4D664D"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3E734FF6" w14:textId="0DDE7F41" w:rsidR="00AB3FD4" w:rsidRDefault="00AB3FD4" w:rsidP="00AB3FD4">
            <w:pPr>
              <w:spacing w:after="0" w:line="276" w:lineRule="auto"/>
              <w:contextualSpacing/>
              <w:jc w:val="center"/>
              <w:rPr>
                <w:sz w:val="20"/>
              </w:rPr>
            </w:pPr>
            <w:r>
              <w:rPr>
                <w:sz w:val="20"/>
              </w:rPr>
              <w:t>10.7</w:t>
            </w:r>
          </w:p>
        </w:tc>
        <w:tc>
          <w:tcPr>
            <w:tcW w:w="1700" w:type="dxa"/>
            <w:tcBorders>
              <w:top w:val="nil"/>
              <w:left w:val="nil"/>
              <w:bottom w:val="single" w:sz="4" w:space="0" w:color="auto"/>
              <w:right w:val="nil"/>
            </w:tcBorders>
          </w:tcPr>
          <w:p w14:paraId="605A45FA" w14:textId="2BC4913E" w:rsidR="00AB3FD4" w:rsidRDefault="00AB3FD4" w:rsidP="00AB3FD4">
            <w:pPr>
              <w:spacing w:after="0" w:line="276" w:lineRule="auto"/>
              <w:contextualSpacing/>
              <w:jc w:val="center"/>
              <w:rPr>
                <w:sz w:val="20"/>
              </w:rPr>
            </w:pPr>
            <w:r>
              <w:rPr>
                <w:sz w:val="20"/>
              </w:rPr>
              <w:t>0.84 [0.36-1.96]</w:t>
            </w:r>
          </w:p>
        </w:tc>
        <w:tc>
          <w:tcPr>
            <w:tcW w:w="885" w:type="dxa"/>
            <w:tcBorders>
              <w:top w:val="nil"/>
              <w:left w:val="nil"/>
              <w:bottom w:val="single" w:sz="4" w:space="0" w:color="auto"/>
              <w:right w:val="nil"/>
            </w:tcBorders>
          </w:tcPr>
          <w:p w14:paraId="023B75E5" w14:textId="2F04CCF1" w:rsidR="00AB3FD4" w:rsidRDefault="00AB3FD4" w:rsidP="00AB3FD4">
            <w:pPr>
              <w:spacing w:after="0" w:line="276" w:lineRule="auto"/>
              <w:contextualSpacing/>
              <w:jc w:val="center"/>
              <w:rPr>
                <w:sz w:val="20"/>
              </w:rPr>
            </w:pPr>
            <w:r>
              <w:rPr>
                <w:sz w:val="20"/>
              </w:rPr>
              <w:t>0.689</w:t>
            </w:r>
          </w:p>
        </w:tc>
        <w:tc>
          <w:tcPr>
            <w:tcW w:w="243" w:type="dxa"/>
            <w:tcBorders>
              <w:top w:val="nil"/>
              <w:left w:val="nil"/>
              <w:bottom w:val="single" w:sz="4" w:space="0" w:color="auto"/>
              <w:right w:val="nil"/>
            </w:tcBorders>
            <w:vAlign w:val="center"/>
          </w:tcPr>
          <w:p w14:paraId="3E267F26"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65E8AE0B" w14:textId="66371616" w:rsidR="00AB3FD4" w:rsidRDefault="00AB3FD4" w:rsidP="00AB3FD4">
            <w:pPr>
              <w:spacing w:after="0" w:line="276" w:lineRule="auto"/>
              <w:contextualSpacing/>
              <w:jc w:val="center"/>
              <w:rPr>
                <w:sz w:val="20"/>
              </w:rPr>
            </w:pPr>
            <w:r>
              <w:rPr>
                <w:sz w:val="20"/>
              </w:rPr>
              <w:t>9.3</w:t>
            </w:r>
          </w:p>
        </w:tc>
        <w:tc>
          <w:tcPr>
            <w:tcW w:w="1700" w:type="dxa"/>
            <w:tcBorders>
              <w:top w:val="nil"/>
              <w:left w:val="nil"/>
              <w:bottom w:val="single" w:sz="4" w:space="0" w:color="auto"/>
              <w:right w:val="nil"/>
            </w:tcBorders>
          </w:tcPr>
          <w:p w14:paraId="2A69D9A7" w14:textId="6A573058" w:rsidR="00AB3FD4" w:rsidRDefault="00AB3FD4" w:rsidP="00AB3FD4">
            <w:pPr>
              <w:spacing w:after="0" w:line="276" w:lineRule="auto"/>
              <w:contextualSpacing/>
              <w:jc w:val="center"/>
              <w:rPr>
                <w:sz w:val="20"/>
              </w:rPr>
            </w:pPr>
            <w:r>
              <w:rPr>
                <w:sz w:val="20"/>
              </w:rPr>
              <w:t>2.26 [0.87-5.86]</w:t>
            </w:r>
          </w:p>
        </w:tc>
        <w:tc>
          <w:tcPr>
            <w:tcW w:w="854" w:type="dxa"/>
            <w:tcBorders>
              <w:top w:val="nil"/>
              <w:left w:val="nil"/>
              <w:bottom w:val="single" w:sz="4" w:space="0" w:color="auto"/>
              <w:right w:val="nil"/>
            </w:tcBorders>
          </w:tcPr>
          <w:p w14:paraId="39CFA699" w14:textId="2DE67E74" w:rsidR="00AB3FD4" w:rsidRDefault="00AB3FD4" w:rsidP="00AB3FD4">
            <w:pPr>
              <w:spacing w:after="0" w:line="276" w:lineRule="auto"/>
              <w:contextualSpacing/>
              <w:jc w:val="center"/>
              <w:rPr>
                <w:sz w:val="20"/>
              </w:rPr>
            </w:pPr>
            <w:r>
              <w:rPr>
                <w:sz w:val="20"/>
              </w:rPr>
              <w:t>0.093</w:t>
            </w:r>
          </w:p>
        </w:tc>
      </w:tr>
      <w:tr w:rsidR="00AB3FD4" w:rsidRPr="00897348" w14:paraId="3A725520" w14:textId="6E3707A2" w:rsidTr="00AB3FD4">
        <w:tblPrEx>
          <w:tblBorders>
            <w:top w:val="single" w:sz="4" w:space="0" w:color="auto"/>
            <w:insideV w:val="none" w:sz="0" w:space="0" w:color="auto"/>
          </w:tblBorders>
        </w:tblPrEx>
        <w:tc>
          <w:tcPr>
            <w:tcW w:w="280" w:type="dxa"/>
            <w:tcBorders>
              <w:top w:val="nil"/>
              <w:bottom w:val="single" w:sz="4" w:space="0" w:color="auto"/>
              <w:right w:val="nil"/>
            </w:tcBorders>
          </w:tcPr>
          <w:p w14:paraId="7991B529"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tcPr>
          <w:p w14:paraId="65DFEF50" w14:textId="77777777" w:rsidR="00AB3FD4" w:rsidRPr="007E5E62" w:rsidRDefault="00AB3FD4" w:rsidP="00AB3FD4">
            <w:pPr>
              <w:spacing w:after="0" w:line="276" w:lineRule="auto"/>
              <w:contextualSpacing/>
              <w:rPr>
                <w:sz w:val="20"/>
                <w:szCs w:val="20"/>
              </w:rPr>
            </w:pPr>
            <w:r w:rsidRPr="007E5E62">
              <w:rPr>
                <w:sz w:val="20"/>
                <w:szCs w:val="20"/>
              </w:rPr>
              <w:t>Lower</w:t>
            </w:r>
          </w:p>
        </w:tc>
        <w:tc>
          <w:tcPr>
            <w:tcW w:w="670" w:type="dxa"/>
            <w:tcBorders>
              <w:top w:val="nil"/>
              <w:left w:val="nil"/>
              <w:bottom w:val="single" w:sz="4" w:space="0" w:color="auto"/>
              <w:right w:val="nil"/>
            </w:tcBorders>
          </w:tcPr>
          <w:p w14:paraId="5AECAEFF" w14:textId="77777777" w:rsidR="00AB3FD4" w:rsidRPr="0046486F" w:rsidRDefault="00AB3FD4" w:rsidP="00AB3FD4">
            <w:pPr>
              <w:spacing w:after="0" w:line="276" w:lineRule="auto"/>
              <w:contextualSpacing/>
              <w:jc w:val="center"/>
              <w:rPr>
                <w:sz w:val="20"/>
              </w:rPr>
            </w:pPr>
            <w:r>
              <w:rPr>
                <w:sz w:val="20"/>
              </w:rPr>
              <w:t>5.1</w:t>
            </w:r>
          </w:p>
        </w:tc>
        <w:tc>
          <w:tcPr>
            <w:tcW w:w="1738" w:type="dxa"/>
            <w:tcBorders>
              <w:top w:val="nil"/>
              <w:left w:val="nil"/>
              <w:bottom w:val="single" w:sz="4" w:space="0" w:color="auto"/>
              <w:right w:val="nil"/>
            </w:tcBorders>
          </w:tcPr>
          <w:p w14:paraId="45024BCC" w14:textId="77777777" w:rsidR="00AB3FD4" w:rsidRPr="00F320B5" w:rsidRDefault="00AB3FD4" w:rsidP="00AB3FD4">
            <w:pPr>
              <w:spacing w:after="0" w:line="276" w:lineRule="auto"/>
              <w:contextualSpacing/>
              <w:jc w:val="center"/>
              <w:rPr>
                <w:sz w:val="20"/>
              </w:rPr>
            </w:pPr>
            <w:r>
              <w:rPr>
                <w:sz w:val="20"/>
              </w:rPr>
              <w:t>1.03 [0.40-2.70]</w:t>
            </w:r>
          </w:p>
        </w:tc>
        <w:tc>
          <w:tcPr>
            <w:tcW w:w="711" w:type="dxa"/>
            <w:tcBorders>
              <w:top w:val="nil"/>
              <w:left w:val="nil"/>
              <w:bottom w:val="single" w:sz="4" w:space="0" w:color="auto"/>
              <w:right w:val="nil"/>
            </w:tcBorders>
          </w:tcPr>
          <w:p w14:paraId="04229ED0" w14:textId="77777777" w:rsidR="00AB3FD4" w:rsidRPr="00F320B5" w:rsidRDefault="00AB3FD4" w:rsidP="00AB3FD4">
            <w:pPr>
              <w:spacing w:after="0" w:line="276" w:lineRule="auto"/>
              <w:contextualSpacing/>
              <w:jc w:val="center"/>
              <w:rPr>
                <w:sz w:val="20"/>
              </w:rPr>
            </w:pPr>
            <w:r>
              <w:rPr>
                <w:sz w:val="20"/>
              </w:rPr>
              <w:t>0.948</w:t>
            </w:r>
          </w:p>
        </w:tc>
        <w:tc>
          <w:tcPr>
            <w:tcW w:w="284" w:type="dxa"/>
            <w:tcBorders>
              <w:top w:val="nil"/>
              <w:left w:val="nil"/>
              <w:bottom w:val="single" w:sz="4" w:space="0" w:color="auto"/>
              <w:right w:val="nil"/>
            </w:tcBorders>
          </w:tcPr>
          <w:p w14:paraId="3F3352E6"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2F002A61" w14:textId="77777777" w:rsidR="00AB3FD4" w:rsidRDefault="00AB3FD4" w:rsidP="00AB3FD4">
            <w:pPr>
              <w:spacing w:after="0" w:line="276" w:lineRule="auto"/>
              <w:contextualSpacing/>
              <w:jc w:val="center"/>
              <w:rPr>
                <w:sz w:val="20"/>
              </w:rPr>
            </w:pPr>
            <w:r>
              <w:rPr>
                <w:sz w:val="20"/>
              </w:rPr>
              <w:t>13.4</w:t>
            </w:r>
          </w:p>
        </w:tc>
        <w:tc>
          <w:tcPr>
            <w:tcW w:w="1598" w:type="dxa"/>
            <w:tcBorders>
              <w:top w:val="nil"/>
              <w:left w:val="nil"/>
              <w:bottom w:val="single" w:sz="4" w:space="0" w:color="auto"/>
              <w:right w:val="nil"/>
            </w:tcBorders>
          </w:tcPr>
          <w:p w14:paraId="3466A980" w14:textId="77777777" w:rsidR="00AB3FD4" w:rsidRPr="00897348" w:rsidRDefault="00AB3FD4" w:rsidP="00AB3FD4">
            <w:pPr>
              <w:spacing w:after="0" w:line="276" w:lineRule="auto"/>
              <w:contextualSpacing/>
              <w:jc w:val="center"/>
              <w:rPr>
                <w:sz w:val="20"/>
              </w:rPr>
            </w:pPr>
            <w:r>
              <w:rPr>
                <w:sz w:val="20"/>
              </w:rPr>
              <w:t>1.26 [0.69-2.31]</w:t>
            </w:r>
          </w:p>
        </w:tc>
        <w:tc>
          <w:tcPr>
            <w:tcW w:w="851" w:type="dxa"/>
            <w:tcBorders>
              <w:top w:val="nil"/>
              <w:left w:val="nil"/>
              <w:bottom w:val="single" w:sz="4" w:space="0" w:color="auto"/>
              <w:right w:val="nil"/>
            </w:tcBorders>
          </w:tcPr>
          <w:p w14:paraId="61815A4E" w14:textId="77777777" w:rsidR="00AB3FD4" w:rsidRPr="00897348" w:rsidRDefault="00AB3FD4" w:rsidP="00AB3FD4">
            <w:pPr>
              <w:spacing w:after="0" w:line="276" w:lineRule="auto"/>
              <w:contextualSpacing/>
              <w:jc w:val="center"/>
              <w:rPr>
                <w:sz w:val="20"/>
              </w:rPr>
            </w:pPr>
            <w:r>
              <w:rPr>
                <w:sz w:val="20"/>
              </w:rPr>
              <w:t>0.457</w:t>
            </w:r>
          </w:p>
        </w:tc>
        <w:tc>
          <w:tcPr>
            <w:tcW w:w="236" w:type="dxa"/>
            <w:tcBorders>
              <w:top w:val="nil"/>
              <w:left w:val="nil"/>
              <w:bottom w:val="single" w:sz="4" w:space="0" w:color="auto"/>
              <w:right w:val="nil"/>
            </w:tcBorders>
          </w:tcPr>
          <w:p w14:paraId="502CB9B4"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7894A023" w14:textId="7E8E03D9" w:rsidR="00AB3FD4" w:rsidRDefault="00AB3FD4" w:rsidP="00AB3FD4">
            <w:pPr>
              <w:spacing w:after="0" w:line="276" w:lineRule="auto"/>
              <w:contextualSpacing/>
              <w:jc w:val="center"/>
              <w:rPr>
                <w:sz w:val="20"/>
              </w:rPr>
            </w:pPr>
            <w:r>
              <w:rPr>
                <w:sz w:val="20"/>
              </w:rPr>
              <w:t>19.7</w:t>
            </w:r>
          </w:p>
        </w:tc>
        <w:tc>
          <w:tcPr>
            <w:tcW w:w="1700" w:type="dxa"/>
            <w:tcBorders>
              <w:top w:val="nil"/>
              <w:left w:val="nil"/>
              <w:bottom w:val="single" w:sz="4" w:space="0" w:color="auto"/>
              <w:right w:val="nil"/>
            </w:tcBorders>
          </w:tcPr>
          <w:p w14:paraId="5EDCFEF0" w14:textId="2936A8A0" w:rsidR="00AB3FD4" w:rsidRDefault="00AB3FD4" w:rsidP="00AB3FD4">
            <w:pPr>
              <w:spacing w:after="0" w:line="276" w:lineRule="auto"/>
              <w:contextualSpacing/>
              <w:jc w:val="center"/>
              <w:rPr>
                <w:sz w:val="20"/>
              </w:rPr>
            </w:pPr>
            <w:r>
              <w:rPr>
                <w:sz w:val="20"/>
              </w:rPr>
              <w:t>1.30 [0.64-2.64]</w:t>
            </w:r>
          </w:p>
        </w:tc>
        <w:tc>
          <w:tcPr>
            <w:tcW w:w="885" w:type="dxa"/>
            <w:tcBorders>
              <w:top w:val="nil"/>
              <w:left w:val="nil"/>
              <w:bottom w:val="single" w:sz="4" w:space="0" w:color="auto"/>
              <w:right w:val="nil"/>
            </w:tcBorders>
          </w:tcPr>
          <w:p w14:paraId="5F2D2124" w14:textId="30EFC14A" w:rsidR="00AB3FD4" w:rsidRDefault="00AB3FD4" w:rsidP="00AB3FD4">
            <w:pPr>
              <w:spacing w:after="0" w:line="276" w:lineRule="auto"/>
              <w:contextualSpacing/>
              <w:jc w:val="center"/>
              <w:rPr>
                <w:sz w:val="20"/>
              </w:rPr>
            </w:pPr>
            <w:r>
              <w:rPr>
                <w:sz w:val="20"/>
              </w:rPr>
              <w:t>0.474</w:t>
            </w:r>
          </w:p>
        </w:tc>
        <w:tc>
          <w:tcPr>
            <w:tcW w:w="243" w:type="dxa"/>
            <w:tcBorders>
              <w:top w:val="nil"/>
              <w:left w:val="nil"/>
              <w:bottom w:val="single" w:sz="4" w:space="0" w:color="auto"/>
              <w:right w:val="nil"/>
            </w:tcBorders>
          </w:tcPr>
          <w:p w14:paraId="615D47C1"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5296A39C" w14:textId="78D71270" w:rsidR="00AB3FD4" w:rsidRDefault="00AB3FD4" w:rsidP="00AB3FD4">
            <w:pPr>
              <w:spacing w:after="0" w:line="276" w:lineRule="auto"/>
              <w:contextualSpacing/>
              <w:jc w:val="center"/>
              <w:rPr>
                <w:sz w:val="20"/>
              </w:rPr>
            </w:pPr>
            <w:r>
              <w:rPr>
                <w:sz w:val="20"/>
              </w:rPr>
              <w:t>8.9</w:t>
            </w:r>
          </w:p>
        </w:tc>
        <w:tc>
          <w:tcPr>
            <w:tcW w:w="1700" w:type="dxa"/>
            <w:tcBorders>
              <w:top w:val="nil"/>
              <w:left w:val="nil"/>
              <w:bottom w:val="single" w:sz="4" w:space="0" w:color="auto"/>
              <w:right w:val="nil"/>
            </w:tcBorders>
          </w:tcPr>
          <w:p w14:paraId="780F721B" w14:textId="6DEB5BBB" w:rsidR="00AB3FD4" w:rsidRDefault="00AB3FD4" w:rsidP="00AB3FD4">
            <w:pPr>
              <w:spacing w:after="0" w:line="276" w:lineRule="auto"/>
              <w:contextualSpacing/>
              <w:jc w:val="center"/>
              <w:rPr>
                <w:sz w:val="20"/>
              </w:rPr>
            </w:pPr>
            <w:r>
              <w:rPr>
                <w:sz w:val="20"/>
              </w:rPr>
              <w:t>2.15 [0.83-5.57]</w:t>
            </w:r>
          </w:p>
        </w:tc>
        <w:tc>
          <w:tcPr>
            <w:tcW w:w="854" w:type="dxa"/>
            <w:tcBorders>
              <w:top w:val="nil"/>
              <w:left w:val="nil"/>
              <w:bottom w:val="single" w:sz="4" w:space="0" w:color="auto"/>
              <w:right w:val="nil"/>
            </w:tcBorders>
          </w:tcPr>
          <w:p w14:paraId="03997F3B" w14:textId="792AF750" w:rsidR="00AB3FD4" w:rsidRDefault="00AB3FD4" w:rsidP="00AB3FD4">
            <w:pPr>
              <w:spacing w:after="0" w:line="276" w:lineRule="auto"/>
              <w:contextualSpacing/>
              <w:jc w:val="center"/>
              <w:rPr>
                <w:sz w:val="20"/>
              </w:rPr>
            </w:pPr>
            <w:r>
              <w:rPr>
                <w:sz w:val="20"/>
              </w:rPr>
              <w:t>0.114</w:t>
            </w:r>
          </w:p>
        </w:tc>
      </w:tr>
      <w:tr w:rsidR="00AB3FD4" w:rsidRPr="00897348" w14:paraId="6D3B48D4" w14:textId="32B2B301" w:rsidTr="00AB3FD4">
        <w:tblPrEx>
          <w:tblBorders>
            <w:top w:val="single" w:sz="4" w:space="0" w:color="auto"/>
            <w:insideV w:val="none" w:sz="0" w:space="0" w:color="auto"/>
          </w:tblBorders>
        </w:tblPrEx>
        <w:tc>
          <w:tcPr>
            <w:tcW w:w="1978" w:type="dxa"/>
            <w:gridSpan w:val="2"/>
            <w:tcBorders>
              <w:top w:val="single" w:sz="4" w:space="0" w:color="auto"/>
              <w:bottom w:val="nil"/>
              <w:right w:val="nil"/>
            </w:tcBorders>
          </w:tcPr>
          <w:p w14:paraId="4F3890F4" w14:textId="77777777" w:rsidR="00AB3FD4" w:rsidRPr="007E5E62" w:rsidRDefault="00AB3FD4" w:rsidP="00AB3FD4">
            <w:pPr>
              <w:spacing w:after="0" w:line="276" w:lineRule="auto"/>
              <w:contextualSpacing/>
              <w:rPr>
                <w:sz w:val="20"/>
              </w:rPr>
            </w:pPr>
            <w:r>
              <w:rPr>
                <w:sz w:val="20"/>
              </w:rPr>
              <w:t>Self-rated health</w:t>
            </w:r>
          </w:p>
        </w:tc>
        <w:tc>
          <w:tcPr>
            <w:tcW w:w="670" w:type="dxa"/>
            <w:tcBorders>
              <w:top w:val="single" w:sz="4" w:space="0" w:color="auto"/>
              <w:bottom w:val="nil"/>
              <w:right w:val="nil"/>
            </w:tcBorders>
          </w:tcPr>
          <w:p w14:paraId="481DC2CC" w14:textId="77777777" w:rsidR="00AB3FD4" w:rsidRPr="00A036B2" w:rsidRDefault="00AB3FD4" w:rsidP="00AB3FD4">
            <w:pPr>
              <w:spacing w:after="0" w:line="276" w:lineRule="auto"/>
              <w:contextualSpacing/>
              <w:jc w:val="center"/>
              <w:rPr>
                <w:b/>
                <w:color w:val="FF0000"/>
                <w:sz w:val="20"/>
              </w:rPr>
            </w:pPr>
          </w:p>
        </w:tc>
        <w:tc>
          <w:tcPr>
            <w:tcW w:w="1738" w:type="dxa"/>
            <w:tcBorders>
              <w:top w:val="single" w:sz="4" w:space="0" w:color="auto"/>
              <w:left w:val="nil"/>
              <w:bottom w:val="nil"/>
              <w:right w:val="nil"/>
            </w:tcBorders>
          </w:tcPr>
          <w:p w14:paraId="38C6E400" w14:textId="77777777" w:rsidR="00AB3FD4" w:rsidRPr="00F320B5" w:rsidRDefault="00AB3FD4" w:rsidP="00AB3FD4">
            <w:pPr>
              <w:spacing w:after="0" w:line="276" w:lineRule="auto"/>
              <w:contextualSpacing/>
              <w:jc w:val="center"/>
              <w:rPr>
                <w:color w:val="FF0000"/>
                <w:sz w:val="20"/>
              </w:rPr>
            </w:pPr>
          </w:p>
        </w:tc>
        <w:tc>
          <w:tcPr>
            <w:tcW w:w="711" w:type="dxa"/>
            <w:tcBorders>
              <w:top w:val="single" w:sz="4" w:space="0" w:color="auto"/>
              <w:left w:val="nil"/>
              <w:bottom w:val="nil"/>
              <w:right w:val="nil"/>
            </w:tcBorders>
            <w:vAlign w:val="center"/>
          </w:tcPr>
          <w:p w14:paraId="4125B050" w14:textId="77777777" w:rsidR="00AB3FD4" w:rsidRPr="00F320B5" w:rsidRDefault="00AB3FD4" w:rsidP="00AB3FD4">
            <w:pPr>
              <w:spacing w:after="0" w:line="276" w:lineRule="auto"/>
              <w:contextualSpacing/>
              <w:jc w:val="center"/>
              <w:rPr>
                <w:color w:val="FF0000"/>
                <w:sz w:val="20"/>
              </w:rPr>
            </w:pPr>
          </w:p>
        </w:tc>
        <w:tc>
          <w:tcPr>
            <w:tcW w:w="284" w:type="dxa"/>
            <w:tcBorders>
              <w:top w:val="single" w:sz="4" w:space="0" w:color="auto"/>
              <w:left w:val="nil"/>
              <w:bottom w:val="nil"/>
              <w:right w:val="nil"/>
            </w:tcBorders>
            <w:vAlign w:val="center"/>
          </w:tcPr>
          <w:p w14:paraId="5DE9BE82" w14:textId="77777777" w:rsidR="00AB3FD4" w:rsidRPr="00F320B5" w:rsidRDefault="00AB3FD4" w:rsidP="00AB3FD4">
            <w:pPr>
              <w:spacing w:after="0" w:line="276" w:lineRule="auto"/>
              <w:contextualSpacing/>
              <w:jc w:val="center"/>
              <w:rPr>
                <w:color w:val="FF0000"/>
                <w:sz w:val="20"/>
              </w:rPr>
            </w:pPr>
          </w:p>
        </w:tc>
        <w:tc>
          <w:tcPr>
            <w:tcW w:w="671" w:type="dxa"/>
            <w:tcBorders>
              <w:top w:val="single" w:sz="4" w:space="0" w:color="auto"/>
              <w:left w:val="nil"/>
              <w:bottom w:val="nil"/>
              <w:right w:val="nil"/>
            </w:tcBorders>
          </w:tcPr>
          <w:p w14:paraId="6B3E6C12" w14:textId="77777777" w:rsidR="00AB3FD4" w:rsidRPr="00F320B5" w:rsidRDefault="00AB3FD4" w:rsidP="00AB3FD4">
            <w:pPr>
              <w:spacing w:after="0" w:line="276" w:lineRule="auto"/>
              <w:contextualSpacing/>
              <w:jc w:val="center"/>
              <w:rPr>
                <w:color w:val="FF0000"/>
                <w:sz w:val="20"/>
              </w:rPr>
            </w:pPr>
          </w:p>
        </w:tc>
        <w:tc>
          <w:tcPr>
            <w:tcW w:w="1598" w:type="dxa"/>
            <w:tcBorders>
              <w:top w:val="single" w:sz="4" w:space="0" w:color="auto"/>
              <w:left w:val="nil"/>
              <w:bottom w:val="nil"/>
              <w:right w:val="nil"/>
            </w:tcBorders>
          </w:tcPr>
          <w:p w14:paraId="54C4EF7D" w14:textId="77777777" w:rsidR="00AB3FD4" w:rsidRPr="00897348" w:rsidRDefault="00AB3FD4" w:rsidP="00AB3FD4">
            <w:pPr>
              <w:spacing w:after="0" w:line="276" w:lineRule="auto"/>
              <w:contextualSpacing/>
              <w:jc w:val="center"/>
              <w:rPr>
                <w:sz w:val="20"/>
              </w:rPr>
            </w:pPr>
          </w:p>
        </w:tc>
        <w:tc>
          <w:tcPr>
            <w:tcW w:w="851" w:type="dxa"/>
            <w:tcBorders>
              <w:top w:val="single" w:sz="4" w:space="0" w:color="auto"/>
              <w:left w:val="nil"/>
              <w:bottom w:val="nil"/>
              <w:right w:val="nil"/>
            </w:tcBorders>
          </w:tcPr>
          <w:p w14:paraId="22247F7B" w14:textId="77777777" w:rsidR="00AB3FD4" w:rsidRPr="00897348" w:rsidRDefault="00AB3FD4" w:rsidP="00AB3FD4">
            <w:pPr>
              <w:spacing w:after="0" w:line="276" w:lineRule="auto"/>
              <w:contextualSpacing/>
              <w:jc w:val="center"/>
              <w:rPr>
                <w:sz w:val="20"/>
              </w:rPr>
            </w:pPr>
          </w:p>
        </w:tc>
        <w:tc>
          <w:tcPr>
            <w:tcW w:w="236" w:type="dxa"/>
            <w:tcBorders>
              <w:top w:val="single" w:sz="4" w:space="0" w:color="auto"/>
              <w:left w:val="nil"/>
              <w:bottom w:val="nil"/>
              <w:right w:val="nil"/>
            </w:tcBorders>
          </w:tcPr>
          <w:p w14:paraId="0C8A0C87" w14:textId="77777777" w:rsidR="00AB3FD4" w:rsidRPr="00897348" w:rsidRDefault="00AB3FD4" w:rsidP="00AB3FD4">
            <w:pPr>
              <w:spacing w:after="0" w:line="276" w:lineRule="auto"/>
              <w:contextualSpacing/>
              <w:jc w:val="center"/>
              <w:rPr>
                <w:sz w:val="20"/>
              </w:rPr>
            </w:pPr>
          </w:p>
        </w:tc>
        <w:tc>
          <w:tcPr>
            <w:tcW w:w="614" w:type="dxa"/>
            <w:tcBorders>
              <w:top w:val="single" w:sz="4" w:space="0" w:color="auto"/>
              <w:left w:val="nil"/>
              <w:bottom w:val="nil"/>
              <w:right w:val="nil"/>
            </w:tcBorders>
          </w:tcPr>
          <w:p w14:paraId="6CEA4E49"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270F3E62" w14:textId="78D05F70" w:rsidR="00AB3FD4" w:rsidRPr="00897348" w:rsidRDefault="00AB3FD4" w:rsidP="00AB3FD4">
            <w:pPr>
              <w:spacing w:after="0" w:line="276" w:lineRule="auto"/>
              <w:contextualSpacing/>
              <w:jc w:val="center"/>
              <w:rPr>
                <w:sz w:val="20"/>
              </w:rPr>
            </w:pPr>
          </w:p>
        </w:tc>
        <w:tc>
          <w:tcPr>
            <w:tcW w:w="885" w:type="dxa"/>
            <w:tcBorders>
              <w:top w:val="single" w:sz="4" w:space="0" w:color="auto"/>
              <w:left w:val="nil"/>
              <w:bottom w:val="nil"/>
              <w:right w:val="nil"/>
            </w:tcBorders>
          </w:tcPr>
          <w:p w14:paraId="0ED8F6F1" w14:textId="77777777" w:rsidR="00AB3FD4" w:rsidRPr="00897348" w:rsidRDefault="00AB3FD4" w:rsidP="00AB3FD4">
            <w:pPr>
              <w:spacing w:after="0" w:line="276" w:lineRule="auto"/>
              <w:contextualSpacing/>
              <w:jc w:val="center"/>
              <w:rPr>
                <w:sz w:val="20"/>
              </w:rPr>
            </w:pPr>
          </w:p>
        </w:tc>
        <w:tc>
          <w:tcPr>
            <w:tcW w:w="243" w:type="dxa"/>
            <w:tcBorders>
              <w:top w:val="single" w:sz="4" w:space="0" w:color="auto"/>
              <w:left w:val="nil"/>
              <w:bottom w:val="nil"/>
              <w:right w:val="nil"/>
            </w:tcBorders>
          </w:tcPr>
          <w:p w14:paraId="34863E03" w14:textId="77777777" w:rsidR="00AB3FD4" w:rsidRPr="00897348" w:rsidRDefault="00AB3FD4" w:rsidP="00AB3FD4">
            <w:pPr>
              <w:spacing w:after="0" w:line="276" w:lineRule="auto"/>
              <w:contextualSpacing/>
              <w:jc w:val="center"/>
              <w:rPr>
                <w:sz w:val="20"/>
              </w:rPr>
            </w:pPr>
          </w:p>
        </w:tc>
        <w:tc>
          <w:tcPr>
            <w:tcW w:w="577" w:type="dxa"/>
            <w:tcBorders>
              <w:top w:val="single" w:sz="4" w:space="0" w:color="auto"/>
              <w:left w:val="nil"/>
              <w:bottom w:val="nil"/>
              <w:right w:val="nil"/>
            </w:tcBorders>
          </w:tcPr>
          <w:p w14:paraId="1D05D75A"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04235E82" w14:textId="77777777" w:rsidR="00AB3FD4" w:rsidRPr="00897348" w:rsidRDefault="00AB3FD4" w:rsidP="00AB3FD4">
            <w:pPr>
              <w:spacing w:after="0" w:line="276" w:lineRule="auto"/>
              <w:contextualSpacing/>
              <w:jc w:val="center"/>
              <w:rPr>
                <w:sz w:val="20"/>
              </w:rPr>
            </w:pPr>
          </w:p>
        </w:tc>
        <w:tc>
          <w:tcPr>
            <w:tcW w:w="854" w:type="dxa"/>
            <w:tcBorders>
              <w:top w:val="single" w:sz="4" w:space="0" w:color="auto"/>
              <w:left w:val="nil"/>
              <w:bottom w:val="nil"/>
              <w:right w:val="nil"/>
            </w:tcBorders>
          </w:tcPr>
          <w:p w14:paraId="5BED474A" w14:textId="77777777" w:rsidR="00AB3FD4" w:rsidRPr="00897348" w:rsidRDefault="00AB3FD4" w:rsidP="00AB3FD4">
            <w:pPr>
              <w:spacing w:after="0" w:line="276" w:lineRule="auto"/>
              <w:contextualSpacing/>
              <w:jc w:val="center"/>
              <w:rPr>
                <w:sz w:val="20"/>
              </w:rPr>
            </w:pPr>
          </w:p>
        </w:tc>
      </w:tr>
      <w:tr w:rsidR="00AB3FD4" w:rsidRPr="00F320B5" w14:paraId="652182C0" w14:textId="38D4C636" w:rsidTr="00AB3FD4">
        <w:tblPrEx>
          <w:tblBorders>
            <w:top w:val="single" w:sz="4" w:space="0" w:color="auto"/>
            <w:insideV w:val="none" w:sz="0" w:space="0" w:color="auto"/>
          </w:tblBorders>
        </w:tblPrEx>
        <w:tc>
          <w:tcPr>
            <w:tcW w:w="280" w:type="dxa"/>
            <w:tcBorders>
              <w:top w:val="nil"/>
              <w:bottom w:val="nil"/>
              <w:right w:val="nil"/>
            </w:tcBorders>
          </w:tcPr>
          <w:p w14:paraId="1665E13B"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tcPr>
          <w:p w14:paraId="5D7E63C8" w14:textId="77777777" w:rsidR="00AB3FD4" w:rsidRPr="007E5E62" w:rsidRDefault="00AB3FD4" w:rsidP="00AB3FD4">
            <w:pPr>
              <w:spacing w:after="0" w:line="276" w:lineRule="auto"/>
              <w:contextualSpacing/>
              <w:rPr>
                <w:sz w:val="20"/>
                <w:szCs w:val="20"/>
              </w:rPr>
            </w:pPr>
            <w:r>
              <w:rPr>
                <w:sz w:val="20"/>
                <w:szCs w:val="20"/>
              </w:rPr>
              <w:t>Good/very good/excellent</w:t>
            </w:r>
          </w:p>
        </w:tc>
        <w:tc>
          <w:tcPr>
            <w:tcW w:w="670" w:type="dxa"/>
            <w:tcBorders>
              <w:top w:val="nil"/>
              <w:left w:val="nil"/>
              <w:bottom w:val="single" w:sz="4" w:space="0" w:color="auto"/>
              <w:right w:val="nil"/>
            </w:tcBorders>
          </w:tcPr>
          <w:p w14:paraId="54C6D735" w14:textId="77777777" w:rsidR="00AB3FD4" w:rsidRPr="0046486F" w:rsidRDefault="00AB3FD4" w:rsidP="00AB3FD4">
            <w:pPr>
              <w:spacing w:after="0" w:line="276" w:lineRule="auto"/>
              <w:contextualSpacing/>
              <w:jc w:val="center"/>
              <w:rPr>
                <w:sz w:val="20"/>
              </w:rPr>
            </w:pPr>
            <w:r>
              <w:rPr>
                <w:sz w:val="20"/>
              </w:rPr>
              <w:t>5.6</w:t>
            </w:r>
          </w:p>
        </w:tc>
        <w:tc>
          <w:tcPr>
            <w:tcW w:w="1738" w:type="dxa"/>
            <w:tcBorders>
              <w:top w:val="nil"/>
              <w:left w:val="nil"/>
              <w:bottom w:val="single" w:sz="4" w:space="0" w:color="auto"/>
              <w:right w:val="nil"/>
            </w:tcBorders>
          </w:tcPr>
          <w:p w14:paraId="6B3AE724" w14:textId="77777777" w:rsidR="00AB3FD4" w:rsidRPr="00F320B5" w:rsidRDefault="00AB3FD4" w:rsidP="00AB3FD4">
            <w:pPr>
              <w:spacing w:after="0" w:line="276" w:lineRule="auto"/>
              <w:contextualSpacing/>
              <w:jc w:val="center"/>
              <w:rPr>
                <w:sz w:val="20"/>
              </w:rPr>
            </w:pPr>
            <w:r>
              <w:rPr>
                <w:sz w:val="20"/>
              </w:rPr>
              <w:t>1.00</w:t>
            </w:r>
          </w:p>
        </w:tc>
        <w:tc>
          <w:tcPr>
            <w:tcW w:w="711" w:type="dxa"/>
            <w:tcBorders>
              <w:top w:val="nil"/>
              <w:left w:val="nil"/>
              <w:bottom w:val="single" w:sz="4" w:space="0" w:color="auto"/>
              <w:right w:val="nil"/>
            </w:tcBorders>
          </w:tcPr>
          <w:p w14:paraId="4DC23694" w14:textId="77777777" w:rsidR="00AB3FD4" w:rsidRPr="00F320B5" w:rsidRDefault="00AB3FD4" w:rsidP="00AB3FD4">
            <w:pPr>
              <w:spacing w:after="0" w:line="276" w:lineRule="auto"/>
              <w:contextualSpacing/>
              <w:jc w:val="center"/>
              <w:rPr>
                <w:sz w:val="20"/>
              </w:rPr>
            </w:pPr>
            <w:r>
              <w:rPr>
                <w:sz w:val="20"/>
              </w:rPr>
              <w:t>-</w:t>
            </w:r>
          </w:p>
        </w:tc>
        <w:tc>
          <w:tcPr>
            <w:tcW w:w="284" w:type="dxa"/>
            <w:tcBorders>
              <w:top w:val="nil"/>
              <w:left w:val="nil"/>
              <w:bottom w:val="single" w:sz="4" w:space="0" w:color="auto"/>
              <w:right w:val="nil"/>
            </w:tcBorders>
            <w:vAlign w:val="center"/>
          </w:tcPr>
          <w:p w14:paraId="2EB4B830"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660ADCE8" w14:textId="77777777" w:rsidR="00AB3FD4" w:rsidRPr="00F320B5" w:rsidRDefault="00AB3FD4" w:rsidP="00AB3FD4">
            <w:pPr>
              <w:spacing w:after="0" w:line="276" w:lineRule="auto"/>
              <w:contextualSpacing/>
              <w:jc w:val="center"/>
              <w:rPr>
                <w:sz w:val="20"/>
              </w:rPr>
            </w:pPr>
            <w:r>
              <w:rPr>
                <w:sz w:val="20"/>
              </w:rPr>
              <w:t>13.1</w:t>
            </w:r>
          </w:p>
        </w:tc>
        <w:tc>
          <w:tcPr>
            <w:tcW w:w="1598" w:type="dxa"/>
            <w:tcBorders>
              <w:top w:val="nil"/>
              <w:left w:val="nil"/>
              <w:bottom w:val="single" w:sz="4" w:space="0" w:color="auto"/>
              <w:right w:val="nil"/>
            </w:tcBorders>
          </w:tcPr>
          <w:p w14:paraId="49C99775" w14:textId="77777777" w:rsidR="00AB3FD4" w:rsidRPr="00F320B5" w:rsidRDefault="00AB3FD4" w:rsidP="00AB3FD4">
            <w:pPr>
              <w:spacing w:after="0" w:line="276" w:lineRule="auto"/>
              <w:contextualSpacing/>
              <w:jc w:val="center"/>
              <w:rPr>
                <w:sz w:val="20"/>
              </w:rPr>
            </w:pPr>
            <w:r>
              <w:rPr>
                <w:sz w:val="20"/>
              </w:rPr>
              <w:t>1.00</w:t>
            </w:r>
          </w:p>
        </w:tc>
        <w:tc>
          <w:tcPr>
            <w:tcW w:w="851" w:type="dxa"/>
            <w:tcBorders>
              <w:top w:val="nil"/>
              <w:left w:val="nil"/>
              <w:bottom w:val="single" w:sz="4" w:space="0" w:color="auto"/>
              <w:right w:val="nil"/>
            </w:tcBorders>
          </w:tcPr>
          <w:p w14:paraId="55C441EA" w14:textId="77777777" w:rsidR="00AB3FD4" w:rsidRPr="00F320B5" w:rsidRDefault="00AB3FD4" w:rsidP="00AB3FD4">
            <w:pPr>
              <w:spacing w:after="0" w:line="276" w:lineRule="auto"/>
              <w:contextualSpacing/>
              <w:jc w:val="center"/>
              <w:rPr>
                <w:sz w:val="20"/>
              </w:rPr>
            </w:pPr>
            <w:r>
              <w:rPr>
                <w:sz w:val="20"/>
              </w:rPr>
              <w:t>-</w:t>
            </w:r>
          </w:p>
        </w:tc>
        <w:tc>
          <w:tcPr>
            <w:tcW w:w="236" w:type="dxa"/>
            <w:tcBorders>
              <w:top w:val="nil"/>
              <w:left w:val="nil"/>
              <w:bottom w:val="single" w:sz="4" w:space="0" w:color="auto"/>
              <w:right w:val="nil"/>
            </w:tcBorders>
          </w:tcPr>
          <w:p w14:paraId="55C4E7C6"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2FBD9356" w14:textId="795BCF13" w:rsidR="00AB3FD4" w:rsidRDefault="00AB3FD4" w:rsidP="00AB3FD4">
            <w:pPr>
              <w:spacing w:after="0" w:line="276" w:lineRule="auto"/>
              <w:contextualSpacing/>
              <w:jc w:val="center"/>
              <w:rPr>
                <w:sz w:val="20"/>
              </w:rPr>
            </w:pPr>
            <w:r>
              <w:rPr>
                <w:sz w:val="20"/>
              </w:rPr>
              <w:t>8.2</w:t>
            </w:r>
          </w:p>
        </w:tc>
        <w:tc>
          <w:tcPr>
            <w:tcW w:w="1700" w:type="dxa"/>
            <w:tcBorders>
              <w:top w:val="nil"/>
              <w:left w:val="nil"/>
              <w:bottom w:val="single" w:sz="4" w:space="0" w:color="auto"/>
              <w:right w:val="nil"/>
            </w:tcBorders>
          </w:tcPr>
          <w:p w14:paraId="7DFC6ED1" w14:textId="522405BC" w:rsidR="00AB3FD4" w:rsidRDefault="00AB3FD4" w:rsidP="00AB3FD4">
            <w:pPr>
              <w:spacing w:after="0" w:line="276" w:lineRule="auto"/>
              <w:contextualSpacing/>
              <w:jc w:val="center"/>
              <w:rPr>
                <w:sz w:val="20"/>
              </w:rPr>
            </w:pPr>
            <w:r>
              <w:rPr>
                <w:sz w:val="20"/>
              </w:rPr>
              <w:t>1.00</w:t>
            </w:r>
          </w:p>
        </w:tc>
        <w:tc>
          <w:tcPr>
            <w:tcW w:w="885" w:type="dxa"/>
            <w:tcBorders>
              <w:top w:val="nil"/>
              <w:left w:val="nil"/>
              <w:bottom w:val="single" w:sz="4" w:space="0" w:color="auto"/>
              <w:right w:val="nil"/>
            </w:tcBorders>
          </w:tcPr>
          <w:p w14:paraId="58344A99" w14:textId="4AFCE49F" w:rsidR="00AB3FD4" w:rsidRDefault="00AB3FD4" w:rsidP="00AB3FD4">
            <w:pPr>
              <w:spacing w:after="0" w:line="276" w:lineRule="auto"/>
              <w:contextualSpacing/>
              <w:jc w:val="center"/>
              <w:rPr>
                <w:sz w:val="20"/>
              </w:rPr>
            </w:pPr>
            <w:r>
              <w:rPr>
                <w:sz w:val="20"/>
              </w:rPr>
              <w:t>-</w:t>
            </w:r>
          </w:p>
        </w:tc>
        <w:tc>
          <w:tcPr>
            <w:tcW w:w="243" w:type="dxa"/>
            <w:tcBorders>
              <w:top w:val="nil"/>
              <w:left w:val="nil"/>
              <w:bottom w:val="single" w:sz="4" w:space="0" w:color="auto"/>
              <w:right w:val="nil"/>
            </w:tcBorders>
            <w:vAlign w:val="center"/>
          </w:tcPr>
          <w:p w14:paraId="691EC764"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5CD4322D" w14:textId="62DB941B" w:rsidR="00AB3FD4" w:rsidRDefault="00AB3FD4" w:rsidP="00AB3FD4">
            <w:pPr>
              <w:spacing w:after="0" w:line="276" w:lineRule="auto"/>
              <w:contextualSpacing/>
              <w:jc w:val="center"/>
              <w:rPr>
                <w:sz w:val="20"/>
              </w:rPr>
            </w:pPr>
            <w:r>
              <w:rPr>
                <w:sz w:val="20"/>
              </w:rPr>
              <w:t>4.8</w:t>
            </w:r>
          </w:p>
        </w:tc>
        <w:tc>
          <w:tcPr>
            <w:tcW w:w="1700" w:type="dxa"/>
            <w:tcBorders>
              <w:top w:val="nil"/>
              <w:left w:val="nil"/>
              <w:bottom w:val="single" w:sz="4" w:space="0" w:color="auto"/>
              <w:right w:val="nil"/>
            </w:tcBorders>
          </w:tcPr>
          <w:p w14:paraId="5395C2EF" w14:textId="1CCDC2AD" w:rsidR="00AB3FD4" w:rsidRDefault="00AB3FD4" w:rsidP="00AB3FD4">
            <w:pPr>
              <w:spacing w:after="0" w:line="276" w:lineRule="auto"/>
              <w:contextualSpacing/>
              <w:jc w:val="center"/>
              <w:rPr>
                <w:sz w:val="20"/>
              </w:rPr>
            </w:pPr>
            <w:r>
              <w:rPr>
                <w:sz w:val="20"/>
              </w:rPr>
              <w:t>1.00</w:t>
            </w:r>
          </w:p>
        </w:tc>
        <w:tc>
          <w:tcPr>
            <w:tcW w:w="854" w:type="dxa"/>
            <w:tcBorders>
              <w:top w:val="nil"/>
              <w:left w:val="nil"/>
              <w:bottom w:val="single" w:sz="4" w:space="0" w:color="auto"/>
              <w:right w:val="nil"/>
            </w:tcBorders>
          </w:tcPr>
          <w:p w14:paraId="33643BD1" w14:textId="1CB22BC9" w:rsidR="00AB3FD4" w:rsidRDefault="00AB3FD4" w:rsidP="00AB3FD4">
            <w:pPr>
              <w:spacing w:after="0" w:line="276" w:lineRule="auto"/>
              <w:contextualSpacing/>
              <w:jc w:val="center"/>
              <w:rPr>
                <w:sz w:val="20"/>
              </w:rPr>
            </w:pPr>
            <w:r>
              <w:rPr>
                <w:sz w:val="20"/>
              </w:rPr>
              <w:t>-</w:t>
            </w:r>
          </w:p>
        </w:tc>
      </w:tr>
      <w:tr w:rsidR="00AB3FD4" w:rsidRPr="00503A7A" w14:paraId="098B596D" w14:textId="27579778" w:rsidTr="00AB3FD4">
        <w:tblPrEx>
          <w:tblBorders>
            <w:top w:val="single" w:sz="4" w:space="0" w:color="auto"/>
            <w:insideV w:val="none" w:sz="0" w:space="0" w:color="auto"/>
          </w:tblBorders>
        </w:tblPrEx>
        <w:tc>
          <w:tcPr>
            <w:tcW w:w="280" w:type="dxa"/>
            <w:tcBorders>
              <w:top w:val="nil"/>
              <w:bottom w:val="single" w:sz="4" w:space="0" w:color="auto"/>
              <w:right w:val="nil"/>
            </w:tcBorders>
          </w:tcPr>
          <w:p w14:paraId="51A1EA4C"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tcPr>
          <w:p w14:paraId="4BA64AB0" w14:textId="77777777" w:rsidR="00AB3FD4" w:rsidRPr="007E5E62" w:rsidRDefault="00AB3FD4" w:rsidP="00AB3FD4">
            <w:pPr>
              <w:spacing w:after="0" w:line="276" w:lineRule="auto"/>
              <w:contextualSpacing/>
              <w:rPr>
                <w:sz w:val="20"/>
                <w:szCs w:val="20"/>
              </w:rPr>
            </w:pPr>
            <w:r>
              <w:rPr>
                <w:sz w:val="20"/>
                <w:szCs w:val="20"/>
              </w:rPr>
              <w:t>Fair/poor</w:t>
            </w:r>
          </w:p>
        </w:tc>
        <w:tc>
          <w:tcPr>
            <w:tcW w:w="670" w:type="dxa"/>
            <w:tcBorders>
              <w:top w:val="nil"/>
              <w:left w:val="nil"/>
              <w:bottom w:val="single" w:sz="4" w:space="0" w:color="auto"/>
              <w:right w:val="nil"/>
            </w:tcBorders>
          </w:tcPr>
          <w:p w14:paraId="458C1D0D" w14:textId="77777777" w:rsidR="00AB3FD4" w:rsidRPr="0003400F" w:rsidRDefault="00AB3FD4" w:rsidP="00AB3FD4">
            <w:pPr>
              <w:spacing w:after="0" w:line="276" w:lineRule="auto"/>
              <w:contextualSpacing/>
              <w:jc w:val="center"/>
              <w:rPr>
                <w:sz w:val="20"/>
              </w:rPr>
            </w:pPr>
            <w:r w:rsidRPr="0003400F">
              <w:rPr>
                <w:sz w:val="20"/>
              </w:rPr>
              <w:t>5.8</w:t>
            </w:r>
          </w:p>
        </w:tc>
        <w:tc>
          <w:tcPr>
            <w:tcW w:w="1738" w:type="dxa"/>
            <w:tcBorders>
              <w:top w:val="nil"/>
              <w:left w:val="nil"/>
              <w:bottom w:val="single" w:sz="4" w:space="0" w:color="auto"/>
              <w:right w:val="nil"/>
            </w:tcBorders>
          </w:tcPr>
          <w:p w14:paraId="2B4350C5" w14:textId="77777777" w:rsidR="00AB3FD4" w:rsidRPr="0003400F" w:rsidRDefault="00AB3FD4" w:rsidP="00AB3FD4">
            <w:pPr>
              <w:spacing w:after="0" w:line="276" w:lineRule="auto"/>
              <w:contextualSpacing/>
              <w:jc w:val="center"/>
              <w:rPr>
                <w:sz w:val="20"/>
              </w:rPr>
            </w:pPr>
            <w:r w:rsidRPr="0003400F">
              <w:rPr>
                <w:sz w:val="20"/>
              </w:rPr>
              <w:t>1.17 [0.47-2.92]</w:t>
            </w:r>
          </w:p>
        </w:tc>
        <w:tc>
          <w:tcPr>
            <w:tcW w:w="711" w:type="dxa"/>
            <w:tcBorders>
              <w:top w:val="nil"/>
              <w:left w:val="nil"/>
              <w:bottom w:val="single" w:sz="4" w:space="0" w:color="auto"/>
              <w:right w:val="nil"/>
            </w:tcBorders>
          </w:tcPr>
          <w:p w14:paraId="507E4F43" w14:textId="77777777" w:rsidR="00AB3FD4" w:rsidRPr="0003400F" w:rsidRDefault="00AB3FD4" w:rsidP="00AB3FD4">
            <w:pPr>
              <w:spacing w:after="0" w:line="276" w:lineRule="auto"/>
              <w:contextualSpacing/>
              <w:jc w:val="center"/>
              <w:rPr>
                <w:sz w:val="20"/>
              </w:rPr>
            </w:pPr>
            <w:r w:rsidRPr="0003400F">
              <w:rPr>
                <w:sz w:val="20"/>
              </w:rPr>
              <w:t>0.730</w:t>
            </w:r>
          </w:p>
        </w:tc>
        <w:tc>
          <w:tcPr>
            <w:tcW w:w="284" w:type="dxa"/>
            <w:tcBorders>
              <w:top w:val="nil"/>
              <w:left w:val="nil"/>
              <w:bottom w:val="single" w:sz="4" w:space="0" w:color="auto"/>
              <w:right w:val="nil"/>
            </w:tcBorders>
          </w:tcPr>
          <w:p w14:paraId="18B391F0" w14:textId="77777777" w:rsidR="00AB3FD4" w:rsidRPr="0003400F"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3BF25A70" w14:textId="77777777" w:rsidR="00AB3FD4" w:rsidRPr="0003400F" w:rsidRDefault="00AB3FD4" w:rsidP="00AB3FD4">
            <w:pPr>
              <w:spacing w:after="0" w:line="276" w:lineRule="auto"/>
              <w:contextualSpacing/>
              <w:jc w:val="center"/>
              <w:rPr>
                <w:sz w:val="20"/>
              </w:rPr>
            </w:pPr>
            <w:r w:rsidRPr="0003400F">
              <w:rPr>
                <w:sz w:val="20"/>
              </w:rPr>
              <w:t>9.9</w:t>
            </w:r>
          </w:p>
        </w:tc>
        <w:tc>
          <w:tcPr>
            <w:tcW w:w="1598" w:type="dxa"/>
            <w:tcBorders>
              <w:top w:val="nil"/>
              <w:left w:val="nil"/>
              <w:bottom w:val="single" w:sz="4" w:space="0" w:color="auto"/>
              <w:right w:val="nil"/>
            </w:tcBorders>
          </w:tcPr>
          <w:p w14:paraId="5B8441A5" w14:textId="77777777" w:rsidR="00AB3FD4" w:rsidRPr="0003400F" w:rsidRDefault="00AB3FD4" w:rsidP="00AB3FD4">
            <w:pPr>
              <w:spacing w:after="0" w:line="276" w:lineRule="auto"/>
              <w:contextualSpacing/>
              <w:jc w:val="center"/>
              <w:rPr>
                <w:sz w:val="20"/>
              </w:rPr>
            </w:pPr>
            <w:r w:rsidRPr="0003400F">
              <w:rPr>
                <w:sz w:val="20"/>
              </w:rPr>
              <w:t>0.8</w:t>
            </w:r>
            <w:r>
              <w:rPr>
                <w:sz w:val="20"/>
              </w:rPr>
              <w:t>8</w:t>
            </w:r>
            <w:r w:rsidRPr="0003400F">
              <w:rPr>
                <w:sz w:val="20"/>
              </w:rPr>
              <w:t xml:space="preserve"> [0.4</w:t>
            </w:r>
            <w:r>
              <w:rPr>
                <w:sz w:val="20"/>
              </w:rPr>
              <w:t>5</w:t>
            </w:r>
            <w:r w:rsidRPr="0003400F">
              <w:rPr>
                <w:sz w:val="20"/>
              </w:rPr>
              <w:t>-1.7</w:t>
            </w:r>
            <w:r>
              <w:rPr>
                <w:sz w:val="20"/>
              </w:rPr>
              <w:t>2</w:t>
            </w:r>
            <w:r w:rsidRPr="0003400F">
              <w:rPr>
                <w:sz w:val="20"/>
              </w:rPr>
              <w:t>]</w:t>
            </w:r>
          </w:p>
        </w:tc>
        <w:tc>
          <w:tcPr>
            <w:tcW w:w="851" w:type="dxa"/>
            <w:tcBorders>
              <w:top w:val="nil"/>
              <w:left w:val="nil"/>
              <w:bottom w:val="single" w:sz="4" w:space="0" w:color="auto"/>
              <w:right w:val="nil"/>
            </w:tcBorders>
          </w:tcPr>
          <w:p w14:paraId="7BD7314D" w14:textId="77777777" w:rsidR="00AB3FD4" w:rsidRPr="0003400F" w:rsidRDefault="00AB3FD4" w:rsidP="00AB3FD4">
            <w:pPr>
              <w:spacing w:after="0" w:line="276" w:lineRule="auto"/>
              <w:contextualSpacing/>
              <w:jc w:val="center"/>
              <w:rPr>
                <w:sz w:val="20"/>
              </w:rPr>
            </w:pPr>
            <w:r w:rsidRPr="0003400F">
              <w:rPr>
                <w:sz w:val="20"/>
              </w:rPr>
              <w:t>0.</w:t>
            </w:r>
            <w:r>
              <w:rPr>
                <w:sz w:val="20"/>
              </w:rPr>
              <w:t>717</w:t>
            </w:r>
          </w:p>
        </w:tc>
        <w:tc>
          <w:tcPr>
            <w:tcW w:w="236" w:type="dxa"/>
            <w:tcBorders>
              <w:top w:val="nil"/>
              <w:left w:val="nil"/>
              <w:bottom w:val="single" w:sz="4" w:space="0" w:color="auto"/>
              <w:right w:val="nil"/>
            </w:tcBorders>
          </w:tcPr>
          <w:p w14:paraId="665AA890" w14:textId="77777777" w:rsidR="00AB3FD4" w:rsidRPr="0003400F"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6455859C" w14:textId="7A4675B0" w:rsidR="00AB3FD4" w:rsidRPr="0003400F" w:rsidRDefault="00AB3FD4" w:rsidP="00AB3FD4">
            <w:pPr>
              <w:spacing w:after="0" w:line="276" w:lineRule="auto"/>
              <w:contextualSpacing/>
              <w:jc w:val="center"/>
              <w:rPr>
                <w:sz w:val="20"/>
              </w:rPr>
            </w:pPr>
            <w:r>
              <w:rPr>
                <w:sz w:val="20"/>
              </w:rPr>
              <w:t>29.2</w:t>
            </w:r>
          </w:p>
        </w:tc>
        <w:tc>
          <w:tcPr>
            <w:tcW w:w="1700" w:type="dxa"/>
            <w:tcBorders>
              <w:top w:val="nil"/>
              <w:left w:val="nil"/>
              <w:bottom w:val="single" w:sz="4" w:space="0" w:color="auto"/>
              <w:right w:val="nil"/>
            </w:tcBorders>
          </w:tcPr>
          <w:p w14:paraId="3F019193" w14:textId="7C1DDF90" w:rsidR="00AB3FD4" w:rsidRPr="0003400F" w:rsidRDefault="00AB3FD4" w:rsidP="00AB3FD4">
            <w:pPr>
              <w:spacing w:after="0" w:line="276" w:lineRule="auto"/>
              <w:contextualSpacing/>
              <w:jc w:val="center"/>
              <w:rPr>
                <w:sz w:val="20"/>
              </w:rPr>
            </w:pPr>
            <w:r>
              <w:rPr>
                <w:sz w:val="20"/>
              </w:rPr>
              <w:t>3.70 [1.88-7.28]</w:t>
            </w:r>
          </w:p>
        </w:tc>
        <w:tc>
          <w:tcPr>
            <w:tcW w:w="885" w:type="dxa"/>
            <w:tcBorders>
              <w:top w:val="nil"/>
              <w:left w:val="nil"/>
              <w:bottom w:val="single" w:sz="4" w:space="0" w:color="auto"/>
              <w:right w:val="nil"/>
            </w:tcBorders>
          </w:tcPr>
          <w:p w14:paraId="3A3A9882" w14:textId="2116969E" w:rsidR="00AB3FD4" w:rsidRPr="0003400F" w:rsidRDefault="00AB3FD4" w:rsidP="00AB3FD4">
            <w:pPr>
              <w:spacing w:after="0" w:line="276" w:lineRule="auto"/>
              <w:contextualSpacing/>
              <w:jc w:val="center"/>
              <w:rPr>
                <w:sz w:val="20"/>
              </w:rPr>
            </w:pPr>
            <w:r>
              <w:rPr>
                <w:sz w:val="20"/>
              </w:rPr>
              <w:t>&lt;0.001</w:t>
            </w:r>
          </w:p>
        </w:tc>
        <w:tc>
          <w:tcPr>
            <w:tcW w:w="243" w:type="dxa"/>
            <w:tcBorders>
              <w:top w:val="nil"/>
              <w:left w:val="nil"/>
              <w:bottom w:val="single" w:sz="4" w:space="0" w:color="auto"/>
              <w:right w:val="nil"/>
            </w:tcBorders>
          </w:tcPr>
          <w:p w14:paraId="74F9807A" w14:textId="77777777" w:rsidR="00AB3FD4" w:rsidRPr="0003400F"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22C2AC94" w14:textId="7A9CF640" w:rsidR="00AB3FD4" w:rsidRPr="0003400F" w:rsidRDefault="00AB3FD4" w:rsidP="00AB3FD4">
            <w:pPr>
              <w:spacing w:after="0" w:line="276" w:lineRule="auto"/>
              <w:contextualSpacing/>
              <w:jc w:val="center"/>
              <w:rPr>
                <w:sz w:val="20"/>
              </w:rPr>
            </w:pPr>
            <w:r>
              <w:rPr>
                <w:sz w:val="20"/>
              </w:rPr>
              <w:t>17.6</w:t>
            </w:r>
          </w:p>
        </w:tc>
        <w:tc>
          <w:tcPr>
            <w:tcW w:w="1700" w:type="dxa"/>
            <w:tcBorders>
              <w:top w:val="nil"/>
              <w:left w:val="nil"/>
              <w:bottom w:val="single" w:sz="4" w:space="0" w:color="auto"/>
              <w:right w:val="nil"/>
            </w:tcBorders>
          </w:tcPr>
          <w:p w14:paraId="21635EBE" w14:textId="729FE0B2" w:rsidR="00AB3FD4" w:rsidRPr="0003400F" w:rsidRDefault="00AB3FD4" w:rsidP="00AB3FD4">
            <w:pPr>
              <w:spacing w:after="0" w:line="276" w:lineRule="auto"/>
              <w:contextualSpacing/>
              <w:jc w:val="center"/>
              <w:rPr>
                <w:sz w:val="20"/>
              </w:rPr>
            </w:pPr>
            <w:r>
              <w:rPr>
                <w:sz w:val="20"/>
              </w:rPr>
              <w:t>2.61 [1.27-5.35]</w:t>
            </w:r>
          </w:p>
        </w:tc>
        <w:tc>
          <w:tcPr>
            <w:tcW w:w="854" w:type="dxa"/>
            <w:tcBorders>
              <w:top w:val="nil"/>
              <w:left w:val="nil"/>
              <w:bottom w:val="single" w:sz="4" w:space="0" w:color="auto"/>
              <w:right w:val="nil"/>
            </w:tcBorders>
          </w:tcPr>
          <w:p w14:paraId="7C36629B" w14:textId="7A7BF8C8" w:rsidR="00AB3FD4" w:rsidRPr="0003400F" w:rsidRDefault="00AB3FD4" w:rsidP="00AB3FD4">
            <w:pPr>
              <w:spacing w:after="0" w:line="276" w:lineRule="auto"/>
              <w:contextualSpacing/>
              <w:jc w:val="center"/>
              <w:rPr>
                <w:sz w:val="20"/>
              </w:rPr>
            </w:pPr>
            <w:r>
              <w:rPr>
                <w:sz w:val="20"/>
              </w:rPr>
              <w:t>0.009</w:t>
            </w:r>
          </w:p>
        </w:tc>
      </w:tr>
      <w:tr w:rsidR="00AB3FD4" w:rsidRPr="00897348" w14:paraId="0804C9EA" w14:textId="4D71CE5E" w:rsidTr="00AB3FD4">
        <w:tblPrEx>
          <w:tblBorders>
            <w:top w:val="single" w:sz="4" w:space="0" w:color="auto"/>
            <w:insideV w:val="none" w:sz="0" w:space="0" w:color="auto"/>
          </w:tblBorders>
        </w:tblPrEx>
        <w:tc>
          <w:tcPr>
            <w:tcW w:w="1978" w:type="dxa"/>
            <w:gridSpan w:val="2"/>
            <w:tcBorders>
              <w:top w:val="single" w:sz="4" w:space="0" w:color="auto"/>
              <w:bottom w:val="nil"/>
              <w:right w:val="nil"/>
            </w:tcBorders>
          </w:tcPr>
          <w:p w14:paraId="41F26737" w14:textId="77777777" w:rsidR="00AB3FD4" w:rsidRPr="007E5E62" w:rsidRDefault="00AB3FD4" w:rsidP="00AB3FD4">
            <w:pPr>
              <w:spacing w:after="0" w:line="276" w:lineRule="auto"/>
              <w:contextualSpacing/>
              <w:rPr>
                <w:sz w:val="20"/>
              </w:rPr>
            </w:pPr>
            <w:r>
              <w:rPr>
                <w:sz w:val="20"/>
              </w:rPr>
              <w:t>BMI</w:t>
            </w:r>
          </w:p>
        </w:tc>
        <w:tc>
          <w:tcPr>
            <w:tcW w:w="670" w:type="dxa"/>
            <w:tcBorders>
              <w:top w:val="single" w:sz="4" w:space="0" w:color="auto"/>
              <w:bottom w:val="nil"/>
              <w:right w:val="nil"/>
            </w:tcBorders>
          </w:tcPr>
          <w:p w14:paraId="0B6E80CD" w14:textId="77777777" w:rsidR="00AB3FD4" w:rsidRPr="0003400F" w:rsidRDefault="00AB3FD4" w:rsidP="00AB3FD4">
            <w:pPr>
              <w:spacing w:after="0" w:line="276" w:lineRule="auto"/>
              <w:contextualSpacing/>
              <w:jc w:val="center"/>
              <w:rPr>
                <w:b/>
                <w:sz w:val="20"/>
              </w:rPr>
            </w:pPr>
            <w:r w:rsidRPr="0003400F">
              <w:rPr>
                <w:b/>
                <w:sz w:val="20"/>
              </w:rPr>
              <w:t>-</w:t>
            </w:r>
          </w:p>
        </w:tc>
        <w:tc>
          <w:tcPr>
            <w:tcW w:w="1738" w:type="dxa"/>
            <w:tcBorders>
              <w:top w:val="single" w:sz="4" w:space="0" w:color="auto"/>
              <w:left w:val="nil"/>
              <w:bottom w:val="nil"/>
              <w:right w:val="nil"/>
            </w:tcBorders>
          </w:tcPr>
          <w:p w14:paraId="294FE774" w14:textId="77777777" w:rsidR="00AB3FD4" w:rsidRPr="0003400F" w:rsidRDefault="00AB3FD4" w:rsidP="00AB3FD4">
            <w:pPr>
              <w:spacing w:after="0" w:line="276" w:lineRule="auto"/>
              <w:contextualSpacing/>
              <w:jc w:val="center"/>
              <w:rPr>
                <w:sz w:val="20"/>
              </w:rPr>
            </w:pPr>
            <w:r w:rsidRPr="0003400F">
              <w:rPr>
                <w:sz w:val="20"/>
              </w:rPr>
              <w:t>1.76 [1.18-2.61]</w:t>
            </w:r>
          </w:p>
        </w:tc>
        <w:tc>
          <w:tcPr>
            <w:tcW w:w="711" w:type="dxa"/>
            <w:tcBorders>
              <w:top w:val="single" w:sz="4" w:space="0" w:color="auto"/>
              <w:left w:val="nil"/>
              <w:bottom w:val="nil"/>
              <w:right w:val="nil"/>
            </w:tcBorders>
            <w:vAlign w:val="center"/>
          </w:tcPr>
          <w:p w14:paraId="796F22B5" w14:textId="77777777" w:rsidR="00AB3FD4" w:rsidRPr="0003400F" w:rsidRDefault="00AB3FD4" w:rsidP="00AB3FD4">
            <w:pPr>
              <w:spacing w:after="0" w:line="276" w:lineRule="auto"/>
              <w:contextualSpacing/>
              <w:jc w:val="center"/>
              <w:rPr>
                <w:sz w:val="20"/>
              </w:rPr>
            </w:pPr>
            <w:r w:rsidRPr="0003400F">
              <w:rPr>
                <w:sz w:val="20"/>
              </w:rPr>
              <w:t>0.005</w:t>
            </w:r>
          </w:p>
        </w:tc>
        <w:tc>
          <w:tcPr>
            <w:tcW w:w="284" w:type="dxa"/>
            <w:tcBorders>
              <w:top w:val="single" w:sz="4" w:space="0" w:color="auto"/>
              <w:left w:val="nil"/>
              <w:bottom w:val="nil"/>
              <w:right w:val="nil"/>
            </w:tcBorders>
            <w:vAlign w:val="center"/>
          </w:tcPr>
          <w:p w14:paraId="3793643A" w14:textId="77777777" w:rsidR="00AB3FD4" w:rsidRPr="0003400F" w:rsidRDefault="00AB3FD4" w:rsidP="00AB3FD4">
            <w:pPr>
              <w:spacing w:after="0" w:line="276" w:lineRule="auto"/>
              <w:contextualSpacing/>
              <w:jc w:val="center"/>
              <w:rPr>
                <w:sz w:val="20"/>
              </w:rPr>
            </w:pPr>
          </w:p>
        </w:tc>
        <w:tc>
          <w:tcPr>
            <w:tcW w:w="671" w:type="dxa"/>
            <w:tcBorders>
              <w:top w:val="single" w:sz="4" w:space="0" w:color="auto"/>
              <w:left w:val="nil"/>
              <w:bottom w:val="nil"/>
              <w:right w:val="nil"/>
            </w:tcBorders>
          </w:tcPr>
          <w:p w14:paraId="2C78E342" w14:textId="77777777" w:rsidR="00AB3FD4" w:rsidRPr="0003400F" w:rsidRDefault="00AB3FD4" w:rsidP="00AB3FD4">
            <w:pPr>
              <w:spacing w:after="0" w:line="276" w:lineRule="auto"/>
              <w:contextualSpacing/>
              <w:jc w:val="center"/>
              <w:rPr>
                <w:sz w:val="20"/>
              </w:rPr>
            </w:pPr>
            <w:r w:rsidRPr="0003400F">
              <w:rPr>
                <w:sz w:val="20"/>
              </w:rPr>
              <w:t>-</w:t>
            </w:r>
          </w:p>
        </w:tc>
        <w:tc>
          <w:tcPr>
            <w:tcW w:w="1598" w:type="dxa"/>
            <w:tcBorders>
              <w:top w:val="single" w:sz="4" w:space="0" w:color="auto"/>
              <w:left w:val="nil"/>
              <w:bottom w:val="nil"/>
              <w:right w:val="nil"/>
            </w:tcBorders>
          </w:tcPr>
          <w:p w14:paraId="34B31AD1" w14:textId="77777777" w:rsidR="00AB3FD4" w:rsidRPr="0003400F" w:rsidRDefault="00AB3FD4" w:rsidP="00AB3FD4">
            <w:pPr>
              <w:spacing w:after="0" w:line="276" w:lineRule="auto"/>
              <w:contextualSpacing/>
              <w:jc w:val="center"/>
              <w:rPr>
                <w:sz w:val="20"/>
              </w:rPr>
            </w:pPr>
            <w:r>
              <w:rPr>
                <w:sz w:val="20"/>
              </w:rPr>
              <w:t>2.14 [1.69-2.72]</w:t>
            </w:r>
          </w:p>
        </w:tc>
        <w:tc>
          <w:tcPr>
            <w:tcW w:w="851" w:type="dxa"/>
            <w:tcBorders>
              <w:top w:val="single" w:sz="4" w:space="0" w:color="auto"/>
              <w:left w:val="nil"/>
              <w:bottom w:val="nil"/>
              <w:right w:val="nil"/>
            </w:tcBorders>
          </w:tcPr>
          <w:p w14:paraId="56189479" w14:textId="77777777" w:rsidR="00AB3FD4" w:rsidRPr="0003400F" w:rsidRDefault="00AB3FD4" w:rsidP="00AB3FD4">
            <w:pPr>
              <w:spacing w:after="0" w:line="276" w:lineRule="auto"/>
              <w:contextualSpacing/>
              <w:jc w:val="center"/>
              <w:rPr>
                <w:sz w:val="20"/>
              </w:rPr>
            </w:pPr>
            <w:r>
              <w:rPr>
                <w:sz w:val="20"/>
              </w:rPr>
              <w:t>&lt;0.001</w:t>
            </w:r>
          </w:p>
        </w:tc>
        <w:tc>
          <w:tcPr>
            <w:tcW w:w="236" w:type="dxa"/>
            <w:tcBorders>
              <w:top w:val="single" w:sz="4" w:space="0" w:color="auto"/>
              <w:left w:val="nil"/>
              <w:bottom w:val="nil"/>
              <w:right w:val="nil"/>
            </w:tcBorders>
          </w:tcPr>
          <w:p w14:paraId="2206C1F2" w14:textId="77777777" w:rsidR="00AB3FD4" w:rsidRDefault="00AB3FD4" w:rsidP="00AB3FD4">
            <w:pPr>
              <w:spacing w:after="0" w:line="276" w:lineRule="auto"/>
              <w:contextualSpacing/>
              <w:jc w:val="center"/>
              <w:rPr>
                <w:sz w:val="20"/>
              </w:rPr>
            </w:pPr>
          </w:p>
        </w:tc>
        <w:tc>
          <w:tcPr>
            <w:tcW w:w="614" w:type="dxa"/>
            <w:tcBorders>
              <w:top w:val="single" w:sz="4" w:space="0" w:color="auto"/>
              <w:left w:val="nil"/>
              <w:bottom w:val="nil"/>
              <w:right w:val="nil"/>
            </w:tcBorders>
          </w:tcPr>
          <w:p w14:paraId="7EBD20EE" w14:textId="3049C179" w:rsidR="00AB3FD4" w:rsidRDefault="00AB3FD4" w:rsidP="00AB3FD4">
            <w:pPr>
              <w:spacing w:after="0" w:line="276" w:lineRule="auto"/>
              <w:contextualSpacing/>
              <w:jc w:val="center"/>
              <w:rPr>
                <w:sz w:val="20"/>
              </w:rPr>
            </w:pPr>
            <w:r w:rsidRPr="00864E81">
              <w:rPr>
                <w:b/>
                <w:sz w:val="20"/>
              </w:rPr>
              <w:t>-</w:t>
            </w:r>
          </w:p>
        </w:tc>
        <w:tc>
          <w:tcPr>
            <w:tcW w:w="1700" w:type="dxa"/>
            <w:tcBorders>
              <w:top w:val="single" w:sz="4" w:space="0" w:color="auto"/>
              <w:left w:val="nil"/>
              <w:bottom w:val="nil"/>
              <w:right w:val="nil"/>
            </w:tcBorders>
          </w:tcPr>
          <w:p w14:paraId="784B1390" w14:textId="18900FCF" w:rsidR="00AB3FD4" w:rsidRDefault="00AB3FD4" w:rsidP="00AB3FD4">
            <w:pPr>
              <w:spacing w:after="0" w:line="276" w:lineRule="auto"/>
              <w:contextualSpacing/>
              <w:jc w:val="center"/>
              <w:rPr>
                <w:sz w:val="20"/>
              </w:rPr>
            </w:pPr>
            <w:r>
              <w:rPr>
                <w:sz w:val="20"/>
              </w:rPr>
              <w:t>0.53 [0.43-0.64]</w:t>
            </w:r>
          </w:p>
        </w:tc>
        <w:tc>
          <w:tcPr>
            <w:tcW w:w="885" w:type="dxa"/>
            <w:tcBorders>
              <w:top w:val="single" w:sz="4" w:space="0" w:color="auto"/>
              <w:left w:val="nil"/>
              <w:bottom w:val="nil"/>
              <w:right w:val="nil"/>
            </w:tcBorders>
            <w:vAlign w:val="center"/>
          </w:tcPr>
          <w:p w14:paraId="733A736B" w14:textId="69BB2B4C" w:rsidR="00AB3FD4" w:rsidRDefault="00AB3FD4" w:rsidP="00AB3FD4">
            <w:pPr>
              <w:spacing w:after="0" w:line="276" w:lineRule="auto"/>
              <w:contextualSpacing/>
              <w:jc w:val="center"/>
              <w:rPr>
                <w:sz w:val="20"/>
              </w:rPr>
            </w:pPr>
            <w:r>
              <w:rPr>
                <w:sz w:val="20"/>
              </w:rPr>
              <w:t>&lt;0.001</w:t>
            </w:r>
          </w:p>
        </w:tc>
        <w:tc>
          <w:tcPr>
            <w:tcW w:w="243" w:type="dxa"/>
            <w:tcBorders>
              <w:top w:val="single" w:sz="4" w:space="0" w:color="auto"/>
              <w:left w:val="nil"/>
              <w:bottom w:val="nil"/>
              <w:right w:val="nil"/>
            </w:tcBorders>
            <w:vAlign w:val="center"/>
          </w:tcPr>
          <w:p w14:paraId="246AD6AB" w14:textId="77777777" w:rsidR="00AB3FD4" w:rsidRDefault="00AB3FD4" w:rsidP="00AB3FD4">
            <w:pPr>
              <w:spacing w:after="0" w:line="276" w:lineRule="auto"/>
              <w:contextualSpacing/>
              <w:jc w:val="center"/>
              <w:rPr>
                <w:sz w:val="20"/>
              </w:rPr>
            </w:pPr>
          </w:p>
        </w:tc>
        <w:tc>
          <w:tcPr>
            <w:tcW w:w="577" w:type="dxa"/>
            <w:tcBorders>
              <w:top w:val="single" w:sz="4" w:space="0" w:color="auto"/>
              <w:left w:val="nil"/>
              <w:bottom w:val="nil"/>
              <w:right w:val="nil"/>
            </w:tcBorders>
          </w:tcPr>
          <w:p w14:paraId="31BA2F45" w14:textId="4C78FE2A" w:rsidR="00AB3FD4" w:rsidRDefault="00AB3FD4" w:rsidP="00AB3FD4">
            <w:pPr>
              <w:spacing w:after="0" w:line="276" w:lineRule="auto"/>
              <w:contextualSpacing/>
              <w:jc w:val="center"/>
              <w:rPr>
                <w:sz w:val="20"/>
              </w:rPr>
            </w:pPr>
            <w:r w:rsidRPr="00864E81">
              <w:rPr>
                <w:sz w:val="20"/>
              </w:rPr>
              <w:t>-</w:t>
            </w:r>
          </w:p>
        </w:tc>
        <w:tc>
          <w:tcPr>
            <w:tcW w:w="1700" w:type="dxa"/>
            <w:tcBorders>
              <w:top w:val="single" w:sz="4" w:space="0" w:color="auto"/>
              <w:left w:val="nil"/>
              <w:bottom w:val="nil"/>
              <w:right w:val="nil"/>
            </w:tcBorders>
          </w:tcPr>
          <w:p w14:paraId="4EB4390A" w14:textId="58BB7F40" w:rsidR="00AB3FD4" w:rsidRDefault="00AB3FD4" w:rsidP="00AB3FD4">
            <w:pPr>
              <w:spacing w:after="0" w:line="276" w:lineRule="auto"/>
              <w:contextualSpacing/>
              <w:jc w:val="center"/>
              <w:rPr>
                <w:sz w:val="20"/>
              </w:rPr>
            </w:pPr>
            <w:r>
              <w:rPr>
                <w:sz w:val="20"/>
              </w:rPr>
              <w:t>0.47 [0.38-0.58]</w:t>
            </w:r>
          </w:p>
        </w:tc>
        <w:tc>
          <w:tcPr>
            <w:tcW w:w="854" w:type="dxa"/>
            <w:tcBorders>
              <w:top w:val="single" w:sz="4" w:space="0" w:color="auto"/>
              <w:left w:val="nil"/>
              <w:bottom w:val="nil"/>
              <w:right w:val="nil"/>
            </w:tcBorders>
          </w:tcPr>
          <w:p w14:paraId="72FD1FB4" w14:textId="2C0DACF7" w:rsidR="00AB3FD4" w:rsidRDefault="00AB3FD4" w:rsidP="00AB3FD4">
            <w:pPr>
              <w:spacing w:after="0" w:line="276" w:lineRule="auto"/>
              <w:contextualSpacing/>
              <w:jc w:val="center"/>
              <w:rPr>
                <w:sz w:val="20"/>
              </w:rPr>
            </w:pPr>
            <w:r>
              <w:rPr>
                <w:sz w:val="20"/>
              </w:rPr>
              <w:t>&lt;0.001</w:t>
            </w:r>
          </w:p>
        </w:tc>
      </w:tr>
      <w:tr w:rsidR="00AB3FD4" w:rsidRPr="00897348" w14:paraId="67B61173" w14:textId="77777777" w:rsidTr="00AB3FD4">
        <w:tblPrEx>
          <w:tblBorders>
            <w:top w:val="single" w:sz="4" w:space="0" w:color="auto"/>
            <w:insideV w:val="none" w:sz="0" w:space="0" w:color="auto"/>
          </w:tblBorders>
        </w:tblPrEx>
        <w:tc>
          <w:tcPr>
            <w:tcW w:w="1978" w:type="dxa"/>
            <w:gridSpan w:val="2"/>
            <w:tcBorders>
              <w:top w:val="single" w:sz="4" w:space="0" w:color="auto"/>
              <w:bottom w:val="nil"/>
              <w:right w:val="nil"/>
            </w:tcBorders>
          </w:tcPr>
          <w:p w14:paraId="6D0280CF" w14:textId="68A320AD" w:rsidR="00AB3FD4" w:rsidRPr="007E5E62" w:rsidRDefault="00AB3FD4" w:rsidP="00AB3FD4">
            <w:pPr>
              <w:spacing w:after="0" w:line="276" w:lineRule="auto"/>
              <w:contextualSpacing/>
              <w:rPr>
                <w:sz w:val="20"/>
              </w:rPr>
            </w:pPr>
            <w:r>
              <w:rPr>
                <w:sz w:val="20"/>
              </w:rPr>
              <w:t>Chronic health conditions</w:t>
            </w:r>
          </w:p>
        </w:tc>
        <w:tc>
          <w:tcPr>
            <w:tcW w:w="670" w:type="dxa"/>
            <w:tcBorders>
              <w:top w:val="single" w:sz="4" w:space="0" w:color="auto"/>
              <w:bottom w:val="nil"/>
              <w:right w:val="nil"/>
            </w:tcBorders>
          </w:tcPr>
          <w:p w14:paraId="1414796A" w14:textId="77777777" w:rsidR="00AB3FD4" w:rsidRPr="00A036B2" w:rsidRDefault="00AB3FD4" w:rsidP="00AB3FD4">
            <w:pPr>
              <w:spacing w:after="0" w:line="276" w:lineRule="auto"/>
              <w:contextualSpacing/>
              <w:jc w:val="center"/>
              <w:rPr>
                <w:b/>
                <w:color w:val="FF0000"/>
                <w:sz w:val="20"/>
              </w:rPr>
            </w:pPr>
          </w:p>
        </w:tc>
        <w:tc>
          <w:tcPr>
            <w:tcW w:w="1738" w:type="dxa"/>
            <w:tcBorders>
              <w:top w:val="single" w:sz="4" w:space="0" w:color="auto"/>
              <w:left w:val="nil"/>
              <w:bottom w:val="nil"/>
              <w:right w:val="nil"/>
            </w:tcBorders>
          </w:tcPr>
          <w:p w14:paraId="7082A6DB" w14:textId="77777777" w:rsidR="00AB3FD4" w:rsidRPr="00F320B5" w:rsidRDefault="00AB3FD4" w:rsidP="00AB3FD4">
            <w:pPr>
              <w:spacing w:after="0" w:line="276" w:lineRule="auto"/>
              <w:contextualSpacing/>
              <w:jc w:val="center"/>
              <w:rPr>
                <w:color w:val="FF0000"/>
                <w:sz w:val="20"/>
              </w:rPr>
            </w:pPr>
          </w:p>
        </w:tc>
        <w:tc>
          <w:tcPr>
            <w:tcW w:w="711" w:type="dxa"/>
            <w:tcBorders>
              <w:top w:val="single" w:sz="4" w:space="0" w:color="auto"/>
              <w:left w:val="nil"/>
              <w:bottom w:val="nil"/>
              <w:right w:val="nil"/>
            </w:tcBorders>
            <w:vAlign w:val="center"/>
          </w:tcPr>
          <w:p w14:paraId="5F48071C" w14:textId="77777777" w:rsidR="00AB3FD4" w:rsidRPr="00F320B5" w:rsidRDefault="00AB3FD4" w:rsidP="00AB3FD4">
            <w:pPr>
              <w:spacing w:after="0" w:line="276" w:lineRule="auto"/>
              <w:contextualSpacing/>
              <w:jc w:val="center"/>
              <w:rPr>
                <w:color w:val="FF0000"/>
                <w:sz w:val="20"/>
              </w:rPr>
            </w:pPr>
          </w:p>
        </w:tc>
        <w:tc>
          <w:tcPr>
            <w:tcW w:w="284" w:type="dxa"/>
            <w:tcBorders>
              <w:top w:val="single" w:sz="4" w:space="0" w:color="auto"/>
              <w:left w:val="nil"/>
              <w:bottom w:val="nil"/>
              <w:right w:val="nil"/>
            </w:tcBorders>
            <w:vAlign w:val="center"/>
          </w:tcPr>
          <w:p w14:paraId="69459835" w14:textId="77777777" w:rsidR="00AB3FD4" w:rsidRPr="00F320B5" w:rsidRDefault="00AB3FD4" w:rsidP="00AB3FD4">
            <w:pPr>
              <w:spacing w:after="0" w:line="276" w:lineRule="auto"/>
              <w:contextualSpacing/>
              <w:jc w:val="center"/>
              <w:rPr>
                <w:color w:val="FF0000"/>
                <w:sz w:val="20"/>
              </w:rPr>
            </w:pPr>
          </w:p>
        </w:tc>
        <w:tc>
          <w:tcPr>
            <w:tcW w:w="671" w:type="dxa"/>
            <w:tcBorders>
              <w:top w:val="single" w:sz="4" w:space="0" w:color="auto"/>
              <w:left w:val="nil"/>
              <w:bottom w:val="nil"/>
              <w:right w:val="nil"/>
            </w:tcBorders>
          </w:tcPr>
          <w:p w14:paraId="2DED1DB2" w14:textId="77777777" w:rsidR="00AB3FD4" w:rsidRPr="00F320B5" w:rsidRDefault="00AB3FD4" w:rsidP="00AB3FD4">
            <w:pPr>
              <w:spacing w:after="0" w:line="276" w:lineRule="auto"/>
              <w:contextualSpacing/>
              <w:jc w:val="center"/>
              <w:rPr>
                <w:color w:val="FF0000"/>
                <w:sz w:val="20"/>
              </w:rPr>
            </w:pPr>
          </w:p>
        </w:tc>
        <w:tc>
          <w:tcPr>
            <w:tcW w:w="1598" w:type="dxa"/>
            <w:tcBorders>
              <w:top w:val="single" w:sz="4" w:space="0" w:color="auto"/>
              <w:left w:val="nil"/>
              <w:bottom w:val="nil"/>
              <w:right w:val="nil"/>
            </w:tcBorders>
          </w:tcPr>
          <w:p w14:paraId="7C98F37A" w14:textId="77777777" w:rsidR="00AB3FD4" w:rsidRPr="00897348" w:rsidRDefault="00AB3FD4" w:rsidP="00AB3FD4">
            <w:pPr>
              <w:spacing w:after="0" w:line="276" w:lineRule="auto"/>
              <w:contextualSpacing/>
              <w:jc w:val="center"/>
              <w:rPr>
                <w:sz w:val="20"/>
              </w:rPr>
            </w:pPr>
          </w:p>
        </w:tc>
        <w:tc>
          <w:tcPr>
            <w:tcW w:w="851" w:type="dxa"/>
            <w:tcBorders>
              <w:top w:val="single" w:sz="4" w:space="0" w:color="auto"/>
              <w:left w:val="nil"/>
              <w:bottom w:val="nil"/>
              <w:right w:val="nil"/>
            </w:tcBorders>
          </w:tcPr>
          <w:p w14:paraId="12C189E8" w14:textId="77777777" w:rsidR="00AB3FD4" w:rsidRPr="00897348" w:rsidRDefault="00AB3FD4" w:rsidP="00AB3FD4">
            <w:pPr>
              <w:spacing w:after="0" w:line="276" w:lineRule="auto"/>
              <w:contextualSpacing/>
              <w:jc w:val="center"/>
              <w:rPr>
                <w:sz w:val="20"/>
              </w:rPr>
            </w:pPr>
          </w:p>
        </w:tc>
        <w:tc>
          <w:tcPr>
            <w:tcW w:w="236" w:type="dxa"/>
            <w:tcBorders>
              <w:top w:val="single" w:sz="4" w:space="0" w:color="auto"/>
              <w:left w:val="nil"/>
              <w:bottom w:val="nil"/>
              <w:right w:val="nil"/>
            </w:tcBorders>
          </w:tcPr>
          <w:p w14:paraId="25D4430E" w14:textId="77777777" w:rsidR="00AB3FD4" w:rsidRPr="00897348" w:rsidRDefault="00AB3FD4" w:rsidP="00AB3FD4">
            <w:pPr>
              <w:spacing w:after="0" w:line="276" w:lineRule="auto"/>
              <w:contextualSpacing/>
              <w:jc w:val="center"/>
              <w:rPr>
                <w:sz w:val="20"/>
              </w:rPr>
            </w:pPr>
          </w:p>
        </w:tc>
        <w:tc>
          <w:tcPr>
            <w:tcW w:w="614" w:type="dxa"/>
            <w:tcBorders>
              <w:top w:val="single" w:sz="4" w:space="0" w:color="auto"/>
              <w:left w:val="nil"/>
              <w:bottom w:val="nil"/>
              <w:right w:val="nil"/>
            </w:tcBorders>
          </w:tcPr>
          <w:p w14:paraId="5B1D2549"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082C3A03" w14:textId="77777777" w:rsidR="00AB3FD4" w:rsidRPr="00897348" w:rsidRDefault="00AB3FD4" w:rsidP="00AB3FD4">
            <w:pPr>
              <w:spacing w:after="0" w:line="276" w:lineRule="auto"/>
              <w:contextualSpacing/>
              <w:jc w:val="center"/>
              <w:rPr>
                <w:sz w:val="20"/>
              </w:rPr>
            </w:pPr>
          </w:p>
        </w:tc>
        <w:tc>
          <w:tcPr>
            <w:tcW w:w="885" w:type="dxa"/>
            <w:tcBorders>
              <w:top w:val="single" w:sz="4" w:space="0" w:color="auto"/>
              <w:left w:val="nil"/>
              <w:bottom w:val="nil"/>
              <w:right w:val="nil"/>
            </w:tcBorders>
          </w:tcPr>
          <w:p w14:paraId="23BA4C6C" w14:textId="77777777" w:rsidR="00AB3FD4" w:rsidRPr="00897348" w:rsidRDefault="00AB3FD4" w:rsidP="00AB3FD4">
            <w:pPr>
              <w:spacing w:after="0" w:line="276" w:lineRule="auto"/>
              <w:contextualSpacing/>
              <w:jc w:val="center"/>
              <w:rPr>
                <w:sz w:val="20"/>
              </w:rPr>
            </w:pPr>
          </w:p>
        </w:tc>
        <w:tc>
          <w:tcPr>
            <w:tcW w:w="243" w:type="dxa"/>
            <w:tcBorders>
              <w:top w:val="single" w:sz="4" w:space="0" w:color="auto"/>
              <w:left w:val="nil"/>
              <w:bottom w:val="nil"/>
              <w:right w:val="nil"/>
            </w:tcBorders>
          </w:tcPr>
          <w:p w14:paraId="3D12A214" w14:textId="77777777" w:rsidR="00AB3FD4" w:rsidRPr="00897348" w:rsidRDefault="00AB3FD4" w:rsidP="00AB3FD4">
            <w:pPr>
              <w:spacing w:after="0" w:line="276" w:lineRule="auto"/>
              <w:contextualSpacing/>
              <w:jc w:val="center"/>
              <w:rPr>
                <w:sz w:val="20"/>
              </w:rPr>
            </w:pPr>
          </w:p>
        </w:tc>
        <w:tc>
          <w:tcPr>
            <w:tcW w:w="577" w:type="dxa"/>
            <w:tcBorders>
              <w:top w:val="single" w:sz="4" w:space="0" w:color="auto"/>
              <w:left w:val="nil"/>
              <w:bottom w:val="nil"/>
              <w:right w:val="nil"/>
            </w:tcBorders>
          </w:tcPr>
          <w:p w14:paraId="0EE0A0C0" w14:textId="77777777" w:rsidR="00AB3FD4" w:rsidRPr="00897348" w:rsidRDefault="00AB3FD4" w:rsidP="00AB3FD4">
            <w:pPr>
              <w:spacing w:after="0" w:line="276" w:lineRule="auto"/>
              <w:contextualSpacing/>
              <w:jc w:val="center"/>
              <w:rPr>
                <w:sz w:val="20"/>
              </w:rPr>
            </w:pPr>
          </w:p>
        </w:tc>
        <w:tc>
          <w:tcPr>
            <w:tcW w:w="1700" w:type="dxa"/>
            <w:tcBorders>
              <w:top w:val="single" w:sz="4" w:space="0" w:color="auto"/>
              <w:left w:val="nil"/>
              <w:bottom w:val="nil"/>
              <w:right w:val="nil"/>
            </w:tcBorders>
          </w:tcPr>
          <w:p w14:paraId="5A83A42A" w14:textId="77777777" w:rsidR="00AB3FD4" w:rsidRPr="00897348" w:rsidRDefault="00AB3FD4" w:rsidP="00AB3FD4">
            <w:pPr>
              <w:spacing w:after="0" w:line="276" w:lineRule="auto"/>
              <w:contextualSpacing/>
              <w:jc w:val="center"/>
              <w:rPr>
                <w:sz w:val="20"/>
              </w:rPr>
            </w:pPr>
          </w:p>
        </w:tc>
        <w:tc>
          <w:tcPr>
            <w:tcW w:w="854" w:type="dxa"/>
            <w:tcBorders>
              <w:top w:val="single" w:sz="4" w:space="0" w:color="auto"/>
              <w:left w:val="nil"/>
              <w:bottom w:val="nil"/>
              <w:right w:val="nil"/>
            </w:tcBorders>
          </w:tcPr>
          <w:p w14:paraId="073DC4DD" w14:textId="77777777" w:rsidR="00AB3FD4" w:rsidRPr="00897348" w:rsidRDefault="00AB3FD4" w:rsidP="00AB3FD4">
            <w:pPr>
              <w:spacing w:after="0" w:line="276" w:lineRule="auto"/>
              <w:contextualSpacing/>
              <w:jc w:val="center"/>
              <w:rPr>
                <w:sz w:val="20"/>
              </w:rPr>
            </w:pPr>
          </w:p>
        </w:tc>
      </w:tr>
      <w:tr w:rsidR="00AB3FD4" w:rsidRPr="00F320B5" w14:paraId="6D8E32C1" w14:textId="77777777" w:rsidTr="00AB3FD4">
        <w:tblPrEx>
          <w:tblBorders>
            <w:top w:val="single" w:sz="4" w:space="0" w:color="auto"/>
            <w:insideV w:val="none" w:sz="0" w:space="0" w:color="auto"/>
          </w:tblBorders>
        </w:tblPrEx>
        <w:tc>
          <w:tcPr>
            <w:tcW w:w="280" w:type="dxa"/>
            <w:tcBorders>
              <w:top w:val="nil"/>
              <w:bottom w:val="nil"/>
              <w:right w:val="nil"/>
            </w:tcBorders>
          </w:tcPr>
          <w:p w14:paraId="4EC84756"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tcPr>
          <w:p w14:paraId="746590EB" w14:textId="1BD51B97" w:rsidR="00AB3FD4" w:rsidRPr="007E5E62" w:rsidRDefault="00AB3FD4" w:rsidP="00AB3FD4">
            <w:pPr>
              <w:spacing w:after="0" w:line="276" w:lineRule="auto"/>
              <w:contextualSpacing/>
              <w:rPr>
                <w:sz w:val="20"/>
                <w:szCs w:val="20"/>
              </w:rPr>
            </w:pPr>
            <w:r>
              <w:rPr>
                <w:sz w:val="20"/>
                <w:szCs w:val="20"/>
              </w:rPr>
              <w:t>None</w:t>
            </w:r>
          </w:p>
        </w:tc>
        <w:tc>
          <w:tcPr>
            <w:tcW w:w="670" w:type="dxa"/>
            <w:tcBorders>
              <w:top w:val="nil"/>
              <w:left w:val="nil"/>
              <w:bottom w:val="single" w:sz="4" w:space="0" w:color="auto"/>
              <w:right w:val="nil"/>
            </w:tcBorders>
          </w:tcPr>
          <w:p w14:paraId="7775900A" w14:textId="4DFA20B8" w:rsidR="00AB3FD4" w:rsidRPr="0046486F" w:rsidRDefault="00AB3FD4" w:rsidP="00AB3FD4">
            <w:pPr>
              <w:spacing w:after="0" w:line="276" w:lineRule="auto"/>
              <w:contextualSpacing/>
              <w:jc w:val="center"/>
              <w:rPr>
                <w:sz w:val="20"/>
              </w:rPr>
            </w:pPr>
            <w:r>
              <w:rPr>
                <w:sz w:val="20"/>
              </w:rPr>
              <w:t>-</w:t>
            </w:r>
          </w:p>
        </w:tc>
        <w:tc>
          <w:tcPr>
            <w:tcW w:w="1738" w:type="dxa"/>
            <w:tcBorders>
              <w:top w:val="nil"/>
              <w:left w:val="nil"/>
              <w:bottom w:val="single" w:sz="4" w:space="0" w:color="auto"/>
              <w:right w:val="nil"/>
            </w:tcBorders>
          </w:tcPr>
          <w:p w14:paraId="7423B575" w14:textId="7477A747" w:rsidR="00AB3FD4" w:rsidRPr="00F320B5" w:rsidRDefault="00AB3FD4" w:rsidP="00AB3FD4">
            <w:pPr>
              <w:spacing w:after="0" w:line="276" w:lineRule="auto"/>
              <w:contextualSpacing/>
              <w:jc w:val="center"/>
              <w:rPr>
                <w:sz w:val="20"/>
              </w:rPr>
            </w:pPr>
            <w:r>
              <w:rPr>
                <w:sz w:val="20"/>
              </w:rPr>
              <w:t>-</w:t>
            </w:r>
          </w:p>
        </w:tc>
        <w:tc>
          <w:tcPr>
            <w:tcW w:w="711" w:type="dxa"/>
            <w:tcBorders>
              <w:top w:val="nil"/>
              <w:left w:val="nil"/>
              <w:bottom w:val="single" w:sz="4" w:space="0" w:color="auto"/>
              <w:right w:val="nil"/>
            </w:tcBorders>
          </w:tcPr>
          <w:p w14:paraId="18F54404" w14:textId="2D594CF9" w:rsidR="00AB3FD4" w:rsidRPr="00F320B5" w:rsidRDefault="00AB3FD4" w:rsidP="00AB3FD4">
            <w:pPr>
              <w:spacing w:after="0" w:line="276" w:lineRule="auto"/>
              <w:contextualSpacing/>
              <w:jc w:val="center"/>
              <w:rPr>
                <w:sz w:val="20"/>
              </w:rPr>
            </w:pPr>
            <w:r>
              <w:rPr>
                <w:sz w:val="20"/>
              </w:rPr>
              <w:t>-</w:t>
            </w:r>
          </w:p>
        </w:tc>
        <w:tc>
          <w:tcPr>
            <w:tcW w:w="284" w:type="dxa"/>
            <w:tcBorders>
              <w:top w:val="nil"/>
              <w:left w:val="nil"/>
              <w:bottom w:val="single" w:sz="4" w:space="0" w:color="auto"/>
              <w:right w:val="nil"/>
            </w:tcBorders>
            <w:vAlign w:val="center"/>
          </w:tcPr>
          <w:p w14:paraId="143F0055" w14:textId="77777777" w:rsidR="00AB3FD4" w:rsidRPr="00F320B5"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4FFC7D2B" w14:textId="35C3891B" w:rsidR="00AB3FD4" w:rsidRPr="00F320B5" w:rsidRDefault="00AB3FD4" w:rsidP="00AB3FD4">
            <w:pPr>
              <w:spacing w:after="0" w:line="276" w:lineRule="auto"/>
              <w:contextualSpacing/>
              <w:jc w:val="center"/>
              <w:rPr>
                <w:sz w:val="20"/>
              </w:rPr>
            </w:pPr>
            <w:r>
              <w:rPr>
                <w:sz w:val="20"/>
              </w:rPr>
              <w:t>-</w:t>
            </w:r>
          </w:p>
        </w:tc>
        <w:tc>
          <w:tcPr>
            <w:tcW w:w="1598" w:type="dxa"/>
            <w:tcBorders>
              <w:top w:val="nil"/>
              <w:left w:val="nil"/>
              <w:bottom w:val="single" w:sz="4" w:space="0" w:color="auto"/>
              <w:right w:val="nil"/>
            </w:tcBorders>
          </w:tcPr>
          <w:p w14:paraId="245AAE9E" w14:textId="296FAEEC" w:rsidR="00AB3FD4" w:rsidRPr="00F320B5" w:rsidRDefault="00AB3FD4" w:rsidP="00AB3FD4">
            <w:pPr>
              <w:spacing w:after="0" w:line="276" w:lineRule="auto"/>
              <w:contextualSpacing/>
              <w:jc w:val="center"/>
              <w:rPr>
                <w:sz w:val="20"/>
              </w:rPr>
            </w:pPr>
            <w:r>
              <w:rPr>
                <w:sz w:val="20"/>
              </w:rPr>
              <w:t>-</w:t>
            </w:r>
          </w:p>
        </w:tc>
        <w:tc>
          <w:tcPr>
            <w:tcW w:w="851" w:type="dxa"/>
            <w:tcBorders>
              <w:top w:val="nil"/>
              <w:left w:val="nil"/>
              <w:bottom w:val="single" w:sz="4" w:space="0" w:color="auto"/>
              <w:right w:val="nil"/>
            </w:tcBorders>
          </w:tcPr>
          <w:p w14:paraId="45E9AEA0" w14:textId="0D7D1C67" w:rsidR="00AB3FD4" w:rsidRPr="00F320B5" w:rsidRDefault="00AB3FD4" w:rsidP="00AB3FD4">
            <w:pPr>
              <w:spacing w:after="0" w:line="276" w:lineRule="auto"/>
              <w:contextualSpacing/>
              <w:jc w:val="center"/>
              <w:rPr>
                <w:sz w:val="20"/>
              </w:rPr>
            </w:pPr>
            <w:r>
              <w:rPr>
                <w:sz w:val="20"/>
              </w:rPr>
              <w:t>-</w:t>
            </w:r>
          </w:p>
        </w:tc>
        <w:tc>
          <w:tcPr>
            <w:tcW w:w="236" w:type="dxa"/>
            <w:tcBorders>
              <w:top w:val="nil"/>
              <w:left w:val="nil"/>
              <w:bottom w:val="single" w:sz="4" w:space="0" w:color="auto"/>
              <w:right w:val="nil"/>
            </w:tcBorders>
          </w:tcPr>
          <w:p w14:paraId="30DD180D" w14:textId="77777777" w:rsidR="00AB3FD4"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2CF08217" w14:textId="01DA0711" w:rsidR="00AB3FD4" w:rsidRDefault="00AB3FD4" w:rsidP="00AB3FD4">
            <w:pPr>
              <w:spacing w:after="0" w:line="276" w:lineRule="auto"/>
              <w:contextualSpacing/>
              <w:jc w:val="center"/>
              <w:rPr>
                <w:sz w:val="20"/>
              </w:rPr>
            </w:pPr>
            <w:r>
              <w:rPr>
                <w:sz w:val="20"/>
              </w:rPr>
              <w:t>10.0</w:t>
            </w:r>
          </w:p>
        </w:tc>
        <w:tc>
          <w:tcPr>
            <w:tcW w:w="1700" w:type="dxa"/>
            <w:tcBorders>
              <w:top w:val="nil"/>
              <w:left w:val="nil"/>
              <w:bottom w:val="single" w:sz="4" w:space="0" w:color="auto"/>
              <w:right w:val="nil"/>
            </w:tcBorders>
          </w:tcPr>
          <w:p w14:paraId="21BB7E41" w14:textId="244DD12C" w:rsidR="00AB3FD4" w:rsidRDefault="00AB3FD4" w:rsidP="00AB3FD4">
            <w:pPr>
              <w:spacing w:after="0" w:line="276" w:lineRule="auto"/>
              <w:contextualSpacing/>
              <w:jc w:val="center"/>
              <w:rPr>
                <w:sz w:val="20"/>
              </w:rPr>
            </w:pPr>
            <w:r>
              <w:rPr>
                <w:sz w:val="20"/>
              </w:rPr>
              <w:t>1.00</w:t>
            </w:r>
          </w:p>
        </w:tc>
        <w:tc>
          <w:tcPr>
            <w:tcW w:w="885" w:type="dxa"/>
            <w:tcBorders>
              <w:top w:val="nil"/>
              <w:left w:val="nil"/>
              <w:bottom w:val="single" w:sz="4" w:space="0" w:color="auto"/>
              <w:right w:val="nil"/>
            </w:tcBorders>
          </w:tcPr>
          <w:p w14:paraId="30E74B8C" w14:textId="585E4F17" w:rsidR="00AB3FD4" w:rsidRDefault="00AB3FD4" w:rsidP="00AB3FD4">
            <w:pPr>
              <w:spacing w:after="0" w:line="276" w:lineRule="auto"/>
              <w:contextualSpacing/>
              <w:jc w:val="center"/>
              <w:rPr>
                <w:sz w:val="20"/>
              </w:rPr>
            </w:pPr>
            <w:r>
              <w:rPr>
                <w:sz w:val="20"/>
              </w:rPr>
              <w:t>-</w:t>
            </w:r>
          </w:p>
        </w:tc>
        <w:tc>
          <w:tcPr>
            <w:tcW w:w="243" w:type="dxa"/>
            <w:tcBorders>
              <w:top w:val="nil"/>
              <w:left w:val="nil"/>
              <w:bottom w:val="single" w:sz="4" w:space="0" w:color="auto"/>
              <w:right w:val="nil"/>
            </w:tcBorders>
            <w:vAlign w:val="center"/>
          </w:tcPr>
          <w:p w14:paraId="3449FBB9" w14:textId="77777777" w:rsidR="00AB3FD4"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154AB516" w14:textId="350D087D" w:rsidR="00AB3FD4" w:rsidRDefault="00AB3FD4" w:rsidP="00AB3FD4">
            <w:pPr>
              <w:spacing w:after="0" w:line="276" w:lineRule="auto"/>
              <w:contextualSpacing/>
              <w:jc w:val="center"/>
              <w:rPr>
                <w:sz w:val="20"/>
              </w:rPr>
            </w:pPr>
            <w:r>
              <w:rPr>
                <w:sz w:val="20"/>
              </w:rPr>
              <w:t>4.3</w:t>
            </w:r>
          </w:p>
        </w:tc>
        <w:tc>
          <w:tcPr>
            <w:tcW w:w="1700" w:type="dxa"/>
            <w:tcBorders>
              <w:top w:val="nil"/>
              <w:left w:val="nil"/>
              <w:bottom w:val="single" w:sz="4" w:space="0" w:color="auto"/>
              <w:right w:val="nil"/>
            </w:tcBorders>
          </w:tcPr>
          <w:p w14:paraId="6E11CE67" w14:textId="500B62CD" w:rsidR="00AB3FD4" w:rsidRDefault="00AB3FD4" w:rsidP="00AB3FD4">
            <w:pPr>
              <w:spacing w:after="0" w:line="276" w:lineRule="auto"/>
              <w:contextualSpacing/>
              <w:jc w:val="center"/>
              <w:rPr>
                <w:sz w:val="20"/>
              </w:rPr>
            </w:pPr>
            <w:r>
              <w:rPr>
                <w:sz w:val="20"/>
              </w:rPr>
              <w:t>1.00</w:t>
            </w:r>
          </w:p>
        </w:tc>
        <w:tc>
          <w:tcPr>
            <w:tcW w:w="854" w:type="dxa"/>
            <w:tcBorders>
              <w:top w:val="nil"/>
              <w:left w:val="nil"/>
              <w:bottom w:val="single" w:sz="4" w:space="0" w:color="auto"/>
              <w:right w:val="nil"/>
            </w:tcBorders>
          </w:tcPr>
          <w:p w14:paraId="3C283536" w14:textId="5FDA1F92" w:rsidR="00AB3FD4" w:rsidRDefault="00AB3FD4" w:rsidP="00AB3FD4">
            <w:pPr>
              <w:spacing w:after="0" w:line="276" w:lineRule="auto"/>
              <w:contextualSpacing/>
              <w:jc w:val="center"/>
              <w:rPr>
                <w:sz w:val="20"/>
              </w:rPr>
            </w:pPr>
            <w:r>
              <w:rPr>
                <w:sz w:val="20"/>
              </w:rPr>
              <w:t>-</w:t>
            </w:r>
          </w:p>
        </w:tc>
      </w:tr>
      <w:tr w:rsidR="00AB3FD4" w:rsidRPr="00503A7A" w14:paraId="0D518E1F" w14:textId="77777777" w:rsidTr="00AB3FD4">
        <w:tblPrEx>
          <w:tblBorders>
            <w:top w:val="single" w:sz="4" w:space="0" w:color="auto"/>
            <w:insideV w:val="none" w:sz="0" w:space="0" w:color="auto"/>
          </w:tblBorders>
        </w:tblPrEx>
        <w:tc>
          <w:tcPr>
            <w:tcW w:w="280" w:type="dxa"/>
            <w:tcBorders>
              <w:top w:val="nil"/>
              <w:bottom w:val="single" w:sz="4" w:space="0" w:color="auto"/>
              <w:right w:val="nil"/>
            </w:tcBorders>
          </w:tcPr>
          <w:p w14:paraId="033E03AA" w14:textId="77777777" w:rsidR="00AB3FD4" w:rsidRPr="0046486F" w:rsidRDefault="00AB3FD4" w:rsidP="00AB3FD4">
            <w:pPr>
              <w:spacing w:after="0" w:line="276" w:lineRule="auto"/>
              <w:contextualSpacing/>
              <w:rPr>
                <w:sz w:val="20"/>
              </w:rPr>
            </w:pPr>
          </w:p>
        </w:tc>
        <w:tc>
          <w:tcPr>
            <w:tcW w:w="1698" w:type="dxa"/>
            <w:tcBorders>
              <w:top w:val="nil"/>
              <w:left w:val="nil"/>
              <w:bottom w:val="single" w:sz="4" w:space="0" w:color="auto"/>
              <w:right w:val="nil"/>
            </w:tcBorders>
            <w:vAlign w:val="center"/>
          </w:tcPr>
          <w:p w14:paraId="7D1F3372" w14:textId="5DBE76EE" w:rsidR="00AB3FD4" w:rsidRPr="007E5E62" w:rsidRDefault="00AB3FD4" w:rsidP="00AB3FD4">
            <w:pPr>
              <w:spacing w:after="0" w:line="276" w:lineRule="auto"/>
              <w:contextualSpacing/>
              <w:rPr>
                <w:sz w:val="20"/>
                <w:szCs w:val="20"/>
              </w:rPr>
            </w:pPr>
            <w:r>
              <w:rPr>
                <w:rFonts w:cstheme="minorHAnsi"/>
                <w:sz w:val="20"/>
              </w:rPr>
              <w:t>≥</w:t>
            </w:r>
            <w:r>
              <w:rPr>
                <w:sz w:val="20"/>
              </w:rPr>
              <w:t>1</w:t>
            </w:r>
          </w:p>
        </w:tc>
        <w:tc>
          <w:tcPr>
            <w:tcW w:w="670" w:type="dxa"/>
            <w:tcBorders>
              <w:top w:val="nil"/>
              <w:left w:val="nil"/>
              <w:bottom w:val="single" w:sz="4" w:space="0" w:color="auto"/>
              <w:right w:val="nil"/>
            </w:tcBorders>
          </w:tcPr>
          <w:p w14:paraId="3105A071" w14:textId="0FC61647" w:rsidR="00AB3FD4" w:rsidRPr="0003400F" w:rsidRDefault="00AB3FD4" w:rsidP="00AB3FD4">
            <w:pPr>
              <w:spacing w:after="0" w:line="276" w:lineRule="auto"/>
              <w:contextualSpacing/>
              <w:jc w:val="center"/>
              <w:rPr>
                <w:sz w:val="20"/>
              </w:rPr>
            </w:pPr>
            <w:r>
              <w:rPr>
                <w:sz w:val="20"/>
              </w:rPr>
              <w:t>-</w:t>
            </w:r>
          </w:p>
        </w:tc>
        <w:tc>
          <w:tcPr>
            <w:tcW w:w="1738" w:type="dxa"/>
            <w:tcBorders>
              <w:top w:val="nil"/>
              <w:left w:val="nil"/>
              <w:bottom w:val="single" w:sz="4" w:space="0" w:color="auto"/>
              <w:right w:val="nil"/>
            </w:tcBorders>
          </w:tcPr>
          <w:p w14:paraId="3FE8DB8E" w14:textId="3D5156B1" w:rsidR="00AB3FD4" w:rsidRPr="0003400F" w:rsidRDefault="00AB3FD4" w:rsidP="00AB3FD4">
            <w:pPr>
              <w:spacing w:after="0" w:line="276" w:lineRule="auto"/>
              <w:contextualSpacing/>
              <w:jc w:val="center"/>
              <w:rPr>
                <w:sz w:val="20"/>
              </w:rPr>
            </w:pPr>
            <w:r>
              <w:rPr>
                <w:sz w:val="20"/>
              </w:rPr>
              <w:t>-</w:t>
            </w:r>
          </w:p>
        </w:tc>
        <w:tc>
          <w:tcPr>
            <w:tcW w:w="711" w:type="dxa"/>
            <w:tcBorders>
              <w:top w:val="nil"/>
              <w:left w:val="nil"/>
              <w:bottom w:val="single" w:sz="4" w:space="0" w:color="auto"/>
              <w:right w:val="nil"/>
            </w:tcBorders>
          </w:tcPr>
          <w:p w14:paraId="633B9B85" w14:textId="55EAC1CD" w:rsidR="00AB3FD4" w:rsidRPr="0003400F" w:rsidRDefault="00AB3FD4" w:rsidP="00AB3FD4">
            <w:pPr>
              <w:spacing w:after="0" w:line="276" w:lineRule="auto"/>
              <w:contextualSpacing/>
              <w:jc w:val="center"/>
              <w:rPr>
                <w:sz w:val="20"/>
              </w:rPr>
            </w:pPr>
            <w:r>
              <w:rPr>
                <w:sz w:val="20"/>
              </w:rPr>
              <w:t>-</w:t>
            </w:r>
          </w:p>
        </w:tc>
        <w:tc>
          <w:tcPr>
            <w:tcW w:w="284" w:type="dxa"/>
            <w:tcBorders>
              <w:top w:val="nil"/>
              <w:left w:val="nil"/>
              <w:bottom w:val="single" w:sz="4" w:space="0" w:color="auto"/>
              <w:right w:val="nil"/>
            </w:tcBorders>
          </w:tcPr>
          <w:p w14:paraId="00CA1B5B" w14:textId="77777777" w:rsidR="00AB3FD4" w:rsidRPr="0003400F" w:rsidRDefault="00AB3FD4" w:rsidP="00AB3FD4">
            <w:pPr>
              <w:spacing w:after="0" w:line="276" w:lineRule="auto"/>
              <w:contextualSpacing/>
              <w:jc w:val="center"/>
              <w:rPr>
                <w:sz w:val="20"/>
              </w:rPr>
            </w:pPr>
          </w:p>
        </w:tc>
        <w:tc>
          <w:tcPr>
            <w:tcW w:w="671" w:type="dxa"/>
            <w:tcBorders>
              <w:top w:val="nil"/>
              <w:left w:val="nil"/>
              <w:bottom w:val="single" w:sz="4" w:space="0" w:color="auto"/>
              <w:right w:val="nil"/>
            </w:tcBorders>
          </w:tcPr>
          <w:p w14:paraId="648823F5" w14:textId="2A19AB0B" w:rsidR="00AB3FD4" w:rsidRPr="0003400F" w:rsidRDefault="00AB3FD4" w:rsidP="00AB3FD4">
            <w:pPr>
              <w:spacing w:after="0" w:line="276" w:lineRule="auto"/>
              <w:contextualSpacing/>
              <w:jc w:val="center"/>
              <w:rPr>
                <w:sz w:val="20"/>
              </w:rPr>
            </w:pPr>
            <w:r>
              <w:rPr>
                <w:sz w:val="20"/>
              </w:rPr>
              <w:t>-</w:t>
            </w:r>
          </w:p>
        </w:tc>
        <w:tc>
          <w:tcPr>
            <w:tcW w:w="1598" w:type="dxa"/>
            <w:tcBorders>
              <w:top w:val="nil"/>
              <w:left w:val="nil"/>
              <w:bottom w:val="single" w:sz="4" w:space="0" w:color="auto"/>
              <w:right w:val="nil"/>
            </w:tcBorders>
          </w:tcPr>
          <w:p w14:paraId="55D86D28" w14:textId="3C964C9B" w:rsidR="00AB3FD4" w:rsidRPr="0003400F" w:rsidRDefault="00AB3FD4" w:rsidP="00AB3FD4">
            <w:pPr>
              <w:spacing w:after="0" w:line="276" w:lineRule="auto"/>
              <w:contextualSpacing/>
              <w:jc w:val="center"/>
              <w:rPr>
                <w:sz w:val="20"/>
              </w:rPr>
            </w:pPr>
            <w:r>
              <w:rPr>
                <w:sz w:val="20"/>
              </w:rPr>
              <w:t>-</w:t>
            </w:r>
          </w:p>
        </w:tc>
        <w:tc>
          <w:tcPr>
            <w:tcW w:w="851" w:type="dxa"/>
            <w:tcBorders>
              <w:top w:val="nil"/>
              <w:left w:val="nil"/>
              <w:bottom w:val="single" w:sz="4" w:space="0" w:color="auto"/>
              <w:right w:val="nil"/>
            </w:tcBorders>
          </w:tcPr>
          <w:p w14:paraId="6AE08633" w14:textId="6D05AAFA" w:rsidR="00AB3FD4" w:rsidRPr="0003400F" w:rsidRDefault="00AB3FD4" w:rsidP="00AB3FD4">
            <w:pPr>
              <w:spacing w:after="0" w:line="276" w:lineRule="auto"/>
              <w:contextualSpacing/>
              <w:jc w:val="center"/>
              <w:rPr>
                <w:sz w:val="20"/>
              </w:rPr>
            </w:pPr>
            <w:r>
              <w:rPr>
                <w:sz w:val="20"/>
              </w:rPr>
              <w:t>-</w:t>
            </w:r>
          </w:p>
        </w:tc>
        <w:tc>
          <w:tcPr>
            <w:tcW w:w="236" w:type="dxa"/>
            <w:tcBorders>
              <w:top w:val="nil"/>
              <w:left w:val="nil"/>
              <w:bottom w:val="single" w:sz="4" w:space="0" w:color="auto"/>
              <w:right w:val="nil"/>
            </w:tcBorders>
          </w:tcPr>
          <w:p w14:paraId="4289373B" w14:textId="77777777" w:rsidR="00AB3FD4" w:rsidRPr="0003400F" w:rsidRDefault="00AB3FD4" w:rsidP="00AB3FD4">
            <w:pPr>
              <w:spacing w:after="0" w:line="276" w:lineRule="auto"/>
              <w:contextualSpacing/>
              <w:jc w:val="center"/>
              <w:rPr>
                <w:sz w:val="20"/>
              </w:rPr>
            </w:pPr>
          </w:p>
        </w:tc>
        <w:tc>
          <w:tcPr>
            <w:tcW w:w="614" w:type="dxa"/>
            <w:tcBorders>
              <w:top w:val="nil"/>
              <w:left w:val="nil"/>
              <w:bottom w:val="single" w:sz="4" w:space="0" w:color="auto"/>
              <w:right w:val="nil"/>
            </w:tcBorders>
          </w:tcPr>
          <w:p w14:paraId="2518B112" w14:textId="1200E35D" w:rsidR="00AB3FD4" w:rsidRPr="0003400F" w:rsidRDefault="00AB3FD4" w:rsidP="00AB3FD4">
            <w:pPr>
              <w:spacing w:after="0" w:line="276" w:lineRule="auto"/>
              <w:contextualSpacing/>
              <w:jc w:val="center"/>
              <w:rPr>
                <w:sz w:val="20"/>
              </w:rPr>
            </w:pPr>
            <w:r>
              <w:rPr>
                <w:sz w:val="20"/>
              </w:rPr>
              <w:t>17.3</w:t>
            </w:r>
          </w:p>
        </w:tc>
        <w:tc>
          <w:tcPr>
            <w:tcW w:w="1700" w:type="dxa"/>
            <w:tcBorders>
              <w:top w:val="nil"/>
              <w:left w:val="nil"/>
              <w:bottom w:val="single" w:sz="4" w:space="0" w:color="auto"/>
              <w:right w:val="nil"/>
            </w:tcBorders>
          </w:tcPr>
          <w:p w14:paraId="3F4DC2D3" w14:textId="471F2739" w:rsidR="00AB3FD4" w:rsidRPr="0003400F" w:rsidRDefault="00AB3FD4" w:rsidP="00AB3FD4">
            <w:pPr>
              <w:spacing w:after="0" w:line="276" w:lineRule="auto"/>
              <w:contextualSpacing/>
              <w:jc w:val="center"/>
              <w:rPr>
                <w:sz w:val="20"/>
              </w:rPr>
            </w:pPr>
            <w:r>
              <w:rPr>
                <w:sz w:val="20"/>
              </w:rPr>
              <w:t>1.07 [0.54-2.14]</w:t>
            </w:r>
          </w:p>
        </w:tc>
        <w:tc>
          <w:tcPr>
            <w:tcW w:w="885" w:type="dxa"/>
            <w:tcBorders>
              <w:top w:val="nil"/>
              <w:left w:val="nil"/>
              <w:bottom w:val="single" w:sz="4" w:space="0" w:color="auto"/>
              <w:right w:val="nil"/>
            </w:tcBorders>
          </w:tcPr>
          <w:p w14:paraId="2537F6D7" w14:textId="113097A4" w:rsidR="00AB3FD4" w:rsidRPr="0003400F" w:rsidRDefault="00AB3FD4" w:rsidP="00AB3FD4">
            <w:pPr>
              <w:spacing w:after="0" w:line="276" w:lineRule="auto"/>
              <w:contextualSpacing/>
              <w:jc w:val="center"/>
              <w:rPr>
                <w:sz w:val="20"/>
              </w:rPr>
            </w:pPr>
            <w:r>
              <w:rPr>
                <w:sz w:val="20"/>
              </w:rPr>
              <w:t>0.840</w:t>
            </w:r>
          </w:p>
        </w:tc>
        <w:tc>
          <w:tcPr>
            <w:tcW w:w="243" w:type="dxa"/>
            <w:tcBorders>
              <w:top w:val="nil"/>
              <w:left w:val="nil"/>
              <w:bottom w:val="single" w:sz="4" w:space="0" w:color="auto"/>
              <w:right w:val="nil"/>
            </w:tcBorders>
          </w:tcPr>
          <w:p w14:paraId="6F0555F1" w14:textId="77777777" w:rsidR="00AB3FD4" w:rsidRPr="0003400F" w:rsidRDefault="00AB3FD4" w:rsidP="00AB3FD4">
            <w:pPr>
              <w:spacing w:after="0" w:line="276" w:lineRule="auto"/>
              <w:contextualSpacing/>
              <w:jc w:val="center"/>
              <w:rPr>
                <w:sz w:val="20"/>
              </w:rPr>
            </w:pPr>
          </w:p>
        </w:tc>
        <w:tc>
          <w:tcPr>
            <w:tcW w:w="577" w:type="dxa"/>
            <w:tcBorders>
              <w:top w:val="nil"/>
              <w:left w:val="nil"/>
              <w:bottom w:val="single" w:sz="4" w:space="0" w:color="auto"/>
              <w:right w:val="nil"/>
            </w:tcBorders>
          </w:tcPr>
          <w:p w14:paraId="3ABEF576" w14:textId="10363191" w:rsidR="00AB3FD4" w:rsidRPr="0003400F" w:rsidRDefault="00AB3FD4" w:rsidP="00AB3FD4">
            <w:pPr>
              <w:spacing w:after="0" w:line="276" w:lineRule="auto"/>
              <w:contextualSpacing/>
              <w:jc w:val="center"/>
              <w:rPr>
                <w:sz w:val="20"/>
              </w:rPr>
            </w:pPr>
            <w:r>
              <w:rPr>
                <w:sz w:val="20"/>
              </w:rPr>
              <w:t>10.0</w:t>
            </w:r>
          </w:p>
        </w:tc>
        <w:tc>
          <w:tcPr>
            <w:tcW w:w="1700" w:type="dxa"/>
            <w:tcBorders>
              <w:top w:val="nil"/>
              <w:left w:val="nil"/>
              <w:bottom w:val="single" w:sz="4" w:space="0" w:color="auto"/>
              <w:right w:val="nil"/>
            </w:tcBorders>
          </w:tcPr>
          <w:p w14:paraId="4ADB93E5" w14:textId="0A1849FE" w:rsidR="00AB3FD4" w:rsidRPr="0003400F" w:rsidRDefault="00AB3FD4" w:rsidP="00AB3FD4">
            <w:pPr>
              <w:spacing w:after="0" w:line="276" w:lineRule="auto"/>
              <w:contextualSpacing/>
              <w:jc w:val="center"/>
              <w:rPr>
                <w:sz w:val="20"/>
              </w:rPr>
            </w:pPr>
            <w:r>
              <w:rPr>
                <w:sz w:val="20"/>
              </w:rPr>
              <w:t>2.21 [1.03-4.77]</w:t>
            </w:r>
          </w:p>
        </w:tc>
        <w:tc>
          <w:tcPr>
            <w:tcW w:w="854" w:type="dxa"/>
            <w:tcBorders>
              <w:top w:val="nil"/>
              <w:left w:val="nil"/>
              <w:bottom w:val="single" w:sz="4" w:space="0" w:color="auto"/>
              <w:right w:val="nil"/>
            </w:tcBorders>
          </w:tcPr>
          <w:p w14:paraId="64C5A4D6" w14:textId="60DB3F3B" w:rsidR="00AB3FD4" w:rsidRPr="0003400F" w:rsidRDefault="00AB3FD4" w:rsidP="00AB3FD4">
            <w:pPr>
              <w:spacing w:after="0" w:line="276" w:lineRule="auto"/>
              <w:contextualSpacing/>
              <w:jc w:val="center"/>
              <w:rPr>
                <w:sz w:val="20"/>
              </w:rPr>
            </w:pPr>
            <w:r>
              <w:rPr>
                <w:sz w:val="20"/>
              </w:rPr>
              <w:t>0.043</w:t>
            </w:r>
          </w:p>
        </w:tc>
      </w:tr>
      <w:tr w:rsidR="00AB3FD4" w:rsidRPr="00DA24D5" w14:paraId="13B18B10" w14:textId="73B62BE2" w:rsidTr="00AD02BF">
        <w:tblPrEx>
          <w:tblBorders>
            <w:top w:val="single" w:sz="4" w:space="0" w:color="auto"/>
            <w:insideV w:val="none" w:sz="0" w:space="0" w:color="auto"/>
          </w:tblBorders>
        </w:tblPrEx>
        <w:tc>
          <w:tcPr>
            <w:tcW w:w="15310" w:type="dxa"/>
            <w:gridSpan w:val="17"/>
            <w:tcBorders>
              <w:top w:val="single" w:sz="8" w:space="0" w:color="auto"/>
              <w:bottom w:val="nil"/>
            </w:tcBorders>
          </w:tcPr>
          <w:p w14:paraId="3A819C04" w14:textId="77777777" w:rsidR="00AB3FD4" w:rsidRDefault="00AB3FD4" w:rsidP="00AB3FD4">
            <w:pPr>
              <w:spacing w:after="0" w:line="276" w:lineRule="auto"/>
              <w:contextualSpacing/>
              <w:rPr>
                <w:rFonts w:cs="Times New Roman"/>
                <w:sz w:val="18"/>
              </w:rPr>
            </w:pPr>
            <w:r>
              <w:rPr>
                <w:rFonts w:cs="Times New Roman"/>
                <w:sz w:val="18"/>
              </w:rPr>
              <w:t>*Indicates the percentage of normal-weight participants in each group perceiving themselves to be too heavy/too light.</w:t>
            </w:r>
          </w:p>
          <w:p w14:paraId="194B1122" w14:textId="77777777" w:rsidR="00AB3FD4" w:rsidRDefault="00AB3FD4" w:rsidP="00AB3FD4">
            <w:pPr>
              <w:spacing w:after="0" w:line="276" w:lineRule="auto"/>
              <w:contextualSpacing/>
              <w:rPr>
                <w:rFonts w:cs="Times New Roman"/>
                <w:sz w:val="18"/>
              </w:rPr>
            </w:pPr>
            <w:r>
              <w:rPr>
                <w:rFonts w:cs="Times New Roman"/>
                <w:sz w:val="18"/>
              </w:rPr>
              <w:t>OR = odds ratio; CI = confidence interval; SES = socioeconomic status; BMI = body mass index.</w:t>
            </w:r>
          </w:p>
          <w:p w14:paraId="1E54AEEE" w14:textId="6FDD0A5C" w:rsidR="00AB3FD4" w:rsidRDefault="00AB3FD4" w:rsidP="00AB3FD4">
            <w:pPr>
              <w:spacing w:after="0" w:line="276" w:lineRule="auto"/>
              <w:contextualSpacing/>
              <w:rPr>
                <w:rFonts w:cs="Times New Roman"/>
                <w:sz w:val="18"/>
              </w:rPr>
            </w:pPr>
            <w:r>
              <w:rPr>
                <w:rFonts w:cs="Times New Roman"/>
                <w:sz w:val="18"/>
              </w:rPr>
              <w:t xml:space="preserve">Weighted data. </w:t>
            </w:r>
            <w:r w:rsidRPr="007E5E62">
              <w:rPr>
                <w:sz w:val="18"/>
                <w:szCs w:val="18"/>
              </w:rPr>
              <w:t>Sample sizes (</w:t>
            </w:r>
            <w:r w:rsidRPr="007E5E62">
              <w:rPr>
                <w:i/>
                <w:sz w:val="18"/>
                <w:szCs w:val="18"/>
              </w:rPr>
              <w:t>n</w:t>
            </w:r>
            <w:r w:rsidRPr="007E5E62">
              <w:rPr>
                <w:sz w:val="18"/>
                <w:szCs w:val="18"/>
              </w:rPr>
              <w:t>) are shown unweighted.</w:t>
            </w:r>
          </w:p>
        </w:tc>
      </w:tr>
    </w:tbl>
    <w:p w14:paraId="144AA293" w14:textId="77777777" w:rsidR="00AB3FD4" w:rsidRDefault="00AB3FD4">
      <w:pPr>
        <w:spacing w:after="200" w:line="276" w:lineRule="auto"/>
        <w:rPr>
          <w:rFonts w:cstheme="minorHAnsi"/>
        </w:rPr>
        <w:sectPr w:rsidR="00AB3FD4" w:rsidSect="00AB3FD4">
          <w:pgSz w:w="15840" w:h="12240" w:orient="landscape" w:code="1"/>
          <w:pgMar w:top="1304" w:right="1440" w:bottom="1247" w:left="1440" w:header="720" w:footer="720" w:gutter="0"/>
          <w:cols w:space="720"/>
          <w:noEndnote/>
          <w:docGrid w:linePitch="299"/>
        </w:sectPr>
      </w:pPr>
    </w:p>
    <w:p w14:paraId="582EBE29" w14:textId="5DAB6B92" w:rsidR="00B626FD" w:rsidRDefault="00B626FD">
      <w:pPr>
        <w:spacing w:after="200" w:line="276" w:lineRule="auto"/>
        <w:rPr>
          <w:rFonts w:cstheme="minorHAnsi"/>
        </w:rPr>
      </w:pPr>
    </w:p>
    <w:tbl>
      <w:tblPr>
        <w:tblStyle w:val="TableGrid"/>
        <w:tblW w:w="10192" w:type="dxa"/>
        <w:tblInd w:w="108" w:type="dxa"/>
        <w:tblBorders>
          <w:top w:val="single" w:sz="24" w:space="0" w:color="auto"/>
          <w:left w:val="none" w:sz="0" w:space="0" w:color="auto"/>
          <w:right w:val="none" w:sz="0" w:space="0" w:color="auto"/>
        </w:tblBorders>
        <w:tblLayout w:type="fixed"/>
        <w:tblLook w:val="04A0" w:firstRow="1" w:lastRow="0" w:firstColumn="1" w:lastColumn="0" w:noHBand="0" w:noVBand="1"/>
      </w:tblPr>
      <w:tblGrid>
        <w:gridCol w:w="283"/>
        <w:gridCol w:w="2586"/>
        <w:gridCol w:w="671"/>
        <w:gridCol w:w="1951"/>
        <w:gridCol w:w="874"/>
        <w:gridCol w:w="284"/>
        <w:gridCol w:w="671"/>
        <w:gridCol w:w="1850"/>
        <w:gridCol w:w="1022"/>
      </w:tblGrid>
      <w:tr w:rsidR="00AE6A58" w:rsidRPr="00747310" w14:paraId="1068421B" w14:textId="77777777" w:rsidTr="00904888">
        <w:tc>
          <w:tcPr>
            <w:tcW w:w="10192" w:type="dxa"/>
            <w:gridSpan w:val="9"/>
            <w:tcBorders>
              <w:top w:val="nil"/>
              <w:bottom w:val="single" w:sz="8" w:space="0" w:color="auto"/>
            </w:tcBorders>
          </w:tcPr>
          <w:p w14:paraId="262FBCBC" w14:textId="322E12CE" w:rsidR="00120940" w:rsidRPr="00747310" w:rsidRDefault="00AE6A58" w:rsidP="00604F5C">
            <w:pPr>
              <w:tabs>
                <w:tab w:val="left" w:pos="5385"/>
              </w:tabs>
              <w:spacing w:after="0" w:line="276" w:lineRule="auto"/>
              <w:rPr>
                <w:b/>
                <w:sz w:val="20"/>
              </w:rPr>
            </w:pPr>
            <w:r w:rsidRPr="00747310">
              <w:rPr>
                <w:b/>
                <w:sz w:val="20"/>
              </w:rPr>
              <w:t xml:space="preserve">Table </w:t>
            </w:r>
            <w:r w:rsidR="00604F5C">
              <w:rPr>
                <w:b/>
                <w:sz w:val="20"/>
              </w:rPr>
              <w:t>3</w:t>
            </w:r>
            <w:r w:rsidR="007E0231">
              <w:rPr>
                <w:sz w:val="20"/>
              </w:rPr>
              <w:t xml:space="preserve"> </w:t>
            </w:r>
            <w:r w:rsidR="00120940">
              <w:rPr>
                <w:sz w:val="20"/>
              </w:rPr>
              <w:t>Multivariable models testing associations with feeling ‘about the right weight’ among older men and women</w:t>
            </w:r>
            <w:r w:rsidR="00AB3FD4">
              <w:rPr>
                <w:sz w:val="20"/>
              </w:rPr>
              <w:t xml:space="preserve"> with overweight</w:t>
            </w:r>
          </w:p>
        </w:tc>
      </w:tr>
      <w:tr w:rsidR="00096BA6" w:rsidRPr="00096BA6" w14:paraId="5B8FC56D" w14:textId="77777777" w:rsidTr="000D35A7">
        <w:tblPrEx>
          <w:tblBorders>
            <w:top w:val="single" w:sz="4" w:space="0" w:color="auto"/>
            <w:insideV w:val="none" w:sz="0" w:space="0" w:color="auto"/>
          </w:tblBorders>
        </w:tblPrEx>
        <w:tc>
          <w:tcPr>
            <w:tcW w:w="2869" w:type="dxa"/>
            <w:gridSpan w:val="2"/>
            <w:vMerge w:val="restart"/>
            <w:tcBorders>
              <w:top w:val="nil"/>
              <w:right w:val="nil"/>
            </w:tcBorders>
            <w:vAlign w:val="center"/>
          </w:tcPr>
          <w:p w14:paraId="0ABCB611" w14:textId="77777777" w:rsidR="00AE6A58" w:rsidRPr="00096BA6" w:rsidRDefault="00AE6A58" w:rsidP="00AE6A58">
            <w:pPr>
              <w:spacing w:after="0" w:line="276" w:lineRule="auto"/>
              <w:contextualSpacing/>
              <w:jc w:val="center"/>
              <w:rPr>
                <w:sz w:val="20"/>
              </w:rPr>
            </w:pPr>
          </w:p>
        </w:tc>
        <w:tc>
          <w:tcPr>
            <w:tcW w:w="3496" w:type="dxa"/>
            <w:gridSpan w:val="3"/>
            <w:tcBorders>
              <w:top w:val="single" w:sz="4" w:space="0" w:color="auto"/>
              <w:left w:val="nil"/>
              <w:bottom w:val="single" w:sz="8" w:space="0" w:color="auto"/>
              <w:right w:val="nil"/>
            </w:tcBorders>
            <w:vAlign w:val="center"/>
          </w:tcPr>
          <w:p w14:paraId="04A15CC2" w14:textId="77777777" w:rsidR="00AE6A58" w:rsidRPr="00BC2A2C" w:rsidRDefault="00AE6A58" w:rsidP="00BC2A2C">
            <w:pPr>
              <w:spacing w:after="0" w:line="276" w:lineRule="auto"/>
              <w:contextualSpacing/>
              <w:jc w:val="center"/>
              <w:rPr>
                <w:b/>
                <w:sz w:val="20"/>
                <w:szCs w:val="20"/>
              </w:rPr>
            </w:pPr>
            <w:r w:rsidRPr="00BC2A2C">
              <w:rPr>
                <w:b/>
                <w:sz w:val="20"/>
                <w:szCs w:val="20"/>
              </w:rPr>
              <w:t>Men (</w:t>
            </w:r>
            <w:r w:rsidRPr="00BC2A2C">
              <w:rPr>
                <w:b/>
                <w:i/>
                <w:sz w:val="20"/>
                <w:szCs w:val="20"/>
              </w:rPr>
              <w:t>n</w:t>
            </w:r>
            <w:r w:rsidRPr="00BC2A2C">
              <w:rPr>
                <w:b/>
                <w:sz w:val="20"/>
                <w:szCs w:val="20"/>
              </w:rPr>
              <w:t>=</w:t>
            </w:r>
            <w:r w:rsidR="00BC2A2C" w:rsidRPr="00BC2A2C">
              <w:rPr>
                <w:b/>
                <w:sz w:val="20"/>
                <w:szCs w:val="20"/>
              </w:rPr>
              <w:t>1083</w:t>
            </w:r>
            <w:r w:rsidRPr="00BC2A2C">
              <w:rPr>
                <w:b/>
                <w:sz w:val="20"/>
                <w:szCs w:val="20"/>
              </w:rPr>
              <w:t>)</w:t>
            </w:r>
          </w:p>
        </w:tc>
        <w:tc>
          <w:tcPr>
            <w:tcW w:w="284" w:type="dxa"/>
            <w:tcBorders>
              <w:top w:val="single" w:sz="4" w:space="0" w:color="auto"/>
              <w:left w:val="nil"/>
              <w:bottom w:val="nil"/>
              <w:right w:val="nil"/>
            </w:tcBorders>
            <w:vAlign w:val="center"/>
          </w:tcPr>
          <w:p w14:paraId="3D7022E4" w14:textId="77777777" w:rsidR="00AE6A58" w:rsidRPr="00BC2A2C" w:rsidRDefault="00AE6A58" w:rsidP="00AE6A58">
            <w:pPr>
              <w:spacing w:after="0" w:line="276" w:lineRule="auto"/>
              <w:contextualSpacing/>
              <w:jc w:val="center"/>
              <w:rPr>
                <w:b/>
                <w:sz w:val="20"/>
              </w:rPr>
            </w:pPr>
          </w:p>
        </w:tc>
        <w:tc>
          <w:tcPr>
            <w:tcW w:w="3543" w:type="dxa"/>
            <w:gridSpan w:val="3"/>
            <w:tcBorders>
              <w:top w:val="single" w:sz="4" w:space="0" w:color="auto"/>
              <w:left w:val="nil"/>
              <w:bottom w:val="single" w:sz="8" w:space="0" w:color="auto"/>
              <w:right w:val="nil"/>
            </w:tcBorders>
          </w:tcPr>
          <w:p w14:paraId="11F7694F" w14:textId="77777777" w:rsidR="00AE6A58" w:rsidRPr="00BC2A2C" w:rsidRDefault="00AE6A58" w:rsidP="00BC2A2C">
            <w:pPr>
              <w:spacing w:after="0" w:line="276" w:lineRule="auto"/>
              <w:contextualSpacing/>
              <w:jc w:val="center"/>
              <w:rPr>
                <w:b/>
                <w:sz w:val="20"/>
                <w:szCs w:val="20"/>
              </w:rPr>
            </w:pPr>
            <w:r w:rsidRPr="00BC2A2C">
              <w:rPr>
                <w:b/>
                <w:sz w:val="20"/>
                <w:szCs w:val="20"/>
              </w:rPr>
              <w:t>Women (</w:t>
            </w:r>
            <w:r w:rsidRPr="00BC2A2C">
              <w:rPr>
                <w:b/>
                <w:i/>
                <w:sz w:val="20"/>
                <w:szCs w:val="20"/>
              </w:rPr>
              <w:t>n</w:t>
            </w:r>
            <w:r w:rsidRPr="00BC2A2C">
              <w:rPr>
                <w:b/>
                <w:sz w:val="20"/>
                <w:szCs w:val="20"/>
              </w:rPr>
              <w:t>=</w:t>
            </w:r>
            <w:r w:rsidR="00BC2A2C" w:rsidRPr="00BC2A2C">
              <w:rPr>
                <w:b/>
                <w:sz w:val="20"/>
                <w:szCs w:val="20"/>
              </w:rPr>
              <w:t>1052</w:t>
            </w:r>
            <w:r w:rsidRPr="00BC2A2C">
              <w:rPr>
                <w:b/>
                <w:sz w:val="20"/>
                <w:szCs w:val="20"/>
              </w:rPr>
              <w:t>)</w:t>
            </w:r>
          </w:p>
        </w:tc>
      </w:tr>
      <w:tr w:rsidR="00AE6A58" w:rsidRPr="006F3C95" w14:paraId="3AF8CED9" w14:textId="77777777" w:rsidTr="000D35A7">
        <w:tblPrEx>
          <w:tblBorders>
            <w:top w:val="single" w:sz="4" w:space="0" w:color="auto"/>
            <w:insideV w:val="none" w:sz="0" w:space="0" w:color="auto"/>
          </w:tblBorders>
        </w:tblPrEx>
        <w:tc>
          <w:tcPr>
            <w:tcW w:w="2869" w:type="dxa"/>
            <w:gridSpan w:val="2"/>
            <w:vMerge/>
            <w:tcBorders>
              <w:bottom w:val="single" w:sz="8" w:space="0" w:color="auto"/>
              <w:right w:val="nil"/>
            </w:tcBorders>
            <w:vAlign w:val="center"/>
          </w:tcPr>
          <w:p w14:paraId="3595DC9C" w14:textId="77777777" w:rsidR="00AE6A58" w:rsidRPr="00747310" w:rsidRDefault="00AE6A58" w:rsidP="00AE6A58">
            <w:pPr>
              <w:spacing w:after="0" w:line="276" w:lineRule="auto"/>
              <w:contextualSpacing/>
              <w:jc w:val="center"/>
              <w:rPr>
                <w:color w:val="FF0000"/>
                <w:sz w:val="20"/>
              </w:rPr>
            </w:pPr>
          </w:p>
        </w:tc>
        <w:tc>
          <w:tcPr>
            <w:tcW w:w="671" w:type="dxa"/>
            <w:tcBorders>
              <w:top w:val="single" w:sz="4" w:space="0" w:color="auto"/>
              <w:left w:val="nil"/>
              <w:bottom w:val="single" w:sz="8" w:space="0" w:color="auto"/>
              <w:right w:val="nil"/>
            </w:tcBorders>
          </w:tcPr>
          <w:p w14:paraId="513D29BB" w14:textId="77777777" w:rsidR="00AE6A58" w:rsidRPr="00BC2A2C" w:rsidRDefault="00AE6A58" w:rsidP="00AE6A58">
            <w:pPr>
              <w:spacing w:after="0" w:line="276" w:lineRule="auto"/>
              <w:contextualSpacing/>
              <w:jc w:val="center"/>
              <w:rPr>
                <w:b/>
                <w:sz w:val="20"/>
              </w:rPr>
            </w:pPr>
            <w:r w:rsidRPr="00BC2A2C">
              <w:rPr>
                <w:b/>
                <w:sz w:val="20"/>
              </w:rPr>
              <w:t>%*</w:t>
            </w:r>
          </w:p>
        </w:tc>
        <w:tc>
          <w:tcPr>
            <w:tcW w:w="1951" w:type="dxa"/>
            <w:tcBorders>
              <w:top w:val="single" w:sz="4" w:space="0" w:color="auto"/>
              <w:left w:val="nil"/>
              <w:bottom w:val="single" w:sz="8" w:space="0" w:color="auto"/>
              <w:right w:val="nil"/>
            </w:tcBorders>
            <w:vAlign w:val="center"/>
          </w:tcPr>
          <w:p w14:paraId="3276DBB4" w14:textId="77777777" w:rsidR="00AE6A58" w:rsidRPr="00BC2A2C" w:rsidRDefault="00AE6A58" w:rsidP="00AE6A58">
            <w:pPr>
              <w:spacing w:after="0" w:line="276" w:lineRule="auto"/>
              <w:contextualSpacing/>
              <w:jc w:val="center"/>
              <w:rPr>
                <w:b/>
                <w:sz w:val="20"/>
              </w:rPr>
            </w:pPr>
            <w:r w:rsidRPr="00BC2A2C">
              <w:rPr>
                <w:b/>
                <w:sz w:val="20"/>
              </w:rPr>
              <w:t>OR [95% CI]</w:t>
            </w:r>
          </w:p>
        </w:tc>
        <w:tc>
          <w:tcPr>
            <w:tcW w:w="874" w:type="dxa"/>
            <w:tcBorders>
              <w:top w:val="single" w:sz="4" w:space="0" w:color="auto"/>
              <w:left w:val="nil"/>
              <w:bottom w:val="single" w:sz="8" w:space="0" w:color="auto"/>
              <w:right w:val="nil"/>
            </w:tcBorders>
            <w:vAlign w:val="center"/>
          </w:tcPr>
          <w:p w14:paraId="14D74A08" w14:textId="77777777" w:rsidR="00AE6A58" w:rsidRPr="00BC2A2C" w:rsidRDefault="00AE6A58" w:rsidP="00AE6A58">
            <w:pPr>
              <w:spacing w:after="0" w:line="276" w:lineRule="auto"/>
              <w:contextualSpacing/>
              <w:jc w:val="center"/>
              <w:rPr>
                <w:b/>
                <w:i/>
                <w:sz w:val="20"/>
              </w:rPr>
            </w:pPr>
            <w:r w:rsidRPr="00BC2A2C">
              <w:rPr>
                <w:b/>
                <w:i/>
                <w:sz w:val="20"/>
              </w:rPr>
              <w:t>p</w:t>
            </w:r>
          </w:p>
        </w:tc>
        <w:tc>
          <w:tcPr>
            <w:tcW w:w="284" w:type="dxa"/>
            <w:tcBorders>
              <w:top w:val="nil"/>
              <w:left w:val="nil"/>
              <w:bottom w:val="single" w:sz="8" w:space="0" w:color="auto"/>
              <w:right w:val="nil"/>
            </w:tcBorders>
            <w:vAlign w:val="center"/>
          </w:tcPr>
          <w:p w14:paraId="223FCCE1" w14:textId="77777777" w:rsidR="00AE6A58" w:rsidRPr="00BC2A2C" w:rsidRDefault="00AE6A58" w:rsidP="00AE6A58">
            <w:pPr>
              <w:spacing w:after="0" w:line="276" w:lineRule="auto"/>
              <w:contextualSpacing/>
              <w:jc w:val="center"/>
              <w:rPr>
                <w:b/>
                <w:sz w:val="20"/>
              </w:rPr>
            </w:pPr>
          </w:p>
        </w:tc>
        <w:tc>
          <w:tcPr>
            <w:tcW w:w="671" w:type="dxa"/>
            <w:tcBorders>
              <w:top w:val="single" w:sz="4" w:space="0" w:color="auto"/>
              <w:left w:val="nil"/>
              <w:bottom w:val="single" w:sz="8" w:space="0" w:color="auto"/>
              <w:right w:val="nil"/>
            </w:tcBorders>
          </w:tcPr>
          <w:p w14:paraId="04A3A185" w14:textId="77777777" w:rsidR="00AE6A58" w:rsidRPr="00BC2A2C" w:rsidRDefault="00AE6A58" w:rsidP="00AE6A58">
            <w:pPr>
              <w:spacing w:after="0" w:line="276" w:lineRule="auto"/>
              <w:contextualSpacing/>
              <w:jc w:val="center"/>
              <w:rPr>
                <w:b/>
                <w:sz w:val="20"/>
              </w:rPr>
            </w:pPr>
            <w:r w:rsidRPr="00BC2A2C">
              <w:rPr>
                <w:b/>
                <w:sz w:val="20"/>
              </w:rPr>
              <w:t>%*</w:t>
            </w:r>
          </w:p>
        </w:tc>
        <w:tc>
          <w:tcPr>
            <w:tcW w:w="1850" w:type="dxa"/>
            <w:tcBorders>
              <w:top w:val="single" w:sz="4" w:space="0" w:color="auto"/>
              <w:left w:val="nil"/>
              <w:bottom w:val="single" w:sz="8" w:space="0" w:color="auto"/>
              <w:right w:val="nil"/>
            </w:tcBorders>
            <w:vAlign w:val="center"/>
          </w:tcPr>
          <w:p w14:paraId="14780D43" w14:textId="77777777" w:rsidR="00AE6A58" w:rsidRPr="00BC2A2C" w:rsidRDefault="00AE6A58" w:rsidP="00AE6A58">
            <w:pPr>
              <w:spacing w:after="0" w:line="276" w:lineRule="auto"/>
              <w:contextualSpacing/>
              <w:jc w:val="center"/>
              <w:rPr>
                <w:b/>
                <w:sz w:val="20"/>
              </w:rPr>
            </w:pPr>
            <w:r w:rsidRPr="00BC2A2C">
              <w:rPr>
                <w:b/>
                <w:sz w:val="20"/>
              </w:rPr>
              <w:t>OR [95% CI]</w:t>
            </w:r>
          </w:p>
        </w:tc>
        <w:tc>
          <w:tcPr>
            <w:tcW w:w="1022" w:type="dxa"/>
            <w:tcBorders>
              <w:top w:val="single" w:sz="4" w:space="0" w:color="auto"/>
              <w:left w:val="nil"/>
              <w:bottom w:val="single" w:sz="8" w:space="0" w:color="auto"/>
              <w:right w:val="nil"/>
            </w:tcBorders>
            <w:vAlign w:val="center"/>
          </w:tcPr>
          <w:p w14:paraId="5CA181AE" w14:textId="77777777" w:rsidR="00AE6A58" w:rsidRPr="00BC2A2C" w:rsidRDefault="00AE6A58" w:rsidP="00AE6A58">
            <w:pPr>
              <w:spacing w:after="0" w:line="276" w:lineRule="auto"/>
              <w:contextualSpacing/>
              <w:jc w:val="center"/>
              <w:rPr>
                <w:b/>
                <w:sz w:val="20"/>
              </w:rPr>
            </w:pPr>
            <w:r w:rsidRPr="00BC2A2C">
              <w:rPr>
                <w:b/>
                <w:i/>
                <w:sz w:val="20"/>
              </w:rPr>
              <w:t>p</w:t>
            </w:r>
          </w:p>
        </w:tc>
      </w:tr>
      <w:tr w:rsidR="00AE6A58" w:rsidRPr="00897348" w14:paraId="40E7939B" w14:textId="77777777" w:rsidTr="000D35A7">
        <w:tblPrEx>
          <w:tblBorders>
            <w:top w:val="single" w:sz="4" w:space="0" w:color="auto"/>
            <w:insideV w:val="none" w:sz="0" w:space="0" w:color="auto"/>
          </w:tblBorders>
        </w:tblPrEx>
        <w:tc>
          <w:tcPr>
            <w:tcW w:w="2869" w:type="dxa"/>
            <w:gridSpan w:val="2"/>
            <w:tcBorders>
              <w:top w:val="nil"/>
              <w:bottom w:val="single" w:sz="4" w:space="0" w:color="auto"/>
              <w:right w:val="nil"/>
            </w:tcBorders>
          </w:tcPr>
          <w:p w14:paraId="76241E1D" w14:textId="77777777" w:rsidR="00AE6A58" w:rsidRPr="007E5E62" w:rsidRDefault="00AE6A58" w:rsidP="00AE6A58">
            <w:pPr>
              <w:spacing w:after="0" w:line="276" w:lineRule="auto"/>
              <w:contextualSpacing/>
              <w:rPr>
                <w:sz w:val="20"/>
              </w:rPr>
            </w:pPr>
            <w:r>
              <w:rPr>
                <w:sz w:val="20"/>
              </w:rPr>
              <w:t>Age (years)</w:t>
            </w:r>
          </w:p>
        </w:tc>
        <w:tc>
          <w:tcPr>
            <w:tcW w:w="671" w:type="dxa"/>
            <w:tcBorders>
              <w:top w:val="nil"/>
              <w:bottom w:val="single" w:sz="4" w:space="0" w:color="auto"/>
              <w:right w:val="nil"/>
            </w:tcBorders>
          </w:tcPr>
          <w:p w14:paraId="62A44315" w14:textId="77777777" w:rsidR="00AE6A58" w:rsidRPr="00426408" w:rsidRDefault="00AE6A58" w:rsidP="00AE6A58">
            <w:pPr>
              <w:spacing w:after="0" w:line="276" w:lineRule="auto"/>
              <w:contextualSpacing/>
              <w:jc w:val="center"/>
              <w:rPr>
                <w:b/>
                <w:sz w:val="20"/>
              </w:rPr>
            </w:pPr>
            <w:r w:rsidRPr="00426408">
              <w:rPr>
                <w:b/>
                <w:sz w:val="20"/>
              </w:rPr>
              <w:t>-</w:t>
            </w:r>
          </w:p>
        </w:tc>
        <w:tc>
          <w:tcPr>
            <w:tcW w:w="1951" w:type="dxa"/>
            <w:tcBorders>
              <w:top w:val="nil"/>
              <w:left w:val="nil"/>
              <w:bottom w:val="single" w:sz="4" w:space="0" w:color="auto"/>
              <w:right w:val="nil"/>
            </w:tcBorders>
          </w:tcPr>
          <w:p w14:paraId="52AE62E8" w14:textId="3766D689" w:rsidR="00AE6A58" w:rsidRPr="00426408" w:rsidRDefault="00B50A78" w:rsidP="00E45F62">
            <w:pPr>
              <w:spacing w:after="0" w:line="276" w:lineRule="auto"/>
              <w:contextualSpacing/>
              <w:jc w:val="center"/>
              <w:rPr>
                <w:sz w:val="20"/>
              </w:rPr>
            </w:pPr>
            <w:r w:rsidRPr="00426408">
              <w:rPr>
                <w:sz w:val="20"/>
              </w:rPr>
              <w:t>1.0</w:t>
            </w:r>
            <w:r w:rsidR="005176E0" w:rsidRPr="00426408">
              <w:rPr>
                <w:sz w:val="20"/>
              </w:rPr>
              <w:t>4 [1.02-1.0</w:t>
            </w:r>
            <w:r w:rsidR="00E45F62">
              <w:rPr>
                <w:sz w:val="20"/>
              </w:rPr>
              <w:t>6</w:t>
            </w:r>
            <w:r w:rsidRPr="00426408">
              <w:rPr>
                <w:sz w:val="20"/>
              </w:rPr>
              <w:t>]</w:t>
            </w:r>
          </w:p>
        </w:tc>
        <w:tc>
          <w:tcPr>
            <w:tcW w:w="874" w:type="dxa"/>
            <w:tcBorders>
              <w:top w:val="nil"/>
              <w:left w:val="nil"/>
              <w:bottom w:val="single" w:sz="4" w:space="0" w:color="auto"/>
              <w:right w:val="nil"/>
            </w:tcBorders>
            <w:vAlign w:val="center"/>
          </w:tcPr>
          <w:p w14:paraId="071535CD" w14:textId="77777777" w:rsidR="00AE6A58" w:rsidRPr="00426408" w:rsidRDefault="00B50A78" w:rsidP="00AE6A58">
            <w:pPr>
              <w:spacing w:after="0" w:line="276" w:lineRule="auto"/>
              <w:contextualSpacing/>
              <w:jc w:val="center"/>
              <w:rPr>
                <w:sz w:val="20"/>
              </w:rPr>
            </w:pPr>
            <w:r w:rsidRPr="00426408">
              <w:rPr>
                <w:sz w:val="20"/>
              </w:rPr>
              <w:t>&lt;0.001</w:t>
            </w:r>
          </w:p>
        </w:tc>
        <w:tc>
          <w:tcPr>
            <w:tcW w:w="284" w:type="dxa"/>
            <w:tcBorders>
              <w:top w:val="nil"/>
              <w:left w:val="nil"/>
              <w:bottom w:val="single" w:sz="4" w:space="0" w:color="auto"/>
              <w:right w:val="nil"/>
            </w:tcBorders>
            <w:vAlign w:val="center"/>
          </w:tcPr>
          <w:p w14:paraId="53BDB2F1" w14:textId="77777777" w:rsidR="00AE6A58" w:rsidRPr="00426408" w:rsidRDefault="00AE6A58" w:rsidP="00AE6A58">
            <w:pPr>
              <w:spacing w:after="0" w:line="276" w:lineRule="auto"/>
              <w:contextualSpacing/>
              <w:jc w:val="center"/>
              <w:rPr>
                <w:sz w:val="20"/>
              </w:rPr>
            </w:pPr>
          </w:p>
        </w:tc>
        <w:tc>
          <w:tcPr>
            <w:tcW w:w="671" w:type="dxa"/>
            <w:tcBorders>
              <w:top w:val="nil"/>
              <w:left w:val="nil"/>
              <w:bottom w:val="single" w:sz="4" w:space="0" w:color="auto"/>
              <w:right w:val="nil"/>
            </w:tcBorders>
          </w:tcPr>
          <w:p w14:paraId="2F86AD9B" w14:textId="77777777" w:rsidR="00AE6A58" w:rsidRPr="00426408" w:rsidRDefault="00AE6A58" w:rsidP="00AE6A58">
            <w:pPr>
              <w:spacing w:after="0" w:line="276" w:lineRule="auto"/>
              <w:contextualSpacing/>
              <w:jc w:val="center"/>
              <w:rPr>
                <w:sz w:val="20"/>
              </w:rPr>
            </w:pPr>
            <w:r w:rsidRPr="00426408">
              <w:rPr>
                <w:sz w:val="20"/>
              </w:rPr>
              <w:t>-</w:t>
            </w:r>
          </w:p>
        </w:tc>
        <w:tc>
          <w:tcPr>
            <w:tcW w:w="1850" w:type="dxa"/>
            <w:tcBorders>
              <w:top w:val="nil"/>
              <w:left w:val="nil"/>
              <w:bottom w:val="single" w:sz="4" w:space="0" w:color="auto"/>
              <w:right w:val="nil"/>
            </w:tcBorders>
          </w:tcPr>
          <w:p w14:paraId="5CBED5EB" w14:textId="77777777" w:rsidR="00AE6A58" w:rsidRPr="00426408" w:rsidRDefault="00A23850" w:rsidP="006E5250">
            <w:pPr>
              <w:spacing w:after="0" w:line="276" w:lineRule="auto"/>
              <w:contextualSpacing/>
              <w:jc w:val="center"/>
              <w:rPr>
                <w:sz w:val="20"/>
              </w:rPr>
            </w:pPr>
            <w:r w:rsidRPr="00426408">
              <w:rPr>
                <w:sz w:val="20"/>
              </w:rPr>
              <w:t>1.0</w:t>
            </w:r>
            <w:r w:rsidR="006E5250">
              <w:rPr>
                <w:sz w:val="20"/>
              </w:rPr>
              <w:t>6 [1.04-1.09</w:t>
            </w:r>
            <w:r w:rsidRPr="00426408">
              <w:rPr>
                <w:sz w:val="20"/>
              </w:rPr>
              <w:t>]</w:t>
            </w:r>
          </w:p>
        </w:tc>
        <w:tc>
          <w:tcPr>
            <w:tcW w:w="1022" w:type="dxa"/>
            <w:tcBorders>
              <w:top w:val="nil"/>
              <w:left w:val="nil"/>
              <w:bottom w:val="single" w:sz="4" w:space="0" w:color="auto"/>
              <w:right w:val="nil"/>
            </w:tcBorders>
          </w:tcPr>
          <w:p w14:paraId="20218492" w14:textId="77777777" w:rsidR="00AE6A58" w:rsidRPr="00426408" w:rsidRDefault="00A23850" w:rsidP="00AE6A58">
            <w:pPr>
              <w:spacing w:after="0" w:line="276" w:lineRule="auto"/>
              <w:contextualSpacing/>
              <w:jc w:val="center"/>
              <w:rPr>
                <w:sz w:val="20"/>
              </w:rPr>
            </w:pPr>
            <w:r w:rsidRPr="00426408">
              <w:rPr>
                <w:sz w:val="20"/>
              </w:rPr>
              <w:t>&lt;0.001</w:t>
            </w:r>
          </w:p>
        </w:tc>
      </w:tr>
      <w:tr w:rsidR="00AE6A58" w:rsidRPr="00897348" w14:paraId="37F89391" w14:textId="77777777" w:rsidTr="000D35A7">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0F166E7D" w14:textId="77777777" w:rsidR="00AE6A58" w:rsidRPr="007E5E62" w:rsidRDefault="00AE6A58" w:rsidP="00AE6A58">
            <w:pPr>
              <w:spacing w:after="0" w:line="276" w:lineRule="auto"/>
              <w:contextualSpacing/>
              <w:rPr>
                <w:sz w:val="20"/>
              </w:rPr>
            </w:pPr>
            <w:r>
              <w:rPr>
                <w:sz w:val="20"/>
              </w:rPr>
              <w:t>Ethnicity</w:t>
            </w:r>
          </w:p>
        </w:tc>
        <w:tc>
          <w:tcPr>
            <w:tcW w:w="671" w:type="dxa"/>
            <w:tcBorders>
              <w:top w:val="single" w:sz="4" w:space="0" w:color="auto"/>
              <w:bottom w:val="nil"/>
              <w:right w:val="nil"/>
            </w:tcBorders>
          </w:tcPr>
          <w:p w14:paraId="6A996855" w14:textId="77777777" w:rsidR="00AE6A58" w:rsidRPr="00426408" w:rsidRDefault="00AE6A58" w:rsidP="00AE6A58">
            <w:pPr>
              <w:spacing w:after="0" w:line="276" w:lineRule="auto"/>
              <w:contextualSpacing/>
              <w:jc w:val="center"/>
              <w:rPr>
                <w:b/>
                <w:sz w:val="20"/>
              </w:rPr>
            </w:pPr>
          </w:p>
        </w:tc>
        <w:tc>
          <w:tcPr>
            <w:tcW w:w="1951" w:type="dxa"/>
            <w:tcBorders>
              <w:top w:val="single" w:sz="4" w:space="0" w:color="auto"/>
              <w:left w:val="nil"/>
              <w:bottom w:val="nil"/>
              <w:right w:val="nil"/>
            </w:tcBorders>
          </w:tcPr>
          <w:p w14:paraId="1A446431" w14:textId="77777777" w:rsidR="00AE6A58" w:rsidRPr="00426408" w:rsidRDefault="00AE6A58" w:rsidP="00AE6A58">
            <w:pPr>
              <w:spacing w:after="0" w:line="276" w:lineRule="auto"/>
              <w:contextualSpacing/>
              <w:jc w:val="center"/>
              <w:rPr>
                <w:sz w:val="20"/>
              </w:rPr>
            </w:pPr>
          </w:p>
        </w:tc>
        <w:tc>
          <w:tcPr>
            <w:tcW w:w="874" w:type="dxa"/>
            <w:tcBorders>
              <w:top w:val="single" w:sz="4" w:space="0" w:color="auto"/>
              <w:left w:val="nil"/>
              <w:bottom w:val="nil"/>
              <w:right w:val="nil"/>
            </w:tcBorders>
            <w:vAlign w:val="center"/>
          </w:tcPr>
          <w:p w14:paraId="4CC46113" w14:textId="77777777" w:rsidR="00AE6A58" w:rsidRPr="00426408" w:rsidRDefault="00AE6A58" w:rsidP="00AE6A58">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24CCF55D" w14:textId="77777777" w:rsidR="00AE6A58" w:rsidRPr="00426408" w:rsidRDefault="00AE6A58" w:rsidP="00AE6A58">
            <w:pPr>
              <w:spacing w:after="0" w:line="276" w:lineRule="auto"/>
              <w:contextualSpacing/>
              <w:jc w:val="center"/>
              <w:rPr>
                <w:sz w:val="20"/>
              </w:rPr>
            </w:pPr>
          </w:p>
        </w:tc>
        <w:tc>
          <w:tcPr>
            <w:tcW w:w="671" w:type="dxa"/>
            <w:tcBorders>
              <w:top w:val="single" w:sz="4" w:space="0" w:color="auto"/>
              <w:left w:val="nil"/>
              <w:bottom w:val="nil"/>
              <w:right w:val="nil"/>
            </w:tcBorders>
          </w:tcPr>
          <w:p w14:paraId="65EDB3FE" w14:textId="77777777" w:rsidR="00AE6A58" w:rsidRPr="00426408" w:rsidRDefault="00AE6A58" w:rsidP="00AE6A58">
            <w:pPr>
              <w:spacing w:after="0" w:line="276" w:lineRule="auto"/>
              <w:contextualSpacing/>
              <w:jc w:val="center"/>
              <w:rPr>
                <w:sz w:val="20"/>
              </w:rPr>
            </w:pPr>
          </w:p>
        </w:tc>
        <w:tc>
          <w:tcPr>
            <w:tcW w:w="1850" w:type="dxa"/>
            <w:tcBorders>
              <w:top w:val="single" w:sz="4" w:space="0" w:color="auto"/>
              <w:left w:val="nil"/>
              <w:bottom w:val="nil"/>
              <w:right w:val="nil"/>
            </w:tcBorders>
          </w:tcPr>
          <w:p w14:paraId="6B1F14DA" w14:textId="77777777" w:rsidR="00AE6A58" w:rsidRPr="00426408" w:rsidRDefault="00AE6A58" w:rsidP="00AE6A58">
            <w:pPr>
              <w:spacing w:after="0" w:line="276" w:lineRule="auto"/>
              <w:contextualSpacing/>
              <w:jc w:val="center"/>
              <w:rPr>
                <w:sz w:val="20"/>
              </w:rPr>
            </w:pPr>
          </w:p>
        </w:tc>
        <w:tc>
          <w:tcPr>
            <w:tcW w:w="1022" w:type="dxa"/>
            <w:tcBorders>
              <w:top w:val="single" w:sz="4" w:space="0" w:color="auto"/>
              <w:left w:val="nil"/>
              <w:bottom w:val="nil"/>
              <w:right w:val="nil"/>
            </w:tcBorders>
          </w:tcPr>
          <w:p w14:paraId="226FD985" w14:textId="77777777" w:rsidR="00AE6A58" w:rsidRPr="00426408" w:rsidRDefault="00AE6A58" w:rsidP="00AE6A58">
            <w:pPr>
              <w:spacing w:after="0" w:line="276" w:lineRule="auto"/>
              <w:contextualSpacing/>
              <w:jc w:val="center"/>
              <w:rPr>
                <w:sz w:val="20"/>
              </w:rPr>
            </w:pPr>
          </w:p>
        </w:tc>
      </w:tr>
      <w:tr w:rsidR="00AE6A58" w:rsidRPr="00F320B5" w14:paraId="4EBFA8E1" w14:textId="77777777" w:rsidTr="000D35A7">
        <w:tblPrEx>
          <w:tblBorders>
            <w:top w:val="single" w:sz="4" w:space="0" w:color="auto"/>
            <w:insideV w:val="none" w:sz="0" w:space="0" w:color="auto"/>
          </w:tblBorders>
        </w:tblPrEx>
        <w:tc>
          <w:tcPr>
            <w:tcW w:w="283" w:type="dxa"/>
            <w:tcBorders>
              <w:top w:val="nil"/>
              <w:bottom w:val="nil"/>
              <w:right w:val="nil"/>
            </w:tcBorders>
          </w:tcPr>
          <w:p w14:paraId="5641E9C1" w14:textId="77777777" w:rsidR="00AE6A58" w:rsidRPr="0046486F" w:rsidRDefault="00AE6A58" w:rsidP="00AE6A58">
            <w:pPr>
              <w:spacing w:after="0" w:line="276" w:lineRule="auto"/>
              <w:contextualSpacing/>
              <w:rPr>
                <w:sz w:val="20"/>
              </w:rPr>
            </w:pPr>
          </w:p>
        </w:tc>
        <w:tc>
          <w:tcPr>
            <w:tcW w:w="2586" w:type="dxa"/>
            <w:tcBorders>
              <w:top w:val="nil"/>
              <w:left w:val="nil"/>
              <w:bottom w:val="single" w:sz="4" w:space="0" w:color="auto"/>
              <w:right w:val="nil"/>
            </w:tcBorders>
            <w:vAlign w:val="center"/>
          </w:tcPr>
          <w:p w14:paraId="39B18747" w14:textId="77777777" w:rsidR="00AE6A58" w:rsidRPr="0046486F" w:rsidRDefault="00AE6A58" w:rsidP="00AE6A58">
            <w:pPr>
              <w:spacing w:after="0" w:line="276" w:lineRule="auto"/>
              <w:contextualSpacing/>
              <w:rPr>
                <w:sz w:val="20"/>
              </w:rPr>
            </w:pPr>
            <w:r>
              <w:rPr>
                <w:sz w:val="20"/>
              </w:rPr>
              <w:t>White</w:t>
            </w:r>
          </w:p>
        </w:tc>
        <w:tc>
          <w:tcPr>
            <w:tcW w:w="671" w:type="dxa"/>
            <w:tcBorders>
              <w:top w:val="nil"/>
              <w:left w:val="nil"/>
              <w:bottom w:val="single" w:sz="4" w:space="0" w:color="auto"/>
              <w:right w:val="nil"/>
            </w:tcBorders>
          </w:tcPr>
          <w:p w14:paraId="6A9F736D" w14:textId="77777777" w:rsidR="00AE6A58" w:rsidRPr="00426408" w:rsidRDefault="00904888" w:rsidP="00AE6A58">
            <w:pPr>
              <w:spacing w:after="0" w:line="276" w:lineRule="auto"/>
              <w:contextualSpacing/>
              <w:jc w:val="center"/>
              <w:rPr>
                <w:sz w:val="20"/>
              </w:rPr>
            </w:pPr>
            <w:r w:rsidRPr="00426408">
              <w:rPr>
                <w:sz w:val="20"/>
              </w:rPr>
              <w:t>52.7</w:t>
            </w:r>
          </w:p>
        </w:tc>
        <w:tc>
          <w:tcPr>
            <w:tcW w:w="1951" w:type="dxa"/>
            <w:tcBorders>
              <w:top w:val="nil"/>
              <w:left w:val="nil"/>
              <w:bottom w:val="single" w:sz="4" w:space="0" w:color="auto"/>
              <w:right w:val="nil"/>
            </w:tcBorders>
          </w:tcPr>
          <w:p w14:paraId="021C0520" w14:textId="77777777" w:rsidR="00AE6A58" w:rsidRPr="00426408" w:rsidRDefault="00AE6A58" w:rsidP="00AE6A58">
            <w:pPr>
              <w:spacing w:after="0" w:line="276" w:lineRule="auto"/>
              <w:contextualSpacing/>
              <w:jc w:val="center"/>
              <w:rPr>
                <w:sz w:val="20"/>
              </w:rPr>
            </w:pPr>
            <w:r w:rsidRPr="00426408">
              <w:rPr>
                <w:sz w:val="20"/>
              </w:rPr>
              <w:t>1.00</w:t>
            </w:r>
          </w:p>
        </w:tc>
        <w:tc>
          <w:tcPr>
            <w:tcW w:w="874" w:type="dxa"/>
            <w:tcBorders>
              <w:top w:val="nil"/>
              <w:left w:val="nil"/>
              <w:bottom w:val="single" w:sz="4" w:space="0" w:color="auto"/>
              <w:right w:val="nil"/>
            </w:tcBorders>
          </w:tcPr>
          <w:p w14:paraId="07FD5F04" w14:textId="77777777" w:rsidR="00AE6A58" w:rsidRPr="00426408" w:rsidRDefault="00AE6A58" w:rsidP="00AE6A58">
            <w:pPr>
              <w:spacing w:after="0" w:line="276" w:lineRule="auto"/>
              <w:contextualSpacing/>
              <w:jc w:val="center"/>
              <w:rPr>
                <w:sz w:val="20"/>
              </w:rPr>
            </w:pPr>
            <w:r w:rsidRPr="00426408">
              <w:rPr>
                <w:sz w:val="20"/>
              </w:rPr>
              <w:t>-</w:t>
            </w:r>
          </w:p>
        </w:tc>
        <w:tc>
          <w:tcPr>
            <w:tcW w:w="284" w:type="dxa"/>
            <w:tcBorders>
              <w:top w:val="nil"/>
              <w:left w:val="nil"/>
              <w:bottom w:val="single" w:sz="4" w:space="0" w:color="auto"/>
              <w:right w:val="nil"/>
            </w:tcBorders>
            <w:vAlign w:val="center"/>
          </w:tcPr>
          <w:p w14:paraId="1E32CD63" w14:textId="77777777" w:rsidR="00AE6A58" w:rsidRPr="00426408" w:rsidRDefault="00AE6A58" w:rsidP="00AE6A58">
            <w:pPr>
              <w:spacing w:after="0" w:line="276" w:lineRule="auto"/>
              <w:contextualSpacing/>
              <w:jc w:val="center"/>
              <w:rPr>
                <w:sz w:val="20"/>
              </w:rPr>
            </w:pPr>
          </w:p>
        </w:tc>
        <w:tc>
          <w:tcPr>
            <w:tcW w:w="671" w:type="dxa"/>
            <w:tcBorders>
              <w:top w:val="nil"/>
              <w:left w:val="nil"/>
              <w:bottom w:val="single" w:sz="4" w:space="0" w:color="auto"/>
              <w:right w:val="nil"/>
            </w:tcBorders>
          </w:tcPr>
          <w:p w14:paraId="1DFE0A87" w14:textId="77777777" w:rsidR="00AE6A58" w:rsidRPr="00426408" w:rsidRDefault="00904888" w:rsidP="00AE6A58">
            <w:pPr>
              <w:spacing w:after="0" w:line="276" w:lineRule="auto"/>
              <w:contextualSpacing/>
              <w:jc w:val="center"/>
              <w:rPr>
                <w:sz w:val="20"/>
              </w:rPr>
            </w:pPr>
            <w:r w:rsidRPr="00426408">
              <w:rPr>
                <w:sz w:val="20"/>
              </w:rPr>
              <w:t>34.9</w:t>
            </w:r>
          </w:p>
        </w:tc>
        <w:tc>
          <w:tcPr>
            <w:tcW w:w="1850" w:type="dxa"/>
            <w:tcBorders>
              <w:top w:val="nil"/>
              <w:left w:val="nil"/>
              <w:bottom w:val="single" w:sz="4" w:space="0" w:color="auto"/>
              <w:right w:val="nil"/>
            </w:tcBorders>
          </w:tcPr>
          <w:p w14:paraId="35E690C8" w14:textId="77777777" w:rsidR="00AE6A58" w:rsidRPr="00426408" w:rsidRDefault="00AE6A58" w:rsidP="00AE6A58">
            <w:pPr>
              <w:spacing w:after="0" w:line="276" w:lineRule="auto"/>
              <w:contextualSpacing/>
              <w:jc w:val="center"/>
              <w:rPr>
                <w:sz w:val="20"/>
              </w:rPr>
            </w:pPr>
            <w:r w:rsidRPr="00426408">
              <w:rPr>
                <w:sz w:val="20"/>
              </w:rPr>
              <w:t>1.00</w:t>
            </w:r>
          </w:p>
        </w:tc>
        <w:tc>
          <w:tcPr>
            <w:tcW w:w="1022" w:type="dxa"/>
            <w:tcBorders>
              <w:top w:val="nil"/>
              <w:left w:val="nil"/>
              <w:bottom w:val="single" w:sz="4" w:space="0" w:color="auto"/>
              <w:right w:val="nil"/>
            </w:tcBorders>
          </w:tcPr>
          <w:p w14:paraId="694D1F89" w14:textId="77777777" w:rsidR="00AE6A58" w:rsidRPr="00426408" w:rsidRDefault="00AE6A58" w:rsidP="00AE6A58">
            <w:pPr>
              <w:spacing w:after="0" w:line="276" w:lineRule="auto"/>
              <w:contextualSpacing/>
              <w:jc w:val="center"/>
              <w:rPr>
                <w:sz w:val="20"/>
              </w:rPr>
            </w:pPr>
            <w:r w:rsidRPr="00426408">
              <w:rPr>
                <w:sz w:val="20"/>
              </w:rPr>
              <w:t>-</w:t>
            </w:r>
          </w:p>
        </w:tc>
      </w:tr>
      <w:tr w:rsidR="00AE6A58" w:rsidRPr="00897348" w14:paraId="7EF2003D" w14:textId="77777777" w:rsidTr="000D35A7">
        <w:tblPrEx>
          <w:tblBorders>
            <w:top w:val="single" w:sz="4" w:space="0" w:color="auto"/>
            <w:insideV w:val="none" w:sz="0" w:space="0" w:color="auto"/>
          </w:tblBorders>
        </w:tblPrEx>
        <w:tc>
          <w:tcPr>
            <w:tcW w:w="283" w:type="dxa"/>
            <w:tcBorders>
              <w:top w:val="nil"/>
              <w:bottom w:val="single" w:sz="4" w:space="0" w:color="auto"/>
              <w:right w:val="nil"/>
            </w:tcBorders>
          </w:tcPr>
          <w:p w14:paraId="29BE9EF9" w14:textId="77777777" w:rsidR="00AE6A58" w:rsidRPr="0046486F" w:rsidRDefault="00AE6A58" w:rsidP="00AE6A58">
            <w:pPr>
              <w:spacing w:after="0" w:line="276" w:lineRule="auto"/>
              <w:contextualSpacing/>
              <w:rPr>
                <w:sz w:val="20"/>
              </w:rPr>
            </w:pPr>
          </w:p>
        </w:tc>
        <w:tc>
          <w:tcPr>
            <w:tcW w:w="2586" w:type="dxa"/>
            <w:tcBorders>
              <w:top w:val="nil"/>
              <w:left w:val="nil"/>
              <w:bottom w:val="single" w:sz="4" w:space="0" w:color="auto"/>
              <w:right w:val="nil"/>
            </w:tcBorders>
            <w:vAlign w:val="center"/>
          </w:tcPr>
          <w:p w14:paraId="10E58B21" w14:textId="77777777" w:rsidR="00AE6A58" w:rsidRPr="0046486F" w:rsidRDefault="00AE6A58" w:rsidP="00AE6A58">
            <w:pPr>
              <w:spacing w:after="0" w:line="276" w:lineRule="auto"/>
              <w:contextualSpacing/>
              <w:rPr>
                <w:sz w:val="20"/>
              </w:rPr>
            </w:pPr>
            <w:r>
              <w:rPr>
                <w:sz w:val="20"/>
              </w:rPr>
              <w:t>Non-white</w:t>
            </w:r>
          </w:p>
        </w:tc>
        <w:tc>
          <w:tcPr>
            <w:tcW w:w="671" w:type="dxa"/>
            <w:tcBorders>
              <w:top w:val="nil"/>
              <w:left w:val="nil"/>
              <w:bottom w:val="single" w:sz="4" w:space="0" w:color="auto"/>
              <w:right w:val="nil"/>
            </w:tcBorders>
          </w:tcPr>
          <w:p w14:paraId="51172E34" w14:textId="77777777" w:rsidR="00AE6A58" w:rsidRPr="00426408" w:rsidRDefault="00904888" w:rsidP="00AE6A58">
            <w:pPr>
              <w:spacing w:after="0" w:line="276" w:lineRule="auto"/>
              <w:contextualSpacing/>
              <w:jc w:val="center"/>
              <w:rPr>
                <w:sz w:val="20"/>
              </w:rPr>
            </w:pPr>
            <w:r w:rsidRPr="00426408">
              <w:rPr>
                <w:sz w:val="20"/>
              </w:rPr>
              <w:t>48.8</w:t>
            </w:r>
          </w:p>
        </w:tc>
        <w:tc>
          <w:tcPr>
            <w:tcW w:w="1951" w:type="dxa"/>
            <w:tcBorders>
              <w:top w:val="nil"/>
              <w:left w:val="nil"/>
              <w:bottom w:val="single" w:sz="4" w:space="0" w:color="auto"/>
              <w:right w:val="nil"/>
            </w:tcBorders>
          </w:tcPr>
          <w:p w14:paraId="01546A18" w14:textId="01D49163" w:rsidR="00AE6A58" w:rsidRPr="00426408" w:rsidRDefault="00426408" w:rsidP="00E45F62">
            <w:pPr>
              <w:spacing w:after="0" w:line="276" w:lineRule="auto"/>
              <w:contextualSpacing/>
              <w:jc w:val="center"/>
              <w:rPr>
                <w:sz w:val="20"/>
              </w:rPr>
            </w:pPr>
            <w:r>
              <w:rPr>
                <w:sz w:val="20"/>
              </w:rPr>
              <w:t>1.</w:t>
            </w:r>
            <w:r w:rsidR="00E45F62">
              <w:rPr>
                <w:sz w:val="20"/>
              </w:rPr>
              <w:t>77</w:t>
            </w:r>
            <w:r w:rsidR="00B50A78" w:rsidRPr="00426408">
              <w:rPr>
                <w:sz w:val="20"/>
              </w:rPr>
              <w:t xml:space="preserve"> [0.</w:t>
            </w:r>
            <w:r>
              <w:rPr>
                <w:sz w:val="20"/>
              </w:rPr>
              <w:t>8</w:t>
            </w:r>
            <w:r w:rsidR="00E45F62">
              <w:rPr>
                <w:sz w:val="20"/>
              </w:rPr>
              <w:t>7</w:t>
            </w:r>
            <w:r w:rsidR="005176E0" w:rsidRPr="00426408">
              <w:rPr>
                <w:sz w:val="20"/>
              </w:rPr>
              <w:t>-</w:t>
            </w:r>
            <w:r>
              <w:rPr>
                <w:sz w:val="20"/>
              </w:rPr>
              <w:t>3.</w:t>
            </w:r>
            <w:r w:rsidR="00E45F62">
              <w:rPr>
                <w:sz w:val="20"/>
              </w:rPr>
              <w:t>59</w:t>
            </w:r>
            <w:r w:rsidR="00B50A78" w:rsidRPr="00426408">
              <w:rPr>
                <w:sz w:val="20"/>
              </w:rPr>
              <w:t>]</w:t>
            </w:r>
          </w:p>
        </w:tc>
        <w:tc>
          <w:tcPr>
            <w:tcW w:w="874" w:type="dxa"/>
            <w:tcBorders>
              <w:top w:val="nil"/>
              <w:left w:val="nil"/>
              <w:bottom w:val="single" w:sz="4" w:space="0" w:color="auto"/>
              <w:right w:val="nil"/>
            </w:tcBorders>
          </w:tcPr>
          <w:p w14:paraId="1E76CF19" w14:textId="52DA3671" w:rsidR="00AE6A58" w:rsidRPr="00426408" w:rsidRDefault="00166083" w:rsidP="00E45F62">
            <w:pPr>
              <w:spacing w:after="0" w:line="276" w:lineRule="auto"/>
              <w:contextualSpacing/>
              <w:jc w:val="center"/>
              <w:rPr>
                <w:sz w:val="20"/>
              </w:rPr>
            </w:pPr>
            <w:r w:rsidRPr="00426408">
              <w:rPr>
                <w:sz w:val="20"/>
              </w:rPr>
              <w:t>0.</w:t>
            </w:r>
            <w:r w:rsidR="00426408">
              <w:rPr>
                <w:sz w:val="20"/>
              </w:rPr>
              <w:t>1</w:t>
            </w:r>
            <w:r w:rsidR="00E45F62">
              <w:rPr>
                <w:sz w:val="20"/>
              </w:rPr>
              <w:t>15</w:t>
            </w:r>
          </w:p>
        </w:tc>
        <w:tc>
          <w:tcPr>
            <w:tcW w:w="284" w:type="dxa"/>
            <w:tcBorders>
              <w:top w:val="nil"/>
              <w:left w:val="nil"/>
              <w:bottom w:val="single" w:sz="4" w:space="0" w:color="auto"/>
              <w:right w:val="nil"/>
            </w:tcBorders>
          </w:tcPr>
          <w:p w14:paraId="4EF3A449" w14:textId="77777777" w:rsidR="00AE6A58" w:rsidRPr="00426408" w:rsidRDefault="00AE6A58" w:rsidP="00AE6A58">
            <w:pPr>
              <w:spacing w:after="0" w:line="276" w:lineRule="auto"/>
              <w:contextualSpacing/>
              <w:jc w:val="center"/>
              <w:rPr>
                <w:sz w:val="20"/>
              </w:rPr>
            </w:pPr>
          </w:p>
        </w:tc>
        <w:tc>
          <w:tcPr>
            <w:tcW w:w="671" w:type="dxa"/>
            <w:tcBorders>
              <w:top w:val="nil"/>
              <w:left w:val="nil"/>
              <w:bottom w:val="single" w:sz="4" w:space="0" w:color="auto"/>
              <w:right w:val="nil"/>
            </w:tcBorders>
          </w:tcPr>
          <w:p w14:paraId="73F25E51" w14:textId="77777777" w:rsidR="00AE6A58" w:rsidRPr="00426408" w:rsidRDefault="00904888" w:rsidP="00AE6A58">
            <w:pPr>
              <w:spacing w:after="0" w:line="276" w:lineRule="auto"/>
              <w:contextualSpacing/>
              <w:jc w:val="center"/>
              <w:rPr>
                <w:sz w:val="20"/>
              </w:rPr>
            </w:pPr>
            <w:r w:rsidRPr="00426408">
              <w:rPr>
                <w:sz w:val="20"/>
              </w:rPr>
              <w:t>61.9</w:t>
            </w:r>
          </w:p>
        </w:tc>
        <w:tc>
          <w:tcPr>
            <w:tcW w:w="1850" w:type="dxa"/>
            <w:tcBorders>
              <w:top w:val="nil"/>
              <w:left w:val="nil"/>
              <w:bottom w:val="single" w:sz="4" w:space="0" w:color="auto"/>
              <w:right w:val="nil"/>
            </w:tcBorders>
          </w:tcPr>
          <w:p w14:paraId="34195132" w14:textId="1D8E0C1B" w:rsidR="00AE6A58" w:rsidRPr="00426408" w:rsidRDefault="00A3611F" w:rsidP="00FE1F2C">
            <w:pPr>
              <w:spacing w:after="0" w:line="276" w:lineRule="auto"/>
              <w:contextualSpacing/>
              <w:jc w:val="center"/>
              <w:rPr>
                <w:sz w:val="20"/>
              </w:rPr>
            </w:pPr>
            <w:r w:rsidRPr="00426408">
              <w:rPr>
                <w:sz w:val="20"/>
              </w:rPr>
              <w:t>3.</w:t>
            </w:r>
            <w:r w:rsidR="00FE1F2C">
              <w:rPr>
                <w:sz w:val="20"/>
              </w:rPr>
              <w:t>79</w:t>
            </w:r>
            <w:r w:rsidRPr="00426408">
              <w:rPr>
                <w:sz w:val="20"/>
              </w:rPr>
              <w:t xml:space="preserve"> [1.</w:t>
            </w:r>
            <w:r w:rsidR="006E5250">
              <w:rPr>
                <w:sz w:val="20"/>
              </w:rPr>
              <w:t>4</w:t>
            </w:r>
            <w:r w:rsidR="00FE1F2C">
              <w:rPr>
                <w:sz w:val="20"/>
              </w:rPr>
              <w:t>4</w:t>
            </w:r>
            <w:r w:rsidRPr="00426408">
              <w:rPr>
                <w:sz w:val="20"/>
              </w:rPr>
              <w:t>-</w:t>
            </w:r>
            <w:r w:rsidR="006E5250">
              <w:rPr>
                <w:sz w:val="20"/>
              </w:rPr>
              <w:t>9.9</w:t>
            </w:r>
            <w:r w:rsidR="00FE1F2C">
              <w:rPr>
                <w:sz w:val="20"/>
              </w:rPr>
              <w:t>4</w:t>
            </w:r>
            <w:r w:rsidRPr="00426408">
              <w:rPr>
                <w:sz w:val="20"/>
              </w:rPr>
              <w:t>]</w:t>
            </w:r>
          </w:p>
        </w:tc>
        <w:tc>
          <w:tcPr>
            <w:tcW w:w="1022" w:type="dxa"/>
            <w:tcBorders>
              <w:top w:val="nil"/>
              <w:left w:val="nil"/>
              <w:bottom w:val="single" w:sz="4" w:space="0" w:color="auto"/>
              <w:right w:val="nil"/>
            </w:tcBorders>
          </w:tcPr>
          <w:p w14:paraId="4A4CCA19" w14:textId="77777777" w:rsidR="00AE6A58" w:rsidRPr="00426408" w:rsidRDefault="006E5250" w:rsidP="00AE6A58">
            <w:pPr>
              <w:spacing w:after="0" w:line="276" w:lineRule="auto"/>
              <w:contextualSpacing/>
              <w:jc w:val="center"/>
              <w:rPr>
                <w:sz w:val="20"/>
              </w:rPr>
            </w:pPr>
            <w:r>
              <w:rPr>
                <w:sz w:val="20"/>
              </w:rPr>
              <w:t>0.007</w:t>
            </w:r>
          </w:p>
        </w:tc>
      </w:tr>
      <w:tr w:rsidR="00AE6A58" w:rsidRPr="00897348" w14:paraId="196B5C97" w14:textId="77777777" w:rsidTr="000D35A7">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2500183A" w14:textId="77777777" w:rsidR="00AE6A58" w:rsidRPr="007E5E62" w:rsidRDefault="00AE6A58" w:rsidP="00AE6A58">
            <w:pPr>
              <w:spacing w:after="0" w:line="276" w:lineRule="auto"/>
              <w:contextualSpacing/>
              <w:rPr>
                <w:sz w:val="20"/>
              </w:rPr>
            </w:pPr>
            <w:r>
              <w:rPr>
                <w:sz w:val="20"/>
              </w:rPr>
              <w:t>SES</w:t>
            </w:r>
          </w:p>
        </w:tc>
        <w:tc>
          <w:tcPr>
            <w:tcW w:w="671" w:type="dxa"/>
            <w:tcBorders>
              <w:top w:val="single" w:sz="4" w:space="0" w:color="auto"/>
              <w:bottom w:val="nil"/>
              <w:right w:val="nil"/>
            </w:tcBorders>
          </w:tcPr>
          <w:p w14:paraId="0FAE2A7C" w14:textId="77777777" w:rsidR="00AE6A58" w:rsidRPr="00426408" w:rsidRDefault="00AE6A58" w:rsidP="00AE6A58">
            <w:pPr>
              <w:spacing w:after="0" w:line="276" w:lineRule="auto"/>
              <w:contextualSpacing/>
              <w:jc w:val="center"/>
              <w:rPr>
                <w:b/>
                <w:sz w:val="20"/>
              </w:rPr>
            </w:pPr>
          </w:p>
        </w:tc>
        <w:tc>
          <w:tcPr>
            <w:tcW w:w="1951" w:type="dxa"/>
            <w:tcBorders>
              <w:top w:val="single" w:sz="4" w:space="0" w:color="auto"/>
              <w:left w:val="nil"/>
              <w:bottom w:val="nil"/>
              <w:right w:val="nil"/>
            </w:tcBorders>
          </w:tcPr>
          <w:p w14:paraId="27A0A07A" w14:textId="77777777" w:rsidR="00AE6A58" w:rsidRPr="00426408" w:rsidRDefault="00AE6A58" w:rsidP="00AE6A58">
            <w:pPr>
              <w:spacing w:after="0" w:line="276" w:lineRule="auto"/>
              <w:contextualSpacing/>
              <w:jc w:val="center"/>
              <w:rPr>
                <w:b/>
                <w:sz w:val="20"/>
              </w:rPr>
            </w:pPr>
          </w:p>
        </w:tc>
        <w:tc>
          <w:tcPr>
            <w:tcW w:w="874" w:type="dxa"/>
            <w:tcBorders>
              <w:top w:val="single" w:sz="4" w:space="0" w:color="auto"/>
              <w:left w:val="nil"/>
              <w:bottom w:val="nil"/>
              <w:right w:val="nil"/>
            </w:tcBorders>
            <w:vAlign w:val="center"/>
          </w:tcPr>
          <w:p w14:paraId="58394275" w14:textId="77777777" w:rsidR="00AE6A58" w:rsidRPr="00426408" w:rsidRDefault="00AE6A58" w:rsidP="00AE6A58">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27B7700D" w14:textId="77777777" w:rsidR="00AE6A58" w:rsidRPr="00426408" w:rsidRDefault="00AE6A58" w:rsidP="00AE6A58">
            <w:pPr>
              <w:spacing w:after="0" w:line="276" w:lineRule="auto"/>
              <w:contextualSpacing/>
              <w:jc w:val="center"/>
              <w:rPr>
                <w:sz w:val="20"/>
              </w:rPr>
            </w:pPr>
          </w:p>
        </w:tc>
        <w:tc>
          <w:tcPr>
            <w:tcW w:w="671" w:type="dxa"/>
            <w:tcBorders>
              <w:top w:val="single" w:sz="4" w:space="0" w:color="auto"/>
              <w:left w:val="nil"/>
              <w:bottom w:val="nil"/>
              <w:right w:val="nil"/>
            </w:tcBorders>
          </w:tcPr>
          <w:p w14:paraId="43526BA1" w14:textId="77777777" w:rsidR="00AE6A58" w:rsidRPr="00426408" w:rsidRDefault="00AE6A58" w:rsidP="00AE6A58">
            <w:pPr>
              <w:spacing w:after="0" w:line="276" w:lineRule="auto"/>
              <w:contextualSpacing/>
              <w:jc w:val="center"/>
              <w:rPr>
                <w:sz w:val="20"/>
              </w:rPr>
            </w:pPr>
          </w:p>
        </w:tc>
        <w:tc>
          <w:tcPr>
            <w:tcW w:w="1850" w:type="dxa"/>
            <w:tcBorders>
              <w:top w:val="single" w:sz="4" w:space="0" w:color="auto"/>
              <w:left w:val="nil"/>
              <w:bottom w:val="nil"/>
              <w:right w:val="nil"/>
            </w:tcBorders>
          </w:tcPr>
          <w:p w14:paraId="4BF7CF36" w14:textId="77777777" w:rsidR="00AE6A58" w:rsidRPr="00426408" w:rsidRDefault="00AE6A58" w:rsidP="00AE6A58">
            <w:pPr>
              <w:spacing w:after="0" w:line="276" w:lineRule="auto"/>
              <w:contextualSpacing/>
              <w:jc w:val="center"/>
              <w:rPr>
                <w:b/>
                <w:sz w:val="20"/>
              </w:rPr>
            </w:pPr>
          </w:p>
        </w:tc>
        <w:tc>
          <w:tcPr>
            <w:tcW w:w="1022" w:type="dxa"/>
            <w:tcBorders>
              <w:top w:val="single" w:sz="4" w:space="0" w:color="auto"/>
              <w:left w:val="nil"/>
              <w:bottom w:val="nil"/>
              <w:right w:val="nil"/>
            </w:tcBorders>
          </w:tcPr>
          <w:p w14:paraId="7CD52EA5" w14:textId="77777777" w:rsidR="00AE6A58" w:rsidRPr="00426408" w:rsidRDefault="00AE6A58" w:rsidP="00AE6A58">
            <w:pPr>
              <w:spacing w:after="0" w:line="276" w:lineRule="auto"/>
              <w:contextualSpacing/>
              <w:jc w:val="center"/>
              <w:rPr>
                <w:sz w:val="20"/>
              </w:rPr>
            </w:pPr>
          </w:p>
        </w:tc>
      </w:tr>
      <w:tr w:rsidR="00AE6A58" w:rsidRPr="00F320B5" w14:paraId="251E1ABB" w14:textId="77777777" w:rsidTr="000D35A7">
        <w:tblPrEx>
          <w:tblBorders>
            <w:top w:val="single" w:sz="4" w:space="0" w:color="auto"/>
            <w:insideV w:val="none" w:sz="0" w:space="0" w:color="auto"/>
          </w:tblBorders>
        </w:tblPrEx>
        <w:tc>
          <w:tcPr>
            <w:tcW w:w="283" w:type="dxa"/>
            <w:tcBorders>
              <w:top w:val="nil"/>
              <w:bottom w:val="nil"/>
              <w:right w:val="nil"/>
            </w:tcBorders>
          </w:tcPr>
          <w:p w14:paraId="46CBCF04" w14:textId="77777777" w:rsidR="00AE6A58" w:rsidRPr="0046486F" w:rsidRDefault="00AE6A58" w:rsidP="00AE6A58">
            <w:pPr>
              <w:spacing w:after="0" w:line="276" w:lineRule="auto"/>
              <w:contextualSpacing/>
              <w:rPr>
                <w:sz w:val="20"/>
              </w:rPr>
            </w:pPr>
          </w:p>
        </w:tc>
        <w:tc>
          <w:tcPr>
            <w:tcW w:w="2586" w:type="dxa"/>
            <w:tcBorders>
              <w:top w:val="nil"/>
              <w:left w:val="nil"/>
              <w:bottom w:val="single" w:sz="4" w:space="0" w:color="auto"/>
              <w:right w:val="nil"/>
            </w:tcBorders>
          </w:tcPr>
          <w:p w14:paraId="13D1B535" w14:textId="77777777" w:rsidR="00AE6A58" w:rsidRPr="007E5E62" w:rsidRDefault="00AE6A58" w:rsidP="00AE6A58">
            <w:pPr>
              <w:spacing w:after="0" w:line="276" w:lineRule="auto"/>
              <w:contextualSpacing/>
              <w:rPr>
                <w:sz w:val="20"/>
                <w:szCs w:val="20"/>
              </w:rPr>
            </w:pPr>
            <w:r w:rsidRPr="007E5E62">
              <w:rPr>
                <w:sz w:val="20"/>
                <w:szCs w:val="20"/>
              </w:rPr>
              <w:t>Higher</w:t>
            </w:r>
          </w:p>
        </w:tc>
        <w:tc>
          <w:tcPr>
            <w:tcW w:w="671" w:type="dxa"/>
            <w:tcBorders>
              <w:top w:val="nil"/>
              <w:left w:val="nil"/>
              <w:bottom w:val="single" w:sz="4" w:space="0" w:color="auto"/>
              <w:right w:val="nil"/>
            </w:tcBorders>
          </w:tcPr>
          <w:p w14:paraId="6F21632E" w14:textId="77777777" w:rsidR="00AE6A58" w:rsidRPr="00426408" w:rsidRDefault="00904888" w:rsidP="00AE6A58">
            <w:pPr>
              <w:spacing w:after="0" w:line="276" w:lineRule="auto"/>
              <w:contextualSpacing/>
              <w:jc w:val="center"/>
              <w:rPr>
                <w:sz w:val="20"/>
              </w:rPr>
            </w:pPr>
            <w:r w:rsidRPr="00426408">
              <w:rPr>
                <w:sz w:val="20"/>
              </w:rPr>
              <w:t>53.5</w:t>
            </w:r>
          </w:p>
        </w:tc>
        <w:tc>
          <w:tcPr>
            <w:tcW w:w="1951" w:type="dxa"/>
            <w:tcBorders>
              <w:top w:val="nil"/>
              <w:left w:val="nil"/>
              <w:bottom w:val="single" w:sz="4" w:space="0" w:color="auto"/>
              <w:right w:val="nil"/>
            </w:tcBorders>
          </w:tcPr>
          <w:p w14:paraId="6EE6CD00" w14:textId="77777777" w:rsidR="00AE6A58" w:rsidRPr="00426408" w:rsidRDefault="00AE6A58" w:rsidP="00AE6A58">
            <w:pPr>
              <w:spacing w:after="0" w:line="276" w:lineRule="auto"/>
              <w:contextualSpacing/>
              <w:jc w:val="center"/>
              <w:rPr>
                <w:sz w:val="20"/>
              </w:rPr>
            </w:pPr>
            <w:r w:rsidRPr="00426408">
              <w:rPr>
                <w:sz w:val="20"/>
              </w:rPr>
              <w:t>1.00</w:t>
            </w:r>
          </w:p>
        </w:tc>
        <w:tc>
          <w:tcPr>
            <w:tcW w:w="874" w:type="dxa"/>
            <w:tcBorders>
              <w:top w:val="nil"/>
              <w:left w:val="nil"/>
              <w:bottom w:val="single" w:sz="4" w:space="0" w:color="auto"/>
              <w:right w:val="nil"/>
            </w:tcBorders>
          </w:tcPr>
          <w:p w14:paraId="27536B6B" w14:textId="77777777" w:rsidR="00AE6A58" w:rsidRPr="00426408" w:rsidRDefault="00AE6A58" w:rsidP="00AE6A58">
            <w:pPr>
              <w:spacing w:after="0" w:line="276" w:lineRule="auto"/>
              <w:contextualSpacing/>
              <w:jc w:val="center"/>
              <w:rPr>
                <w:sz w:val="20"/>
              </w:rPr>
            </w:pPr>
            <w:r w:rsidRPr="00426408">
              <w:rPr>
                <w:sz w:val="20"/>
              </w:rPr>
              <w:t>-</w:t>
            </w:r>
          </w:p>
        </w:tc>
        <w:tc>
          <w:tcPr>
            <w:tcW w:w="284" w:type="dxa"/>
            <w:tcBorders>
              <w:top w:val="nil"/>
              <w:left w:val="nil"/>
              <w:bottom w:val="single" w:sz="4" w:space="0" w:color="auto"/>
              <w:right w:val="nil"/>
            </w:tcBorders>
            <w:vAlign w:val="center"/>
          </w:tcPr>
          <w:p w14:paraId="464CA96F" w14:textId="77777777" w:rsidR="00AE6A58" w:rsidRPr="00426408" w:rsidRDefault="00AE6A58" w:rsidP="00AE6A58">
            <w:pPr>
              <w:spacing w:after="0" w:line="276" w:lineRule="auto"/>
              <w:contextualSpacing/>
              <w:jc w:val="center"/>
              <w:rPr>
                <w:sz w:val="20"/>
              </w:rPr>
            </w:pPr>
          </w:p>
        </w:tc>
        <w:tc>
          <w:tcPr>
            <w:tcW w:w="671" w:type="dxa"/>
            <w:tcBorders>
              <w:top w:val="nil"/>
              <w:left w:val="nil"/>
              <w:bottom w:val="single" w:sz="4" w:space="0" w:color="auto"/>
              <w:right w:val="nil"/>
            </w:tcBorders>
          </w:tcPr>
          <w:p w14:paraId="060CDEB2" w14:textId="77777777" w:rsidR="00AE6A58" w:rsidRPr="00426408" w:rsidRDefault="00904888" w:rsidP="00AE6A58">
            <w:pPr>
              <w:spacing w:after="0" w:line="276" w:lineRule="auto"/>
              <w:contextualSpacing/>
              <w:jc w:val="center"/>
              <w:rPr>
                <w:sz w:val="20"/>
              </w:rPr>
            </w:pPr>
            <w:r w:rsidRPr="00426408">
              <w:rPr>
                <w:sz w:val="20"/>
              </w:rPr>
              <w:t>28.9</w:t>
            </w:r>
          </w:p>
        </w:tc>
        <w:tc>
          <w:tcPr>
            <w:tcW w:w="1850" w:type="dxa"/>
            <w:tcBorders>
              <w:top w:val="nil"/>
              <w:left w:val="nil"/>
              <w:bottom w:val="single" w:sz="4" w:space="0" w:color="auto"/>
              <w:right w:val="nil"/>
            </w:tcBorders>
          </w:tcPr>
          <w:p w14:paraId="36C7FE33" w14:textId="77777777" w:rsidR="00AE6A58" w:rsidRPr="00426408" w:rsidRDefault="00AE6A58" w:rsidP="00AE6A58">
            <w:pPr>
              <w:spacing w:after="0" w:line="276" w:lineRule="auto"/>
              <w:contextualSpacing/>
              <w:jc w:val="center"/>
              <w:rPr>
                <w:sz w:val="20"/>
              </w:rPr>
            </w:pPr>
            <w:r w:rsidRPr="00426408">
              <w:rPr>
                <w:sz w:val="20"/>
              </w:rPr>
              <w:t>1.00</w:t>
            </w:r>
          </w:p>
        </w:tc>
        <w:tc>
          <w:tcPr>
            <w:tcW w:w="1022" w:type="dxa"/>
            <w:tcBorders>
              <w:top w:val="nil"/>
              <w:left w:val="nil"/>
              <w:bottom w:val="single" w:sz="4" w:space="0" w:color="auto"/>
              <w:right w:val="nil"/>
            </w:tcBorders>
          </w:tcPr>
          <w:p w14:paraId="316FB276" w14:textId="77777777" w:rsidR="00AE6A58" w:rsidRPr="00426408" w:rsidRDefault="00AE6A58" w:rsidP="00AE6A58">
            <w:pPr>
              <w:spacing w:after="0" w:line="276" w:lineRule="auto"/>
              <w:contextualSpacing/>
              <w:jc w:val="center"/>
              <w:rPr>
                <w:sz w:val="20"/>
              </w:rPr>
            </w:pPr>
            <w:r w:rsidRPr="00426408">
              <w:rPr>
                <w:sz w:val="20"/>
              </w:rPr>
              <w:t>-</w:t>
            </w:r>
          </w:p>
        </w:tc>
      </w:tr>
      <w:tr w:rsidR="00AE6A58" w:rsidRPr="00897348" w14:paraId="4BB252D9" w14:textId="77777777" w:rsidTr="000D35A7">
        <w:tblPrEx>
          <w:tblBorders>
            <w:top w:val="single" w:sz="4" w:space="0" w:color="auto"/>
            <w:insideV w:val="none" w:sz="0" w:space="0" w:color="auto"/>
          </w:tblBorders>
        </w:tblPrEx>
        <w:tc>
          <w:tcPr>
            <w:tcW w:w="283" w:type="dxa"/>
            <w:tcBorders>
              <w:top w:val="nil"/>
              <w:bottom w:val="nil"/>
              <w:right w:val="nil"/>
            </w:tcBorders>
          </w:tcPr>
          <w:p w14:paraId="0EF444D0" w14:textId="77777777" w:rsidR="00AE6A58" w:rsidRPr="0046486F" w:rsidRDefault="00AE6A58" w:rsidP="00AE6A58">
            <w:pPr>
              <w:spacing w:after="0" w:line="276" w:lineRule="auto"/>
              <w:contextualSpacing/>
              <w:rPr>
                <w:sz w:val="20"/>
              </w:rPr>
            </w:pPr>
          </w:p>
        </w:tc>
        <w:tc>
          <w:tcPr>
            <w:tcW w:w="2586" w:type="dxa"/>
            <w:tcBorders>
              <w:top w:val="nil"/>
              <w:left w:val="nil"/>
              <w:bottom w:val="single" w:sz="4" w:space="0" w:color="auto"/>
              <w:right w:val="nil"/>
            </w:tcBorders>
          </w:tcPr>
          <w:p w14:paraId="4C00A0F9" w14:textId="77777777" w:rsidR="00AE6A58" w:rsidRPr="007E5E62" w:rsidRDefault="00AE6A58" w:rsidP="00AE6A58">
            <w:pPr>
              <w:spacing w:after="0" w:line="276" w:lineRule="auto"/>
              <w:contextualSpacing/>
              <w:rPr>
                <w:sz w:val="20"/>
                <w:szCs w:val="20"/>
              </w:rPr>
            </w:pPr>
            <w:r w:rsidRPr="007E5E62">
              <w:rPr>
                <w:sz w:val="20"/>
                <w:szCs w:val="20"/>
              </w:rPr>
              <w:t>Intermediate</w:t>
            </w:r>
          </w:p>
        </w:tc>
        <w:tc>
          <w:tcPr>
            <w:tcW w:w="671" w:type="dxa"/>
            <w:tcBorders>
              <w:top w:val="nil"/>
              <w:left w:val="nil"/>
              <w:bottom w:val="single" w:sz="4" w:space="0" w:color="auto"/>
              <w:right w:val="nil"/>
            </w:tcBorders>
          </w:tcPr>
          <w:p w14:paraId="4F2C6040" w14:textId="77777777" w:rsidR="00AE6A58" w:rsidRPr="00426408" w:rsidRDefault="00904888" w:rsidP="00AE6A58">
            <w:pPr>
              <w:spacing w:after="0" w:line="276" w:lineRule="auto"/>
              <w:contextualSpacing/>
              <w:jc w:val="center"/>
              <w:rPr>
                <w:sz w:val="20"/>
              </w:rPr>
            </w:pPr>
            <w:r w:rsidRPr="00426408">
              <w:rPr>
                <w:sz w:val="20"/>
              </w:rPr>
              <w:t>54.4</w:t>
            </w:r>
          </w:p>
        </w:tc>
        <w:tc>
          <w:tcPr>
            <w:tcW w:w="1951" w:type="dxa"/>
            <w:tcBorders>
              <w:top w:val="nil"/>
              <w:left w:val="nil"/>
              <w:bottom w:val="single" w:sz="4" w:space="0" w:color="auto"/>
              <w:right w:val="nil"/>
            </w:tcBorders>
          </w:tcPr>
          <w:p w14:paraId="74755163" w14:textId="56F56FA3" w:rsidR="00AE6A58" w:rsidRPr="00426408" w:rsidRDefault="00B50A78" w:rsidP="00E45F62">
            <w:pPr>
              <w:spacing w:after="0" w:line="276" w:lineRule="auto"/>
              <w:contextualSpacing/>
              <w:jc w:val="center"/>
              <w:rPr>
                <w:sz w:val="20"/>
              </w:rPr>
            </w:pPr>
            <w:r w:rsidRPr="00426408">
              <w:rPr>
                <w:sz w:val="20"/>
              </w:rPr>
              <w:t>1.</w:t>
            </w:r>
            <w:r w:rsidR="00426408">
              <w:rPr>
                <w:sz w:val="20"/>
              </w:rPr>
              <w:t>2</w:t>
            </w:r>
            <w:r w:rsidR="00E45F62">
              <w:rPr>
                <w:sz w:val="20"/>
              </w:rPr>
              <w:t>2</w:t>
            </w:r>
            <w:r w:rsidRPr="00426408">
              <w:rPr>
                <w:sz w:val="20"/>
              </w:rPr>
              <w:t xml:space="preserve"> [0.</w:t>
            </w:r>
            <w:r w:rsidR="00426408">
              <w:rPr>
                <w:sz w:val="20"/>
              </w:rPr>
              <w:t>8</w:t>
            </w:r>
            <w:r w:rsidR="00E45F62">
              <w:rPr>
                <w:sz w:val="20"/>
              </w:rPr>
              <w:t>3</w:t>
            </w:r>
            <w:r w:rsidRPr="00426408">
              <w:rPr>
                <w:sz w:val="20"/>
              </w:rPr>
              <w:t>-1.</w:t>
            </w:r>
            <w:r w:rsidR="00426408">
              <w:rPr>
                <w:sz w:val="20"/>
              </w:rPr>
              <w:t>8</w:t>
            </w:r>
            <w:r w:rsidR="00E45F62">
              <w:rPr>
                <w:sz w:val="20"/>
              </w:rPr>
              <w:t>1</w:t>
            </w:r>
            <w:r w:rsidRPr="00426408">
              <w:rPr>
                <w:sz w:val="20"/>
              </w:rPr>
              <w:t>]</w:t>
            </w:r>
          </w:p>
        </w:tc>
        <w:tc>
          <w:tcPr>
            <w:tcW w:w="874" w:type="dxa"/>
            <w:tcBorders>
              <w:top w:val="nil"/>
              <w:left w:val="nil"/>
              <w:bottom w:val="single" w:sz="4" w:space="0" w:color="auto"/>
              <w:right w:val="nil"/>
            </w:tcBorders>
          </w:tcPr>
          <w:p w14:paraId="53C03082" w14:textId="20C89FE7" w:rsidR="00AE6A58" w:rsidRPr="00426408" w:rsidRDefault="00166083" w:rsidP="00E45F62">
            <w:pPr>
              <w:spacing w:after="0" w:line="276" w:lineRule="auto"/>
              <w:contextualSpacing/>
              <w:jc w:val="center"/>
              <w:rPr>
                <w:sz w:val="20"/>
              </w:rPr>
            </w:pPr>
            <w:r w:rsidRPr="00426408">
              <w:rPr>
                <w:sz w:val="20"/>
              </w:rPr>
              <w:t>0.</w:t>
            </w:r>
            <w:r w:rsidR="00E45F62">
              <w:rPr>
                <w:sz w:val="20"/>
              </w:rPr>
              <w:t>313</w:t>
            </w:r>
          </w:p>
        </w:tc>
        <w:tc>
          <w:tcPr>
            <w:tcW w:w="284" w:type="dxa"/>
            <w:tcBorders>
              <w:top w:val="nil"/>
              <w:left w:val="nil"/>
              <w:bottom w:val="single" w:sz="4" w:space="0" w:color="auto"/>
              <w:right w:val="nil"/>
            </w:tcBorders>
            <w:vAlign w:val="center"/>
          </w:tcPr>
          <w:p w14:paraId="0F11DAA6" w14:textId="77777777" w:rsidR="00AE6A58" w:rsidRPr="00426408" w:rsidRDefault="00AE6A58" w:rsidP="00AE6A58">
            <w:pPr>
              <w:spacing w:after="0" w:line="276" w:lineRule="auto"/>
              <w:contextualSpacing/>
              <w:jc w:val="center"/>
              <w:rPr>
                <w:sz w:val="20"/>
              </w:rPr>
            </w:pPr>
          </w:p>
        </w:tc>
        <w:tc>
          <w:tcPr>
            <w:tcW w:w="671" w:type="dxa"/>
            <w:tcBorders>
              <w:top w:val="nil"/>
              <w:left w:val="nil"/>
              <w:bottom w:val="single" w:sz="4" w:space="0" w:color="auto"/>
              <w:right w:val="nil"/>
            </w:tcBorders>
          </w:tcPr>
          <w:p w14:paraId="3AFDC99A" w14:textId="77777777" w:rsidR="00AE6A58" w:rsidRPr="00426408" w:rsidRDefault="00904888" w:rsidP="00AE6A58">
            <w:pPr>
              <w:spacing w:after="0" w:line="276" w:lineRule="auto"/>
              <w:contextualSpacing/>
              <w:jc w:val="center"/>
              <w:rPr>
                <w:sz w:val="20"/>
              </w:rPr>
            </w:pPr>
            <w:r w:rsidRPr="00426408">
              <w:rPr>
                <w:sz w:val="20"/>
              </w:rPr>
              <w:t>37.5</w:t>
            </w:r>
          </w:p>
        </w:tc>
        <w:tc>
          <w:tcPr>
            <w:tcW w:w="1850" w:type="dxa"/>
            <w:tcBorders>
              <w:top w:val="nil"/>
              <w:left w:val="nil"/>
              <w:bottom w:val="single" w:sz="4" w:space="0" w:color="auto"/>
              <w:right w:val="nil"/>
            </w:tcBorders>
          </w:tcPr>
          <w:p w14:paraId="352BF4BC" w14:textId="553D9DB0" w:rsidR="00AE6A58" w:rsidRPr="00426408" w:rsidRDefault="00C16F7F" w:rsidP="00FE1F2C">
            <w:pPr>
              <w:spacing w:after="0" w:line="276" w:lineRule="auto"/>
              <w:contextualSpacing/>
              <w:jc w:val="center"/>
              <w:rPr>
                <w:sz w:val="20"/>
              </w:rPr>
            </w:pPr>
            <w:r w:rsidRPr="00426408">
              <w:rPr>
                <w:sz w:val="20"/>
              </w:rPr>
              <w:t>1.</w:t>
            </w:r>
            <w:r w:rsidR="006E5250">
              <w:rPr>
                <w:sz w:val="20"/>
              </w:rPr>
              <w:t>7</w:t>
            </w:r>
            <w:r w:rsidR="00FE1F2C">
              <w:rPr>
                <w:sz w:val="20"/>
              </w:rPr>
              <w:t>8</w:t>
            </w:r>
            <w:r w:rsidRPr="00426408">
              <w:rPr>
                <w:sz w:val="20"/>
              </w:rPr>
              <w:t xml:space="preserve"> [</w:t>
            </w:r>
            <w:r w:rsidR="006E5250">
              <w:rPr>
                <w:sz w:val="20"/>
              </w:rPr>
              <w:t>1.1</w:t>
            </w:r>
            <w:r w:rsidR="00FE1F2C">
              <w:rPr>
                <w:sz w:val="20"/>
              </w:rPr>
              <w:t>4</w:t>
            </w:r>
            <w:r w:rsidR="006E5250">
              <w:rPr>
                <w:sz w:val="20"/>
              </w:rPr>
              <w:t>-2.</w:t>
            </w:r>
            <w:r w:rsidR="00FE1F2C">
              <w:rPr>
                <w:sz w:val="20"/>
              </w:rPr>
              <w:t>79</w:t>
            </w:r>
            <w:r w:rsidRPr="00426408">
              <w:rPr>
                <w:sz w:val="20"/>
              </w:rPr>
              <w:t>]</w:t>
            </w:r>
          </w:p>
        </w:tc>
        <w:tc>
          <w:tcPr>
            <w:tcW w:w="1022" w:type="dxa"/>
            <w:tcBorders>
              <w:top w:val="nil"/>
              <w:left w:val="nil"/>
              <w:bottom w:val="single" w:sz="4" w:space="0" w:color="auto"/>
              <w:right w:val="nil"/>
            </w:tcBorders>
          </w:tcPr>
          <w:p w14:paraId="72589753" w14:textId="77777777" w:rsidR="00AE6A58" w:rsidRPr="00426408" w:rsidRDefault="00C16F7F" w:rsidP="006E5250">
            <w:pPr>
              <w:spacing w:after="0" w:line="276" w:lineRule="auto"/>
              <w:contextualSpacing/>
              <w:jc w:val="center"/>
              <w:rPr>
                <w:sz w:val="20"/>
              </w:rPr>
            </w:pPr>
            <w:r w:rsidRPr="00426408">
              <w:rPr>
                <w:sz w:val="20"/>
              </w:rPr>
              <w:t>0.</w:t>
            </w:r>
            <w:r w:rsidR="006E5250">
              <w:rPr>
                <w:sz w:val="20"/>
              </w:rPr>
              <w:t>011</w:t>
            </w:r>
          </w:p>
        </w:tc>
      </w:tr>
      <w:tr w:rsidR="00AE6A58" w:rsidRPr="00897348" w14:paraId="1EC3E1D7" w14:textId="77777777" w:rsidTr="000D35A7">
        <w:tblPrEx>
          <w:tblBorders>
            <w:top w:val="single" w:sz="4" w:space="0" w:color="auto"/>
            <w:insideV w:val="none" w:sz="0" w:space="0" w:color="auto"/>
          </w:tblBorders>
        </w:tblPrEx>
        <w:tc>
          <w:tcPr>
            <w:tcW w:w="283" w:type="dxa"/>
            <w:tcBorders>
              <w:top w:val="nil"/>
              <w:bottom w:val="single" w:sz="4" w:space="0" w:color="auto"/>
              <w:right w:val="nil"/>
            </w:tcBorders>
          </w:tcPr>
          <w:p w14:paraId="132126E0" w14:textId="77777777" w:rsidR="00AE6A58" w:rsidRPr="0046486F" w:rsidRDefault="00AE6A58" w:rsidP="00AE6A58">
            <w:pPr>
              <w:spacing w:after="0" w:line="276" w:lineRule="auto"/>
              <w:contextualSpacing/>
              <w:rPr>
                <w:sz w:val="20"/>
              </w:rPr>
            </w:pPr>
          </w:p>
        </w:tc>
        <w:tc>
          <w:tcPr>
            <w:tcW w:w="2586" w:type="dxa"/>
            <w:tcBorders>
              <w:top w:val="nil"/>
              <w:left w:val="nil"/>
              <w:bottom w:val="single" w:sz="4" w:space="0" w:color="auto"/>
              <w:right w:val="nil"/>
            </w:tcBorders>
          </w:tcPr>
          <w:p w14:paraId="79DD2342" w14:textId="77777777" w:rsidR="00AE6A58" w:rsidRPr="007E5E62" w:rsidRDefault="00AE6A58" w:rsidP="00AE6A58">
            <w:pPr>
              <w:spacing w:after="0" w:line="276" w:lineRule="auto"/>
              <w:contextualSpacing/>
              <w:rPr>
                <w:sz w:val="20"/>
                <w:szCs w:val="20"/>
              </w:rPr>
            </w:pPr>
            <w:r w:rsidRPr="007E5E62">
              <w:rPr>
                <w:sz w:val="20"/>
                <w:szCs w:val="20"/>
              </w:rPr>
              <w:t>Lower</w:t>
            </w:r>
          </w:p>
        </w:tc>
        <w:tc>
          <w:tcPr>
            <w:tcW w:w="671" w:type="dxa"/>
            <w:tcBorders>
              <w:top w:val="nil"/>
              <w:left w:val="nil"/>
              <w:bottom w:val="single" w:sz="4" w:space="0" w:color="auto"/>
              <w:right w:val="nil"/>
            </w:tcBorders>
          </w:tcPr>
          <w:p w14:paraId="339E8A8C" w14:textId="77777777" w:rsidR="00AE6A58" w:rsidRPr="00426408" w:rsidRDefault="00904888" w:rsidP="00AE6A58">
            <w:pPr>
              <w:spacing w:after="0" w:line="276" w:lineRule="auto"/>
              <w:contextualSpacing/>
              <w:jc w:val="center"/>
              <w:rPr>
                <w:sz w:val="20"/>
              </w:rPr>
            </w:pPr>
            <w:r w:rsidRPr="00426408">
              <w:rPr>
                <w:sz w:val="20"/>
              </w:rPr>
              <w:t>50.4</w:t>
            </w:r>
          </w:p>
        </w:tc>
        <w:tc>
          <w:tcPr>
            <w:tcW w:w="1951" w:type="dxa"/>
            <w:tcBorders>
              <w:top w:val="nil"/>
              <w:left w:val="nil"/>
              <w:bottom w:val="single" w:sz="4" w:space="0" w:color="auto"/>
              <w:right w:val="nil"/>
            </w:tcBorders>
          </w:tcPr>
          <w:p w14:paraId="6435E22B" w14:textId="6ABAD370" w:rsidR="00AE6A58" w:rsidRPr="00426408" w:rsidRDefault="00426408" w:rsidP="00E45F62">
            <w:pPr>
              <w:spacing w:after="0" w:line="276" w:lineRule="auto"/>
              <w:contextualSpacing/>
              <w:jc w:val="center"/>
              <w:rPr>
                <w:sz w:val="20"/>
              </w:rPr>
            </w:pPr>
            <w:r>
              <w:rPr>
                <w:sz w:val="20"/>
              </w:rPr>
              <w:t>1.</w:t>
            </w:r>
            <w:r w:rsidR="00E45F62">
              <w:rPr>
                <w:sz w:val="20"/>
              </w:rPr>
              <w:t>14</w:t>
            </w:r>
            <w:r w:rsidR="00B50A78" w:rsidRPr="00426408">
              <w:rPr>
                <w:sz w:val="20"/>
              </w:rPr>
              <w:t xml:space="preserve"> [0.</w:t>
            </w:r>
            <w:r>
              <w:rPr>
                <w:sz w:val="20"/>
              </w:rPr>
              <w:t>8</w:t>
            </w:r>
            <w:r w:rsidR="00E45F62">
              <w:rPr>
                <w:sz w:val="20"/>
              </w:rPr>
              <w:t>1</w:t>
            </w:r>
            <w:r w:rsidR="00B50A78" w:rsidRPr="00426408">
              <w:rPr>
                <w:sz w:val="20"/>
              </w:rPr>
              <w:t>-1.</w:t>
            </w:r>
            <w:r>
              <w:rPr>
                <w:sz w:val="20"/>
              </w:rPr>
              <w:t>5</w:t>
            </w:r>
            <w:r w:rsidR="00E45F62">
              <w:rPr>
                <w:sz w:val="20"/>
              </w:rPr>
              <w:t>9</w:t>
            </w:r>
            <w:r w:rsidR="00B50A78" w:rsidRPr="00426408">
              <w:rPr>
                <w:sz w:val="20"/>
              </w:rPr>
              <w:t>]</w:t>
            </w:r>
          </w:p>
        </w:tc>
        <w:tc>
          <w:tcPr>
            <w:tcW w:w="874" w:type="dxa"/>
            <w:tcBorders>
              <w:top w:val="nil"/>
              <w:left w:val="nil"/>
              <w:bottom w:val="single" w:sz="4" w:space="0" w:color="auto"/>
              <w:right w:val="nil"/>
            </w:tcBorders>
          </w:tcPr>
          <w:p w14:paraId="02326623" w14:textId="1C4E72F7" w:rsidR="00AE6A58" w:rsidRPr="00426408" w:rsidRDefault="00166083" w:rsidP="00426408">
            <w:pPr>
              <w:spacing w:after="0" w:line="276" w:lineRule="auto"/>
              <w:contextualSpacing/>
              <w:jc w:val="center"/>
              <w:rPr>
                <w:sz w:val="20"/>
              </w:rPr>
            </w:pPr>
            <w:r w:rsidRPr="00426408">
              <w:rPr>
                <w:sz w:val="20"/>
              </w:rPr>
              <w:t>0.</w:t>
            </w:r>
            <w:r w:rsidR="00E45F62">
              <w:rPr>
                <w:sz w:val="20"/>
              </w:rPr>
              <w:t>458</w:t>
            </w:r>
          </w:p>
        </w:tc>
        <w:tc>
          <w:tcPr>
            <w:tcW w:w="284" w:type="dxa"/>
            <w:tcBorders>
              <w:top w:val="nil"/>
              <w:left w:val="nil"/>
              <w:bottom w:val="single" w:sz="4" w:space="0" w:color="auto"/>
              <w:right w:val="nil"/>
            </w:tcBorders>
          </w:tcPr>
          <w:p w14:paraId="62851060" w14:textId="77777777" w:rsidR="00AE6A58" w:rsidRPr="00426408" w:rsidRDefault="00AE6A58" w:rsidP="00AE6A58">
            <w:pPr>
              <w:spacing w:after="0" w:line="276" w:lineRule="auto"/>
              <w:contextualSpacing/>
              <w:jc w:val="center"/>
              <w:rPr>
                <w:sz w:val="20"/>
              </w:rPr>
            </w:pPr>
          </w:p>
        </w:tc>
        <w:tc>
          <w:tcPr>
            <w:tcW w:w="671" w:type="dxa"/>
            <w:tcBorders>
              <w:top w:val="nil"/>
              <w:left w:val="nil"/>
              <w:bottom w:val="single" w:sz="4" w:space="0" w:color="auto"/>
              <w:right w:val="nil"/>
            </w:tcBorders>
          </w:tcPr>
          <w:p w14:paraId="25D20D8B" w14:textId="77777777" w:rsidR="00AE6A58" w:rsidRPr="00426408" w:rsidRDefault="00904888" w:rsidP="00AE6A58">
            <w:pPr>
              <w:spacing w:after="0" w:line="276" w:lineRule="auto"/>
              <w:contextualSpacing/>
              <w:jc w:val="center"/>
              <w:rPr>
                <w:sz w:val="20"/>
              </w:rPr>
            </w:pPr>
            <w:r w:rsidRPr="00426408">
              <w:rPr>
                <w:sz w:val="20"/>
              </w:rPr>
              <w:t>38.1</w:t>
            </w:r>
          </w:p>
        </w:tc>
        <w:tc>
          <w:tcPr>
            <w:tcW w:w="1850" w:type="dxa"/>
            <w:tcBorders>
              <w:top w:val="nil"/>
              <w:left w:val="nil"/>
              <w:bottom w:val="single" w:sz="4" w:space="0" w:color="auto"/>
              <w:right w:val="nil"/>
            </w:tcBorders>
          </w:tcPr>
          <w:p w14:paraId="065E4FBD" w14:textId="089D2A34" w:rsidR="00AE6A58" w:rsidRPr="00426408" w:rsidRDefault="00C16F7F" w:rsidP="00FE1F2C">
            <w:pPr>
              <w:spacing w:after="0" w:line="276" w:lineRule="auto"/>
              <w:contextualSpacing/>
              <w:jc w:val="center"/>
              <w:rPr>
                <w:sz w:val="20"/>
              </w:rPr>
            </w:pPr>
            <w:r w:rsidRPr="00426408">
              <w:rPr>
                <w:sz w:val="20"/>
              </w:rPr>
              <w:t>1.</w:t>
            </w:r>
            <w:r w:rsidR="006E5250">
              <w:rPr>
                <w:sz w:val="20"/>
              </w:rPr>
              <w:t>73</w:t>
            </w:r>
            <w:r w:rsidRPr="00426408">
              <w:rPr>
                <w:sz w:val="20"/>
              </w:rPr>
              <w:t xml:space="preserve"> [1.</w:t>
            </w:r>
            <w:r w:rsidR="006E5250">
              <w:rPr>
                <w:sz w:val="20"/>
              </w:rPr>
              <w:t>1</w:t>
            </w:r>
            <w:r w:rsidR="00FE1F2C">
              <w:rPr>
                <w:sz w:val="20"/>
              </w:rPr>
              <w:t>3</w:t>
            </w:r>
            <w:r w:rsidRPr="00426408">
              <w:rPr>
                <w:sz w:val="20"/>
              </w:rPr>
              <w:t>-2.</w:t>
            </w:r>
            <w:r w:rsidR="006E5250">
              <w:rPr>
                <w:sz w:val="20"/>
              </w:rPr>
              <w:t>66</w:t>
            </w:r>
            <w:r w:rsidRPr="00426408">
              <w:rPr>
                <w:sz w:val="20"/>
              </w:rPr>
              <w:t>]</w:t>
            </w:r>
          </w:p>
        </w:tc>
        <w:tc>
          <w:tcPr>
            <w:tcW w:w="1022" w:type="dxa"/>
            <w:tcBorders>
              <w:top w:val="nil"/>
              <w:left w:val="nil"/>
              <w:bottom w:val="single" w:sz="4" w:space="0" w:color="auto"/>
              <w:right w:val="nil"/>
            </w:tcBorders>
          </w:tcPr>
          <w:p w14:paraId="6B25A8A6" w14:textId="77777777" w:rsidR="00AE6A58" w:rsidRPr="00426408" w:rsidRDefault="00C16F7F" w:rsidP="006E5250">
            <w:pPr>
              <w:spacing w:after="0" w:line="276" w:lineRule="auto"/>
              <w:contextualSpacing/>
              <w:jc w:val="center"/>
              <w:rPr>
                <w:sz w:val="20"/>
              </w:rPr>
            </w:pPr>
            <w:r w:rsidRPr="00426408">
              <w:rPr>
                <w:sz w:val="20"/>
              </w:rPr>
              <w:t>0.</w:t>
            </w:r>
            <w:r w:rsidR="006E5250">
              <w:rPr>
                <w:sz w:val="20"/>
              </w:rPr>
              <w:t>013</w:t>
            </w:r>
          </w:p>
        </w:tc>
      </w:tr>
      <w:tr w:rsidR="000D35A7" w:rsidRPr="00897348" w14:paraId="1039C171" w14:textId="77777777" w:rsidTr="000D35A7">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5BBBC08F" w14:textId="77777777" w:rsidR="000D35A7" w:rsidRPr="007E5E62" w:rsidRDefault="000D35A7" w:rsidP="002E6630">
            <w:pPr>
              <w:spacing w:after="0" w:line="276" w:lineRule="auto"/>
              <w:contextualSpacing/>
              <w:rPr>
                <w:sz w:val="20"/>
              </w:rPr>
            </w:pPr>
            <w:r>
              <w:rPr>
                <w:sz w:val="20"/>
              </w:rPr>
              <w:t>Self-rated health</w:t>
            </w:r>
          </w:p>
        </w:tc>
        <w:tc>
          <w:tcPr>
            <w:tcW w:w="671" w:type="dxa"/>
            <w:tcBorders>
              <w:top w:val="single" w:sz="4" w:space="0" w:color="auto"/>
              <w:bottom w:val="nil"/>
              <w:right w:val="nil"/>
            </w:tcBorders>
          </w:tcPr>
          <w:p w14:paraId="4CD7046A" w14:textId="77777777" w:rsidR="000D35A7" w:rsidRPr="00426408" w:rsidRDefault="000D35A7" w:rsidP="002E6630">
            <w:pPr>
              <w:spacing w:after="0" w:line="276" w:lineRule="auto"/>
              <w:contextualSpacing/>
              <w:jc w:val="center"/>
              <w:rPr>
                <w:b/>
                <w:sz w:val="20"/>
              </w:rPr>
            </w:pPr>
          </w:p>
        </w:tc>
        <w:tc>
          <w:tcPr>
            <w:tcW w:w="1951" w:type="dxa"/>
            <w:tcBorders>
              <w:top w:val="single" w:sz="4" w:space="0" w:color="auto"/>
              <w:left w:val="nil"/>
              <w:bottom w:val="nil"/>
              <w:right w:val="nil"/>
            </w:tcBorders>
          </w:tcPr>
          <w:p w14:paraId="6FD147DF" w14:textId="77777777" w:rsidR="000D35A7" w:rsidRPr="00426408" w:rsidRDefault="000D35A7" w:rsidP="002E6630">
            <w:pPr>
              <w:spacing w:after="0" w:line="276" w:lineRule="auto"/>
              <w:contextualSpacing/>
              <w:jc w:val="center"/>
              <w:rPr>
                <w:sz w:val="20"/>
              </w:rPr>
            </w:pPr>
          </w:p>
        </w:tc>
        <w:tc>
          <w:tcPr>
            <w:tcW w:w="874" w:type="dxa"/>
            <w:tcBorders>
              <w:top w:val="single" w:sz="4" w:space="0" w:color="auto"/>
              <w:left w:val="nil"/>
              <w:bottom w:val="nil"/>
              <w:right w:val="nil"/>
            </w:tcBorders>
            <w:vAlign w:val="center"/>
          </w:tcPr>
          <w:p w14:paraId="4ABF2F65" w14:textId="77777777" w:rsidR="000D35A7" w:rsidRPr="00426408" w:rsidRDefault="000D35A7" w:rsidP="002E6630">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238A196C" w14:textId="77777777" w:rsidR="000D35A7" w:rsidRPr="00426408" w:rsidRDefault="000D35A7" w:rsidP="002E6630">
            <w:pPr>
              <w:spacing w:after="0" w:line="276" w:lineRule="auto"/>
              <w:contextualSpacing/>
              <w:jc w:val="center"/>
              <w:rPr>
                <w:sz w:val="20"/>
              </w:rPr>
            </w:pPr>
          </w:p>
        </w:tc>
        <w:tc>
          <w:tcPr>
            <w:tcW w:w="671" w:type="dxa"/>
            <w:tcBorders>
              <w:top w:val="single" w:sz="4" w:space="0" w:color="auto"/>
              <w:left w:val="nil"/>
              <w:bottom w:val="nil"/>
              <w:right w:val="nil"/>
            </w:tcBorders>
          </w:tcPr>
          <w:p w14:paraId="03FE1503" w14:textId="77777777" w:rsidR="000D35A7" w:rsidRPr="00426408" w:rsidRDefault="000D35A7" w:rsidP="002E6630">
            <w:pPr>
              <w:spacing w:after="0" w:line="276" w:lineRule="auto"/>
              <w:contextualSpacing/>
              <w:jc w:val="center"/>
              <w:rPr>
                <w:sz w:val="20"/>
              </w:rPr>
            </w:pPr>
          </w:p>
        </w:tc>
        <w:tc>
          <w:tcPr>
            <w:tcW w:w="1850" w:type="dxa"/>
            <w:tcBorders>
              <w:top w:val="single" w:sz="4" w:space="0" w:color="auto"/>
              <w:left w:val="nil"/>
              <w:bottom w:val="nil"/>
              <w:right w:val="nil"/>
            </w:tcBorders>
          </w:tcPr>
          <w:p w14:paraId="4578C039" w14:textId="77777777" w:rsidR="000D35A7" w:rsidRPr="00426408" w:rsidRDefault="000D35A7" w:rsidP="002E6630">
            <w:pPr>
              <w:spacing w:after="0" w:line="276" w:lineRule="auto"/>
              <w:contextualSpacing/>
              <w:jc w:val="center"/>
              <w:rPr>
                <w:sz w:val="20"/>
              </w:rPr>
            </w:pPr>
          </w:p>
        </w:tc>
        <w:tc>
          <w:tcPr>
            <w:tcW w:w="1022" w:type="dxa"/>
            <w:tcBorders>
              <w:top w:val="single" w:sz="4" w:space="0" w:color="auto"/>
              <w:left w:val="nil"/>
              <w:bottom w:val="nil"/>
              <w:right w:val="nil"/>
            </w:tcBorders>
          </w:tcPr>
          <w:p w14:paraId="44732406" w14:textId="77777777" w:rsidR="000D35A7" w:rsidRPr="00426408" w:rsidRDefault="000D35A7" w:rsidP="002E6630">
            <w:pPr>
              <w:spacing w:after="0" w:line="276" w:lineRule="auto"/>
              <w:contextualSpacing/>
              <w:jc w:val="center"/>
              <w:rPr>
                <w:sz w:val="20"/>
              </w:rPr>
            </w:pPr>
          </w:p>
        </w:tc>
      </w:tr>
      <w:tr w:rsidR="000D35A7" w:rsidRPr="00F320B5" w14:paraId="64D5C65D" w14:textId="77777777" w:rsidTr="000D35A7">
        <w:tblPrEx>
          <w:tblBorders>
            <w:top w:val="single" w:sz="4" w:space="0" w:color="auto"/>
            <w:insideV w:val="none" w:sz="0" w:space="0" w:color="auto"/>
          </w:tblBorders>
        </w:tblPrEx>
        <w:tc>
          <w:tcPr>
            <w:tcW w:w="283" w:type="dxa"/>
            <w:tcBorders>
              <w:top w:val="nil"/>
              <w:bottom w:val="nil"/>
              <w:right w:val="nil"/>
            </w:tcBorders>
          </w:tcPr>
          <w:p w14:paraId="12BEB590" w14:textId="77777777" w:rsidR="000D35A7" w:rsidRPr="0046486F" w:rsidRDefault="000D35A7" w:rsidP="000D35A7">
            <w:pPr>
              <w:spacing w:after="0" w:line="276" w:lineRule="auto"/>
              <w:contextualSpacing/>
              <w:rPr>
                <w:sz w:val="20"/>
              </w:rPr>
            </w:pPr>
          </w:p>
        </w:tc>
        <w:tc>
          <w:tcPr>
            <w:tcW w:w="2586" w:type="dxa"/>
            <w:tcBorders>
              <w:top w:val="nil"/>
              <w:left w:val="nil"/>
              <w:bottom w:val="single" w:sz="4" w:space="0" w:color="auto"/>
              <w:right w:val="nil"/>
            </w:tcBorders>
          </w:tcPr>
          <w:p w14:paraId="394820EA" w14:textId="77777777" w:rsidR="000D35A7" w:rsidRPr="007E5E62" w:rsidRDefault="000D35A7" w:rsidP="000D35A7">
            <w:pPr>
              <w:spacing w:after="0" w:line="276" w:lineRule="auto"/>
              <w:contextualSpacing/>
              <w:rPr>
                <w:sz w:val="20"/>
                <w:szCs w:val="20"/>
              </w:rPr>
            </w:pPr>
            <w:r>
              <w:rPr>
                <w:sz w:val="20"/>
                <w:szCs w:val="20"/>
              </w:rPr>
              <w:t>Good/very good/excellent</w:t>
            </w:r>
          </w:p>
        </w:tc>
        <w:tc>
          <w:tcPr>
            <w:tcW w:w="671" w:type="dxa"/>
            <w:tcBorders>
              <w:top w:val="nil"/>
              <w:left w:val="nil"/>
              <w:bottom w:val="single" w:sz="4" w:space="0" w:color="auto"/>
              <w:right w:val="nil"/>
            </w:tcBorders>
          </w:tcPr>
          <w:p w14:paraId="1F23956A" w14:textId="77777777" w:rsidR="000D35A7" w:rsidRPr="00426408" w:rsidRDefault="00904888" w:rsidP="000D35A7">
            <w:pPr>
              <w:spacing w:after="0" w:line="276" w:lineRule="auto"/>
              <w:contextualSpacing/>
              <w:jc w:val="center"/>
              <w:rPr>
                <w:sz w:val="20"/>
              </w:rPr>
            </w:pPr>
            <w:r w:rsidRPr="00426408">
              <w:rPr>
                <w:sz w:val="20"/>
              </w:rPr>
              <w:t>54.3</w:t>
            </w:r>
          </w:p>
        </w:tc>
        <w:tc>
          <w:tcPr>
            <w:tcW w:w="1951" w:type="dxa"/>
            <w:tcBorders>
              <w:top w:val="nil"/>
              <w:left w:val="nil"/>
              <w:bottom w:val="single" w:sz="4" w:space="0" w:color="auto"/>
              <w:right w:val="nil"/>
            </w:tcBorders>
          </w:tcPr>
          <w:p w14:paraId="3327C645" w14:textId="77777777" w:rsidR="000D35A7" w:rsidRPr="00426408" w:rsidRDefault="000D35A7" w:rsidP="000D35A7">
            <w:pPr>
              <w:spacing w:after="0" w:line="276" w:lineRule="auto"/>
              <w:contextualSpacing/>
              <w:jc w:val="center"/>
              <w:rPr>
                <w:sz w:val="20"/>
              </w:rPr>
            </w:pPr>
            <w:r w:rsidRPr="00426408">
              <w:rPr>
                <w:sz w:val="20"/>
              </w:rPr>
              <w:t>1.00</w:t>
            </w:r>
          </w:p>
        </w:tc>
        <w:tc>
          <w:tcPr>
            <w:tcW w:w="874" w:type="dxa"/>
            <w:tcBorders>
              <w:top w:val="nil"/>
              <w:left w:val="nil"/>
              <w:bottom w:val="single" w:sz="4" w:space="0" w:color="auto"/>
              <w:right w:val="nil"/>
            </w:tcBorders>
          </w:tcPr>
          <w:p w14:paraId="17EE18D7" w14:textId="77777777" w:rsidR="000D35A7" w:rsidRPr="00426408" w:rsidRDefault="000D35A7" w:rsidP="000D35A7">
            <w:pPr>
              <w:spacing w:after="0" w:line="276" w:lineRule="auto"/>
              <w:contextualSpacing/>
              <w:jc w:val="center"/>
              <w:rPr>
                <w:sz w:val="20"/>
              </w:rPr>
            </w:pPr>
            <w:r w:rsidRPr="00426408">
              <w:rPr>
                <w:sz w:val="20"/>
              </w:rPr>
              <w:t>-</w:t>
            </w:r>
          </w:p>
        </w:tc>
        <w:tc>
          <w:tcPr>
            <w:tcW w:w="284" w:type="dxa"/>
            <w:tcBorders>
              <w:top w:val="nil"/>
              <w:left w:val="nil"/>
              <w:bottom w:val="single" w:sz="4" w:space="0" w:color="auto"/>
              <w:right w:val="nil"/>
            </w:tcBorders>
            <w:vAlign w:val="center"/>
          </w:tcPr>
          <w:p w14:paraId="243BA66E" w14:textId="77777777" w:rsidR="000D35A7" w:rsidRPr="00426408" w:rsidRDefault="000D35A7" w:rsidP="000D35A7">
            <w:pPr>
              <w:spacing w:after="0" w:line="276" w:lineRule="auto"/>
              <w:contextualSpacing/>
              <w:jc w:val="center"/>
              <w:rPr>
                <w:sz w:val="20"/>
              </w:rPr>
            </w:pPr>
          </w:p>
        </w:tc>
        <w:tc>
          <w:tcPr>
            <w:tcW w:w="671" w:type="dxa"/>
            <w:tcBorders>
              <w:top w:val="nil"/>
              <w:left w:val="nil"/>
              <w:bottom w:val="single" w:sz="4" w:space="0" w:color="auto"/>
              <w:right w:val="nil"/>
            </w:tcBorders>
          </w:tcPr>
          <w:p w14:paraId="1F6C97E4" w14:textId="77777777" w:rsidR="000D35A7" w:rsidRPr="00426408" w:rsidRDefault="00904888" w:rsidP="000D35A7">
            <w:pPr>
              <w:spacing w:after="0" w:line="276" w:lineRule="auto"/>
              <w:contextualSpacing/>
              <w:jc w:val="center"/>
              <w:rPr>
                <w:sz w:val="20"/>
              </w:rPr>
            </w:pPr>
            <w:r w:rsidRPr="00426408">
              <w:rPr>
                <w:sz w:val="20"/>
              </w:rPr>
              <w:t>34.1</w:t>
            </w:r>
          </w:p>
        </w:tc>
        <w:tc>
          <w:tcPr>
            <w:tcW w:w="1850" w:type="dxa"/>
            <w:tcBorders>
              <w:top w:val="nil"/>
              <w:left w:val="nil"/>
              <w:bottom w:val="single" w:sz="4" w:space="0" w:color="auto"/>
              <w:right w:val="nil"/>
            </w:tcBorders>
          </w:tcPr>
          <w:p w14:paraId="240BB5B6" w14:textId="77777777" w:rsidR="000D35A7" w:rsidRPr="00426408" w:rsidRDefault="000D35A7" w:rsidP="000D35A7">
            <w:pPr>
              <w:spacing w:after="0" w:line="276" w:lineRule="auto"/>
              <w:contextualSpacing/>
              <w:jc w:val="center"/>
              <w:rPr>
                <w:sz w:val="20"/>
              </w:rPr>
            </w:pPr>
            <w:r w:rsidRPr="00426408">
              <w:rPr>
                <w:sz w:val="20"/>
              </w:rPr>
              <w:t>1.00</w:t>
            </w:r>
          </w:p>
        </w:tc>
        <w:tc>
          <w:tcPr>
            <w:tcW w:w="1022" w:type="dxa"/>
            <w:tcBorders>
              <w:top w:val="nil"/>
              <w:left w:val="nil"/>
              <w:bottom w:val="single" w:sz="4" w:space="0" w:color="auto"/>
              <w:right w:val="nil"/>
            </w:tcBorders>
          </w:tcPr>
          <w:p w14:paraId="7046BD36" w14:textId="77777777" w:rsidR="000D35A7" w:rsidRPr="00426408" w:rsidRDefault="000D35A7" w:rsidP="000D35A7">
            <w:pPr>
              <w:spacing w:after="0" w:line="276" w:lineRule="auto"/>
              <w:contextualSpacing/>
              <w:jc w:val="center"/>
              <w:rPr>
                <w:sz w:val="20"/>
              </w:rPr>
            </w:pPr>
            <w:r w:rsidRPr="00426408">
              <w:rPr>
                <w:sz w:val="20"/>
              </w:rPr>
              <w:t>-</w:t>
            </w:r>
          </w:p>
        </w:tc>
      </w:tr>
      <w:tr w:rsidR="000D35A7" w:rsidRPr="00503A7A" w14:paraId="4286C3B6" w14:textId="77777777" w:rsidTr="000D35A7">
        <w:tblPrEx>
          <w:tblBorders>
            <w:top w:val="single" w:sz="4" w:space="0" w:color="auto"/>
            <w:insideV w:val="none" w:sz="0" w:space="0" w:color="auto"/>
          </w:tblBorders>
        </w:tblPrEx>
        <w:tc>
          <w:tcPr>
            <w:tcW w:w="283" w:type="dxa"/>
            <w:tcBorders>
              <w:top w:val="nil"/>
              <w:bottom w:val="single" w:sz="4" w:space="0" w:color="auto"/>
              <w:right w:val="nil"/>
            </w:tcBorders>
          </w:tcPr>
          <w:p w14:paraId="7827C076" w14:textId="77777777" w:rsidR="000D35A7" w:rsidRPr="0046486F" w:rsidRDefault="000D35A7" w:rsidP="000D35A7">
            <w:pPr>
              <w:spacing w:after="0" w:line="276" w:lineRule="auto"/>
              <w:contextualSpacing/>
              <w:rPr>
                <w:sz w:val="20"/>
              </w:rPr>
            </w:pPr>
          </w:p>
        </w:tc>
        <w:tc>
          <w:tcPr>
            <w:tcW w:w="2586" w:type="dxa"/>
            <w:tcBorders>
              <w:top w:val="nil"/>
              <w:left w:val="nil"/>
              <w:bottom w:val="single" w:sz="4" w:space="0" w:color="auto"/>
              <w:right w:val="nil"/>
            </w:tcBorders>
          </w:tcPr>
          <w:p w14:paraId="280F778A" w14:textId="77777777" w:rsidR="000D35A7" w:rsidRPr="007E5E62" w:rsidRDefault="000D35A7" w:rsidP="000D35A7">
            <w:pPr>
              <w:spacing w:after="0" w:line="276" w:lineRule="auto"/>
              <w:contextualSpacing/>
              <w:rPr>
                <w:sz w:val="20"/>
                <w:szCs w:val="20"/>
              </w:rPr>
            </w:pPr>
            <w:r>
              <w:rPr>
                <w:sz w:val="20"/>
                <w:szCs w:val="20"/>
              </w:rPr>
              <w:t>Fair/poor</w:t>
            </w:r>
          </w:p>
        </w:tc>
        <w:tc>
          <w:tcPr>
            <w:tcW w:w="671" w:type="dxa"/>
            <w:tcBorders>
              <w:top w:val="nil"/>
              <w:left w:val="nil"/>
              <w:bottom w:val="single" w:sz="4" w:space="0" w:color="auto"/>
              <w:right w:val="nil"/>
            </w:tcBorders>
          </w:tcPr>
          <w:p w14:paraId="7469A898" w14:textId="77777777" w:rsidR="000D35A7" w:rsidRPr="00426408" w:rsidRDefault="00904888" w:rsidP="000D35A7">
            <w:pPr>
              <w:spacing w:after="0" w:line="276" w:lineRule="auto"/>
              <w:contextualSpacing/>
              <w:jc w:val="center"/>
              <w:rPr>
                <w:sz w:val="20"/>
              </w:rPr>
            </w:pPr>
            <w:r w:rsidRPr="00426408">
              <w:rPr>
                <w:sz w:val="20"/>
              </w:rPr>
              <w:t>46.4</w:t>
            </w:r>
          </w:p>
        </w:tc>
        <w:tc>
          <w:tcPr>
            <w:tcW w:w="1951" w:type="dxa"/>
            <w:tcBorders>
              <w:top w:val="nil"/>
              <w:left w:val="nil"/>
              <w:bottom w:val="single" w:sz="4" w:space="0" w:color="auto"/>
              <w:right w:val="nil"/>
            </w:tcBorders>
          </w:tcPr>
          <w:p w14:paraId="1475C9A8" w14:textId="29A4E1F8" w:rsidR="000D35A7" w:rsidRPr="00426408" w:rsidRDefault="007424D5" w:rsidP="00E45F62">
            <w:pPr>
              <w:spacing w:after="0" w:line="276" w:lineRule="auto"/>
              <w:contextualSpacing/>
              <w:jc w:val="center"/>
              <w:rPr>
                <w:sz w:val="20"/>
              </w:rPr>
            </w:pPr>
            <w:r w:rsidRPr="00426408">
              <w:rPr>
                <w:sz w:val="20"/>
              </w:rPr>
              <w:t>0.</w:t>
            </w:r>
            <w:r w:rsidR="00E45F62">
              <w:rPr>
                <w:sz w:val="20"/>
              </w:rPr>
              <w:t>93</w:t>
            </w:r>
            <w:r w:rsidR="00426408">
              <w:rPr>
                <w:sz w:val="20"/>
              </w:rPr>
              <w:t xml:space="preserve"> [0.</w:t>
            </w:r>
            <w:r w:rsidR="00E45F62">
              <w:rPr>
                <w:sz w:val="20"/>
              </w:rPr>
              <w:t>6</w:t>
            </w:r>
            <w:r w:rsidR="00426408">
              <w:rPr>
                <w:sz w:val="20"/>
              </w:rPr>
              <w:t>5-1.</w:t>
            </w:r>
            <w:r w:rsidR="00E45F62">
              <w:rPr>
                <w:sz w:val="20"/>
              </w:rPr>
              <w:t>33</w:t>
            </w:r>
            <w:r w:rsidR="00426408">
              <w:rPr>
                <w:sz w:val="20"/>
              </w:rPr>
              <w:t>]</w:t>
            </w:r>
          </w:p>
        </w:tc>
        <w:tc>
          <w:tcPr>
            <w:tcW w:w="874" w:type="dxa"/>
            <w:tcBorders>
              <w:top w:val="nil"/>
              <w:left w:val="nil"/>
              <w:bottom w:val="single" w:sz="4" w:space="0" w:color="auto"/>
              <w:right w:val="nil"/>
            </w:tcBorders>
          </w:tcPr>
          <w:p w14:paraId="05C5DE05" w14:textId="357DB23F" w:rsidR="000D35A7" w:rsidRPr="00426408" w:rsidRDefault="007424D5" w:rsidP="00426408">
            <w:pPr>
              <w:spacing w:after="0" w:line="276" w:lineRule="auto"/>
              <w:contextualSpacing/>
              <w:jc w:val="center"/>
              <w:rPr>
                <w:sz w:val="20"/>
              </w:rPr>
            </w:pPr>
            <w:r w:rsidRPr="00426408">
              <w:rPr>
                <w:sz w:val="20"/>
              </w:rPr>
              <w:t>0.</w:t>
            </w:r>
            <w:r w:rsidR="00E45F62">
              <w:rPr>
                <w:sz w:val="20"/>
              </w:rPr>
              <w:t>688</w:t>
            </w:r>
          </w:p>
        </w:tc>
        <w:tc>
          <w:tcPr>
            <w:tcW w:w="284" w:type="dxa"/>
            <w:tcBorders>
              <w:top w:val="nil"/>
              <w:left w:val="nil"/>
              <w:bottom w:val="single" w:sz="4" w:space="0" w:color="auto"/>
              <w:right w:val="nil"/>
            </w:tcBorders>
          </w:tcPr>
          <w:p w14:paraId="12E30AD6" w14:textId="77777777" w:rsidR="000D35A7" w:rsidRPr="00426408" w:rsidRDefault="000D35A7" w:rsidP="000D35A7">
            <w:pPr>
              <w:spacing w:after="0" w:line="276" w:lineRule="auto"/>
              <w:contextualSpacing/>
              <w:jc w:val="center"/>
              <w:rPr>
                <w:sz w:val="20"/>
              </w:rPr>
            </w:pPr>
          </w:p>
        </w:tc>
        <w:tc>
          <w:tcPr>
            <w:tcW w:w="671" w:type="dxa"/>
            <w:tcBorders>
              <w:top w:val="nil"/>
              <w:left w:val="nil"/>
              <w:bottom w:val="single" w:sz="4" w:space="0" w:color="auto"/>
              <w:right w:val="nil"/>
            </w:tcBorders>
          </w:tcPr>
          <w:p w14:paraId="2B235CE1" w14:textId="77777777" w:rsidR="000D35A7" w:rsidRPr="00426408" w:rsidRDefault="00904888" w:rsidP="000D35A7">
            <w:pPr>
              <w:spacing w:after="0" w:line="276" w:lineRule="auto"/>
              <w:contextualSpacing/>
              <w:jc w:val="center"/>
              <w:rPr>
                <w:sz w:val="20"/>
              </w:rPr>
            </w:pPr>
            <w:r w:rsidRPr="00426408">
              <w:rPr>
                <w:sz w:val="20"/>
              </w:rPr>
              <w:t>40.3</w:t>
            </w:r>
          </w:p>
        </w:tc>
        <w:tc>
          <w:tcPr>
            <w:tcW w:w="1850" w:type="dxa"/>
            <w:tcBorders>
              <w:top w:val="nil"/>
              <w:left w:val="nil"/>
              <w:bottom w:val="single" w:sz="4" w:space="0" w:color="auto"/>
              <w:right w:val="nil"/>
            </w:tcBorders>
          </w:tcPr>
          <w:p w14:paraId="06AEF2DE" w14:textId="52EC5086" w:rsidR="000D35A7" w:rsidRPr="00426408" w:rsidRDefault="007C3A77" w:rsidP="00FE1F2C">
            <w:pPr>
              <w:spacing w:after="0" w:line="276" w:lineRule="auto"/>
              <w:contextualSpacing/>
              <w:jc w:val="center"/>
              <w:rPr>
                <w:sz w:val="20"/>
              </w:rPr>
            </w:pPr>
            <w:r w:rsidRPr="00426408">
              <w:rPr>
                <w:sz w:val="20"/>
              </w:rPr>
              <w:t>1.</w:t>
            </w:r>
            <w:r w:rsidR="006E5250">
              <w:rPr>
                <w:sz w:val="20"/>
              </w:rPr>
              <w:t>2</w:t>
            </w:r>
            <w:r w:rsidR="00FE1F2C">
              <w:rPr>
                <w:sz w:val="20"/>
              </w:rPr>
              <w:t>6</w:t>
            </w:r>
            <w:r w:rsidRPr="00426408">
              <w:rPr>
                <w:sz w:val="20"/>
              </w:rPr>
              <w:t xml:space="preserve"> [0.</w:t>
            </w:r>
            <w:r w:rsidR="006E5250">
              <w:rPr>
                <w:sz w:val="20"/>
              </w:rPr>
              <w:t>8</w:t>
            </w:r>
            <w:r w:rsidR="00FE1F2C">
              <w:rPr>
                <w:sz w:val="20"/>
              </w:rPr>
              <w:t>4</w:t>
            </w:r>
            <w:r w:rsidR="006E5250">
              <w:rPr>
                <w:sz w:val="20"/>
              </w:rPr>
              <w:t>-1.</w:t>
            </w:r>
            <w:r w:rsidR="00FE1F2C">
              <w:rPr>
                <w:sz w:val="20"/>
              </w:rPr>
              <w:t>8</w:t>
            </w:r>
            <w:r w:rsidR="006E5250">
              <w:rPr>
                <w:sz w:val="20"/>
              </w:rPr>
              <w:t>9</w:t>
            </w:r>
            <w:r w:rsidRPr="00426408">
              <w:rPr>
                <w:sz w:val="20"/>
              </w:rPr>
              <w:t>]</w:t>
            </w:r>
          </w:p>
        </w:tc>
        <w:tc>
          <w:tcPr>
            <w:tcW w:w="1022" w:type="dxa"/>
            <w:tcBorders>
              <w:top w:val="nil"/>
              <w:left w:val="nil"/>
              <w:bottom w:val="single" w:sz="4" w:space="0" w:color="auto"/>
              <w:right w:val="nil"/>
            </w:tcBorders>
          </w:tcPr>
          <w:p w14:paraId="00A7DAEF" w14:textId="4EDA167F" w:rsidR="000D35A7" w:rsidRPr="00426408" w:rsidRDefault="007C3A77" w:rsidP="006E5250">
            <w:pPr>
              <w:spacing w:after="0" w:line="276" w:lineRule="auto"/>
              <w:contextualSpacing/>
              <w:jc w:val="center"/>
              <w:rPr>
                <w:sz w:val="20"/>
              </w:rPr>
            </w:pPr>
            <w:r w:rsidRPr="00426408">
              <w:rPr>
                <w:sz w:val="20"/>
              </w:rPr>
              <w:t>0.</w:t>
            </w:r>
            <w:r w:rsidR="006E5250">
              <w:rPr>
                <w:sz w:val="20"/>
              </w:rPr>
              <w:t>2</w:t>
            </w:r>
            <w:r w:rsidR="00FE1F2C">
              <w:rPr>
                <w:sz w:val="20"/>
              </w:rPr>
              <w:t>73</w:t>
            </w:r>
          </w:p>
        </w:tc>
      </w:tr>
      <w:tr w:rsidR="000D35A7" w:rsidRPr="00897348" w14:paraId="3786CC80" w14:textId="77777777" w:rsidTr="000D35A7">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470F027F" w14:textId="77777777" w:rsidR="000D35A7" w:rsidRPr="007E5E62" w:rsidRDefault="00904888" w:rsidP="000D35A7">
            <w:pPr>
              <w:spacing w:after="0" w:line="276" w:lineRule="auto"/>
              <w:contextualSpacing/>
              <w:rPr>
                <w:sz w:val="20"/>
              </w:rPr>
            </w:pPr>
            <w:r>
              <w:rPr>
                <w:sz w:val="20"/>
              </w:rPr>
              <w:t>BMI</w:t>
            </w:r>
          </w:p>
        </w:tc>
        <w:tc>
          <w:tcPr>
            <w:tcW w:w="671" w:type="dxa"/>
            <w:tcBorders>
              <w:top w:val="single" w:sz="4" w:space="0" w:color="auto"/>
              <w:bottom w:val="nil"/>
              <w:right w:val="nil"/>
            </w:tcBorders>
          </w:tcPr>
          <w:p w14:paraId="25DF9E3A" w14:textId="77777777" w:rsidR="000D35A7" w:rsidRPr="00426408" w:rsidRDefault="00904888" w:rsidP="000D35A7">
            <w:pPr>
              <w:spacing w:after="0" w:line="276" w:lineRule="auto"/>
              <w:contextualSpacing/>
              <w:jc w:val="center"/>
              <w:rPr>
                <w:b/>
                <w:sz w:val="20"/>
              </w:rPr>
            </w:pPr>
            <w:r w:rsidRPr="00426408">
              <w:rPr>
                <w:b/>
                <w:sz w:val="20"/>
              </w:rPr>
              <w:t>-</w:t>
            </w:r>
          </w:p>
        </w:tc>
        <w:tc>
          <w:tcPr>
            <w:tcW w:w="1951" w:type="dxa"/>
            <w:tcBorders>
              <w:top w:val="single" w:sz="4" w:space="0" w:color="auto"/>
              <w:left w:val="nil"/>
              <w:bottom w:val="nil"/>
              <w:right w:val="nil"/>
            </w:tcBorders>
          </w:tcPr>
          <w:p w14:paraId="0EC5D39E" w14:textId="77777777" w:rsidR="000D35A7" w:rsidRPr="00426408" w:rsidRDefault="00426408" w:rsidP="000D35A7">
            <w:pPr>
              <w:spacing w:after="0" w:line="276" w:lineRule="auto"/>
              <w:contextualSpacing/>
              <w:jc w:val="center"/>
              <w:rPr>
                <w:sz w:val="20"/>
              </w:rPr>
            </w:pPr>
            <w:r>
              <w:rPr>
                <w:sz w:val="20"/>
              </w:rPr>
              <w:t>0.52 [0.47-0.59]</w:t>
            </w:r>
          </w:p>
        </w:tc>
        <w:tc>
          <w:tcPr>
            <w:tcW w:w="874" w:type="dxa"/>
            <w:tcBorders>
              <w:top w:val="single" w:sz="4" w:space="0" w:color="auto"/>
              <w:left w:val="nil"/>
              <w:bottom w:val="nil"/>
              <w:right w:val="nil"/>
            </w:tcBorders>
            <w:vAlign w:val="center"/>
          </w:tcPr>
          <w:p w14:paraId="5653FEE2" w14:textId="77777777" w:rsidR="000D35A7" w:rsidRPr="00426408" w:rsidRDefault="00426408" w:rsidP="000D35A7">
            <w:pPr>
              <w:spacing w:after="0" w:line="276" w:lineRule="auto"/>
              <w:contextualSpacing/>
              <w:jc w:val="center"/>
              <w:rPr>
                <w:sz w:val="20"/>
              </w:rPr>
            </w:pPr>
            <w:r>
              <w:rPr>
                <w:sz w:val="20"/>
              </w:rPr>
              <w:t>&lt;0.001</w:t>
            </w:r>
          </w:p>
        </w:tc>
        <w:tc>
          <w:tcPr>
            <w:tcW w:w="284" w:type="dxa"/>
            <w:tcBorders>
              <w:top w:val="single" w:sz="4" w:space="0" w:color="auto"/>
              <w:left w:val="nil"/>
              <w:bottom w:val="nil"/>
              <w:right w:val="nil"/>
            </w:tcBorders>
            <w:vAlign w:val="center"/>
          </w:tcPr>
          <w:p w14:paraId="6F65FD90" w14:textId="77777777" w:rsidR="000D35A7" w:rsidRPr="00426408" w:rsidRDefault="000D35A7" w:rsidP="000D35A7">
            <w:pPr>
              <w:spacing w:after="0" w:line="276" w:lineRule="auto"/>
              <w:contextualSpacing/>
              <w:jc w:val="center"/>
              <w:rPr>
                <w:sz w:val="20"/>
              </w:rPr>
            </w:pPr>
          </w:p>
        </w:tc>
        <w:tc>
          <w:tcPr>
            <w:tcW w:w="671" w:type="dxa"/>
            <w:tcBorders>
              <w:top w:val="single" w:sz="4" w:space="0" w:color="auto"/>
              <w:left w:val="nil"/>
              <w:bottom w:val="nil"/>
              <w:right w:val="nil"/>
            </w:tcBorders>
          </w:tcPr>
          <w:p w14:paraId="36BD78DF" w14:textId="77777777" w:rsidR="000D35A7" w:rsidRPr="00426408" w:rsidRDefault="00904888" w:rsidP="000D35A7">
            <w:pPr>
              <w:spacing w:after="0" w:line="276" w:lineRule="auto"/>
              <w:contextualSpacing/>
              <w:jc w:val="center"/>
              <w:rPr>
                <w:sz w:val="20"/>
              </w:rPr>
            </w:pPr>
            <w:r w:rsidRPr="00426408">
              <w:rPr>
                <w:sz w:val="20"/>
              </w:rPr>
              <w:t>-</w:t>
            </w:r>
          </w:p>
        </w:tc>
        <w:tc>
          <w:tcPr>
            <w:tcW w:w="1850" w:type="dxa"/>
            <w:tcBorders>
              <w:top w:val="single" w:sz="4" w:space="0" w:color="auto"/>
              <w:left w:val="nil"/>
              <w:bottom w:val="nil"/>
              <w:right w:val="nil"/>
            </w:tcBorders>
          </w:tcPr>
          <w:p w14:paraId="1DD2CAB8" w14:textId="1F9DDC9B" w:rsidR="000D35A7" w:rsidRPr="00426408" w:rsidRDefault="006E5250" w:rsidP="000D35A7">
            <w:pPr>
              <w:spacing w:after="0" w:line="276" w:lineRule="auto"/>
              <w:contextualSpacing/>
              <w:jc w:val="center"/>
              <w:rPr>
                <w:sz w:val="20"/>
              </w:rPr>
            </w:pPr>
            <w:r>
              <w:rPr>
                <w:sz w:val="20"/>
              </w:rPr>
              <w:t>0.55 [0.4</w:t>
            </w:r>
            <w:r w:rsidR="00FE1F2C">
              <w:rPr>
                <w:sz w:val="20"/>
              </w:rPr>
              <w:t>8</w:t>
            </w:r>
            <w:r>
              <w:rPr>
                <w:sz w:val="20"/>
              </w:rPr>
              <w:t>-0.63]</w:t>
            </w:r>
          </w:p>
        </w:tc>
        <w:tc>
          <w:tcPr>
            <w:tcW w:w="1022" w:type="dxa"/>
            <w:tcBorders>
              <w:top w:val="single" w:sz="4" w:space="0" w:color="auto"/>
              <w:left w:val="nil"/>
              <w:bottom w:val="nil"/>
              <w:right w:val="nil"/>
            </w:tcBorders>
          </w:tcPr>
          <w:p w14:paraId="3AB7C82A" w14:textId="77777777" w:rsidR="000D35A7" w:rsidRPr="00426408" w:rsidRDefault="006E5250" w:rsidP="000D35A7">
            <w:pPr>
              <w:spacing w:after="0" w:line="276" w:lineRule="auto"/>
              <w:contextualSpacing/>
              <w:jc w:val="center"/>
              <w:rPr>
                <w:sz w:val="20"/>
              </w:rPr>
            </w:pPr>
            <w:r>
              <w:rPr>
                <w:sz w:val="20"/>
              </w:rPr>
              <w:t>&lt;0.001</w:t>
            </w:r>
          </w:p>
        </w:tc>
      </w:tr>
      <w:tr w:rsidR="000C4299" w:rsidRPr="00897348" w14:paraId="2BBD99C1" w14:textId="77777777" w:rsidTr="00AD02BF">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3C46D124" w14:textId="36632A0B" w:rsidR="000C4299" w:rsidRPr="007E5E62" w:rsidRDefault="000C4299" w:rsidP="00AD02BF">
            <w:pPr>
              <w:spacing w:after="0" w:line="276" w:lineRule="auto"/>
              <w:contextualSpacing/>
              <w:rPr>
                <w:sz w:val="20"/>
              </w:rPr>
            </w:pPr>
            <w:r>
              <w:rPr>
                <w:sz w:val="20"/>
              </w:rPr>
              <w:t>Chronic health conditions</w:t>
            </w:r>
          </w:p>
        </w:tc>
        <w:tc>
          <w:tcPr>
            <w:tcW w:w="671" w:type="dxa"/>
            <w:tcBorders>
              <w:top w:val="single" w:sz="4" w:space="0" w:color="auto"/>
              <w:bottom w:val="nil"/>
              <w:right w:val="nil"/>
            </w:tcBorders>
          </w:tcPr>
          <w:p w14:paraId="03D2204F" w14:textId="77777777" w:rsidR="000C4299" w:rsidRPr="00426408" w:rsidRDefault="000C4299" w:rsidP="00AD02BF">
            <w:pPr>
              <w:spacing w:after="0" w:line="276" w:lineRule="auto"/>
              <w:contextualSpacing/>
              <w:jc w:val="center"/>
              <w:rPr>
                <w:b/>
                <w:sz w:val="20"/>
              </w:rPr>
            </w:pPr>
          </w:p>
        </w:tc>
        <w:tc>
          <w:tcPr>
            <w:tcW w:w="1951" w:type="dxa"/>
            <w:tcBorders>
              <w:top w:val="single" w:sz="4" w:space="0" w:color="auto"/>
              <w:left w:val="nil"/>
              <w:bottom w:val="nil"/>
              <w:right w:val="nil"/>
            </w:tcBorders>
          </w:tcPr>
          <w:p w14:paraId="2F2E1C17" w14:textId="77777777" w:rsidR="000C4299" w:rsidRPr="00426408" w:rsidRDefault="000C4299" w:rsidP="00AD02BF">
            <w:pPr>
              <w:spacing w:after="0" w:line="276" w:lineRule="auto"/>
              <w:contextualSpacing/>
              <w:jc w:val="center"/>
              <w:rPr>
                <w:sz w:val="20"/>
              </w:rPr>
            </w:pPr>
          </w:p>
        </w:tc>
        <w:tc>
          <w:tcPr>
            <w:tcW w:w="874" w:type="dxa"/>
            <w:tcBorders>
              <w:top w:val="single" w:sz="4" w:space="0" w:color="auto"/>
              <w:left w:val="nil"/>
              <w:bottom w:val="nil"/>
              <w:right w:val="nil"/>
            </w:tcBorders>
            <w:vAlign w:val="center"/>
          </w:tcPr>
          <w:p w14:paraId="16F86A56" w14:textId="77777777" w:rsidR="000C4299" w:rsidRPr="00426408" w:rsidRDefault="000C4299" w:rsidP="00AD02BF">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53141FC3" w14:textId="77777777" w:rsidR="000C4299" w:rsidRPr="00426408" w:rsidRDefault="000C4299" w:rsidP="00AD02BF">
            <w:pPr>
              <w:spacing w:after="0" w:line="276" w:lineRule="auto"/>
              <w:contextualSpacing/>
              <w:jc w:val="center"/>
              <w:rPr>
                <w:sz w:val="20"/>
              </w:rPr>
            </w:pPr>
          </w:p>
        </w:tc>
        <w:tc>
          <w:tcPr>
            <w:tcW w:w="671" w:type="dxa"/>
            <w:tcBorders>
              <w:top w:val="single" w:sz="4" w:space="0" w:color="auto"/>
              <w:left w:val="nil"/>
              <w:bottom w:val="nil"/>
              <w:right w:val="nil"/>
            </w:tcBorders>
          </w:tcPr>
          <w:p w14:paraId="4613505C" w14:textId="77777777" w:rsidR="000C4299" w:rsidRPr="00426408" w:rsidRDefault="000C4299" w:rsidP="00AD02BF">
            <w:pPr>
              <w:spacing w:after="0" w:line="276" w:lineRule="auto"/>
              <w:contextualSpacing/>
              <w:jc w:val="center"/>
              <w:rPr>
                <w:sz w:val="20"/>
              </w:rPr>
            </w:pPr>
          </w:p>
        </w:tc>
        <w:tc>
          <w:tcPr>
            <w:tcW w:w="1850" w:type="dxa"/>
            <w:tcBorders>
              <w:top w:val="single" w:sz="4" w:space="0" w:color="auto"/>
              <w:left w:val="nil"/>
              <w:bottom w:val="nil"/>
              <w:right w:val="nil"/>
            </w:tcBorders>
          </w:tcPr>
          <w:p w14:paraId="6DFEAF10" w14:textId="77777777" w:rsidR="000C4299" w:rsidRPr="00426408" w:rsidRDefault="000C4299" w:rsidP="00AD02BF">
            <w:pPr>
              <w:spacing w:after="0" w:line="276" w:lineRule="auto"/>
              <w:contextualSpacing/>
              <w:jc w:val="center"/>
              <w:rPr>
                <w:sz w:val="20"/>
              </w:rPr>
            </w:pPr>
          </w:p>
        </w:tc>
        <w:tc>
          <w:tcPr>
            <w:tcW w:w="1022" w:type="dxa"/>
            <w:tcBorders>
              <w:top w:val="single" w:sz="4" w:space="0" w:color="auto"/>
              <w:left w:val="nil"/>
              <w:bottom w:val="nil"/>
              <w:right w:val="nil"/>
            </w:tcBorders>
          </w:tcPr>
          <w:p w14:paraId="5E8EEA41" w14:textId="77777777" w:rsidR="000C4299" w:rsidRPr="00426408" w:rsidRDefault="000C4299" w:rsidP="00AD02BF">
            <w:pPr>
              <w:spacing w:after="0" w:line="276" w:lineRule="auto"/>
              <w:contextualSpacing/>
              <w:jc w:val="center"/>
              <w:rPr>
                <w:sz w:val="20"/>
              </w:rPr>
            </w:pPr>
          </w:p>
        </w:tc>
      </w:tr>
      <w:tr w:rsidR="000C4299" w:rsidRPr="00F320B5" w14:paraId="6047A96E" w14:textId="77777777" w:rsidTr="00AD02BF">
        <w:tblPrEx>
          <w:tblBorders>
            <w:top w:val="single" w:sz="4" w:space="0" w:color="auto"/>
            <w:insideV w:val="none" w:sz="0" w:space="0" w:color="auto"/>
          </w:tblBorders>
        </w:tblPrEx>
        <w:tc>
          <w:tcPr>
            <w:tcW w:w="283" w:type="dxa"/>
            <w:tcBorders>
              <w:top w:val="nil"/>
              <w:bottom w:val="nil"/>
              <w:right w:val="nil"/>
            </w:tcBorders>
          </w:tcPr>
          <w:p w14:paraId="23C0484C" w14:textId="77777777" w:rsidR="000C4299" w:rsidRPr="0046486F" w:rsidRDefault="000C4299" w:rsidP="00AD02BF">
            <w:pPr>
              <w:spacing w:after="0" w:line="276" w:lineRule="auto"/>
              <w:contextualSpacing/>
              <w:rPr>
                <w:sz w:val="20"/>
              </w:rPr>
            </w:pPr>
          </w:p>
        </w:tc>
        <w:tc>
          <w:tcPr>
            <w:tcW w:w="2586" w:type="dxa"/>
            <w:tcBorders>
              <w:top w:val="nil"/>
              <w:left w:val="nil"/>
              <w:bottom w:val="single" w:sz="4" w:space="0" w:color="auto"/>
              <w:right w:val="nil"/>
            </w:tcBorders>
          </w:tcPr>
          <w:p w14:paraId="22A25484" w14:textId="38B6D3F6" w:rsidR="000C4299" w:rsidRPr="007E5E62" w:rsidRDefault="000C4299" w:rsidP="00AD02BF">
            <w:pPr>
              <w:spacing w:after="0" w:line="276" w:lineRule="auto"/>
              <w:contextualSpacing/>
              <w:rPr>
                <w:sz w:val="20"/>
                <w:szCs w:val="20"/>
              </w:rPr>
            </w:pPr>
            <w:r>
              <w:rPr>
                <w:sz w:val="20"/>
                <w:szCs w:val="20"/>
              </w:rPr>
              <w:t>None</w:t>
            </w:r>
          </w:p>
        </w:tc>
        <w:tc>
          <w:tcPr>
            <w:tcW w:w="671" w:type="dxa"/>
            <w:tcBorders>
              <w:top w:val="nil"/>
              <w:left w:val="nil"/>
              <w:bottom w:val="single" w:sz="4" w:space="0" w:color="auto"/>
              <w:right w:val="nil"/>
            </w:tcBorders>
          </w:tcPr>
          <w:p w14:paraId="48911BAD" w14:textId="1901E8AA" w:rsidR="000C4299" w:rsidRPr="00426408" w:rsidRDefault="005D7ADC" w:rsidP="00AD02BF">
            <w:pPr>
              <w:spacing w:after="0" w:line="276" w:lineRule="auto"/>
              <w:contextualSpacing/>
              <w:jc w:val="center"/>
              <w:rPr>
                <w:sz w:val="20"/>
              </w:rPr>
            </w:pPr>
            <w:r>
              <w:rPr>
                <w:sz w:val="20"/>
              </w:rPr>
              <w:t>58.8</w:t>
            </w:r>
          </w:p>
        </w:tc>
        <w:tc>
          <w:tcPr>
            <w:tcW w:w="1951" w:type="dxa"/>
            <w:tcBorders>
              <w:top w:val="nil"/>
              <w:left w:val="nil"/>
              <w:bottom w:val="single" w:sz="4" w:space="0" w:color="auto"/>
              <w:right w:val="nil"/>
            </w:tcBorders>
          </w:tcPr>
          <w:p w14:paraId="01DF9FE2" w14:textId="77777777" w:rsidR="000C4299" w:rsidRPr="00426408" w:rsidRDefault="000C4299" w:rsidP="00AD02BF">
            <w:pPr>
              <w:spacing w:after="0" w:line="276" w:lineRule="auto"/>
              <w:contextualSpacing/>
              <w:jc w:val="center"/>
              <w:rPr>
                <w:sz w:val="20"/>
              </w:rPr>
            </w:pPr>
            <w:r w:rsidRPr="00426408">
              <w:rPr>
                <w:sz w:val="20"/>
              </w:rPr>
              <w:t>1.00</w:t>
            </w:r>
          </w:p>
        </w:tc>
        <w:tc>
          <w:tcPr>
            <w:tcW w:w="874" w:type="dxa"/>
            <w:tcBorders>
              <w:top w:val="nil"/>
              <w:left w:val="nil"/>
              <w:bottom w:val="single" w:sz="4" w:space="0" w:color="auto"/>
              <w:right w:val="nil"/>
            </w:tcBorders>
          </w:tcPr>
          <w:p w14:paraId="7B054105" w14:textId="77777777" w:rsidR="000C4299" w:rsidRPr="00426408" w:rsidRDefault="000C4299" w:rsidP="00AD02BF">
            <w:pPr>
              <w:spacing w:after="0" w:line="276" w:lineRule="auto"/>
              <w:contextualSpacing/>
              <w:jc w:val="center"/>
              <w:rPr>
                <w:sz w:val="20"/>
              </w:rPr>
            </w:pPr>
            <w:r w:rsidRPr="00426408">
              <w:rPr>
                <w:sz w:val="20"/>
              </w:rPr>
              <w:t>-</w:t>
            </w:r>
          </w:p>
        </w:tc>
        <w:tc>
          <w:tcPr>
            <w:tcW w:w="284" w:type="dxa"/>
            <w:tcBorders>
              <w:top w:val="nil"/>
              <w:left w:val="nil"/>
              <w:bottom w:val="single" w:sz="4" w:space="0" w:color="auto"/>
              <w:right w:val="nil"/>
            </w:tcBorders>
            <w:vAlign w:val="center"/>
          </w:tcPr>
          <w:p w14:paraId="139C4532" w14:textId="77777777" w:rsidR="000C4299" w:rsidRPr="00426408" w:rsidRDefault="000C4299" w:rsidP="00AD02BF">
            <w:pPr>
              <w:spacing w:after="0" w:line="276" w:lineRule="auto"/>
              <w:contextualSpacing/>
              <w:jc w:val="center"/>
              <w:rPr>
                <w:sz w:val="20"/>
              </w:rPr>
            </w:pPr>
          </w:p>
        </w:tc>
        <w:tc>
          <w:tcPr>
            <w:tcW w:w="671" w:type="dxa"/>
            <w:tcBorders>
              <w:top w:val="nil"/>
              <w:left w:val="nil"/>
              <w:bottom w:val="single" w:sz="4" w:space="0" w:color="auto"/>
              <w:right w:val="nil"/>
            </w:tcBorders>
          </w:tcPr>
          <w:p w14:paraId="6D175A9D" w14:textId="3EBC32F1" w:rsidR="000C4299" w:rsidRPr="00426408" w:rsidRDefault="005D7ADC" w:rsidP="00AD02BF">
            <w:pPr>
              <w:spacing w:after="0" w:line="276" w:lineRule="auto"/>
              <w:contextualSpacing/>
              <w:jc w:val="center"/>
              <w:rPr>
                <w:sz w:val="20"/>
              </w:rPr>
            </w:pPr>
            <w:r>
              <w:rPr>
                <w:sz w:val="20"/>
              </w:rPr>
              <w:t>32.6</w:t>
            </w:r>
          </w:p>
        </w:tc>
        <w:tc>
          <w:tcPr>
            <w:tcW w:w="1850" w:type="dxa"/>
            <w:tcBorders>
              <w:top w:val="nil"/>
              <w:left w:val="nil"/>
              <w:bottom w:val="single" w:sz="4" w:space="0" w:color="auto"/>
              <w:right w:val="nil"/>
            </w:tcBorders>
          </w:tcPr>
          <w:p w14:paraId="33FC35DE" w14:textId="77777777" w:rsidR="000C4299" w:rsidRPr="00426408" w:rsidRDefault="000C4299" w:rsidP="00AD02BF">
            <w:pPr>
              <w:spacing w:after="0" w:line="276" w:lineRule="auto"/>
              <w:contextualSpacing/>
              <w:jc w:val="center"/>
              <w:rPr>
                <w:sz w:val="20"/>
              </w:rPr>
            </w:pPr>
            <w:r w:rsidRPr="00426408">
              <w:rPr>
                <w:sz w:val="20"/>
              </w:rPr>
              <w:t>1.00</w:t>
            </w:r>
          </w:p>
        </w:tc>
        <w:tc>
          <w:tcPr>
            <w:tcW w:w="1022" w:type="dxa"/>
            <w:tcBorders>
              <w:top w:val="nil"/>
              <w:left w:val="nil"/>
              <w:bottom w:val="single" w:sz="4" w:space="0" w:color="auto"/>
              <w:right w:val="nil"/>
            </w:tcBorders>
          </w:tcPr>
          <w:p w14:paraId="6DAB50CD" w14:textId="77777777" w:rsidR="000C4299" w:rsidRPr="00426408" w:rsidRDefault="000C4299" w:rsidP="00AD02BF">
            <w:pPr>
              <w:spacing w:after="0" w:line="276" w:lineRule="auto"/>
              <w:contextualSpacing/>
              <w:jc w:val="center"/>
              <w:rPr>
                <w:sz w:val="20"/>
              </w:rPr>
            </w:pPr>
            <w:r w:rsidRPr="00426408">
              <w:rPr>
                <w:sz w:val="20"/>
              </w:rPr>
              <w:t>-</w:t>
            </w:r>
          </w:p>
        </w:tc>
      </w:tr>
      <w:tr w:rsidR="000C4299" w:rsidRPr="00503A7A" w14:paraId="42FD458D" w14:textId="77777777" w:rsidTr="00AD02BF">
        <w:tblPrEx>
          <w:tblBorders>
            <w:top w:val="single" w:sz="4" w:space="0" w:color="auto"/>
            <w:insideV w:val="none" w:sz="0" w:space="0" w:color="auto"/>
          </w:tblBorders>
        </w:tblPrEx>
        <w:tc>
          <w:tcPr>
            <w:tcW w:w="283" w:type="dxa"/>
            <w:tcBorders>
              <w:top w:val="nil"/>
              <w:bottom w:val="single" w:sz="4" w:space="0" w:color="auto"/>
              <w:right w:val="nil"/>
            </w:tcBorders>
          </w:tcPr>
          <w:p w14:paraId="383BBC99" w14:textId="77777777" w:rsidR="000C4299" w:rsidRPr="0046486F" w:rsidRDefault="000C4299" w:rsidP="00AD02BF">
            <w:pPr>
              <w:spacing w:after="0" w:line="276" w:lineRule="auto"/>
              <w:contextualSpacing/>
              <w:rPr>
                <w:sz w:val="20"/>
              </w:rPr>
            </w:pPr>
          </w:p>
        </w:tc>
        <w:tc>
          <w:tcPr>
            <w:tcW w:w="2586" w:type="dxa"/>
            <w:tcBorders>
              <w:top w:val="nil"/>
              <w:left w:val="nil"/>
              <w:bottom w:val="single" w:sz="4" w:space="0" w:color="auto"/>
              <w:right w:val="nil"/>
            </w:tcBorders>
          </w:tcPr>
          <w:p w14:paraId="66BF190A" w14:textId="4BE305F3" w:rsidR="000C4299" w:rsidRPr="007E5E62" w:rsidRDefault="000C4299" w:rsidP="00AD02BF">
            <w:pPr>
              <w:spacing w:after="0" w:line="276" w:lineRule="auto"/>
              <w:contextualSpacing/>
              <w:rPr>
                <w:sz w:val="20"/>
                <w:szCs w:val="20"/>
              </w:rPr>
            </w:pPr>
            <w:r>
              <w:rPr>
                <w:rFonts w:cstheme="minorHAnsi"/>
                <w:sz w:val="20"/>
                <w:szCs w:val="20"/>
              </w:rPr>
              <w:t>≥</w:t>
            </w:r>
            <w:r>
              <w:rPr>
                <w:sz w:val="20"/>
                <w:szCs w:val="20"/>
              </w:rPr>
              <w:t>1</w:t>
            </w:r>
          </w:p>
        </w:tc>
        <w:tc>
          <w:tcPr>
            <w:tcW w:w="671" w:type="dxa"/>
            <w:tcBorders>
              <w:top w:val="nil"/>
              <w:left w:val="nil"/>
              <w:bottom w:val="single" w:sz="4" w:space="0" w:color="auto"/>
              <w:right w:val="nil"/>
            </w:tcBorders>
          </w:tcPr>
          <w:p w14:paraId="4C307E35" w14:textId="30099BE0" w:rsidR="000C4299" w:rsidRPr="00426408" w:rsidRDefault="005D7ADC" w:rsidP="00AD02BF">
            <w:pPr>
              <w:spacing w:after="0" w:line="276" w:lineRule="auto"/>
              <w:contextualSpacing/>
              <w:jc w:val="center"/>
              <w:rPr>
                <w:sz w:val="20"/>
              </w:rPr>
            </w:pPr>
            <w:r>
              <w:rPr>
                <w:sz w:val="20"/>
              </w:rPr>
              <w:t>45.8</w:t>
            </w:r>
          </w:p>
        </w:tc>
        <w:tc>
          <w:tcPr>
            <w:tcW w:w="1951" w:type="dxa"/>
            <w:tcBorders>
              <w:top w:val="nil"/>
              <w:left w:val="nil"/>
              <w:bottom w:val="single" w:sz="4" w:space="0" w:color="auto"/>
              <w:right w:val="nil"/>
            </w:tcBorders>
          </w:tcPr>
          <w:p w14:paraId="7B668E78" w14:textId="1B4FC80C" w:rsidR="000C4299" w:rsidRPr="00426408" w:rsidRDefault="00E45F62" w:rsidP="00AD02BF">
            <w:pPr>
              <w:spacing w:after="0" w:line="276" w:lineRule="auto"/>
              <w:contextualSpacing/>
              <w:jc w:val="center"/>
              <w:rPr>
                <w:sz w:val="20"/>
              </w:rPr>
            </w:pPr>
            <w:r>
              <w:rPr>
                <w:sz w:val="20"/>
              </w:rPr>
              <w:t>0.56 [0.41-0.76]</w:t>
            </w:r>
          </w:p>
        </w:tc>
        <w:tc>
          <w:tcPr>
            <w:tcW w:w="874" w:type="dxa"/>
            <w:tcBorders>
              <w:top w:val="nil"/>
              <w:left w:val="nil"/>
              <w:bottom w:val="single" w:sz="4" w:space="0" w:color="auto"/>
              <w:right w:val="nil"/>
            </w:tcBorders>
          </w:tcPr>
          <w:p w14:paraId="28747BEB" w14:textId="352F1F91" w:rsidR="000C4299" w:rsidRPr="00426408" w:rsidRDefault="00E45F62" w:rsidP="00AD02BF">
            <w:pPr>
              <w:spacing w:after="0" w:line="276" w:lineRule="auto"/>
              <w:contextualSpacing/>
              <w:jc w:val="center"/>
              <w:rPr>
                <w:sz w:val="20"/>
              </w:rPr>
            </w:pPr>
            <w:r>
              <w:rPr>
                <w:sz w:val="20"/>
              </w:rPr>
              <w:t>&lt;0.001</w:t>
            </w:r>
          </w:p>
        </w:tc>
        <w:tc>
          <w:tcPr>
            <w:tcW w:w="284" w:type="dxa"/>
            <w:tcBorders>
              <w:top w:val="nil"/>
              <w:left w:val="nil"/>
              <w:bottom w:val="single" w:sz="4" w:space="0" w:color="auto"/>
              <w:right w:val="nil"/>
            </w:tcBorders>
          </w:tcPr>
          <w:p w14:paraId="17C2B69F" w14:textId="77777777" w:rsidR="000C4299" w:rsidRPr="00426408" w:rsidRDefault="000C4299" w:rsidP="00AD02BF">
            <w:pPr>
              <w:spacing w:after="0" w:line="276" w:lineRule="auto"/>
              <w:contextualSpacing/>
              <w:jc w:val="center"/>
              <w:rPr>
                <w:sz w:val="20"/>
              </w:rPr>
            </w:pPr>
          </w:p>
        </w:tc>
        <w:tc>
          <w:tcPr>
            <w:tcW w:w="671" w:type="dxa"/>
            <w:tcBorders>
              <w:top w:val="nil"/>
              <w:left w:val="nil"/>
              <w:bottom w:val="single" w:sz="4" w:space="0" w:color="auto"/>
              <w:right w:val="nil"/>
            </w:tcBorders>
          </w:tcPr>
          <w:p w14:paraId="23E4B9D8" w14:textId="14C36565" w:rsidR="000C4299" w:rsidRPr="00426408" w:rsidRDefault="005D7ADC" w:rsidP="00AD02BF">
            <w:pPr>
              <w:spacing w:after="0" w:line="276" w:lineRule="auto"/>
              <w:contextualSpacing/>
              <w:jc w:val="center"/>
              <w:rPr>
                <w:sz w:val="20"/>
              </w:rPr>
            </w:pPr>
            <w:r>
              <w:rPr>
                <w:sz w:val="20"/>
              </w:rPr>
              <w:t>37.4</w:t>
            </w:r>
          </w:p>
        </w:tc>
        <w:tc>
          <w:tcPr>
            <w:tcW w:w="1850" w:type="dxa"/>
            <w:tcBorders>
              <w:top w:val="nil"/>
              <w:left w:val="nil"/>
              <w:bottom w:val="single" w:sz="4" w:space="0" w:color="auto"/>
              <w:right w:val="nil"/>
            </w:tcBorders>
          </w:tcPr>
          <w:p w14:paraId="18BA6345" w14:textId="04A67716" w:rsidR="000C4299" w:rsidRPr="00426408" w:rsidRDefault="00FE1F2C" w:rsidP="00AD02BF">
            <w:pPr>
              <w:spacing w:after="0" w:line="276" w:lineRule="auto"/>
              <w:contextualSpacing/>
              <w:jc w:val="center"/>
              <w:rPr>
                <w:sz w:val="20"/>
              </w:rPr>
            </w:pPr>
            <w:r>
              <w:rPr>
                <w:sz w:val="20"/>
              </w:rPr>
              <w:t>1.08 [0.76-1.55]</w:t>
            </w:r>
          </w:p>
        </w:tc>
        <w:tc>
          <w:tcPr>
            <w:tcW w:w="1022" w:type="dxa"/>
            <w:tcBorders>
              <w:top w:val="nil"/>
              <w:left w:val="nil"/>
              <w:bottom w:val="single" w:sz="4" w:space="0" w:color="auto"/>
              <w:right w:val="nil"/>
            </w:tcBorders>
          </w:tcPr>
          <w:p w14:paraId="417F12B3" w14:textId="6CA03539" w:rsidR="000C4299" w:rsidRPr="00426408" w:rsidRDefault="00FE1F2C" w:rsidP="00AD02BF">
            <w:pPr>
              <w:spacing w:after="0" w:line="276" w:lineRule="auto"/>
              <w:contextualSpacing/>
              <w:jc w:val="center"/>
              <w:rPr>
                <w:sz w:val="20"/>
              </w:rPr>
            </w:pPr>
            <w:r>
              <w:rPr>
                <w:sz w:val="20"/>
              </w:rPr>
              <w:t>0.659</w:t>
            </w:r>
          </w:p>
        </w:tc>
      </w:tr>
      <w:tr w:rsidR="000D35A7" w:rsidRPr="00DA24D5" w14:paraId="04801429" w14:textId="77777777" w:rsidTr="00904888">
        <w:tblPrEx>
          <w:tblBorders>
            <w:top w:val="single" w:sz="4" w:space="0" w:color="auto"/>
            <w:insideV w:val="none" w:sz="0" w:space="0" w:color="auto"/>
          </w:tblBorders>
        </w:tblPrEx>
        <w:tc>
          <w:tcPr>
            <w:tcW w:w="10192" w:type="dxa"/>
            <w:gridSpan w:val="9"/>
            <w:tcBorders>
              <w:top w:val="single" w:sz="8" w:space="0" w:color="auto"/>
              <w:bottom w:val="nil"/>
            </w:tcBorders>
          </w:tcPr>
          <w:p w14:paraId="49600ACA" w14:textId="77777777" w:rsidR="000D35A7" w:rsidRDefault="000D35A7" w:rsidP="000D35A7">
            <w:pPr>
              <w:spacing w:after="0" w:line="276" w:lineRule="auto"/>
              <w:contextualSpacing/>
              <w:rPr>
                <w:rFonts w:cs="Times New Roman"/>
                <w:sz w:val="18"/>
              </w:rPr>
            </w:pPr>
            <w:r>
              <w:rPr>
                <w:rFonts w:cs="Times New Roman"/>
                <w:sz w:val="18"/>
              </w:rPr>
              <w:t>*Indicates the percentage of overweight participants in each group perceiving themselves to be about the right weight</w:t>
            </w:r>
            <w:r w:rsidR="001706EF">
              <w:rPr>
                <w:rFonts w:cs="Times New Roman"/>
                <w:sz w:val="18"/>
              </w:rPr>
              <w:t xml:space="preserve"> or too light</w:t>
            </w:r>
            <w:r>
              <w:rPr>
                <w:rFonts w:cs="Times New Roman"/>
                <w:sz w:val="18"/>
              </w:rPr>
              <w:t>.</w:t>
            </w:r>
          </w:p>
          <w:p w14:paraId="048ABB62" w14:textId="77777777" w:rsidR="000D35A7" w:rsidRDefault="000D35A7" w:rsidP="000D35A7">
            <w:pPr>
              <w:spacing w:after="0" w:line="276" w:lineRule="auto"/>
              <w:contextualSpacing/>
              <w:rPr>
                <w:rFonts w:cs="Times New Roman"/>
                <w:sz w:val="18"/>
              </w:rPr>
            </w:pPr>
            <w:r>
              <w:rPr>
                <w:rFonts w:cs="Times New Roman"/>
                <w:sz w:val="18"/>
              </w:rPr>
              <w:t>OR = odds ratio; CI = confidence interval; SES = socioeconomic status.</w:t>
            </w:r>
          </w:p>
          <w:p w14:paraId="59434377" w14:textId="77777777" w:rsidR="000D35A7" w:rsidRPr="00DA24D5" w:rsidRDefault="000D35A7" w:rsidP="000D35A7">
            <w:pPr>
              <w:spacing w:after="0" w:line="276" w:lineRule="auto"/>
              <w:contextualSpacing/>
              <w:rPr>
                <w:rFonts w:cs="Times New Roman"/>
                <w:sz w:val="18"/>
              </w:rPr>
            </w:pPr>
            <w:r>
              <w:rPr>
                <w:rFonts w:cs="Times New Roman"/>
                <w:sz w:val="18"/>
              </w:rPr>
              <w:t xml:space="preserve">Weighted data. </w:t>
            </w:r>
            <w:r w:rsidRPr="007E5E62">
              <w:rPr>
                <w:sz w:val="18"/>
                <w:szCs w:val="18"/>
              </w:rPr>
              <w:t>Sample sizes (</w:t>
            </w:r>
            <w:r w:rsidRPr="007E5E62">
              <w:rPr>
                <w:i/>
                <w:sz w:val="18"/>
                <w:szCs w:val="18"/>
              </w:rPr>
              <w:t>n</w:t>
            </w:r>
            <w:r w:rsidRPr="007E5E62">
              <w:rPr>
                <w:sz w:val="18"/>
                <w:szCs w:val="18"/>
              </w:rPr>
              <w:t>) are shown unweighted.</w:t>
            </w:r>
          </w:p>
        </w:tc>
      </w:tr>
    </w:tbl>
    <w:p w14:paraId="409219E6" w14:textId="77777777" w:rsidR="00AE6A58" w:rsidRDefault="00AE6A58">
      <w:pPr>
        <w:spacing w:after="200" w:line="276" w:lineRule="auto"/>
        <w:rPr>
          <w:rFonts w:cstheme="minorHAnsi"/>
        </w:rPr>
      </w:pPr>
    </w:p>
    <w:p w14:paraId="3FF85E74" w14:textId="77777777" w:rsidR="008D3250" w:rsidRDefault="008D3250">
      <w:pPr>
        <w:spacing w:after="200" w:line="276" w:lineRule="auto"/>
        <w:rPr>
          <w:rFonts w:eastAsiaTheme="majorEastAsia" w:cstheme="minorHAnsi"/>
          <w:b/>
          <w:bCs/>
          <w:sz w:val="26"/>
          <w:szCs w:val="26"/>
        </w:rPr>
      </w:pPr>
    </w:p>
    <w:p w14:paraId="364C5013" w14:textId="77777777" w:rsidR="00140F2B" w:rsidRDefault="00140F2B">
      <w:pPr>
        <w:spacing w:after="200" w:line="276" w:lineRule="auto"/>
      </w:pPr>
      <w:r>
        <w:br w:type="page"/>
      </w:r>
    </w:p>
    <w:tbl>
      <w:tblPr>
        <w:tblStyle w:val="TableGrid"/>
        <w:tblW w:w="10192" w:type="dxa"/>
        <w:tblInd w:w="108" w:type="dxa"/>
        <w:tblBorders>
          <w:top w:val="single" w:sz="24" w:space="0" w:color="auto"/>
          <w:left w:val="none" w:sz="0" w:space="0" w:color="auto"/>
          <w:right w:val="none" w:sz="0" w:space="0" w:color="auto"/>
        </w:tblBorders>
        <w:tblLayout w:type="fixed"/>
        <w:tblLook w:val="04A0" w:firstRow="1" w:lastRow="0" w:firstColumn="1" w:lastColumn="0" w:noHBand="0" w:noVBand="1"/>
      </w:tblPr>
      <w:tblGrid>
        <w:gridCol w:w="283"/>
        <w:gridCol w:w="2586"/>
        <w:gridCol w:w="671"/>
        <w:gridCol w:w="1951"/>
        <w:gridCol w:w="874"/>
        <w:gridCol w:w="284"/>
        <w:gridCol w:w="671"/>
        <w:gridCol w:w="1850"/>
        <w:gridCol w:w="1022"/>
      </w:tblGrid>
      <w:tr w:rsidR="00140F2B" w:rsidRPr="00747310" w14:paraId="69ABEE14" w14:textId="77777777" w:rsidTr="00904888">
        <w:tc>
          <w:tcPr>
            <w:tcW w:w="10192" w:type="dxa"/>
            <w:gridSpan w:val="9"/>
            <w:tcBorders>
              <w:top w:val="nil"/>
              <w:bottom w:val="single" w:sz="8" w:space="0" w:color="auto"/>
            </w:tcBorders>
          </w:tcPr>
          <w:p w14:paraId="28A8AAC4" w14:textId="4BC69B70" w:rsidR="00140F2B" w:rsidRPr="00747310" w:rsidRDefault="00140F2B" w:rsidP="00604F5C">
            <w:pPr>
              <w:tabs>
                <w:tab w:val="left" w:pos="5385"/>
              </w:tabs>
              <w:spacing w:after="0" w:line="276" w:lineRule="auto"/>
              <w:rPr>
                <w:b/>
                <w:sz w:val="20"/>
              </w:rPr>
            </w:pPr>
            <w:r w:rsidRPr="00747310">
              <w:rPr>
                <w:b/>
                <w:sz w:val="20"/>
              </w:rPr>
              <w:lastRenderedPageBreak/>
              <w:t xml:space="preserve">Table </w:t>
            </w:r>
            <w:r w:rsidR="00604F5C">
              <w:rPr>
                <w:b/>
                <w:sz w:val="20"/>
              </w:rPr>
              <w:t>4</w:t>
            </w:r>
            <w:r>
              <w:rPr>
                <w:sz w:val="20"/>
              </w:rPr>
              <w:t xml:space="preserve"> Multivariable models testing associations with feeling ‘about the right weight’ among older men and women</w:t>
            </w:r>
            <w:r w:rsidR="00AB3FD4">
              <w:rPr>
                <w:sz w:val="20"/>
              </w:rPr>
              <w:t xml:space="preserve"> with obesity</w:t>
            </w:r>
          </w:p>
        </w:tc>
      </w:tr>
      <w:tr w:rsidR="00140F2B" w:rsidRPr="00096BA6" w14:paraId="7D4E3B85" w14:textId="77777777" w:rsidTr="00970D58">
        <w:tblPrEx>
          <w:tblBorders>
            <w:top w:val="single" w:sz="4" w:space="0" w:color="auto"/>
            <w:insideV w:val="none" w:sz="0" w:space="0" w:color="auto"/>
          </w:tblBorders>
        </w:tblPrEx>
        <w:tc>
          <w:tcPr>
            <w:tcW w:w="2869" w:type="dxa"/>
            <w:gridSpan w:val="2"/>
            <w:vMerge w:val="restart"/>
            <w:tcBorders>
              <w:top w:val="nil"/>
              <w:right w:val="nil"/>
            </w:tcBorders>
            <w:vAlign w:val="center"/>
          </w:tcPr>
          <w:p w14:paraId="03D95D0C" w14:textId="77777777" w:rsidR="00140F2B" w:rsidRPr="00096BA6" w:rsidRDefault="00140F2B" w:rsidP="00970D58">
            <w:pPr>
              <w:spacing w:after="0" w:line="276" w:lineRule="auto"/>
              <w:contextualSpacing/>
              <w:jc w:val="center"/>
              <w:rPr>
                <w:sz w:val="20"/>
              </w:rPr>
            </w:pPr>
          </w:p>
        </w:tc>
        <w:tc>
          <w:tcPr>
            <w:tcW w:w="3496" w:type="dxa"/>
            <w:gridSpan w:val="3"/>
            <w:tcBorders>
              <w:top w:val="single" w:sz="4" w:space="0" w:color="auto"/>
              <w:left w:val="nil"/>
              <w:bottom w:val="single" w:sz="8" w:space="0" w:color="auto"/>
              <w:right w:val="nil"/>
            </w:tcBorders>
            <w:vAlign w:val="center"/>
          </w:tcPr>
          <w:p w14:paraId="44D3386D" w14:textId="77777777" w:rsidR="00140F2B" w:rsidRPr="00BC2A2C" w:rsidRDefault="00140F2B" w:rsidP="00BC2A2C">
            <w:pPr>
              <w:spacing w:after="0" w:line="276" w:lineRule="auto"/>
              <w:contextualSpacing/>
              <w:jc w:val="center"/>
              <w:rPr>
                <w:b/>
                <w:sz w:val="20"/>
                <w:szCs w:val="20"/>
              </w:rPr>
            </w:pPr>
            <w:r w:rsidRPr="00BC2A2C">
              <w:rPr>
                <w:b/>
                <w:sz w:val="20"/>
                <w:szCs w:val="20"/>
              </w:rPr>
              <w:t>Men (</w:t>
            </w:r>
            <w:r w:rsidRPr="00BC2A2C">
              <w:rPr>
                <w:b/>
                <w:i/>
                <w:sz w:val="20"/>
                <w:szCs w:val="20"/>
              </w:rPr>
              <w:t>n</w:t>
            </w:r>
            <w:r w:rsidRPr="00BC2A2C">
              <w:rPr>
                <w:b/>
                <w:sz w:val="20"/>
                <w:szCs w:val="20"/>
              </w:rPr>
              <w:t>=</w:t>
            </w:r>
            <w:r w:rsidR="00BC2A2C" w:rsidRPr="00BC2A2C">
              <w:rPr>
                <w:b/>
                <w:sz w:val="20"/>
                <w:szCs w:val="20"/>
              </w:rPr>
              <w:t>688</w:t>
            </w:r>
            <w:r w:rsidRPr="00BC2A2C">
              <w:rPr>
                <w:b/>
                <w:sz w:val="20"/>
                <w:szCs w:val="20"/>
              </w:rPr>
              <w:t>)</w:t>
            </w:r>
          </w:p>
        </w:tc>
        <w:tc>
          <w:tcPr>
            <w:tcW w:w="284" w:type="dxa"/>
            <w:tcBorders>
              <w:top w:val="single" w:sz="4" w:space="0" w:color="auto"/>
              <w:left w:val="nil"/>
              <w:bottom w:val="nil"/>
              <w:right w:val="nil"/>
            </w:tcBorders>
            <w:vAlign w:val="center"/>
          </w:tcPr>
          <w:p w14:paraId="762887BC" w14:textId="77777777" w:rsidR="00140F2B" w:rsidRPr="00BC2A2C" w:rsidRDefault="00140F2B" w:rsidP="00970D58">
            <w:pPr>
              <w:spacing w:after="0" w:line="276" w:lineRule="auto"/>
              <w:contextualSpacing/>
              <w:jc w:val="center"/>
              <w:rPr>
                <w:b/>
                <w:sz w:val="20"/>
              </w:rPr>
            </w:pPr>
          </w:p>
        </w:tc>
        <w:tc>
          <w:tcPr>
            <w:tcW w:w="3543" w:type="dxa"/>
            <w:gridSpan w:val="3"/>
            <w:tcBorders>
              <w:top w:val="single" w:sz="4" w:space="0" w:color="auto"/>
              <w:left w:val="nil"/>
              <w:bottom w:val="single" w:sz="8" w:space="0" w:color="auto"/>
              <w:right w:val="nil"/>
            </w:tcBorders>
          </w:tcPr>
          <w:p w14:paraId="0BEC24D8" w14:textId="77777777" w:rsidR="00140F2B" w:rsidRPr="00BC2A2C" w:rsidRDefault="00140F2B" w:rsidP="00BC2A2C">
            <w:pPr>
              <w:spacing w:after="0" w:line="276" w:lineRule="auto"/>
              <w:contextualSpacing/>
              <w:jc w:val="center"/>
              <w:rPr>
                <w:b/>
                <w:sz w:val="20"/>
                <w:szCs w:val="20"/>
              </w:rPr>
            </w:pPr>
            <w:r w:rsidRPr="00BC2A2C">
              <w:rPr>
                <w:b/>
                <w:sz w:val="20"/>
                <w:szCs w:val="20"/>
              </w:rPr>
              <w:t>Women (</w:t>
            </w:r>
            <w:r w:rsidRPr="00BC2A2C">
              <w:rPr>
                <w:b/>
                <w:i/>
                <w:sz w:val="20"/>
                <w:szCs w:val="20"/>
              </w:rPr>
              <w:t>n</w:t>
            </w:r>
            <w:r w:rsidRPr="00BC2A2C">
              <w:rPr>
                <w:b/>
                <w:sz w:val="20"/>
                <w:szCs w:val="20"/>
              </w:rPr>
              <w:t>=</w:t>
            </w:r>
            <w:r w:rsidR="00BC2A2C" w:rsidRPr="00BC2A2C">
              <w:rPr>
                <w:b/>
                <w:sz w:val="20"/>
                <w:szCs w:val="20"/>
              </w:rPr>
              <w:t>919</w:t>
            </w:r>
            <w:r w:rsidRPr="00BC2A2C">
              <w:rPr>
                <w:b/>
                <w:sz w:val="20"/>
                <w:szCs w:val="20"/>
              </w:rPr>
              <w:t>)</w:t>
            </w:r>
          </w:p>
        </w:tc>
      </w:tr>
      <w:tr w:rsidR="00140F2B" w:rsidRPr="006F3C95" w14:paraId="798BE889" w14:textId="77777777" w:rsidTr="00970D58">
        <w:tblPrEx>
          <w:tblBorders>
            <w:top w:val="single" w:sz="4" w:space="0" w:color="auto"/>
            <w:insideV w:val="none" w:sz="0" w:space="0" w:color="auto"/>
          </w:tblBorders>
        </w:tblPrEx>
        <w:tc>
          <w:tcPr>
            <w:tcW w:w="2869" w:type="dxa"/>
            <w:gridSpan w:val="2"/>
            <w:vMerge/>
            <w:tcBorders>
              <w:bottom w:val="single" w:sz="8" w:space="0" w:color="auto"/>
              <w:right w:val="nil"/>
            </w:tcBorders>
            <w:vAlign w:val="center"/>
          </w:tcPr>
          <w:p w14:paraId="3D4E6157" w14:textId="77777777" w:rsidR="00140F2B" w:rsidRPr="00747310" w:rsidRDefault="00140F2B" w:rsidP="00970D58">
            <w:pPr>
              <w:spacing w:after="0" w:line="276" w:lineRule="auto"/>
              <w:contextualSpacing/>
              <w:jc w:val="center"/>
              <w:rPr>
                <w:color w:val="FF0000"/>
                <w:sz w:val="20"/>
              </w:rPr>
            </w:pPr>
          </w:p>
        </w:tc>
        <w:tc>
          <w:tcPr>
            <w:tcW w:w="671" w:type="dxa"/>
            <w:tcBorders>
              <w:top w:val="single" w:sz="4" w:space="0" w:color="auto"/>
              <w:left w:val="nil"/>
              <w:bottom w:val="single" w:sz="8" w:space="0" w:color="auto"/>
              <w:right w:val="nil"/>
            </w:tcBorders>
          </w:tcPr>
          <w:p w14:paraId="02F9228C" w14:textId="77777777" w:rsidR="00140F2B" w:rsidRPr="00BC2A2C" w:rsidRDefault="00140F2B" w:rsidP="00970D58">
            <w:pPr>
              <w:spacing w:after="0" w:line="276" w:lineRule="auto"/>
              <w:contextualSpacing/>
              <w:jc w:val="center"/>
              <w:rPr>
                <w:b/>
                <w:sz w:val="20"/>
              </w:rPr>
            </w:pPr>
            <w:r w:rsidRPr="00BC2A2C">
              <w:rPr>
                <w:b/>
                <w:sz w:val="20"/>
              </w:rPr>
              <w:t>%*</w:t>
            </w:r>
          </w:p>
        </w:tc>
        <w:tc>
          <w:tcPr>
            <w:tcW w:w="1951" w:type="dxa"/>
            <w:tcBorders>
              <w:top w:val="single" w:sz="4" w:space="0" w:color="auto"/>
              <w:left w:val="nil"/>
              <w:bottom w:val="single" w:sz="8" w:space="0" w:color="auto"/>
              <w:right w:val="nil"/>
            </w:tcBorders>
            <w:vAlign w:val="center"/>
          </w:tcPr>
          <w:p w14:paraId="2AAF0377" w14:textId="77777777" w:rsidR="00140F2B" w:rsidRPr="00BC2A2C" w:rsidRDefault="00140F2B" w:rsidP="00970D58">
            <w:pPr>
              <w:spacing w:after="0" w:line="276" w:lineRule="auto"/>
              <w:contextualSpacing/>
              <w:jc w:val="center"/>
              <w:rPr>
                <w:b/>
                <w:sz w:val="20"/>
              </w:rPr>
            </w:pPr>
            <w:r w:rsidRPr="00BC2A2C">
              <w:rPr>
                <w:b/>
                <w:sz w:val="20"/>
              </w:rPr>
              <w:t>OR [95% CI]</w:t>
            </w:r>
          </w:p>
        </w:tc>
        <w:tc>
          <w:tcPr>
            <w:tcW w:w="874" w:type="dxa"/>
            <w:tcBorders>
              <w:top w:val="single" w:sz="4" w:space="0" w:color="auto"/>
              <w:left w:val="nil"/>
              <w:bottom w:val="single" w:sz="8" w:space="0" w:color="auto"/>
              <w:right w:val="nil"/>
            </w:tcBorders>
            <w:vAlign w:val="center"/>
          </w:tcPr>
          <w:p w14:paraId="1724C553" w14:textId="77777777" w:rsidR="00140F2B" w:rsidRPr="00BC2A2C" w:rsidRDefault="00140F2B" w:rsidP="00970D58">
            <w:pPr>
              <w:spacing w:after="0" w:line="276" w:lineRule="auto"/>
              <w:contextualSpacing/>
              <w:jc w:val="center"/>
              <w:rPr>
                <w:b/>
                <w:i/>
                <w:sz w:val="20"/>
              </w:rPr>
            </w:pPr>
            <w:r w:rsidRPr="00BC2A2C">
              <w:rPr>
                <w:b/>
                <w:i/>
                <w:sz w:val="20"/>
              </w:rPr>
              <w:t>p</w:t>
            </w:r>
          </w:p>
        </w:tc>
        <w:tc>
          <w:tcPr>
            <w:tcW w:w="284" w:type="dxa"/>
            <w:tcBorders>
              <w:top w:val="nil"/>
              <w:left w:val="nil"/>
              <w:bottom w:val="single" w:sz="8" w:space="0" w:color="auto"/>
              <w:right w:val="nil"/>
            </w:tcBorders>
            <w:vAlign w:val="center"/>
          </w:tcPr>
          <w:p w14:paraId="78B2CA81" w14:textId="77777777" w:rsidR="00140F2B" w:rsidRPr="00BC2A2C" w:rsidRDefault="00140F2B" w:rsidP="00970D58">
            <w:pPr>
              <w:spacing w:after="0" w:line="276" w:lineRule="auto"/>
              <w:contextualSpacing/>
              <w:jc w:val="center"/>
              <w:rPr>
                <w:b/>
                <w:sz w:val="20"/>
              </w:rPr>
            </w:pPr>
          </w:p>
        </w:tc>
        <w:tc>
          <w:tcPr>
            <w:tcW w:w="671" w:type="dxa"/>
            <w:tcBorders>
              <w:top w:val="single" w:sz="4" w:space="0" w:color="auto"/>
              <w:left w:val="nil"/>
              <w:bottom w:val="single" w:sz="8" w:space="0" w:color="auto"/>
              <w:right w:val="nil"/>
            </w:tcBorders>
          </w:tcPr>
          <w:p w14:paraId="7E0FB065" w14:textId="77777777" w:rsidR="00140F2B" w:rsidRPr="00BC2A2C" w:rsidRDefault="00140F2B" w:rsidP="00970D58">
            <w:pPr>
              <w:spacing w:after="0" w:line="276" w:lineRule="auto"/>
              <w:contextualSpacing/>
              <w:jc w:val="center"/>
              <w:rPr>
                <w:b/>
                <w:sz w:val="20"/>
              </w:rPr>
            </w:pPr>
            <w:r w:rsidRPr="00BC2A2C">
              <w:rPr>
                <w:b/>
                <w:sz w:val="20"/>
              </w:rPr>
              <w:t>%*</w:t>
            </w:r>
          </w:p>
        </w:tc>
        <w:tc>
          <w:tcPr>
            <w:tcW w:w="1850" w:type="dxa"/>
            <w:tcBorders>
              <w:top w:val="single" w:sz="4" w:space="0" w:color="auto"/>
              <w:left w:val="nil"/>
              <w:bottom w:val="single" w:sz="8" w:space="0" w:color="auto"/>
              <w:right w:val="nil"/>
            </w:tcBorders>
            <w:vAlign w:val="center"/>
          </w:tcPr>
          <w:p w14:paraId="3AEF0482" w14:textId="77777777" w:rsidR="00140F2B" w:rsidRPr="00BC2A2C" w:rsidRDefault="00140F2B" w:rsidP="00970D58">
            <w:pPr>
              <w:spacing w:after="0" w:line="276" w:lineRule="auto"/>
              <w:contextualSpacing/>
              <w:jc w:val="center"/>
              <w:rPr>
                <w:b/>
                <w:sz w:val="20"/>
              </w:rPr>
            </w:pPr>
            <w:r w:rsidRPr="00BC2A2C">
              <w:rPr>
                <w:b/>
                <w:sz w:val="20"/>
              </w:rPr>
              <w:t>OR [95% CI]</w:t>
            </w:r>
          </w:p>
        </w:tc>
        <w:tc>
          <w:tcPr>
            <w:tcW w:w="1022" w:type="dxa"/>
            <w:tcBorders>
              <w:top w:val="single" w:sz="4" w:space="0" w:color="auto"/>
              <w:left w:val="nil"/>
              <w:bottom w:val="single" w:sz="8" w:space="0" w:color="auto"/>
              <w:right w:val="nil"/>
            </w:tcBorders>
            <w:vAlign w:val="center"/>
          </w:tcPr>
          <w:p w14:paraId="7E8CC5C4" w14:textId="77777777" w:rsidR="00140F2B" w:rsidRPr="00BC2A2C" w:rsidRDefault="00140F2B" w:rsidP="00970D58">
            <w:pPr>
              <w:spacing w:after="0" w:line="276" w:lineRule="auto"/>
              <w:contextualSpacing/>
              <w:jc w:val="center"/>
              <w:rPr>
                <w:b/>
                <w:sz w:val="20"/>
              </w:rPr>
            </w:pPr>
            <w:r w:rsidRPr="00BC2A2C">
              <w:rPr>
                <w:b/>
                <w:i/>
                <w:sz w:val="20"/>
              </w:rPr>
              <w:t>p</w:t>
            </w:r>
          </w:p>
        </w:tc>
      </w:tr>
      <w:tr w:rsidR="00140F2B" w:rsidRPr="00897348" w14:paraId="2F4B120F" w14:textId="77777777" w:rsidTr="00970D58">
        <w:tblPrEx>
          <w:tblBorders>
            <w:top w:val="single" w:sz="4" w:space="0" w:color="auto"/>
            <w:insideV w:val="none" w:sz="0" w:space="0" w:color="auto"/>
          </w:tblBorders>
        </w:tblPrEx>
        <w:tc>
          <w:tcPr>
            <w:tcW w:w="2869" w:type="dxa"/>
            <w:gridSpan w:val="2"/>
            <w:tcBorders>
              <w:top w:val="nil"/>
              <w:bottom w:val="single" w:sz="4" w:space="0" w:color="auto"/>
              <w:right w:val="nil"/>
            </w:tcBorders>
          </w:tcPr>
          <w:p w14:paraId="0764C530" w14:textId="77777777" w:rsidR="00140F2B" w:rsidRPr="007E5E62" w:rsidRDefault="00140F2B" w:rsidP="00970D58">
            <w:pPr>
              <w:spacing w:after="0" w:line="276" w:lineRule="auto"/>
              <w:contextualSpacing/>
              <w:rPr>
                <w:sz w:val="20"/>
              </w:rPr>
            </w:pPr>
            <w:r>
              <w:rPr>
                <w:sz w:val="20"/>
              </w:rPr>
              <w:t>Age (years)</w:t>
            </w:r>
          </w:p>
        </w:tc>
        <w:tc>
          <w:tcPr>
            <w:tcW w:w="671" w:type="dxa"/>
            <w:tcBorders>
              <w:top w:val="nil"/>
              <w:bottom w:val="single" w:sz="4" w:space="0" w:color="auto"/>
              <w:right w:val="nil"/>
            </w:tcBorders>
          </w:tcPr>
          <w:p w14:paraId="3FED67D4" w14:textId="77777777" w:rsidR="00140F2B" w:rsidRPr="00426408" w:rsidRDefault="00140F2B" w:rsidP="00970D58">
            <w:pPr>
              <w:spacing w:after="0" w:line="276" w:lineRule="auto"/>
              <w:contextualSpacing/>
              <w:jc w:val="center"/>
              <w:rPr>
                <w:b/>
                <w:sz w:val="20"/>
              </w:rPr>
            </w:pPr>
            <w:r w:rsidRPr="00426408">
              <w:rPr>
                <w:b/>
                <w:sz w:val="20"/>
              </w:rPr>
              <w:t>-</w:t>
            </w:r>
          </w:p>
        </w:tc>
        <w:tc>
          <w:tcPr>
            <w:tcW w:w="1951" w:type="dxa"/>
            <w:tcBorders>
              <w:top w:val="nil"/>
              <w:left w:val="nil"/>
              <w:bottom w:val="single" w:sz="4" w:space="0" w:color="auto"/>
              <w:right w:val="nil"/>
            </w:tcBorders>
          </w:tcPr>
          <w:p w14:paraId="11B4FBFF" w14:textId="524A5D15" w:rsidR="00140F2B" w:rsidRPr="00A83F41" w:rsidRDefault="00140F2B" w:rsidP="00C169EF">
            <w:pPr>
              <w:spacing w:after="0" w:line="276" w:lineRule="auto"/>
              <w:contextualSpacing/>
              <w:jc w:val="center"/>
              <w:rPr>
                <w:sz w:val="20"/>
              </w:rPr>
            </w:pPr>
            <w:r w:rsidRPr="00A83F41">
              <w:rPr>
                <w:sz w:val="20"/>
              </w:rPr>
              <w:t>1.0</w:t>
            </w:r>
            <w:r w:rsidR="00C169EF">
              <w:rPr>
                <w:sz w:val="20"/>
              </w:rPr>
              <w:t>5</w:t>
            </w:r>
            <w:r w:rsidRPr="00A83F41">
              <w:rPr>
                <w:sz w:val="20"/>
              </w:rPr>
              <w:t xml:space="preserve"> [1.0</w:t>
            </w:r>
            <w:r w:rsidR="00AE3444" w:rsidRPr="00A83F41">
              <w:rPr>
                <w:sz w:val="20"/>
              </w:rPr>
              <w:t>1</w:t>
            </w:r>
            <w:r w:rsidRPr="00A83F41">
              <w:rPr>
                <w:sz w:val="20"/>
              </w:rPr>
              <w:t>-1.0</w:t>
            </w:r>
            <w:r w:rsidR="00C169EF">
              <w:rPr>
                <w:sz w:val="20"/>
              </w:rPr>
              <w:t>9</w:t>
            </w:r>
            <w:r w:rsidRPr="00A83F41">
              <w:rPr>
                <w:sz w:val="20"/>
              </w:rPr>
              <w:t>]</w:t>
            </w:r>
          </w:p>
        </w:tc>
        <w:tc>
          <w:tcPr>
            <w:tcW w:w="874" w:type="dxa"/>
            <w:tcBorders>
              <w:top w:val="nil"/>
              <w:left w:val="nil"/>
              <w:bottom w:val="single" w:sz="4" w:space="0" w:color="auto"/>
              <w:right w:val="nil"/>
            </w:tcBorders>
            <w:vAlign w:val="center"/>
          </w:tcPr>
          <w:p w14:paraId="67342027" w14:textId="09E1D25D" w:rsidR="00140F2B" w:rsidRPr="00A83F41" w:rsidRDefault="00AE3444" w:rsidP="00970D58">
            <w:pPr>
              <w:spacing w:after="0" w:line="276" w:lineRule="auto"/>
              <w:contextualSpacing/>
              <w:jc w:val="center"/>
              <w:rPr>
                <w:sz w:val="20"/>
              </w:rPr>
            </w:pPr>
            <w:r w:rsidRPr="00A83F41">
              <w:rPr>
                <w:sz w:val="20"/>
              </w:rPr>
              <w:t>0.01</w:t>
            </w:r>
            <w:r w:rsidR="00C169EF">
              <w:rPr>
                <w:sz w:val="20"/>
              </w:rPr>
              <w:t>3</w:t>
            </w:r>
          </w:p>
        </w:tc>
        <w:tc>
          <w:tcPr>
            <w:tcW w:w="284" w:type="dxa"/>
            <w:tcBorders>
              <w:top w:val="nil"/>
              <w:left w:val="nil"/>
              <w:bottom w:val="single" w:sz="4" w:space="0" w:color="auto"/>
              <w:right w:val="nil"/>
            </w:tcBorders>
            <w:vAlign w:val="center"/>
          </w:tcPr>
          <w:p w14:paraId="55C2730D"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1FC48F5E" w14:textId="77777777" w:rsidR="00140F2B" w:rsidRPr="00A83F41" w:rsidRDefault="00140F2B" w:rsidP="00970D58">
            <w:pPr>
              <w:spacing w:after="0" w:line="276" w:lineRule="auto"/>
              <w:contextualSpacing/>
              <w:jc w:val="center"/>
              <w:rPr>
                <w:sz w:val="20"/>
              </w:rPr>
            </w:pPr>
            <w:r w:rsidRPr="00A83F41">
              <w:rPr>
                <w:sz w:val="20"/>
              </w:rPr>
              <w:t>-</w:t>
            </w:r>
          </w:p>
        </w:tc>
        <w:tc>
          <w:tcPr>
            <w:tcW w:w="1850" w:type="dxa"/>
            <w:tcBorders>
              <w:top w:val="nil"/>
              <w:left w:val="nil"/>
              <w:bottom w:val="single" w:sz="4" w:space="0" w:color="auto"/>
              <w:right w:val="nil"/>
            </w:tcBorders>
          </w:tcPr>
          <w:p w14:paraId="52BCD43A" w14:textId="77777777" w:rsidR="00140F2B" w:rsidRPr="00A83F41" w:rsidRDefault="00AE3444" w:rsidP="00AE3444">
            <w:pPr>
              <w:spacing w:after="0" w:line="276" w:lineRule="auto"/>
              <w:contextualSpacing/>
              <w:jc w:val="center"/>
              <w:rPr>
                <w:sz w:val="20"/>
              </w:rPr>
            </w:pPr>
            <w:r w:rsidRPr="00A83F41">
              <w:rPr>
                <w:sz w:val="20"/>
              </w:rPr>
              <w:t>1.04</w:t>
            </w:r>
            <w:r w:rsidR="00140F2B" w:rsidRPr="00A83F41">
              <w:rPr>
                <w:sz w:val="20"/>
              </w:rPr>
              <w:t xml:space="preserve"> [1.0</w:t>
            </w:r>
            <w:r w:rsidRPr="00A83F41">
              <w:rPr>
                <w:sz w:val="20"/>
              </w:rPr>
              <w:t>1</w:t>
            </w:r>
            <w:r w:rsidR="00140F2B" w:rsidRPr="00A83F41">
              <w:rPr>
                <w:sz w:val="20"/>
              </w:rPr>
              <w:t>-1.0</w:t>
            </w:r>
            <w:r w:rsidRPr="00A83F41">
              <w:rPr>
                <w:sz w:val="20"/>
              </w:rPr>
              <w:t>8</w:t>
            </w:r>
            <w:r w:rsidR="00140F2B" w:rsidRPr="00A83F41">
              <w:rPr>
                <w:sz w:val="20"/>
              </w:rPr>
              <w:t>]</w:t>
            </w:r>
          </w:p>
        </w:tc>
        <w:tc>
          <w:tcPr>
            <w:tcW w:w="1022" w:type="dxa"/>
            <w:tcBorders>
              <w:top w:val="nil"/>
              <w:left w:val="nil"/>
              <w:bottom w:val="single" w:sz="4" w:space="0" w:color="auto"/>
              <w:right w:val="nil"/>
            </w:tcBorders>
          </w:tcPr>
          <w:p w14:paraId="31268F0F" w14:textId="374FE432" w:rsidR="00140F2B" w:rsidRPr="00A83F41" w:rsidRDefault="00AE3444" w:rsidP="00287739">
            <w:pPr>
              <w:spacing w:after="0" w:line="276" w:lineRule="auto"/>
              <w:contextualSpacing/>
              <w:jc w:val="center"/>
              <w:rPr>
                <w:sz w:val="20"/>
              </w:rPr>
            </w:pPr>
            <w:r w:rsidRPr="00A83F41">
              <w:rPr>
                <w:sz w:val="20"/>
              </w:rPr>
              <w:t>0.01</w:t>
            </w:r>
            <w:r w:rsidR="00287739">
              <w:rPr>
                <w:sz w:val="20"/>
              </w:rPr>
              <w:t>2</w:t>
            </w:r>
          </w:p>
        </w:tc>
      </w:tr>
      <w:tr w:rsidR="00140F2B" w:rsidRPr="00897348" w14:paraId="5A44F476" w14:textId="77777777" w:rsidTr="00970D58">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6E009A98" w14:textId="77777777" w:rsidR="00140F2B" w:rsidRPr="007E5E62" w:rsidRDefault="00140F2B" w:rsidP="00970D58">
            <w:pPr>
              <w:spacing w:after="0" w:line="276" w:lineRule="auto"/>
              <w:contextualSpacing/>
              <w:rPr>
                <w:sz w:val="20"/>
              </w:rPr>
            </w:pPr>
            <w:r>
              <w:rPr>
                <w:sz w:val="20"/>
              </w:rPr>
              <w:t>Ethnicity</w:t>
            </w:r>
          </w:p>
        </w:tc>
        <w:tc>
          <w:tcPr>
            <w:tcW w:w="671" w:type="dxa"/>
            <w:tcBorders>
              <w:top w:val="single" w:sz="4" w:space="0" w:color="auto"/>
              <w:bottom w:val="nil"/>
              <w:right w:val="nil"/>
            </w:tcBorders>
          </w:tcPr>
          <w:p w14:paraId="2837AE8F" w14:textId="77777777" w:rsidR="00140F2B" w:rsidRPr="00426408" w:rsidRDefault="00140F2B" w:rsidP="00970D58">
            <w:pPr>
              <w:spacing w:after="0" w:line="276" w:lineRule="auto"/>
              <w:contextualSpacing/>
              <w:jc w:val="center"/>
              <w:rPr>
                <w:b/>
                <w:sz w:val="20"/>
              </w:rPr>
            </w:pPr>
          </w:p>
        </w:tc>
        <w:tc>
          <w:tcPr>
            <w:tcW w:w="1951" w:type="dxa"/>
            <w:tcBorders>
              <w:top w:val="single" w:sz="4" w:space="0" w:color="auto"/>
              <w:left w:val="nil"/>
              <w:bottom w:val="nil"/>
              <w:right w:val="nil"/>
            </w:tcBorders>
          </w:tcPr>
          <w:p w14:paraId="7B3068CE" w14:textId="77777777" w:rsidR="00140F2B" w:rsidRPr="00A83F41" w:rsidRDefault="00140F2B" w:rsidP="00970D58">
            <w:pPr>
              <w:spacing w:after="0" w:line="276" w:lineRule="auto"/>
              <w:contextualSpacing/>
              <w:jc w:val="center"/>
              <w:rPr>
                <w:sz w:val="20"/>
              </w:rPr>
            </w:pPr>
          </w:p>
        </w:tc>
        <w:tc>
          <w:tcPr>
            <w:tcW w:w="874" w:type="dxa"/>
            <w:tcBorders>
              <w:top w:val="single" w:sz="4" w:space="0" w:color="auto"/>
              <w:left w:val="nil"/>
              <w:bottom w:val="nil"/>
              <w:right w:val="nil"/>
            </w:tcBorders>
            <w:vAlign w:val="center"/>
          </w:tcPr>
          <w:p w14:paraId="0B31A445" w14:textId="77777777" w:rsidR="00140F2B" w:rsidRPr="00A83F41" w:rsidRDefault="00140F2B" w:rsidP="00970D58">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0A77A13E" w14:textId="77777777" w:rsidR="00140F2B" w:rsidRPr="00A83F41" w:rsidRDefault="00140F2B" w:rsidP="00970D58">
            <w:pPr>
              <w:spacing w:after="0" w:line="276" w:lineRule="auto"/>
              <w:contextualSpacing/>
              <w:jc w:val="center"/>
              <w:rPr>
                <w:sz w:val="20"/>
              </w:rPr>
            </w:pPr>
          </w:p>
        </w:tc>
        <w:tc>
          <w:tcPr>
            <w:tcW w:w="671" w:type="dxa"/>
            <w:tcBorders>
              <w:top w:val="single" w:sz="4" w:space="0" w:color="auto"/>
              <w:left w:val="nil"/>
              <w:bottom w:val="nil"/>
              <w:right w:val="nil"/>
            </w:tcBorders>
          </w:tcPr>
          <w:p w14:paraId="2A718784" w14:textId="77777777" w:rsidR="00140F2B" w:rsidRPr="00A83F41" w:rsidRDefault="00140F2B" w:rsidP="00970D58">
            <w:pPr>
              <w:spacing w:after="0" w:line="276" w:lineRule="auto"/>
              <w:contextualSpacing/>
              <w:jc w:val="center"/>
              <w:rPr>
                <w:sz w:val="20"/>
              </w:rPr>
            </w:pPr>
          </w:p>
        </w:tc>
        <w:tc>
          <w:tcPr>
            <w:tcW w:w="1850" w:type="dxa"/>
            <w:tcBorders>
              <w:top w:val="single" w:sz="4" w:space="0" w:color="auto"/>
              <w:left w:val="nil"/>
              <w:bottom w:val="nil"/>
              <w:right w:val="nil"/>
            </w:tcBorders>
          </w:tcPr>
          <w:p w14:paraId="60688B13" w14:textId="77777777" w:rsidR="00140F2B" w:rsidRPr="00A83F41" w:rsidRDefault="00140F2B" w:rsidP="00970D58">
            <w:pPr>
              <w:spacing w:after="0" w:line="276" w:lineRule="auto"/>
              <w:contextualSpacing/>
              <w:jc w:val="center"/>
              <w:rPr>
                <w:sz w:val="20"/>
              </w:rPr>
            </w:pPr>
          </w:p>
        </w:tc>
        <w:tc>
          <w:tcPr>
            <w:tcW w:w="1022" w:type="dxa"/>
            <w:tcBorders>
              <w:top w:val="single" w:sz="4" w:space="0" w:color="auto"/>
              <w:left w:val="nil"/>
              <w:bottom w:val="nil"/>
              <w:right w:val="nil"/>
            </w:tcBorders>
          </w:tcPr>
          <w:p w14:paraId="25AC339E" w14:textId="77777777" w:rsidR="00140F2B" w:rsidRPr="00A83F41" w:rsidRDefault="00140F2B" w:rsidP="00970D58">
            <w:pPr>
              <w:spacing w:after="0" w:line="276" w:lineRule="auto"/>
              <w:contextualSpacing/>
              <w:jc w:val="center"/>
              <w:rPr>
                <w:sz w:val="20"/>
              </w:rPr>
            </w:pPr>
          </w:p>
        </w:tc>
      </w:tr>
      <w:tr w:rsidR="00140F2B" w:rsidRPr="00F320B5" w14:paraId="51B26EBE" w14:textId="77777777" w:rsidTr="00970D58">
        <w:tblPrEx>
          <w:tblBorders>
            <w:top w:val="single" w:sz="4" w:space="0" w:color="auto"/>
            <w:insideV w:val="none" w:sz="0" w:space="0" w:color="auto"/>
          </w:tblBorders>
        </w:tblPrEx>
        <w:tc>
          <w:tcPr>
            <w:tcW w:w="283" w:type="dxa"/>
            <w:tcBorders>
              <w:top w:val="nil"/>
              <w:bottom w:val="nil"/>
              <w:right w:val="nil"/>
            </w:tcBorders>
          </w:tcPr>
          <w:p w14:paraId="22633852"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vAlign w:val="center"/>
          </w:tcPr>
          <w:p w14:paraId="53747961" w14:textId="77777777" w:rsidR="00140F2B" w:rsidRPr="0046486F" w:rsidRDefault="00140F2B" w:rsidP="00970D58">
            <w:pPr>
              <w:spacing w:after="0" w:line="276" w:lineRule="auto"/>
              <w:contextualSpacing/>
              <w:rPr>
                <w:sz w:val="20"/>
              </w:rPr>
            </w:pPr>
            <w:r>
              <w:rPr>
                <w:sz w:val="20"/>
              </w:rPr>
              <w:t>White</w:t>
            </w:r>
          </w:p>
        </w:tc>
        <w:tc>
          <w:tcPr>
            <w:tcW w:w="671" w:type="dxa"/>
            <w:tcBorders>
              <w:top w:val="nil"/>
              <w:left w:val="nil"/>
              <w:bottom w:val="single" w:sz="4" w:space="0" w:color="auto"/>
              <w:right w:val="nil"/>
            </w:tcBorders>
          </w:tcPr>
          <w:p w14:paraId="3661650A" w14:textId="77777777" w:rsidR="00140F2B" w:rsidRPr="00426408" w:rsidRDefault="00976633" w:rsidP="00970D58">
            <w:pPr>
              <w:spacing w:after="0" w:line="276" w:lineRule="auto"/>
              <w:contextualSpacing/>
              <w:jc w:val="center"/>
              <w:rPr>
                <w:sz w:val="20"/>
              </w:rPr>
            </w:pPr>
            <w:r w:rsidRPr="00426408">
              <w:rPr>
                <w:sz w:val="20"/>
              </w:rPr>
              <w:t>12.7</w:t>
            </w:r>
          </w:p>
        </w:tc>
        <w:tc>
          <w:tcPr>
            <w:tcW w:w="1951" w:type="dxa"/>
            <w:tcBorders>
              <w:top w:val="nil"/>
              <w:left w:val="nil"/>
              <w:bottom w:val="single" w:sz="4" w:space="0" w:color="auto"/>
              <w:right w:val="nil"/>
            </w:tcBorders>
          </w:tcPr>
          <w:p w14:paraId="516E1290" w14:textId="77777777" w:rsidR="00140F2B" w:rsidRPr="00A83F41" w:rsidRDefault="00140F2B" w:rsidP="00970D58">
            <w:pPr>
              <w:spacing w:after="0" w:line="276" w:lineRule="auto"/>
              <w:contextualSpacing/>
              <w:jc w:val="center"/>
              <w:rPr>
                <w:sz w:val="20"/>
              </w:rPr>
            </w:pPr>
            <w:r w:rsidRPr="00A83F41">
              <w:rPr>
                <w:sz w:val="20"/>
              </w:rPr>
              <w:t>1.00</w:t>
            </w:r>
          </w:p>
        </w:tc>
        <w:tc>
          <w:tcPr>
            <w:tcW w:w="874" w:type="dxa"/>
            <w:tcBorders>
              <w:top w:val="nil"/>
              <w:left w:val="nil"/>
              <w:bottom w:val="single" w:sz="4" w:space="0" w:color="auto"/>
              <w:right w:val="nil"/>
            </w:tcBorders>
          </w:tcPr>
          <w:p w14:paraId="06CB07AA" w14:textId="77777777" w:rsidR="00140F2B" w:rsidRPr="00A83F41" w:rsidRDefault="00140F2B" w:rsidP="00970D58">
            <w:pPr>
              <w:spacing w:after="0" w:line="276" w:lineRule="auto"/>
              <w:contextualSpacing/>
              <w:jc w:val="center"/>
              <w:rPr>
                <w:sz w:val="20"/>
              </w:rPr>
            </w:pPr>
            <w:r w:rsidRPr="00A83F41">
              <w:rPr>
                <w:sz w:val="20"/>
              </w:rPr>
              <w:t>-</w:t>
            </w:r>
          </w:p>
        </w:tc>
        <w:tc>
          <w:tcPr>
            <w:tcW w:w="284" w:type="dxa"/>
            <w:tcBorders>
              <w:top w:val="nil"/>
              <w:left w:val="nil"/>
              <w:bottom w:val="single" w:sz="4" w:space="0" w:color="auto"/>
              <w:right w:val="nil"/>
            </w:tcBorders>
            <w:vAlign w:val="center"/>
          </w:tcPr>
          <w:p w14:paraId="35F1C712"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176ECDDD" w14:textId="77777777" w:rsidR="00140F2B" w:rsidRPr="00A83F41" w:rsidRDefault="00976633" w:rsidP="00970D58">
            <w:pPr>
              <w:spacing w:after="0" w:line="276" w:lineRule="auto"/>
              <w:contextualSpacing/>
              <w:jc w:val="center"/>
              <w:rPr>
                <w:sz w:val="20"/>
              </w:rPr>
            </w:pPr>
            <w:r w:rsidRPr="00A83F41">
              <w:rPr>
                <w:sz w:val="20"/>
              </w:rPr>
              <w:t>8.1</w:t>
            </w:r>
          </w:p>
        </w:tc>
        <w:tc>
          <w:tcPr>
            <w:tcW w:w="1850" w:type="dxa"/>
            <w:tcBorders>
              <w:top w:val="nil"/>
              <w:left w:val="nil"/>
              <w:bottom w:val="single" w:sz="4" w:space="0" w:color="auto"/>
              <w:right w:val="nil"/>
            </w:tcBorders>
          </w:tcPr>
          <w:p w14:paraId="10DC6656" w14:textId="77777777" w:rsidR="00140F2B" w:rsidRPr="00A83F41" w:rsidRDefault="00140F2B" w:rsidP="00970D58">
            <w:pPr>
              <w:spacing w:after="0" w:line="276" w:lineRule="auto"/>
              <w:contextualSpacing/>
              <w:jc w:val="center"/>
              <w:rPr>
                <w:sz w:val="20"/>
              </w:rPr>
            </w:pPr>
            <w:r w:rsidRPr="00A83F41">
              <w:rPr>
                <w:sz w:val="20"/>
              </w:rPr>
              <w:t>1.00</w:t>
            </w:r>
          </w:p>
        </w:tc>
        <w:tc>
          <w:tcPr>
            <w:tcW w:w="1022" w:type="dxa"/>
            <w:tcBorders>
              <w:top w:val="nil"/>
              <w:left w:val="nil"/>
              <w:bottom w:val="single" w:sz="4" w:space="0" w:color="auto"/>
              <w:right w:val="nil"/>
            </w:tcBorders>
          </w:tcPr>
          <w:p w14:paraId="724EBCEB" w14:textId="77777777" w:rsidR="00140F2B" w:rsidRPr="00A83F41" w:rsidRDefault="00140F2B" w:rsidP="00970D58">
            <w:pPr>
              <w:spacing w:after="0" w:line="276" w:lineRule="auto"/>
              <w:contextualSpacing/>
              <w:jc w:val="center"/>
              <w:rPr>
                <w:sz w:val="20"/>
              </w:rPr>
            </w:pPr>
            <w:r w:rsidRPr="00A83F41">
              <w:rPr>
                <w:sz w:val="20"/>
              </w:rPr>
              <w:t>-</w:t>
            </w:r>
          </w:p>
        </w:tc>
      </w:tr>
      <w:tr w:rsidR="00140F2B" w:rsidRPr="00897348" w14:paraId="1EC4A724" w14:textId="77777777" w:rsidTr="00970D58">
        <w:tblPrEx>
          <w:tblBorders>
            <w:top w:val="single" w:sz="4" w:space="0" w:color="auto"/>
            <w:insideV w:val="none" w:sz="0" w:space="0" w:color="auto"/>
          </w:tblBorders>
        </w:tblPrEx>
        <w:tc>
          <w:tcPr>
            <w:tcW w:w="283" w:type="dxa"/>
            <w:tcBorders>
              <w:top w:val="nil"/>
              <w:bottom w:val="single" w:sz="4" w:space="0" w:color="auto"/>
              <w:right w:val="nil"/>
            </w:tcBorders>
          </w:tcPr>
          <w:p w14:paraId="454F541A"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vAlign w:val="center"/>
          </w:tcPr>
          <w:p w14:paraId="0F5A4490" w14:textId="77777777" w:rsidR="00140F2B" w:rsidRPr="0046486F" w:rsidRDefault="00140F2B" w:rsidP="00970D58">
            <w:pPr>
              <w:spacing w:after="0" w:line="276" w:lineRule="auto"/>
              <w:contextualSpacing/>
              <w:rPr>
                <w:sz w:val="20"/>
              </w:rPr>
            </w:pPr>
            <w:r>
              <w:rPr>
                <w:sz w:val="20"/>
              </w:rPr>
              <w:t>Non-white</w:t>
            </w:r>
          </w:p>
        </w:tc>
        <w:tc>
          <w:tcPr>
            <w:tcW w:w="671" w:type="dxa"/>
            <w:tcBorders>
              <w:top w:val="nil"/>
              <w:left w:val="nil"/>
              <w:bottom w:val="single" w:sz="4" w:space="0" w:color="auto"/>
              <w:right w:val="nil"/>
            </w:tcBorders>
          </w:tcPr>
          <w:p w14:paraId="1504F6FF" w14:textId="77777777" w:rsidR="00140F2B" w:rsidRPr="00426408" w:rsidRDefault="00976633" w:rsidP="00970D58">
            <w:pPr>
              <w:spacing w:after="0" w:line="276" w:lineRule="auto"/>
              <w:contextualSpacing/>
              <w:jc w:val="center"/>
              <w:rPr>
                <w:sz w:val="20"/>
              </w:rPr>
            </w:pPr>
            <w:r w:rsidRPr="00426408">
              <w:rPr>
                <w:sz w:val="20"/>
              </w:rPr>
              <w:t>5.3</w:t>
            </w:r>
          </w:p>
        </w:tc>
        <w:tc>
          <w:tcPr>
            <w:tcW w:w="1951" w:type="dxa"/>
            <w:tcBorders>
              <w:top w:val="nil"/>
              <w:left w:val="nil"/>
              <w:bottom w:val="single" w:sz="4" w:space="0" w:color="auto"/>
              <w:right w:val="nil"/>
            </w:tcBorders>
          </w:tcPr>
          <w:p w14:paraId="7A844E54" w14:textId="0EF224AA" w:rsidR="00140F2B" w:rsidRPr="00A83F41" w:rsidRDefault="00140F2B" w:rsidP="00C169EF">
            <w:pPr>
              <w:spacing w:after="0" w:line="276" w:lineRule="auto"/>
              <w:contextualSpacing/>
              <w:jc w:val="center"/>
              <w:rPr>
                <w:sz w:val="20"/>
              </w:rPr>
            </w:pPr>
            <w:r w:rsidRPr="00A83F41">
              <w:rPr>
                <w:sz w:val="20"/>
              </w:rPr>
              <w:t>0.</w:t>
            </w:r>
            <w:r w:rsidR="00AE3444" w:rsidRPr="00A83F41">
              <w:rPr>
                <w:sz w:val="20"/>
              </w:rPr>
              <w:t>32</w:t>
            </w:r>
            <w:r w:rsidRPr="00A83F41">
              <w:rPr>
                <w:sz w:val="20"/>
              </w:rPr>
              <w:t xml:space="preserve"> [0.</w:t>
            </w:r>
            <w:r w:rsidR="00AE3444" w:rsidRPr="00A83F41">
              <w:rPr>
                <w:sz w:val="20"/>
              </w:rPr>
              <w:t>04</w:t>
            </w:r>
            <w:r w:rsidRPr="00A83F41">
              <w:rPr>
                <w:sz w:val="20"/>
              </w:rPr>
              <w:t>-</w:t>
            </w:r>
            <w:r w:rsidR="00AE3444" w:rsidRPr="00A83F41">
              <w:rPr>
                <w:sz w:val="20"/>
              </w:rPr>
              <w:t>2.4</w:t>
            </w:r>
            <w:r w:rsidR="00C169EF">
              <w:rPr>
                <w:sz w:val="20"/>
              </w:rPr>
              <w:t>8</w:t>
            </w:r>
            <w:r w:rsidRPr="00A83F41">
              <w:rPr>
                <w:sz w:val="20"/>
              </w:rPr>
              <w:t>]</w:t>
            </w:r>
          </w:p>
        </w:tc>
        <w:tc>
          <w:tcPr>
            <w:tcW w:w="874" w:type="dxa"/>
            <w:tcBorders>
              <w:top w:val="nil"/>
              <w:left w:val="nil"/>
              <w:bottom w:val="single" w:sz="4" w:space="0" w:color="auto"/>
              <w:right w:val="nil"/>
            </w:tcBorders>
          </w:tcPr>
          <w:p w14:paraId="40BDE779" w14:textId="7A7540B5" w:rsidR="00140F2B" w:rsidRPr="00A83F41" w:rsidRDefault="00140F2B" w:rsidP="00AE3444">
            <w:pPr>
              <w:spacing w:after="0" w:line="276" w:lineRule="auto"/>
              <w:contextualSpacing/>
              <w:jc w:val="center"/>
              <w:rPr>
                <w:sz w:val="20"/>
              </w:rPr>
            </w:pPr>
            <w:r w:rsidRPr="00A83F41">
              <w:rPr>
                <w:sz w:val="20"/>
              </w:rPr>
              <w:t>0.</w:t>
            </w:r>
            <w:r w:rsidR="00AE3444" w:rsidRPr="00A83F41">
              <w:rPr>
                <w:sz w:val="20"/>
              </w:rPr>
              <w:t>2</w:t>
            </w:r>
            <w:r w:rsidR="00C169EF">
              <w:rPr>
                <w:sz w:val="20"/>
              </w:rPr>
              <w:t>7</w:t>
            </w:r>
            <w:r w:rsidR="00AE3444" w:rsidRPr="00A83F41">
              <w:rPr>
                <w:sz w:val="20"/>
              </w:rPr>
              <w:t>8</w:t>
            </w:r>
          </w:p>
        </w:tc>
        <w:tc>
          <w:tcPr>
            <w:tcW w:w="284" w:type="dxa"/>
            <w:tcBorders>
              <w:top w:val="nil"/>
              <w:left w:val="nil"/>
              <w:bottom w:val="single" w:sz="4" w:space="0" w:color="auto"/>
              <w:right w:val="nil"/>
            </w:tcBorders>
          </w:tcPr>
          <w:p w14:paraId="5065E9A5"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70C12CDD" w14:textId="77777777" w:rsidR="00140F2B" w:rsidRPr="00A83F41" w:rsidRDefault="00976633" w:rsidP="00970D58">
            <w:pPr>
              <w:spacing w:after="0" w:line="276" w:lineRule="auto"/>
              <w:contextualSpacing/>
              <w:jc w:val="center"/>
              <w:rPr>
                <w:sz w:val="20"/>
              </w:rPr>
            </w:pPr>
            <w:r w:rsidRPr="00A83F41">
              <w:rPr>
                <w:sz w:val="20"/>
              </w:rPr>
              <w:t>20.7</w:t>
            </w:r>
          </w:p>
        </w:tc>
        <w:tc>
          <w:tcPr>
            <w:tcW w:w="1850" w:type="dxa"/>
            <w:tcBorders>
              <w:top w:val="nil"/>
              <w:left w:val="nil"/>
              <w:bottom w:val="single" w:sz="4" w:space="0" w:color="auto"/>
              <w:right w:val="nil"/>
            </w:tcBorders>
          </w:tcPr>
          <w:p w14:paraId="3DE316E4" w14:textId="52CF104C" w:rsidR="00140F2B" w:rsidRPr="00A83F41" w:rsidRDefault="00AE3444" w:rsidP="00287739">
            <w:pPr>
              <w:spacing w:after="0" w:line="276" w:lineRule="auto"/>
              <w:contextualSpacing/>
              <w:jc w:val="center"/>
              <w:rPr>
                <w:sz w:val="20"/>
              </w:rPr>
            </w:pPr>
            <w:r w:rsidRPr="00A83F41">
              <w:rPr>
                <w:sz w:val="20"/>
              </w:rPr>
              <w:t>2.7</w:t>
            </w:r>
            <w:r w:rsidR="00287739">
              <w:rPr>
                <w:sz w:val="20"/>
              </w:rPr>
              <w:t>6</w:t>
            </w:r>
            <w:r w:rsidR="00140F2B" w:rsidRPr="00A83F41">
              <w:rPr>
                <w:sz w:val="20"/>
              </w:rPr>
              <w:t xml:space="preserve"> [1.</w:t>
            </w:r>
            <w:r w:rsidRPr="00A83F41">
              <w:rPr>
                <w:sz w:val="20"/>
              </w:rPr>
              <w:t>0</w:t>
            </w:r>
            <w:r w:rsidR="00287739">
              <w:rPr>
                <w:sz w:val="20"/>
              </w:rPr>
              <w:t>3</w:t>
            </w:r>
            <w:r w:rsidR="00140F2B" w:rsidRPr="00A83F41">
              <w:rPr>
                <w:sz w:val="20"/>
              </w:rPr>
              <w:t>-</w:t>
            </w:r>
            <w:r w:rsidRPr="00A83F41">
              <w:rPr>
                <w:sz w:val="20"/>
              </w:rPr>
              <w:t>7.</w:t>
            </w:r>
            <w:r w:rsidR="00287739">
              <w:rPr>
                <w:sz w:val="20"/>
              </w:rPr>
              <w:t>40</w:t>
            </w:r>
            <w:r w:rsidR="00140F2B" w:rsidRPr="00A83F41">
              <w:rPr>
                <w:sz w:val="20"/>
              </w:rPr>
              <w:t>]</w:t>
            </w:r>
          </w:p>
        </w:tc>
        <w:tc>
          <w:tcPr>
            <w:tcW w:w="1022" w:type="dxa"/>
            <w:tcBorders>
              <w:top w:val="nil"/>
              <w:left w:val="nil"/>
              <w:bottom w:val="single" w:sz="4" w:space="0" w:color="auto"/>
              <w:right w:val="nil"/>
            </w:tcBorders>
          </w:tcPr>
          <w:p w14:paraId="4BF2055D" w14:textId="6CB11ADC" w:rsidR="00140F2B" w:rsidRPr="00A83F41" w:rsidRDefault="00140F2B" w:rsidP="00AE3444">
            <w:pPr>
              <w:spacing w:after="0" w:line="276" w:lineRule="auto"/>
              <w:contextualSpacing/>
              <w:jc w:val="center"/>
              <w:rPr>
                <w:sz w:val="20"/>
              </w:rPr>
            </w:pPr>
            <w:r w:rsidRPr="00A83F41">
              <w:rPr>
                <w:sz w:val="20"/>
              </w:rPr>
              <w:t>0.</w:t>
            </w:r>
            <w:r w:rsidR="00AE3444" w:rsidRPr="00A83F41">
              <w:rPr>
                <w:sz w:val="20"/>
              </w:rPr>
              <w:t>04</w:t>
            </w:r>
            <w:r w:rsidR="00287739">
              <w:rPr>
                <w:sz w:val="20"/>
              </w:rPr>
              <w:t>3</w:t>
            </w:r>
          </w:p>
        </w:tc>
      </w:tr>
      <w:tr w:rsidR="00140F2B" w:rsidRPr="00897348" w14:paraId="112F3859" w14:textId="77777777" w:rsidTr="00970D58">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794CC832" w14:textId="77777777" w:rsidR="00140F2B" w:rsidRPr="007E5E62" w:rsidRDefault="00140F2B" w:rsidP="00970D58">
            <w:pPr>
              <w:spacing w:after="0" w:line="276" w:lineRule="auto"/>
              <w:contextualSpacing/>
              <w:rPr>
                <w:sz w:val="20"/>
              </w:rPr>
            </w:pPr>
            <w:r>
              <w:rPr>
                <w:sz w:val="20"/>
              </w:rPr>
              <w:t>SES</w:t>
            </w:r>
          </w:p>
        </w:tc>
        <w:tc>
          <w:tcPr>
            <w:tcW w:w="671" w:type="dxa"/>
            <w:tcBorders>
              <w:top w:val="single" w:sz="4" w:space="0" w:color="auto"/>
              <w:bottom w:val="nil"/>
              <w:right w:val="nil"/>
            </w:tcBorders>
          </w:tcPr>
          <w:p w14:paraId="11A9283E" w14:textId="77777777" w:rsidR="00140F2B" w:rsidRPr="00426408" w:rsidRDefault="00140F2B" w:rsidP="00970D58">
            <w:pPr>
              <w:spacing w:after="0" w:line="276" w:lineRule="auto"/>
              <w:contextualSpacing/>
              <w:jc w:val="center"/>
              <w:rPr>
                <w:b/>
                <w:sz w:val="20"/>
              </w:rPr>
            </w:pPr>
          </w:p>
        </w:tc>
        <w:tc>
          <w:tcPr>
            <w:tcW w:w="1951" w:type="dxa"/>
            <w:tcBorders>
              <w:top w:val="single" w:sz="4" w:space="0" w:color="auto"/>
              <w:left w:val="nil"/>
              <w:bottom w:val="nil"/>
              <w:right w:val="nil"/>
            </w:tcBorders>
          </w:tcPr>
          <w:p w14:paraId="21799297" w14:textId="77777777" w:rsidR="00140F2B" w:rsidRPr="00A83F41" w:rsidRDefault="00140F2B" w:rsidP="00970D58">
            <w:pPr>
              <w:spacing w:after="0" w:line="276" w:lineRule="auto"/>
              <w:contextualSpacing/>
              <w:jc w:val="center"/>
              <w:rPr>
                <w:b/>
                <w:sz w:val="20"/>
              </w:rPr>
            </w:pPr>
          </w:p>
        </w:tc>
        <w:tc>
          <w:tcPr>
            <w:tcW w:w="874" w:type="dxa"/>
            <w:tcBorders>
              <w:top w:val="single" w:sz="4" w:space="0" w:color="auto"/>
              <w:left w:val="nil"/>
              <w:bottom w:val="nil"/>
              <w:right w:val="nil"/>
            </w:tcBorders>
            <w:vAlign w:val="center"/>
          </w:tcPr>
          <w:p w14:paraId="4FF969F2" w14:textId="77777777" w:rsidR="00140F2B" w:rsidRPr="00A83F41" w:rsidRDefault="00140F2B" w:rsidP="00970D58">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2E624082" w14:textId="77777777" w:rsidR="00140F2B" w:rsidRPr="00A83F41" w:rsidRDefault="00140F2B" w:rsidP="00970D58">
            <w:pPr>
              <w:spacing w:after="0" w:line="276" w:lineRule="auto"/>
              <w:contextualSpacing/>
              <w:jc w:val="center"/>
              <w:rPr>
                <w:sz w:val="20"/>
              </w:rPr>
            </w:pPr>
          </w:p>
        </w:tc>
        <w:tc>
          <w:tcPr>
            <w:tcW w:w="671" w:type="dxa"/>
            <w:tcBorders>
              <w:top w:val="single" w:sz="4" w:space="0" w:color="auto"/>
              <w:left w:val="nil"/>
              <w:bottom w:val="nil"/>
              <w:right w:val="nil"/>
            </w:tcBorders>
          </w:tcPr>
          <w:p w14:paraId="0A517BAB" w14:textId="77777777" w:rsidR="00140F2B" w:rsidRPr="00A83F41" w:rsidRDefault="00140F2B" w:rsidP="00970D58">
            <w:pPr>
              <w:spacing w:after="0" w:line="276" w:lineRule="auto"/>
              <w:contextualSpacing/>
              <w:jc w:val="center"/>
              <w:rPr>
                <w:sz w:val="20"/>
              </w:rPr>
            </w:pPr>
          </w:p>
        </w:tc>
        <w:tc>
          <w:tcPr>
            <w:tcW w:w="1850" w:type="dxa"/>
            <w:tcBorders>
              <w:top w:val="single" w:sz="4" w:space="0" w:color="auto"/>
              <w:left w:val="nil"/>
              <w:bottom w:val="nil"/>
              <w:right w:val="nil"/>
            </w:tcBorders>
          </w:tcPr>
          <w:p w14:paraId="73020AB0" w14:textId="77777777" w:rsidR="00140F2B" w:rsidRPr="00A83F41" w:rsidRDefault="00140F2B" w:rsidP="00970D58">
            <w:pPr>
              <w:spacing w:after="0" w:line="276" w:lineRule="auto"/>
              <w:contextualSpacing/>
              <w:jc w:val="center"/>
              <w:rPr>
                <w:b/>
                <w:sz w:val="20"/>
              </w:rPr>
            </w:pPr>
          </w:p>
        </w:tc>
        <w:tc>
          <w:tcPr>
            <w:tcW w:w="1022" w:type="dxa"/>
            <w:tcBorders>
              <w:top w:val="single" w:sz="4" w:space="0" w:color="auto"/>
              <w:left w:val="nil"/>
              <w:bottom w:val="nil"/>
              <w:right w:val="nil"/>
            </w:tcBorders>
          </w:tcPr>
          <w:p w14:paraId="3060EB4A" w14:textId="77777777" w:rsidR="00140F2B" w:rsidRPr="00A83F41" w:rsidRDefault="00140F2B" w:rsidP="00970D58">
            <w:pPr>
              <w:spacing w:after="0" w:line="276" w:lineRule="auto"/>
              <w:contextualSpacing/>
              <w:jc w:val="center"/>
              <w:rPr>
                <w:sz w:val="20"/>
              </w:rPr>
            </w:pPr>
          </w:p>
        </w:tc>
      </w:tr>
      <w:tr w:rsidR="00140F2B" w:rsidRPr="00F320B5" w14:paraId="6EFA021C" w14:textId="77777777" w:rsidTr="00970D58">
        <w:tblPrEx>
          <w:tblBorders>
            <w:top w:val="single" w:sz="4" w:space="0" w:color="auto"/>
            <w:insideV w:val="none" w:sz="0" w:space="0" w:color="auto"/>
          </w:tblBorders>
        </w:tblPrEx>
        <w:tc>
          <w:tcPr>
            <w:tcW w:w="283" w:type="dxa"/>
            <w:tcBorders>
              <w:top w:val="nil"/>
              <w:bottom w:val="nil"/>
              <w:right w:val="nil"/>
            </w:tcBorders>
          </w:tcPr>
          <w:p w14:paraId="5B91663A"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tcPr>
          <w:p w14:paraId="740BAC3D" w14:textId="77777777" w:rsidR="00140F2B" w:rsidRPr="007E5E62" w:rsidRDefault="00140F2B" w:rsidP="00970D58">
            <w:pPr>
              <w:spacing w:after="0" w:line="276" w:lineRule="auto"/>
              <w:contextualSpacing/>
              <w:rPr>
                <w:sz w:val="20"/>
                <w:szCs w:val="20"/>
              </w:rPr>
            </w:pPr>
            <w:r w:rsidRPr="007E5E62">
              <w:rPr>
                <w:sz w:val="20"/>
                <w:szCs w:val="20"/>
              </w:rPr>
              <w:t>Higher</w:t>
            </w:r>
          </w:p>
        </w:tc>
        <w:tc>
          <w:tcPr>
            <w:tcW w:w="671" w:type="dxa"/>
            <w:tcBorders>
              <w:top w:val="nil"/>
              <w:left w:val="nil"/>
              <w:bottom w:val="single" w:sz="4" w:space="0" w:color="auto"/>
              <w:right w:val="nil"/>
            </w:tcBorders>
          </w:tcPr>
          <w:p w14:paraId="7EDB92F2" w14:textId="77777777" w:rsidR="00140F2B" w:rsidRPr="00426408" w:rsidRDefault="00976633" w:rsidP="00970D58">
            <w:pPr>
              <w:spacing w:after="0" w:line="276" w:lineRule="auto"/>
              <w:contextualSpacing/>
              <w:jc w:val="center"/>
              <w:rPr>
                <w:sz w:val="20"/>
              </w:rPr>
            </w:pPr>
            <w:r w:rsidRPr="00426408">
              <w:rPr>
                <w:sz w:val="20"/>
              </w:rPr>
              <w:t>11.1</w:t>
            </w:r>
          </w:p>
        </w:tc>
        <w:tc>
          <w:tcPr>
            <w:tcW w:w="1951" w:type="dxa"/>
            <w:tcBorders>
              <w:top w:val="nil"/>
              <w:left w:val="nil"/>
              <w:bottom w:val="single" w:sz="4" w:space="0" w:color="auto"/>
              <w:right w:val="nil"/>
            </w:tcBorders>
          </w:tcPr>
          <w:p w14:paraId="48A1589B" w14:textId="77777777" w:rsidR="00140F2B" w:rsidRPr="00A83F41" w:rsidRDefault="00140F2B" w:rsidP="00970D58">
            <w:pPr>
              <w:spacing w:after="0" w:line="276" w:lineRule="auto"/>
              <w:contextualSpacing/>
              <w:jc w:val="center"/>
              <w:rPr>
                <w:sz w:val="20"/>
              </w:rPr>
            </w:pPr>
            <w:r w:rsidRPr="00A83F41">
              <w:rPr>
                <w:sz w:val="20"/>
              </w:rPr>
              <w:t>1.00</w:t>
            </w:r>
          </w:p>
        </w:tc>
        <w:tc>
          <w:tcPr>
            <w:tcW w:w="874" w:type="dxa"/>
            <w:tcBorders>
              <w:top w:val="nil"/>
              <w:left w:val="nil"/>
              <w:bottom w:val="single" w:sz="4" w:space="0" w:color="auto"/>
              <w:right w:val="nil"/>
            </w:tcBorders>
          </w:tcPr>
          <w:p w14:paraId="70D11489" w14:textId="77777777" w:rsidR="00140F2B" w:rsidRPr="00A83F41" w:rsidRDefault="00140F2B" w:rsidP="00970D58">
            <w:pPr>
              <w:spacing w:after="0" w:line="276" w:lineRule="auto"/>
              <w:contextualSpacing/>
              <w:jc w:val="center"/>
              <w:rPr>
                <w:sz w:val="20"/>
              </w:rPr>
            </w:pPr>
            <w:r w:rsidRPr="00A83F41">
              <w:rPr>
                <w:sz w:val="20"/>
              </w:rPr>
              <w:t>-</w:t>
            </w:r>
          </w:p>
        </w:tc>
        <w:tc>
          <w:tcPr>
            <w:tcW w:w="284" w:type="dxa"/>
            <w:tcBorders>
              <w:top w:val="nil"/>
              <w:left w:val="nil"/>
              <w:bottom w:val="single" w:sz="4" w:space="0" w:color="auto"/>
              <w:right w:val="nil"/>
            </w:tcBorders>
            <w:vAlign w:val="center"/>
          </w:tcPr>
          <w:p w14:paraId="200DD0FF"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4D17789D" w14:textId="77777777" w:rsidR="00140F2B" w:rsidRPr="00A83F41" w:rsidRDefault="00976633" w:rsidP="00970D58">
            <w:pPr>
              <w:spacing w:after="0" w:line="276" w:lineRule="auto"/>
              <w:contextualSpacing/>
              <w:jc w:val="center"/>
              <w:rPr>
                <w:sz w:val="20"/>
              </w:rPr>
            </w:pPr>
            <w:r w:rsidRPr="00A83F41">
              <w:rPr>
                <w:sz w:val="20"/>
              </w:rPr>
              <w:t>8.0</w:t>
            </w:r>
          </w:p>
        </w:tc>
        <w:tc>
          <w:tcPr>
            <w:tcW w:w="1850" w:type="dxa"/>
            <w:tcBorders>
              <w:top w:val="nil"/>
              <w:left w:val="nil"/>
              <w:bottom w:val="single" w:sz="4" w:space="0" w:color="auto"/>
              <w:right w:val="nil"/>
            </w:tcBorders>
          </w:tcPr>
          <w:p w14:paraId="187AFECC" w14:textId="77777777" w:rsidR="00140F2B" w:rsidRPr="00A83F41" w:rsidRDefault="00140F2B" w:rsidP="00970D58">
            <w:pPr>
              <w:spacing w:after="0" w:line="276" w:lineRule="auto"/>
              <w:contextualSpacing/>
              <w:jc w:val="center"/>
              <w:rPr>
                <w:sz w:val="20"/>
              </w:rPr>
            </w:pPr>
            <w:r w:rsidRPr="00A83F41">
              <w:rPr>
                <w:sz w:val="20"/>
              </w:rPr>
              <w:t>1.00</w:t>
            </w:r>
          </w:p>
        </w:tc>
        <w:tc>
          <w:tcPr>
            <w:tcW w:w="1022" w:type="dxa"/>
            <w:tcBorders>
              <w:top w:val="nil"/>
              <w:left w:val="nil"/>
              <w:bottom w:val="single" w:sz="4" w:space="0" w:color="auto"/>
              <w:right w:val="nil"/>
            </w:tcBorders>
          </w:tcPr>
          <w:p w14:paraId="418D90D5" w14:textId="77777777" w:rsidR="00140F2B" w:rsidRPr="00A83F41" w:rsidRDefault="00140F2B" w:rsidP="00970D58">
            <w:pPr>
              <w:spacing w:after="0" w:line="276" w:lineRule="auto"/>
              <w:contextualSpacing/>
              <w:jc w:val="center"/>
              <w:rPr>
                <w:sz w:val="20"/>
              </w:rPr>
            </w:pPr>
            <w:r w:rsidRPr="00A83F41">
              <w:rPr>
                <w:sz w:val="20"/>
              </w:rPr>
              <w:t>-</w:t>
            </w:r>
          </w:p>
        </w:tc>
      </w:tr>
      <w:tr w:rsidR="00140F2B" w:rsidRPr="00897348" w14:paraId="70D16409" w14:textId="77777777" w:rsidTr="00970D58">
        <w:tblPrEx>
          <w:tblBorders>
            <w:top w:val="single" w:sz="4" w:space="0" w:color="auto"/>
            <w:insideV w:val="none" w:sz="0" w:space="0" w:color="auto"/>
          </w:tblBorders>
        </w:tblPrEx>
        <w:tc>
          <w:tcPr>
            <w:tcW w:w="283" w:type="dxa"/>
            <w:tcBorders>
              <w:top w:val="nil"/>
              <w:bottom w:val="nil"/>
              <w:right w:val="nil"/>
            </w:tcBorders>
          </w:tcPr>
          <w:p w14:paraId="082FD7FF"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tcPr>
          <w:p w14:paraId="2E7E13CD" w14:textId="77777777" w:rsidR="00140F2B" w:rsidRPr="007E5E62" w:rsidRDefault="00140F2B" w:rsidP="00970D58">
            <w:pPr>
              <w:spacing w:after="0" w:line="276" w:lineRule="auto"/>
              <w:contextualSpacing/>
              <w:rPr>
                <w:sz w:val="20"/>
                <w:szCs w:val="20"/>
              </w:rPr>
            </w:pPr>
            <w:r w:rsidRPr="007E5E62">
              <w:rPr>
                <w:sz w:val="20"/>
                <w:szCs w:val="20"/>
              </w:rPr>
              <w:t>Intermediate</w:t>
            </w:r>
          </w:p>
        </w:tc>
        <w:tc>
          <w:tcPr>
            <w:tcW w:w="671" w:type="dxa"/>
            <w:tcBorders>
              <w:top w:val="nil"/>
              <w:left w:val="nil"/>
              <w:bottom w:val="single" w:sz="4" w:space="0" w:color="auto"/>
              <w:right w:val="nil"/>
            </w:tcBorders>
          </w:tcPr>
          <w:p w14:paraId="35CA61DC" w14:textId="77777777" w:rsidR="00140F2B" w:rsidRPr="00426408" w:rsidRDefault="00976633" w:rsidP="00970D58">
            <w:pPr>
              <w:spacing w:after="0" w:line="276" w:lineRule="auto"/>
              <w:contextualSpacing/>
              <w:jc w:val="center"/>
              <w:rPr>
                <w:sz w:val="20"/>
              </w:rPr>
            </w:pPr>
            <w:r w:rsidRPr="00426408">
              <w:rPr>
                <w:sz w:val="20"/>
              </w:rPr>
              <w:t>11.8</w:t>
            </w:r>
          </w:p>
        </w:tc>
        <w:tc>
          <w:tcPr>
            <w:tcW w:w="1951" w:type="dxa"/>
            <w:tcBorders>
              <w:top w:val="nil"/>
              <w:left w:val="nil"/>
              <w:bottom w:val="single" w:sz="4" w:space="0" w:color="auto"/>
              <w:right w:val="nil"/>
            </w:tcBorders>
          </w:tcPr>
          <w:p w14:paraId="30190C37" w14:textId="46CF0DAC" w:rsidR="00140F2B" w:rsidRPr="00A83F41" w:rsidRDefault="00AE3444" w:rsidP="00C169EF">
            <w:pPr>
              <w:spacing w:after="0" w:line="276" w:lineRule="auto"/>
              <w:contextualSpacing/>
              <w:jc w:val="center"/>
              <w:rPr>
                <w:sz w:val="20"/>
              </w:rPr>
            </w:pPr>
            <w:r w:rsidRPr="00A83F41">
              <w:rPr>
                <w:sz w:val="20"/>
              </w:rPr>
              <w:t>0.9</w:t>
            </w:r>
            <w:r w:rsidR="00C169EF">
              <w:rPr>
                <w:sz w:val="20"/>
              </w:rPr>
              <w:t>6</w:t>
            </w:r>
            <w:r w:rsidRPr="00A83F41">
              <w:rPr>
                <w:sz w:val="20"/>
              </w:rPr>
              <w:t xml:space="preserve"> [0.46-1.9</w:t>
            </w:r>
            <w:r w:rsidR="00C169EF">
              <w:rPr>
                <w:sz w:val="20"/>
              </w:rPr>
              <w:t>8</w:t>
            </w:r>
            <w:r w:rsidRPr="00A83F41">
              <w:rPr>
                <w:sz w:val="20"/>
              </w:rPr>
              <w:t>]</w:t>
            </w:r>
          </w:p>
        </w:tc>
        <w:tc>
          <w:tcPr>
            <w:tcW w:w="874" w:type="dxa"/>
            <w:tcBorders>
              <w:top w:val="nil"/>
              <w:left w:val="nil"/>
              <w:bottom w:val="single" w:sz="4" w:space="0" w:color="auto"/>
              <w:right w:val="nil"/>
            </w:tcBorders>
          </w:tcPr>
          <w:p w14:paraId="4BF664E9" w14:textId="104C4B04" w:rsidR="00140F2B" w:rsidRPr="00A83F41" w:rsidRDefault="00140F2B" w:rsidP="00AE3444">
            <w:pPr>
              <w:spacing w:after="0" w:line="276" w:lineRule="auto"/>
              <w:contextualSpacing/>
              <w:jc w:val="center"/>
              <w:rPr>
                <w:sz w:val="20"/>
              </w:rPr>
            </w:pPr>
            <w:r w:rsidRPr="00A83F41">
              <w:rPr>
                <w:sz w:val="20"/>
              </w:rPr>
              <w:t>0.</w:t>
            </w:r>
            <w:r w:rsidR="00AE3444" w:rsidRPr="00A83F41">
              <w:rPr>
                <w:sz w:val="20"/>
              </w:rPr>
              <w:t>90</w:t>
            </w:r>
            <w:r w:rsidR="00C169EF">
              <w:rPr>
                <w:sz w:val="20"/>
              </w:rPr>
              <w:t>1</w:t>
            </w:r>
          </w:p>
        </w:tc>
        <w:tc>
          <w:tcPr>
            <w:tcW w:w="284" w:type="dxa"/>
            <w:tcBorders>
              <w:top w:val="nil"/>
              <w:left w:val="nil"/>
              <w:bottom w:val="single" w:sz="4" w:space="0" w:color="auto"/>
              <w:right w:val="nil"/>
            </w:tcBorders>
            <w:vAlign w:val="center"/>
          </w:tcPr>
          <w:p w14:paraId="468A0AB2"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38C93684" w14:textId="77777777" w:rsidR="00140F2B" w:rsidRPr="00A83F41" w:rsidRDefault="00976633" w:rsidP="00970D58">
            <w:pPr>
              <w:spacing w:after="0" w:line="276" w:lineRule="auto"/>
              <w:contextualSpacing/>
              <w:jc w:val="center"/>
              <w:rPr>
                <w:sz w:val="20"/>
              </w:rPr>
            </w:pPr>
            <w:r w:rsidRPr="00A83F41">
              <w:rPr>
                <w:sz w:val="20"/>
              </w:rPr>
              <w:t>4.5</w:t>
            </w:r>
          </w:p>
        </w:tc>
        <w:tc>
          <w:tcPr>
            <w:tcW w:w="1850" w:type="dxa"/>
            <w:tcBorders>
              <w:top w:val="nil"/>
              <w:left w:val="nil"/>
              <w:bottom w:val="single" w:sz="4" w:space="0" w:color="auto"/>
              <w:right w:val="nil"/>
            </w:tcBorders>
          </w:tcPr>
          <w:p w14:paraId="1A3D365B" w14:textId="77777777" w:rsidR="00140F2B" w:rsidRPr="00A83F41" w:rsidRDefault="00AE3444" w:rsidP="00970D58">
            <w:pPr>
              <w:spacing w:after="0" w:line="276" w:lineRule="auto"/>
              <w:contextualSpacing/>
              <w:jc w:val="center"/>
              <w:rPr>
                <w:sz w:val="20"/>
              </w:rPr>
            </w:pPr>
            <w:r w:rsidRPr="00A83F41">
              <w:rPr>
                <w:sz w:val="20"/>
              </w:rPr>
              <w:t>0.56 [0.23-1.34]</w:t>
            </w:r>
          </w:p>
        </w:tc>
        <w:tc>
          <w:tcPr>
            <w:tcW w:w="1022" w:type="dxa"/>
            <w:tcBorders>
              <w:top w:val="nil"/>
              <w:left w:val="nil"/>
              <w:bottom w:val="single" w:sz="4" w:space="0" w:color="auto"/>
              <w:right w:val="nil"/>
            </w:tcBorders>
          </w:tcPr>
          <w:p w14:paraId="395AF0B7" w14:textId="59E68F86" w:rsidR="00140F2B" w:rsidRPr="00A83F41" w:rsidRDefault="00AE3444" w:rsidP="00970D58">
            <w:pPr>
              <w:spacing w:after="0" w:line="276" w:lineRule="auto"/>
              <w:contextualSpacing/>
              <w:jc w:val="center"/>
              <w:rPr>
                <w:sz w:val="20"/>
              </w:rPr>
            </w:pPr>
            <w:r w:rsidRPr="00A83F41">
              <w:rPr>
                <w:sz w:val="20"/>
              </w:rPr>
              <w:t>0.19</w:t>
            </w:r>
            <w:r w:rsidR="00287739">
              <w:rPr>
                <w:sz w:val="20"/>
              </w:rPr>
              <w:t>0</w:t>
            </w:r>
          </w:p>
        </w:tc>
      </w:tr>
      <w:tr w:rsidR="00140F2B" w:rsidRPr="00897348" w14:paraId="04E27280" w14:textId="77777777" w:rsidTr="00970D58">
        <w:tblPrEx>
          <w:tblBorders>
            <w:top w:val="single" w:sz="4" w:space="0" w:color="auto"/>
            <w:insideV w:val="none" w:sz="0" w:space="0" w:color="auto"/>
          </w:tblBorders>
        </w:tblPrEx>
        <w:tc>
          <w:tcPr>
            <w:tcW w:w="283" w:type="dxa"/>
            <w:tcBorders>
              <w:top w:val="nil"/>
              <w:bottom w:val="single" w:sz="4" w:space="0" w:color="auto"/>
              <w:right w:val="nil"/>
            </w:tcBorders>
          </w:tcPr>
          <w:p w14:paraId="2BF79905"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tcPr>
          <w:p w14:paraId="54B61015" w14:textId="77777777" w:rsidR="00140F2B" w:rsidRPr="007E5E62" w:rsidRDefault="00140F2B" w:rsidP="00970D58">
            <w:pPr>
              <w:spacing w:after="0" w:line="276" w:lineRule="auto"/>
              <w:contextualSpacing/>
              <w:rPr>
                <w:sz w:val="20"/>
                <w:szCs w:val="20"/>
              </w:rPr>
            </w:pPr>
            <w:r w:rsidRPr="007E5E62">
              <w:rPr>
                <w:sz w:val="20"/>
                <w:szCs w:val="20"/>
              </w:rPr>
              <w:t>Lower</w:t>
            </w:r>
          </w:p>
        </w:tc>
        <w:tc>
          <w:tcPr>
            <w:tcW w:w="671" w:type="dxa"/>
            <w:tcBorders>
              <w:top w:val="nil"/>
              <w:left w:val="nil"/>
              <w:bottom w:val="single" w:sz="4" w:space="0" w:color="auto"/>
              <w:right w:val="nil"/>
            </w:tcBorders>
          </w:tcPr>
          <w:p w14:paraId="6793E977" w14:textId="77777777" w:rsidR="00140F2B" w:rsidRPr="00426408" w:rsidRDefault="00976633" w:rsidP="00970D58">
            <w:pPr>
              <w:spacing w:after="0" w:line="276" w:lineRule="auto"/>
              <w:contextualSpacing/>
              <w:jc w:val="center"/>
              <w:rPr>
                <w:sz w:val="20"/>
              </w:rPr>
            </w:pPr>
            <w:r w:rsidRPr="00426408">
              <w:rPr>
                <w:sz w:val="20"/>
              </w:rPr>
              <w:t>13.8</w:t>
            </w:r>
          </w:p>
        </w:tc>
        <w:tc>
          <w:tcPr>
            <w:tcW w:w="1951" w:type="dxa"/>
            <w:tcBorders>
              <w:top w:val="nil"/>
              <w:left w:val="nil"/>
              <w:bottom w:val="single" w:sz="4" w:space="0" w:color="auto"/>
              <w:right w:val="nil"/>
            </w:tcBorders>
          </w:tcPr>
          <w:p w14:paraId="30707364" w14:textId="5078F10E" w:rsidR="00140F2B" w:rsidRPr="00A83F41" w:rsidRDefault="00AE3444" w:rsidP="00C169EF">
            <w:pPr>
              <w:spacing w:after="0" w:line="276" w:lineRule="auto"/>
              <w:contextualSpacing/>
              <w:jc w:val="center"/>
              <w:rPr>
                <w:sz w:val="20"/>
              </w:rPr>
            </w:pPr>
            <w:r w:rsidRPr="00A83F41">
              <w:rPr>
                <w:sz w:val="20"/>
              </w:rPr>
              <w:t>1.3</w:t>
            </w:r>
            <w:r w:rsidR="00C169EF">
              <w:rPr>
                <w:sz w:val="20"/>
              </w:rPr>
              <w:t>4</w:t>
            </w:r>
            <w:r w:rsidRPr="00A83F41">
              <w:rPr>
                <w:sz w:val="20"/>
              </w:rPr>
              <w:t xml:space="preserve"> [0.7</w:t>
            </w:r>
            <w:r w:rsidR="00C169EF">
              <w:rPr>
                <w:sz w:val="20"/>
              </w:rPr>
              <w:t>4</w:t>
            </w:r>
            <w:r w:rsidRPr="00A83F41">
              <w:rPr>
                <w:sz w:val="20"/>
              </w:rPr>
              <w:t>-2.4</w:t>
            </w:r>
            <w:r w:rsidR="00C169EF">
              <w:rPr>
                <w:sz w:val="20"/>
              </w:rPr>
              <w:t>3</w:t>
            </w:r>
            <w:r w:rsidRPr="00A83F41">
              <w:rPr>
                <w:sz w:val="20"/>
              </w:rPr>
              <w:t>]</w:t>
            </w:r>
          </w:p>
        </w:tc>
        <w:tc>
          <w:tcPr>
            <w:tcW w:w="874" w:type="dxa"/>
            <w:tcBorders>
              <w:top w:val="nil"/>
              <w:left w:val="nil"/>
              <w:bottom w:val="single" w:sz="4" w:space="0" w:color="auto"/>
              <w:right w:val="nil"/>
            </w:tcBorders>
          </w:tcPr>
          <w:p w14:paraId="65079227" w14:textId="4AC48F96" w:rsidR="00140F2B" w:rsidRPr="00A83F41" w:rsidRDefault="00140F2B" w:rsidP="00AE3444">
            <w:pPr>
              <w:spacing w:after="0" w:line="276" w:lineRule="auto"/>
              <w:contextualSpacing/>
              <w:jc w:val="center"/>
              <w:rPr>
                <w:sz w:val="20"/>
              </w:rPr>
            </w:pPr>
            <w:r w:rsidRPr="00A83F41">
              <w:rPr>
                <w:sz w:val="20"/>
              </w:rPr>
              <w:t>0.</w:t>
            </w:r>
            <w:r w:rsidR="00AE3444" w:rsidRPr="00A83F41">
              <w:rPr>
                <w:sz w:val="20"/>
              </w:rPr>
              <w:t>3</w:t>
            </w:r>
            <w:r w:rsidR="00C169EF">
              <w:rPr>
                <w:sz w:val="20"/>
              </w:rPr>
              <w:t>43</w:t>
            </w:r>
          </w:p>
        </w:tc>
        <w:tc>
          <w:tcPr>
            <w:tcW w:w="284" w:type="dxa"/>
            <w:tcBorders>
              <w:top w:val="nil"/>
              <w:left w:val="nil"/>
              <w:bottom w:val="single" w:sz="4" w:space="0" w:color="auto"/>
              <w:right w:val="nil"/>
            </w:tcBorders>
          </w:tcPr>
          <w:p w14:paraId="6E7EBF4D"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0F7DE4B6" w14:textId="77777777" w:rsidR="00140F2B" w:rsidRPr="00A83F41" w:rsidRDefault="00976633" w:rsidP="00970D58">
            <w:pPr>
              <w:spacing w:after="0" w:line="276" w:lineRule="auto"/>
              <w:contextualSpacing/>
              <w:jc w:val="center"/>
              <w:rPr>
                <w:sz w:val="20"/>
              </w:rPr>
            </w:pPr>
            <w:r w:rsidRPr="00A83F41">
              <w:rPr>
                <w:sz w:val="20"/>
              </w:rPr>
              <w:t>11.0</w:t>
            </w:r>
          </w:p>
        </w:tc>
        <w:tc>
          <w:tcPr>
            <w:tcW w:w="1850" w:type="dxa"/>
            <w:tcBorders>
              <w:top w:val="nil"/>
              <w:left w:val="nil"/>
              <w:bottom w:val="single" w:sz="4" w:space="0" w:color="auto"/>
              <w:right w:val="nil"/>
            </w:tcBorders>
          </w:tcPr>
          <w:p w14:paraId="6BBBD7C8" w14:textId="36DE6A1B" w:rsidR="00140F2B" w:rsidRPr="00A83F41" w:rsidRDefault="00AE3444" w:rsidP="00287739">
            <w:pPr>
              <w:spacing w:after="0" w:line="276" w:lineRule="auto"/>
              <w:contextualSpacing/>
              <w:jc w:val="center"/>
              <w:rPr>
                <w:sz w:val="20"/>
              </w:rPr>
            </w:pPr>
            <w:r w:rsidRPr="00A83F41">
              <w:rPr>
                <w:sz w:val="20"/>
              </w:rPr>
              <w:t>1.4</w:t>
            </w:r>
            <w:r w:rsidR="00287739">
              <w:rPr>
                <w:sz w:val="20"/>
              </w:rPr>
              <w:t>6</w:t>
            </w:r>
            <w:r w:rsidRPr="00A83F41">
              <w:rPr>
                <w:sz w:val="20"/>
              </w:rPr>
              <w:t xml:space="preserve"> [0.74-2.8</w:t>
            </w:r>
            <w:r w:rsidR="00287739">
              <w:rPr>
                <w:sz w:val="20"/>
              </w:rPr>
              <w:t>7</w:t>
            </w:r>
            <w:r w:rsidRPr="00A83F41">
              <w:rPr>
                <w:sz w:val="20"/>
              </w:rPr>
              <w:t>]</w:t>
            </w:r>
          </w:p>
        </w:tc>
        <w:tc>
          <w:tcPr>
            <w:tcW w:w="1022" w:type="dxa"/>
            <w:tcBorders>
              <w:top w:val="nil"/>
              <w:left w:val="nil"/>
              <w:bottom w:val="single" w:sz="4" w:space="0" w:color="auto"/>
              <w:right w:val="nil"/>
            </w:tcBorders>
          </w:tcPr>
          <w:p w14:paraId="2052004E" w14:textId="0D995DC3" w:rsidR="00140F2B" w:rsidRPr="00A83F41" w:rsidRDefault="00AE3444" w:rsidP="00970D58">
            <w:pPr>
              <w:spacing w:after="0" w:line="276" w:lineRule="auto"/>
              <w:contextualSpacing/>
              <w:jc w:val="center"/>
              <w:rPr>
                <w:sz w:val="20"/>
              </w:rPr>
            </w:pPr>
            <w:r w:rsidRPr="00A83F41">
              <w:rPr>
                <w:sz w:val="20"/>
              </w:rPr>
              <w:t>0.2</w:t>
            </w:r>
            <w:r w:rsidR="00287739">
              <w:rPr>
                <w:sz w:val="20"/>
              </w:rPr>
              <w:t>7</w:t>
            </w:r>
            <w:r w:rsidRPr="00A83F41">
              <w:rPr>
                <w:sz w:val="20"/>
              </w:rPr>
              <w:t>2</w:t>
            </w:r>
          </w:p>
        </w:tc>
      </w:tr>
      <w:tr w:rsidR="00140F2B" w:rsidRPr="00897348" w14:paraId="613CBE71" w14:textId="77777777" w:rsidTr="00970D58">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7E4F5AE2" w14:textId="77777777" w:rsidR="00140F2B" w:rsidRPr="007E5E62" w:rsidRDefault="00140F2B" w:rsidP="00970D58">
            <w:pPr>
              <w:spacing w:after="0" w:line="276" w:lineRule="auto"/>
              <w:contextualSpacing/>
              <w:rPr>
                <w:sz w:val="20"/>
              </w:rPr>
            </w:pPr>
            <w:r>
              <w:rPr>
                <w:sz w:val="20"/>
              </w:rPr>
              <w:t>Self-rated health</w:t>
            </w:r>
          </w:p>
        </w:tc>
        <w:tc>
          <w:tcPr>
            <w:tcW w:w="671" w:type="dxa"/>
            <w:tcBorders>
              <w:top w:val="single" w:sz="4" w:space="0" w:color="auto"/>
              <w:bottom w:val="nil"/>
              <w:right w:val="nil"/>
            </w:tcBorders>
          </w:tcPr>
          <w:p w14:paraId="455E8DC2" w14:textId="77777777" w:rsidR="00140F2B" w:rsidRPr="00426408" w:rsidRDefault="00140F2B" w:rsidP="00970D58">
            <w:pPr>
              <w:spacing w:after="0" w:line="276" w:lineRule="auto"/>
              <w:contextualSpacing/>
              <w:jc w:val="center"/>
              <w:rPr>
                <w:b/>
                <w:sz w:val="20"/>
              </w:rPr>
            </w:pPr>
          </w:p>
        </w:tc>
        <w:tc>
          <w:tcPr>
            <w:tcW w:w="1951" w:type="dxa"/>
            <w:tcBorders>
              <w:top w:val="single" w:sz="4" w:space="0" w:color="auto"/>
              <w:left w:val="nil"/>
              <w:bottom w:val="nil"/>
              <w:right w:val="nil"/>
            </w:tcBorders>
          </w:tcPr>
          <w:p w14:paraId="5771167B" w14:textId="77777777" w:rsidR="00140F2B" w:rsidRPr="00A83F41" w:rsidRDefault="00140F2B" w:rsidP="00970D58">
            <w:pPr>
              <w:spacing w:after="0" w:line="276" w:lineRule="auto"/>
              <w:contextualSpacing/>
              <w:jc w:val="center"/>
              <w:rPr>
                <w:sz w:val="20"/>
              </w:rPr>
            </w:pPr>
          </w:p>
        </w:tc>
        <w:tc>
          <w:tcPr>
            <w:tcW w:w="874" w:type="dxa"/>
            <w:tcBorders>
              <w:top w:val="single" w:sz="4" w:space="0" w:color="auto"/>
              <w:left w:val="nil"/>
              <w:bottom w:val="nil"/>
              <w:right w:val="nil"/>
            </w:tcBorders>
            <w:vAlign w:val="center"/>
          </w:tcPr>
          <w:p w14:paraId="28783FB5" w14:textId="77777777" w:rsidR="00140F2B" w:rsidRPr="00A83F41" w:rsidRDefault="00140F2B" w:rsidP="00970D58">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2830C01F" w14:textId="77777777" w:rsidR="00140F2B" w:rsidRPr="00A83F41" w:rsidRDefault="00140F2B" w:rsidP="00970D58">
            <w:pPr>
              <w:spacing w:after="0" w:line="276" w:lineRule="auto"/>
              <w:contextualSpacing/>
              <w:jc w:val="center"/>
              <w:rPr>
                <w:sz w:val="20"/>
              </w:rPr>
            </w:pPr>
          </w:p>
        </w:tc>
        <w:tc>
          <w:tcPr>
            <w:tcW w:w="671" w:type="dxa"/>
            <w:tcBorders>
              <w:top w:val="single" w:sz="4" w:space="0" w:color="auto"/>
              <w:left w:val="nil"/>
              <w:bottom w:val="nil"/>
              <w:right w:val="nil"/>
            </w:tcBorders>
          </w:tcPr>
          <w:p w14:paraId="71473608" w14:textId="77777777" w:rsidR="00140F2B" w:rsidRPr="00A83F41" w:rsidRDefault="00140F2B" w:rsidP="00970D58">
            <w:pPr>
              <w:spacing w:after="0" w:line="276" w:lineRule="auto"/>
              <w:contextualSpacing/>
              <w:jc w:val="center"/>
              <w:rPr>
                <w:sz w:val="20"/>
              </w:rPr>
            </w:pPr>
          </w:p>
        </w:tc>
        <w:tc>
          <w:tcPr>
            <w:tcW w:w="1850" w:type="dxa"/>
            <w:tcBorders>
              <w:top w:val="single" w:sz="4" w:space="0" w:color="auto"/>
              <w:left w:val="nil"/>
              <w:bottom w:val="nil"/>
              <w:right w:val="nil"/>
            </w:tcBorders>
          </w:tcPr>
          <w:p w14:paraId="53F0C9C4" w14:textId="77777777" w:rsidR="00140F2B" w:rsidRPr="00A83F41" w:rsidRDefault="00140F2B" w:rsidP="00970D58">
            <w:pPr>
              <w:spacing w:after="0" w:line="276" w:lineRule="auto"/>
              <w:contextualSpacing/>
              <w:jc w:val="center"/>
              <w:rPr>
                <w:sz w:val="20"/>
              </w:rPr>
            </w:pPr>
          </w:p>
        </w:tc>
        <w:tc>
          <w:tcPr>
            <w:tcW w:w="1022" w:type="dxa"/>
            <w:tcBorders>
              <w:top w:val="single" w:sz="4" w:space="0" w:color="auto"/>
              <w:left w:val="nil"/>
              <w:bottom w:val="nil"/>
              <w:right w:val="nil"/>
            </w:tcBorders>
          </w:tcPr>
          <w:p w14:paraId="57793D97" w14:textId="77777777" w:rsidR="00140F2B" w:rsidRPr="00A83F41" w:rsidRDefault="00140F2B" w:rsidP="00970D58">
            <w:pPr>
              <w:spacing w:after="0" w:line="276" w:lineRule="auto"/>
              <w:contextualSpacing/>
              <w:jc w:val="center"/>
              <w:rPr>
                <w:sz w:val="20"/>
              </w:rPr>
            </w:pPr>
          </w:p>
        </w:tc>
      </w:tr>
      <w:tr w:rsidR="00140F2B" w:rsidRPr="00F320B5" w14:paraId="7D64AD74" w14:textId="77777777" w:rsidTr="00970D58">
        <w:tblPrEx>
          <w:tblBorders>
            <w:top w:val="single" w:sz="4" w:space="0" w:color="auto"/>
            <w:insideV w:val="none" w:sz="0" w:space="0" w:color="auto"/>
          </w:tblBorders>
        </w:tblPrEx>
        <w:tc>
          <w:tcPr>
            <w:tcW w:w="283" w:type="dxa"/>
            <w:tcBorders>
              <w:top w:val="nil"/>
              <w:bottom w:val="nil"/>
              <w:right w:val="nil"/>
            </w:tcBorders>
          </w:tcPr>
          <w:p w14:paraId="7262E72A"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tcPr>
          <w:p w14:paraId="574B2899" w14:textId="77777777" w:rsidR="00140F2B" w:rsidRPr="007E5E62" w:rsidRDefault="00140F2B" w:rsidP="00970D58">
            <w:pPr>
              <w:spacing w:after="0" w:line="276" w:lineRule="auto"/>
              <w:contextualSpacing/>
              <w:rPr>
                <w:sz w:val="20"/>
                <w:szCs w:val="20"/>
              </w:rPr>
            </w:pPr>
            <w:r>
              <w:rPr>
                <w:sz w:val="20"/>
                <w:szCs w:val="20"/>
              </w:rPr>
              <w:t>Good/very good/excellent</w:t>
            </w:r>
          </w:p>
        </w:tc>
        <w:tc>
          <w:tcPr>
            <w:tcW w:w="671" w:type="dxa"/>
            <w:tcBorders>
              <w:top w:val="nil"/>
              <w:left w:val="nil"/>
              <w:bottom w:val="single" w:sz="4" w:space="0" w:color="auto"/>
              <w:right w:val="nil"/>
            </w:tcBorders>
          </w:tcPr>
          <w:p w14:paraId="7961569C" w14:textId="77777777" w:rsidR="00140F2B" w:rsidRPr="00426408" w:rsidRDefault="00976633" w:rsidP="00970D58">
            <w:pPr>
              <w:spacing w:after="0" w:line="276" w:lineRule="auto"/>
              <w:contextualSpacing/>
              <w:jc w:val="center"/>
              <w:rPr>
                <w:sz w:val="20"/>
              </w:rPr>
            </w:pPr>
            <w:r w:rsidRPr="00426408">
              <w:rPr>
                <w:sz w:val="20"/>
              </w:rPr>
              <w:t>13.1</w:t>
            </w:r>
          </w:p>
        </w:tc>
        <w:tc>
          <w:tcPr>
            <w:tcW w:w="1951" w:type="dxa"/>
            <w:tcBorders>
              <w:top w:val="nil"/>
              <w:left w:val="nil"/>
              <w:bottom w:val="single" w:sz="4" w:space="0" w:color="auto"/>
              <w:right w:val="nil"/>
            </w:tcBorders>
          </w:tcPr>
          <w:p w14:paraId="2644A77E" w14:textId="77777777" w:rsidR="00140F2B" w:rsidRPr="00A83F41" w:rsidRDefault="00140F2B" w:rsidP="00970D58">
            <w:pPr>
              <w:spacing w:after="0" w:line="276" w:lineRule="auto"/>
              <w:contextualSpacing/>
              <w:jc w:val="center"/>
              <w:rPr>
                <w:sz w:val="20"/>
              </w:rPr>
            </w:pPr>
            <w:r w:rsidRPr="00A83F41">
              <w:rPr>
                <w:sz w:val="20"/>
              </w:rPr>
              <w:t>1.00</w:t>
            </w:r>
          </w:p>
        </w:tc>
        <w:tc>
          <w:tcPr>
            <w:tcW w:w="874" w:type="dxa"/>
            <w:tcBorders>
              <w:top w:val="nil"/>
              <w:left w:val="nil"/>
              <w:bottom w:val="single" w:sz="4" w:space="0" w:color="auto"/>
              <w:right w:val="nil"/>
            </w:tcBorders>
          </w:tcPr>
          <w:p w14:paraId="32DA5A53" w14:textId="77777777" w:rsidR="00140F2B" w:rsidRPr="00A83F41" w:rsidRDefault="00140F2B" w:rsidP="00970D58">
            <w:pPr>
              <w:spacing w:after="0" w:line="276" w:lineRule="auto"/>
              <w:contextualSpacing/>
              <w:jc w:val="center"/>
              <w:rPr>
                <w:sz w:val="20"/>
              </w:rPr>
            </w:pPr>
            <w:r w:rsidRPr="00A83F41">
              <w:rPr>
                <w:sz w:val="20"/>
              </w:rPr>
              <w:t>-</w:t>
            </w:r>
          </w:p>
        </w:tc>
        <w:tc>
          <w:tcPr>
            <w:tcW w:w="284" w:type="dxa"/>
            <w:tcBorders>
              <w:top w:val="nil"/>
              <w:left w:val="nil"/>
              <w:bottom w:val="single" w:sz="4" w:space="0" w:color="auto"/>
              <w:right w:val="nil"/>
            </w:tcBorders>
            <w:vAlign w:val="center"/>
          </w:tcPr>
          <w:p w14:paraId="7DC7FBEA"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7C183112" w14:textId="77777777" w:rsidR="00140F2B" w:rsidRPr="00A83F41" w:rsidRDefault="00976633" w:rsidP="00970D58">
            <w:pPr>
              <w:spacing w:after="0" w:line="276" w:lineRule="auto"/>
              <w:contextualSpacing/>
              <w:jc w:val="center"/>
              <w:rPr>
                <w:sz w:val="20"/>
              </w:rPr>
            </w:pPr>
            <w:r w:rsidRPr="00A83F41">
              <w:rPr>
                <w:sz w:val="20"/>
              </w:rPr>
              <w:t>8.3</w:t>
            </w:r>
          </w:p>
        </w:tc>
        <w:tc>
          <w:tcPr>
            <w:tcW w:w="1850" w:type="dxa"/>
            <w:tcBorders>
              <w:top w:val="nil"/>
              <w:left w:val="nil"/>
              <w:bottom w:val="single" w:sz="4" w:space="0" w:color="auto"/>
              <w:right w:val="nil"/>
            </w:tcBorders>
          </w:tcPr>
          <w:p w14:paraId="471F837D" w14:textId="77777777" w:rsidR="00140F2B" w:rsidRPr="00A83F41" w:rsidRDefault="00140F2B" w:rsidP="00970D58">
            <w:pPr>
              <w:spacing w:after="0" w:line="276" w:lineRule="auto"/>
              <w:contextualSpacing/>
              <w:jc w:val="center"/>
              <w:rPr>
                <w:sz w:val="20"/>
              </w:rPr>
            </w:pPr>
            <w:r w:rsidRPr="00A83F41">
              <w:rPr>
                <w:sz w:val="20"/>
              </w:rPr>
              <w:t>1.00</w:t>
            </w:r>
          </w:p>
        </w:tc>
        <w:tc>
          <w:tcPr>
            <w:tcW w:w="1022" w:type="dxa"/>
            <w:tcBorders>
              <w:top w:val="nil"/>
              <w:left w:val="nil"/>
              <w:bottom w:val="single" w:sz="4" w:space="0" w:color="auto"/>
              <w:right w:val="nil"/>
            </w:tcBorders>
          </w:tcPr>
          <w:p w14:paraId="1F04274E" w14:textId="77777777" w:rsidR="00140F2B" w:rsidRPr="00A83F41" w:rsidRDefault="00140F2B" w:rsidP="00970D58">
            <w:pPr>
              <w:spacing w:after="0" w:line="276" w:lineRule="auto"/>
              <w:contextualSpacing/>
              <w:jc w:val="center"/>
              <w:rPr>
                <w:sz w:val="20"/>
              </w:rPr>
            </w:pPr>
            <w:r w:rsidRPr="00A83F41">
              <w:rPr>
                <w:sz w:val="20"/>
              </w:rPr>
              <w:t>-</w:t>
            </w:r>
          </w:p>
        </w:tc>
      </w:tr>
      <w:tr w:rsidR="00140F2B" w:rsidRPr="00503A7A" w14:paraId="73576775" w14:textId="77777777" w:rsidTr="00970D58">
        <w:tblPrEx>
          <w:tblBorders>
            <w:top w:val="single" w:sz="4" w:space="0" w:color="auto"/>
            <w:insideV w:val="none" w:sz="0" w:space="0" w:color="auto"/>
          </w:tblBorders>
        </w:tblPrEx>
        <w:tc>
          <w:tcPr>
            <w:tcW w:w="283" w:type="dxa"/>
            <w:tcBorders>
              <w:top w:val="nil"/>
              <w:bottom w:val="single" w:sz="4" w:space="0" w:color="auto"/>
              <w:right w:val="nil"/>
            </w:tcBorders>
          </w:tcPr>
          <w:p w14:paraId="1A5F3E58" w14:textId="77777777" w:rsidR="00140F2B" w:rsidRPr="0046486F" w:rsidRDefault="00140F2B" w:rsidP="00970D58">
            <w:pPr>
              <w:spacing w:after="0" w:line="276" w:lineRule="auto"/>
              <w:contextualSpacing/>
              <w:rPr>
                <w:sz w:val="20"/>
              </w:rPr>
            </w:pPr>
          </w:p>
        </w:tc>
        <w:tc>
          <w:tcPr>
            <w:tcW w:w="2586" w:type="dxa"/>
            <w:tcBorders>
              <w:top w:val="nil"/>
              <w:left w:val="nil"/>
              <w:bottom w:val="single" w:sz="4" w:space="0" w:color="auto"/>
              <w:right w:val="nil"/>
            </w:tcBorders>
          </w:tcPr>
          <w:p w14:paraId="52E76B8B" w14:textId="77777777" w:rsidR="00140F2B" w:rsidRPr="007E5E62" w:rsidRDefault="00140F2B" w:rsidP="00970D58">
            <w:pPr>
              <w:spacing w:after="0" w:line="276" w:lineRule="auto"/>
              <w:contextualSpacing/>
              <w:rPr>
                <w:sz w:val="20"/>
                <w:szCs w:val="20"/>
              </w:rPr>
            </w:pPr>
            <w:r>
              <w:rPr>
                <w:sz w:val="20"/>
                <w:szCs w:val="20"/>
              </w:rPr>
              <w:t>Fair/poor</w:t>
            </w:r>
          </w:p>
        </w:tc>
        <w:tc>
          <w:tcPr>
            <w:tcW w:w="671" w:type="dxa"/>
            <w:tcBorders>
              <w:top w:val="nil"/>
              <w:left w:val="nil"/>
              <w:bottom w:val="single" w:sz="4" w:space="0" w:color="auto"/>
              <w:right w:val="nil"/>
            </w:tcBorders>
          </w:tcPr>
          <w:p w14:paraId="13158878" w14:textId="77777777" w:rsidR="00140F2B" w:rsidRPr="00426408" w:rsidRDefault="00976633" w:rsidP="00970D58">
            <w:pPr>
              <w:spacing w:after="0" w:line="276" w:lineRule="auto"/>
              <w:contextualSpacing/>
              <w:jc w:val="center"/>
              <w:rPr>
                <w:sz w:val="20"/>
              </w:rPr>
            </w:pPr>
            <w:r w:rsidRPr="00426408">
              <w:rPr>
                <w:sz w:val="20"/>
              </w:rPr>
              <w:t>11.3</w:t>
            </w:r>
          </w:p>
        </w:tc>
        <w:tc>
          <w:tcPr>
            <w:tcW w:w="1951" w:type="dxa"/>
            <w:tcBorders>
              <w:top w:val="nil"/>
              <w:left w:val="nil"/>
              <w:bottom w:val="single" w:sz="4" w:space="0" w:color="auto"/>
              <w:right w:val="nil"/>
            </w:tcBorders>
          </w:tcPr>
          <w:p w14:paraId="3C211652" w14:textId="759E9713" w:rsidR="00140F2B" w:rsidRPr="00A83F41" w:rsidRDefault="00140F2B" w:rsidP="00C169EF">
            <w:pPr>
              <w:spacing w:after="0" w:line="276" w:lineRule="auto"/>
              <w:contextualSpacing/>
              <w:jc w:val="center"/>
              <w:rPr>
                <w:sz w:val="20"/>
              </w:rPr>
            </w:pPr>
            <w:r w:rsidRPr="00A83F41">
              <w:rPr>
                <w:sz w:val="20"/>
              </w:rPr>
              <w:t>0.</w:t>
            </w:r>
            <w:r w:rsidR="00AE3444" w:rsidRPr="00A83F41">
              <w:rPr>
                <w:sz w:val="20"/>
              </w:rPr>
              <w:t>9</w:t>
            </w:r>
            <w:r w:rsidR="00C169EF">
              <w:rPr>
                <w:sz w:val="20"/>
              </w:rPr>
              <w:t>8</w:t>
            </w:r>
            <w:r w:rsidR="00AE3444" w:rsidRPr="00A83F41">
              <w:rPr>
                <w:sz w:val="20"/>
              </w:rPr>
              <w:t xml:space="preserve"> [0.5</w:t>
            </w:r>
            <w:r w:rsidR="00C169EF">
              <w:rPr>
                <w:sz w:val="20"/>
              </w:rPr>
              <w:t>5</w:t>
            </w:r>
            <w:r w:rsidR="00AE3444" w:rsidRPr="00A83F41">
              <w:rPr>
                <w:sz w:val="20"/>
              </w:rPr>
              <w:t>-1.</w:t>
            </w:r>
            <w:r w:rsidR="00C169EF">
              <w:rPr>
                <w:sz w:val="20"/>
              </w:rPr>
              <w:t>75</w:t>
            </w:r>
            <w:r w:rsidR="00AE3444" w:rsidRPr="00A83F41">
              <w:rPr>
                <w:sz w:val="20"/>
              </w:rPr>
              <w:t>]</w:t>
            </w:r>
          </w:p>
        </w:tc>
        <w:tc>
          <w:tcPr>
            <w:tcW w:w="874" w:type="dxa"/>
            <w:tcBorders>
              <w:top w:val="nil"/>
              <w:left w:val="nil"/>
              <w:bottom w:val="single" w:sz="4" w:space="0" w:color="auto"/>
              <w:right w:val="nil"/>
            </w:tcBorders>
          </w:tcPr>
          <w:p w14:paraId="5C622081" w14:textId="6016AA83" w:rsidR="00140F2B" w:rsidRPr="00A83F41" w:rsidRDefault="00140F2B" w:rsidP="00AE3444">
            <w:pPr>
              <w:spacing w:after="0" w:line="276" w:lineRule="auto"/>
              <w:contextualSpacing/>
              <w:jc w:val="center"/>
              <w:rPr>
                <w:sz w:val="20"/>
              </w:rPr>
            </w:pPr>
            <w:r w:rsidRPr="00A83F41">
              <w:rPr>
                <w:sz w:val="20"/>
              </w:rPr>
              <w:t>0.</w:t>
            </w:r>
            <w:r w:rsidR="00C169EF">
              <w:rPr>
                <w:sz w:val="20"/>
              </w:rPr>
              <w:t>935</w:t>
            </w:r>
          </w:p>
        </w:tc>
        <w:tc>
          <w:tcPr>
            <w:tcW w:w="284" w:type="dxa"/>
            <w:tcBorders>
              <w:top w:val="nil"/>
              <w:left w:val="nil"/>
              <w:bottom w:val="single" w:sz="4" w:space="0" w:color="auto"/>
              <w:right w:val="nil"/>
            </w:tcBorders>
          </w:tcPr>
          <w:p w14:paraId="3B85D11A" w14:textId="77777777" w:rsidR="00140F2B" w:rsidRPr="00A83F41" w:rsidRDefault="00140F2B" w:rsidP="00970D58">
            <w:pPr>
              <w:spacing w:after="0" w:line="276" w:lineRule="auto"/>
              <w:contextualSpacing/>
              <w:jc w:val="center"/>
              <w:rPr>
                <w:sz w:val="20"/>
              </w:rPr>
            </w:pPr>
          </w:p>
        </w:tc>
        <w:tc>
          <w:tcPr>
            <w:tcW w:w="671" w:type="dxa"/>
            <w:tcBorders>
              <w:top w:val="nil"/>
              <w:left w:val="nil"/>
              <w:bottom w:val="single" w:sz="4" w:space="0" w:color="auto"/>
              <w:right w:val="nil"/>
            </w:tcBorders>
          </w:tcPr>
          <w:p w14:paraId="17B39CED" w14:textId="77777777" w:rsidR="00140F2B" w:rsidRPr="00A83F41" w:rsidRDefault="00976633" w:rsidP="00970D58">
            <w:pPr>
              <w:spacing w:after="0" w:line="276" w:lineRule="auto"/>
              <w:contextualSpacing/>
              <w:jc w:val="center"/>
              <w:rPr>
                <w:sz w:val="20"/>
              </w:rPr>
            </w:pPr>
            <w:r w:rsidRPr="00A83F41">
              <w:rPr>
                <w:sz w:val="20"/>
              </w:rPr>
              <w:t>9.2</w:t>
            </w:r>
          </w:p>
        </w:tc>
        <w:tc>
          <w:tcPr>
            <w:tcW w:w="1850" w:type="dxa"/>
            <w:tcBorders>
              <w:top w:val="nil"/>
              <w:left w:val="nil"/>
              <w:bottom w:val="single" w:sz="4" w:space="0" w:color="auto"/>
              <w:right w:val="nil"/>
            </w:tcBorders>
          </w:tcPr>
          <w:p w14:paraId="6097F8B4" w14:textId="71B32810" w:rsidR="00140F2B" w:rsidRPr="00A83F41" w:rsidRDefault="00287739" w:rsidP="00287739">
            <w:pPr>
              <w:spacing w:after="0" w:line="276" w:lineRule="auto"/>
              <w:contextualSpacing/>
              <w:jc w:val="center"/>
              <w:rPr>
                <w:sz w:val="20"/>
              </w:rPr>
            </w:pPr>
            <w:r>
              <w:rPr>
                <w:sz w:val="20"/>
              </w:rPr>
              <w:t>1.01</w:t>
            </w:r>
            <w:r w:rsidR="00AE3444" w:rsidRPr="00A83F41">
              <w:rPr>
                <w:sz w:val="20"/>
              </w:rPr>
              <w:t xml:space="preserve"> [0.5</w:t>
            </w:r>
            <w:r>
              <w:rPr>
                <w:sz w:val="20"/>
              </w:rPr>
              <w:t>6</w:t>
            </w:r>
            <w:r w:rsidR="00AE3444" w:rsidRPr="00A83F41">
              <w:rPr>
                <w:sz w:val="20"/>
              </w:rPr>
              <w:t>-1.8</w:t>
            </w:r>
            <w:r>
              <w:rPr>
                <w:sz w:val="20"/>
              </w:rPr>
              <w:t>3</w:t>
            </w:r>
            <w:r w:rsidR="00AE3444" w:rsidRPr="00A83F41">
              <w:rPr>
                <w:sz w:val="20"/>
              </w:rPr>
              <w:t>]</w:t>
            </w:r>
          </w:p>
        </w:tc>
        <w:tc>
          <w:tcPr>
            <w:tcW w:w="1022" w:type="dxa"/>
            <w:tcBorders>
              <w:top w:val="nil"/>
              <w:left w:val="nil"/>
              <w:bottom w:val="single" w:sz="4" w:space="0" w:color="auto"/>
              <w:right w:val="nil"/>
            </w:tcBorders>
          </w:tcPr>
          <w:p w14:paraId="412CEB9B" w14:textId="0114D6B7" w:rsidR="00140F2B" w:rsidRPr="00A83F41" w:rsidRDefault="00AE3444" w:rsidP="00287739">
            <w:pPr>
              <w:spacing w:after="0" w:line="276" w:lineRule="auto"/>
              <w:contextualSpacing/>
              <w:jc w:val="center"/>
              <w:rPr>
                <w:sz w:val="20"/>
              </w:rPr>
            </w:pPr>
            <w:r w:rsidRPr="00A83F41">
              <w:rPr>
                <w:sz w:val="20"/>
              </w:rPr>
              <w:t>0.</w:t>
            </w:r>
            <w:r w:rsidR="00287739">
              <w:rPr>
                <w:sz w:val="20"/>
              </w:rPr>
              <w:t>96</w:t>
            </w:r>
            <w:r w:rsidRPr="00A83F41">
              <w:rPr>
                <w:sz w:val="20"/>
              </w:rPr>
              <w:t>8</w:t>
            </w:r>
          </w:p>
        </w:tc>
      </w:tr>
      <w:tr w:rsidR="00904888" w:rsidRPr="00897348" w14:paraId="68959E11" w14:textId="77777777" w:rsidTr="00970D58">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7B28DEA6" w14:textId="77777777" w:rsidR="00904888" w:rsidRPr="007E5E62" w:rsidRDefault="00904888" w:rsidP="00970D58">
            <w:pPr>
              <w:spacing w:after="0" w:line="276" w:lineRule="auto"/>
              <w:contextualSpacing/>
              <w:rPr>
                <w:sz w:val="20"/>
              </w:rPr>
            </w:pPr>
            <w:r>
              <w:rPr>
                <w:sz w:val="20"/>
              </w:rPr>
              <w:t>BMI</w:t>
            </w:r>
          </w:p>
        </w:tc>
        <w:tc>
          <w:tcPr>
            <w:tcW w:w="671" w:type="dxa"/>
            <w:tcBorders>
              <w:top w:val="single" w:sz="4" w:space="0" w:color="auto"/>
              <w:bottom w:val="nil"/>
              <w:right w:val="nil"/>
            </w:tcBorders>
          </w:tcPr>
          <w:p w14:paraId="69F27CEA" w14:textId="77777777" w:rsidR="00904888" w:rsidRPr="00426408" w:rsidRDefault="00904888" w:rsidP="00970D58">
            <w:pPr>
              <w:spacing w:after="0" w:line="276" w:lineRule="auto"/>
              <w:contextualSpacing/>
              <w:jc w:val="center"/>
              <w:rPr>
                <w:b/>
                <w:sz w:val="20"/>
              </w:rPr>
            </w:pPr>
            <w:r w:rsidRPr="00426408">
              <w:rPr>
                <w:b/>
                <w:sz w:val="20"/>
              </w:rPr>
              <w:t>-</w:t>
            </w:r>
          </w:p>
        </w:tc>
        <w:tc>
          <w:tcPr>
            <w:tcW w:w="1951" w:type="dxa"/>
            <w:tcBorders>
              <w:top w:val="single" w:sz="4" w:space="0" w:color="auto"/>
              <w:left w:val="nil"/>
              <w:bottom w:val="nil"/>
              <w:right w:val="nil"/>
            </w:tcBorders>
          </w:tcPr>
          <w:p w14:paraId="16AF0B88" w14:textId="177DE959" w:rsidR="00904888" w:rsidRPr="00A83F41" w:rsidRDefault="00AE3444" w:rsidP="00970D58">
            <w:pPr>
              <w:spacing w:after="0" w:line="276" w:lineRule="auto"/>
              <w:contextualSpacing/>
              <w:jc w:val="center"/>
              <w:rPr>
                <w:sz w:val="20"/>
              </w:rPr>
            </w:pPr>
            <w:r w:rsidRPr="00A83F41">
              <w:rPr>
                <w:sz w:val="20"/>
              </w:rPr>
              <w:t>0.76 [0.67-0.8</w:t>
            </w:r>
            <w:r w:rsidR="00C169EF">
              <w:rPr>
                <w:sz w:val="20"/>
              </w:rPr>
              <w:t>7</w:t>
            </w:r>
            <w:r w:rsidRPr="00A83F41">
              <w:rPr>
                <w:sz w:val="20"/>
              </w:rPr>
              <w:t>]</w:t>
            </w:r>
          </w:p>
        </w:tc>
        <w:tc>
          <w:tcPr>
            <w:tcW w:w="874" w:type="dxa"/>
            <w:tcBorders>
              <w:top w:val="single" w:sz="4" w:space="0" w:color="auto"/>
              <w:left w:val="nil"/>
              <w:bottom w:val="nil"/>
              <w:right w:val="nil"/>
            </w:tcBorders>
            <w:vAlign w:val="center"/>
          </w:tcPr>
          <w:p w14:paraId="545A10CF" w14:textId="77777777" w:rsidR="00904888" w:rsidRPr="00A83F41" w:rsidRDefault="00AE3444" w:rsidP="00970D58">
            <w:pPr>
              <w:spacing w:after="0" w:line="276" w:lineRule="auto"/>
              <w:contextualSpacing/>
              <w:jc w:val="center"/>
              <w:rPr>
                <w:sz w:val="20"/>
              </w:rPr>
            </w:pPr>
            <w:r w:rsidRPr="00A83F41">
              <w:rPr>
                <w:sz w:val="20"/>
              </w:rPr>
              <w:t>&lt;0.001</w:t>
            </w:r>
          </w:p>
        </w:tc>
        <w:tc>
          <w:tcPr>
            <w:tcW w:w="284" w:type="dxa"/>
            <w:tcBorders>
              <w:top w:val="single" w:sz="4" w:space="0" w:color="auto"/>
              <w:left w:val="nil"/>
              <w:bottom w:val="nil"/>
              <w:right w:val="nil"/>
            </w:tcBorders>
            <w:vAlign w:val="center"/>
          </w:tcPr>
          <w:p w14:paraId="1E43BC14" w14:textId="77777777" w:rsidR="00904888" w:rsidRPr="00A83F41" w:rsidRDefault="00904888" w:rsidP="00970D58">
            <w:pPr>
              <w:spacing w:after="0" w:line="276" w:lineRule="auto"/>
              <w:contextualSpacing/>
              <w:jc w:val="center"/>
              <w:rPr>
                <w:sz w:val="20"/>
              </w:rPr>
            </w:pPr>
          </w:p>
        </w:tc>
        <w:tc>
          <w:tcPr>
            <w:tcW w:w="671" w:type="dxa"/>
            <w:tcBorders>
              <w:top w:val="single" w:sz="4" w:space="0" w:color="auto"/>
              <w:left w:val="nil"/>
              <w:bottom w:val="nil"/>
              <w:right w:val="nil"/>
            </w:tcBorders>
          </w:tcPr>
          <w:p w14:paraId="27930DCE" w14:textId="77777777" w:rsidR="00904888" w:rsidRPr="00A83F41" w:rsidRDefault="00904888" w:rsidP="00970D58">
            <w:pPr>
              <w:spacing w:after="0" w:line="276" w:lineRule="auto"/>
              <w:contextualSpacing/>
              <w:jc w:val="center"/>
              <w:rPr>
                <w:sz w:val="20"/>
              </w:rPr>
            </w:pPr>
            <w:r w:rsidRPr="00A83F41">
              <w:rPr>
                <w:sz w:val="20"/>
              </w:rPr>
              <w:t>-</w:t>
            </w:r>
          </w:p>
        </w:tc>
        <w:tc>
          <w:tcPr>
            <w:tcW w:w="1850" w:type="dxa"/>
            <w:tcBorders>
              <w:top w:val="single" w:sz="4" w:space="0" w:color="auto"/>
              <w:left w:val="nil"/>
              <w:bottom w:val="nil"/>
              <w:right w:val="nil"/>
            </w:tcBorders>
          </w:tcPr>
          <w:p w14:paraId="4F8556B3" w14:textId="77777777" w:rsidR="00904888" w:rsidRPr="00A83F41" w:rsidRDefault="00AE3444" w:rsidP="00970D58">
            <w:pPr>
              <w:spacing w:after="0" w:line="276" w:lineRule="auto"/>
              <w:contextualSpacing/>
              <w:jc w:val="center"/>
              <w:rPr>
                <w:sz w:val="20"/>
              </w:rPr>
            </w:pPr>
            <w:r w:rsidRPr="00A83F41">
              <w:rPr>
                <w:sz w:val="20"/>
              </w:rPr>
              <w:t>0.96 [0.90-1.03]</w:t>
            </w:r>
          </w:p>
        </w:tc>
        <w:tc>
          <w:tcPr>
            <w:tcW w:w="1022" w:type="dxa"/>
            <w:tcBorders>
              <w:top w:val="single" w:sz="4" w:space="0" w:color="auto"/>
              <w:left w:val="nil"/>
              <w:bottom w:val="nil"/>
              <w:right w:val="nil"/>
            </w:tcBorders>
          </w:tcPr>
          <w:p w14:paraId="495BFA14" w14:textId="546DBE05" w:rsidR="00904888" w:rsidRPr="00A83F41" w:rsidRDefault="00AE3444" w:rsidP="00287739">
            <w:pPr>
              <w:spacing w:after="0" w:line="276" w:lineRule="auto"/>
              <w:contextualSpacing/>
              <w:jc w:val="center"/>
              <w:rPr>
                <w:sz w:val="20"/>
              </w:rPr>
            </w:pPr>
            <w:r w:rsidRPr="00A83F41">
              <w:rPr>
                <w:sz w:val="20"/>
              </w:rPr>
              <w:t>0.2</w:t>
            </w:r>
            <w:r w:rsidR="00287739">
              <w:rPr>
                <w:sz w:val="20"/>
              </w:rPr>
              <w:t>69</w:t>
            </w:r>
          </w:p>
        </w:tc>
      </w:tr>
      <w:tr w:rsidR="000C4299" w:rsidRPr="00897348" w14:paraId="43FEA2DF" w14:textId="77777777" w:rsidTr="00AD02BF">
        <w:tblPrEx>
          <w:tblBorders>
            <w:top w:val="single" w:sz="4" w:space="0" w:color="auto"/>
            <w:insideV w:val="none" w:sz="0" w:space="0" w:color="auto"/>
          </w:tblBorders>
        </w:tblPrEx>
        <w:tc>
          <w:tcPr>
            <w:tcW w:w="2869" w:type="dxa"/>
            <w:gridSpan w:val="2"/>
            <w:tcBorders>
              <w:top w:val="single" w:sz="4" w:space="0" w:color="auto"/>
              <w:bottom w:val="nil"/>
              <w:right w:val="nil"/>
            </w:tcBorders>
          </w:tcPr>
          <w:p w14:paraId="01FAB877" w14:textId="77777777" w:rsidR="000C4299" w:rsidRPr="007E5E62" w:rsidRDefault="000C4299" w:rsidP="00AD02BF">
            <w:pPr>
              <w:spacing w:after="0" w:line="276" w:lineRule="auto"/>
              <w:contextualSpacing/>
              <w:rPr>
                <w:sz w:val="20"/>
              </w:rPr>
            </w:pPr>
            <w:r>
              <w:rPr>
                <w:sz w:val="20"/>
              </w:rPr>
              <w:t>Chronic health conditions</w:t>
            </w:r>
          </w:p>
        </w:tc>
        <w:tc>
          <w:tcPr>
            <w:tcW w:w="671" w:type="dxa"/>
            <w:tcBorders>
              <w:top w:val="single" w:sz="4" w:space="0" w:color="auto"/>
              <w:bottom w:val="nil"/>
              <w:right w:val="nil"/>
            </w:tcBorders>
          </w:tcPr>
          <w:p w14:paraId="0A835B9D" w14:textId="77777777" w:rsidR="000C4299" w:rsidRPr="00426408" w:rsidRDefault="000C4299" w:rsidP="00AD02BF">
            <w:pPr>
              <w:spacing w:after="0" w:line="276" w:lineRule="auto"/>
              <w:contextualSpacing/>
              <w:jc w:val="center"/>
              <w:rPr>
                <w:b/>
                <w:sz w:val="20"/>
              </w:rPr>
            </w:pPr>
          </w:p>
        </w:tc>
        <w:tc>
          <w:tcPr>
            <w:tcW w:w="1951" w:type="dxa"/>
            <w:tcBorders>
              <w:top w:val="single" w:sz="4" w:space="0" w:color="auto"/>
              <w:left w:val="nil"/>
              <w:bottom w:val="nil"/>
              <w:right w:val="nil"/>
            </w:tcBorders>
          </w:tcPr>
          <w:p w14:paraId="6C5E5A38" w14:textId="77777777" w:rsidR="000C4299" w:rsidRPr="00426408" w:rsidRDefault="000C4299" w:rsidP="00AD02BF">
            <w:pPr>
              <w:spacing w:after="0" w:line="276" w:lineRule="auto"/>
              <w:contextualSpacing/>
              <w:jc w:val="center"/>
              <w:rPr>
                <w:sz w:val="20"/>
              </w:rPr>
            </w:pPr>
          </w:p>
        </w:tc>
        <w:tc>
          <w:tcPr>
            <w:tcW w:w="874" w:type="dxa"/>
            <w:tcBorders>
              <w:top w:val="single" w:sz="4" w:space="0" w:color="auto"/>
              <w:left w:val="nil"/>
              <w:bottom w:val="nil"/>
              <w:right w:val="nil"/>
            </w:tcBorders>
            <w:vAlign w:val="center"/>
          </w:tcPr>
          <w:p w14:paraId="7AB8126A" w14:textId="77777777" w:rsidR="000C4299" w:rsidRPr="00426408" w:rsidRDefault="000C4299" w:rsidP="00AD02BF">
            <w:pPr>
              <w:spacing w:after="0" w:line="276" w:lineRule="auto"/>
              <w:contextualSpacing/>
              <w:jc w:val="center"/>
              <w:rPr>
                <w:sz w:val="20"/>
              </w:rPr>
            </w:pPr>
          </w:p>
        </w:tc>
        <w:tc>
          <w:tcPr>
            <w:tcW w:w="284" w:type="dxa"/>
            <w:tcBorders>
              <w:top w:val="single" w:sz="4" w:space="0" w:color="auto"/>
              <w:left w:val="nil"/>
              <w:bottom w:val="nil"/>
              <w:right w:val="nil"/>
            </w:tcBorders>
            <w:vAlign w:val="center"/>
          </w:tcPr>
          <w:p w14:paraId="02A755C9" w14:textId="77777777" w:rsidR="000C4299" w:rsidRPr="00426408" w:rsidRDefault="000C4299" w:rsidP="00AD02BF">
            <w:pPr>
              <w:spacing w:after="0" w:line="276" w:lineRule="auto"/>
              <w:contextualSpacing/>
              <w:jc w:val="center"/>
              <w:rPr>
                <w:sz w:val="20"/>
              </w:rPr>
            </w:pPr>
          </w:p>
        </w:tc>
        <w:tc>
          <w:tcPr>
            <w:tcW w:w="671" w:type="dxa"/>
            <w:tcBorders>
              <w:top w:val="single" w:sz="4" w:space="0" w:color="auto"/>
              <w:left w:val="nil"/>
              <w:bottom w:val="nil"/>
              <w:right w:val="nil"/>
            </w:tcBorders>
          </w:tcPr>
          <w:p w14:paraId="6892BB6F" w14:textId="77777777" w:rsidR="000C4299" w:rsidRPr="00426408" w:rsidRDefault="000C4299" w:rsidP="00AD02BF">
            <w:pPr>
              <w:spacing w:after="0" w:line="276" w:lineRule="auto"/>
              <w:contextualSpacing/>
              <w:jc w:val="center"/>
              <w:rPr>
                <w:sz w:val="20"/>
              </w:rPr>
            </w:pPr>
          </w:p>
        </w:tc>
        <w:tc>
          <w:tcPr>
            <w:tcW w:w="1850" w:type="dxa"/>
            <w:tcBorders>
              <w:top w:val="single" w:sz="4" w:space="0" w:color="auto"/>
              <w:left w:val="nil"/>
              <w:bottom w:val="nil"/>
              <w:right w:val="nil"/>
            </w:tcBorders>
          </w:tcPr>
          <w:p w14:paraId="602D931A" w14:textId="77777777" w:rsidR="000C4299" w:rsidRPr="00426408" w:rsidRDefault="000C4299" w:rsidP="00AD02BF">
            <w:pPr>
              <w:spacing w:after="0" w:line="276" w:lineRule="auto"/>
              <w:contextualSpacing/>
              <w:jc w:val="center"/>
              <w:rPr>
                <w:sz w:val="20"/>
              </w:rPr>
            </w:pPr>
          </w:p>
        </w:tc>
        <w:tc>
          <w:tcPr>
            <w:tcW w:w="1022" w:type="dxa"/>
            <w:tcBorders>
              <w:top w:val="single" w:sz="4" w:space="0" w:color="auto"/>
              <w:left w:val="nil"/>
              <w:bottom w:val="nil"/>
              <w:right w:val="nil"/>
            </w:tcBorders>
          </w:tcPr>
          <w:p w14:paraId="4F712E00" w14:textId="77777777" w:rsidR="000C4299" w:rsidRPr="00426408" w:rsidRDefault="000C4299" w:rsidP="00AD02BF">
            <w:pPr>
              <w:spacing w:after="0" w:line="276" w:lineRule="auto"/>
              <w:contextualSpacing/>
              <w:jc w:val="center"/>
              <w:rPr>
                <w:sz w:val="20"/>
              </w:rPr>
            </w:pPr>
          </w:p>
        </w:tc>
      </w:tr>
      <w:tr w:rsidR="000C4299" w:rsidRPr="00F320B5" w14:paraId="2895F17D" w14:textId="77777777" w:rsidTr="00AD02BF">
        <w:tblPrEx>
          <w:tblBorders>
            <w:top w:val="single" w:sz="4" w:space="0" w:color="auto"/>
            <w:insideV w:val="none" w:sz="0" w:space="0" w:color="auto"/>
          </w:tblBorders>
        </w:tblPrEx>
        <w:tc>
          <w:tcPr>
            <w:tcW w:w="283" w:type="dxa"/>
            <w:tcBorders>
              <w:top w:val="nil"/>
              <w:bottom w:val="nil"/>
              <w:right w:val="nil"/>
            </w:tcBorders>
          </w:tcPr>
          <w:p w14:paraId="1ABB1BEE" w14:textId="77777777" w:rsidR="000C4299" w:rsidRPr="0046486F" w:rsidRDefault="000C4299" w:rsidP="00AD02BF">
            <w:pPr>
              <w:spacing w:after="0" w:line="276" w:lineRule="auto"/>
              <w:contextualSpacing/>
              <w:rPr>
                <w:sz w:val="20"/>
              </w:rPr>
            </w:pPr>
          </w:p>
        </w:tc>
        <w:tc>
          <w:tcPr>
            <w:tcW w:w="2586" w:type="dxa"/>
            <w:tcBorders>
              <w:top w:val="nil"/>
              <w:left w:val="nil"/>
              <w:bottom w:val="single" w:sz="4" w:space="0" w:color="auto"/>
              <w:right w:val="nil"/>
            </w:tcBorders>
          </w:tcPr>
          <w:p w14:paraId="172B47EA" w14:textId="77777777" w:rsidR="000C4299" w:rsidRPr="007E5E62" w:rsidRDefault="000C4299" w:rsidP="00AD02BF">
            <w:pPr>
              <w:spacing w:after="0" w:line="276" w:lineRule="auto"/>
              <w:contextualSpacing/>
              <w:rPr>
                <w:sz w:val="20"/>
                <w:szCs w:val="20"/>
              </w:rPr>
            </w:pPr>
            <w:r>
              <w:rPr>
                <w:sz w:val="20"/>
                <w:szCs w:val="20"/>
              </w:rPr>
              <w:t>None</w:t>
            </w:r>
          </w:p>
        </w:tc>
        <w:tc>
          <w:tcPr>
            <w:tcW w:w="671" w:type="dxa"/>
            <w:tcBorders>
              <w:top w:val="nil"/>
              <w:left w:val="nil"/>
              <w:bottom w:val="single" w:sz="4" w:space="0" w:color="auto"/>
              <w:right w:val="nil"/>
            </w:tcBorders>
          </w:tcPr>
          <w:p w14:paraId="7272964D" w14:textId="36045A6B" w:rsidR="000C4299" w:rsidRPr="00426408" w:rsidRDefault="005D7ADC" w:rsidP="00AD02BF">
            <w:pPr>
              <w:spacing w:after="0" w:line="276" w:lineRule="auto"/>
              <w:contextualSpacing/>
              <w:jc w:val="center"/>
              <w:rPr>
                <w:sz w:val="20"/>
              </w:rPr>
            </w:pPr>
            <w:r>
              <w:rPr>
                <w:sz w:val="20"/>
              </w:rPr>
              <w:t>13.9</w:t>
            </w:r>
          </w:p>
        </w:tc>
        <w:tc>
          <w:tcPr>
            <w:tcW w:w="1951" w:type="dxa"/>
            <w:tcBorders>
              <w:top w:val="nil"/>
              <w:left w:val="nil"/>
              <w:bottom w:val="single" w:sz="4" w:space="0" w:color="auto"/>
              <w:right w:val="nil"/>
            </w:tcBorders>
          </w:tcPr>
          <w:p w14:paraId="30FCEDF4" w14:textId="77777777" w:rsidR="000C4299" w:rsidRPr="00426408" w:rsidRDefault="000C4299" w:rsidP="00AD02BF">
            <w:pPr>
              <w:spacing w:after="0" w:line="276" w:lineRule="auto"/>
              <w:contextualSpacing/>
              <w:jc w:val="center"/>
              <w:rPr>
                <w:sz w:val="20"/>
              </w:rPr>
            </w:pPr>
            <w:r w:rsidRPr="00426408">
              <w:rPr>
                <w:sz w:val="20"/>
              </w:rPr>
              <w:t>1.00</w:t>
            </w:r>
          </w:p>
        </w:tc>
        <w:tc>
          <w:tcPr>
            <w:tcW w:w="874" w:type="dxa"/>
            <w:tcBorders>
              <w:top w:val="nil"/>
              <w:left w:val="nil"/>
              <w:bottom w:val="single" w:sz="4" w:space="0" w:color="auto"/>
              <w:right w:val="nil"/>
            </w:tcBorders>
          </w:tcPr>
          <w:p w14:paraId="7241655B" w14:textId="77777777" w:rsidR="000C4299" w:rsidRPr="00426408" w:rsidRDefault="000C4299" w:rsidP="00AD02BF">
            <w:pPr>
              <w:spacing w:after="0" w:line="276" w:lineRule="auto"/>
              <w:contextualSpacing/>
              <w:jc w:val="center"/>
              <w:rPr>
                <w:sz w:val="20"/>
              </w:rPr>
            </w:pPr>
            <w:r w:rsidRPr="00426408">
              <w:rPr>
                <w:sz w:val="20"/>
              </w:rPr>
              <w:t>-</w:t>
            </w:r>
          </w:p>
        </w:tc>
        <w:tc>
          <w:tcPr>
            <w:tcW w:w="284" w:type="dxa"/>
            <w:tcBorders>
              <w:top w:val="nil"/>
              <w:left w:val="nil"/>
              <w:bottom w:val="single" w:sz="4" w:space="0" w:color="auto"/>
              <w:right w:val="nil"/>
            </w:tcBorders>
            <w:vAlign w:val="center"/>
          </w:tcPr>
          <w:p w14:paraId="51DA4B58" w14:textId="77777777" w:rsidR="000C4299" w:rsidRPr="00426408" w:rsidRDefault="000C4299" w:rsidP="00AD02BF">
            <w:pPr>
              <w:spacing w:after="0" w:line="276" w:lineRule="auto"/>
              <w:contextualSpacing/>
              <w:jc w:val="center"/>
              <w:rPr>
                <w:sz w:val="20"/>
              </w:rPr>
            </w:pPr>
          </w:p>
        </w:tc>
        <w:tc>
          <w:tcPr>
            <w:tcW w:w="671" w:type="dxa"/>
            <w:tcBorders>
              <w:top w:val="nil"/>
              <w:left w:val="nil"/>
              <w:bottom w:val="single" w:sz="4" w:space="0" w:color="auto"/>
              <w:right w:val="nil"/>
            </w:tcBorders>
          </w:tcPr>
          <w:p w14:paraId="3E894F67" w14:textId="674B931F" w:rsidR="000C4299" w:rsidRPr="00426408" w:rsidRDefault="005D7ADC" w:rsidP="00AD02BF">
            <w:pPr>
              <w:spacing w:after="0" w:line="276" w:lineRule="auto"/>
              <w:contextualSpacing/>
              <w:jc w:val="center"/>
              <w:rPr>
                <w:sz w:val="20"/>
              </w:rPr>
            </w:pPr>
            <w:r>
              <w:rPr>
                <w:sz w:val="20"/>
              </w:rPr>
              <w:t>8.6</w:t>
            </w:r>
          </w:p>
        </w:tc>
        <w:tc>
          <w:tcPr>
            <w:tcW w:w="1850" w:type="dxa"/>
            <w:tcBorders>
              <w:top w:val="nil"/>
              <w:left w:val="nil"/>
              <w:bottom w:val="single" w:sz="4" w:space="0" w:color="auto"/>
              <w:right w:val="nil"/>
            </w:tcBorders>
          </w:tcPr>
          <w:p w14:paraId="34B7F37E" w14:textId="77777777" w:rsidR="000C4299" w:rsidRPr="00426408" w:rsidRDefault="000C4299" w:rsidP="00AD02BF">
            <w:pPr>
              <w:spacing w:after="0" w:line="276" w:lineRule="auto"/>
              <w:contextualSpacing/>
              <w:jc w:val="center"/>
              <w:rPr>
                <w:sz w:val="20"/>
              </w:rPr>
            </w:pPr>
            <w:r w:rsidRPr="00426408">
              <w:rPr>
                <w:sz w:val="20"/>
              </w:rPr>
              <w:t>1.00</w:t>
            </w:r>
          </w:p>
        </w:tc>
        <w:tc>
          <w:tcPr>
            <w:tcW w:w="1022" w:type="dxa"/>
            <w:tcBorders>
              <w:top w:val="nil"/>
              <w:left w:val="nil"/>
              <w:bottom w:val="single" w:sz="4" w:space="0" w:color="auto"/>
              <w:right w:val="nil"/>
            </w:tcBorders>
          </w:tcPr>
          <w:p w14:paraId="1004F0C8" w14:textId="77777777" w:rsidR="000C4299" w:rsidRPr="00426408" w:rsidRDefault="000C4299" w:rsidP="00AD02BF">
            <w:pPr>
              <w:spacing w:after="0" w:line="276" w:lineRule="auto"/>
              <w:contextualSpacing/>
              <w:jc w:val="center"/>
              <w:rPr>
                <w:sz w:val="20"/>
              </w:rPr>
            </w:pPr>
            <w:r w:rsidRPr="00426408">
              <w:rPr>
                <w:sz w:val="20"/>
              </w:rPr>
              <w:t>-</w:t>
            </w:r>
          </w:p>
        </w:tc>
      </w:tr>
      <w:tr w:rsidR="000C4299" w:rsidRPr="00503A7A" w14:paraId="3B0B2DCF" w14:textId="77777777" w:rsidTr="00AD02BF">
        <w:tblPrEx>
          <w:tblBorders>
            <w:top w:val="single" w:sz="4" w:space="0" w:color="auto"/>
            <w:insideV w:val="none" w:sz="0" w:space="0" w:color="auto"/>
          </w:tblBorders>
        </w:tblPrEx>
        <w:tc>
          <w:tcPr>
            <w:tcW w:w="283" w:type="dxa"/>
            <w:tcBorders>
              <w:top w:val="nil"/>
              <w:bottom w:val="single" w:sz="4" w:space="0" w:color="auto"/>
              <w:right w:val="nil"/>
            </w:tcBorders>
          </w:tcPr>
          <w:p w14:paraId="1B5E112B" w14:textId="77777777" w:rsidR="000C4299" w:rsidRPr="0046486F" w:rsidRDefault="000C4299" w:rsidP="00AD02BF">
            <w:pPr>
              <w:spacing w:after="0" w:line="276" w:lineRule="auto"/>
              <w:contextualSpacing/>
              <w:rPr>
                <w:sz w:val="20"/>
              </w:rPr>
            </w:pPr>
          </w:p>
        </w:tc>
        <w:tc>
          <w:tcPr>
            <w:tcW w:w="2586" w:type="dxa"/>
            <w:tcBorders>
              <w:top w:val="nil"/>
              <w:left w:val="nil"/>
              <w:bottom w:val="single" w:sz="4" w:space="0" w:color="auto"/>
              <w:right w:val="nil"/>
            </w:tcBorders>
          </w:tcPr>
          <w:p w14:paraId="02C5606A" w14:textId="77777777" w:rsidR="000C4299" w:rsidRPr="007E5E62" w:rsidRDefault="000C4299" w:rsidP="00AD02BF">
            <w:pPr>
              <w:spacing w:after="0" w:line="276" w:lineRule="auto"/>
              <w:contextualSpacing/>
              <w:rPr>
                <w:sz w:val="20"/>
                <w:szCs w:val="20"/>
              </w:rPr>
            </w:pPr>
            <w:r>
              <w:rPr>
                <w:rFonts w:cstheme="minorHAnsi"/>
                <w:sz w:val="20"/>
                <w:szCs w:val="20"/>
              </w:rPr>
              <w:t>≥</w:t>
            </w:r>
            <w:r>
              <w:rPr>
                <w:sz w:val="20"/>
                <w:szCs w:val="20"/>
              </w:rPr>
              <w:t>1</w:t>
            </w:r>
          </w:p>
        </w:tc>
        <w:tc>
          <w:tcPr>
            <w:tcW w:w="671" w:type="dxa"/>
            <w:tcBorders>
              <w:top w:val="nil"/>
              <w:left w:val="nil"/>
              <w:bottom w:val="single" w:sz="4" w:space="0" w:color="auto"/>
              <w:right w:val="nil"/>
            </w:tcBorders>
          </w:tcPr>
          <w:p w14:paraId="6910620D" w14:textId="06639CDF" w:rsidR="000C4299" w:rsidRPr="00426408" w:rsidRDefault="005D7ADC" w:rsidP="00AD02BF">
            <w:pPr>
              <w:spacing w:after="0" w:line="276" w:lineRule="auto"/>
              <w:contextualSpacing/>
              <w:jc w:val="center"/>
              <w:rPr>
                <w:sz w:val="20"/>
              </w:rPr>
            </w:pPr>
            <w:r>
              <w:rPr>
                <w:sz w:val="20"/>
              </w:rPr>
              <w:t>11.6</w:t>
            </w:r>
          </w:p>
        </w:tc>
        <w:tc>
          <w:tcPr>
            <w:tcW w:w="1951" w:type="dxa"/>
            <w:tcBorders>
              <w:top w:val="nil"/>
              <w:left w:val="nil"/>
              <w:bottom w:val="single" w:sz="4" w:space="0" w:color="auto"/>
              <w:right w:val="nil"/>
            </w:tcBorders>
          </w:tcPr>
          <w:p w14:paraId="348E789F" w14:textId="0A4854EF" w:rsidR="000C4299" w:rsidRPr="00426408" w:rsidRDefault="00C169EF" w:rsidP="00AD02BF">
            <w:pPr>
              <w:spacing w:after="0" w:line="276" w:lineRule="auto"/>
              <w:contextualSpacing/>
              <w:jc w:val="center"/>
              <w:rPr>
                <w:sz w:val="20"/>
              </w:rPr>
            </w:pPr>
            <w:r>
              <w:rPr>
                <w:sz w:val="20"/>
              </w:rPr>
              <w:t>0.84 [0.48-1.47]</w:t>
            </w:r>
          </w:p>
        </w:tc>
        <w:tc>
          <w:tcPr>
            <w:tcW w:w="874" w:type="dxa"/>
            <w:tcBorders>
              <w:top w:val="nil"/>
              <w:left w:val="nil"/>
              <w:bottom w:val="single" w:sz="4" w:space="0" w:color="auto"/>
              <w:right w:val="nil"/>
            </w:tcBorders>
          </w:tcPr>
          <w:p w14:paraId="58B64BD2" w14:textId="11B6463A" w:rsidR="000C4299" w:rsidRPr="00426408" w:rsidRDefault="00C169EF" w:rsidP="00AD02BF">
            <w:pPr>
              <w:spacing w:after="0" w:line="276" w:lineRule="auto"/>
              <w:contextualSpacing/>
              <w:jc w:val="center"/>
              <w:rPr>
                <w:sz w:val="20"/>
              </w:rPr>
            </w:pPr>
            <w:r>
              <w:rPr>
                <w:sz w:val="20"/>
              </w:rPr>
              <w:t>0.541</w:t>
            </w:r>
          </w:p>
        </w:tc>
        <w:tc>
          <w:tcPr>
            <w:tcW w:w="284" w:type="dxa"/>
            <w:tcBorders>
              <w:top w:val="nil"/>
              <w:left w:val="nil"/>
              <w:bottom w:val="single" w:sz="4" w:space="0" w:color="auto"/>
              <w:right w:val="nil"/>
            </w:tcBorders>
          </w:tcPr>
          <w:p w14:paraId="64878BE2" w14:textId="77777777" w:rsidR="000C4299" w:rsidRPr="00426408" w:rsidRDefault="000C4299" w:rsidP="00AD02BF">
            <w:pPr>
              <w:spacing w:after="0" w:line="276" w:lineRule="auto"/>
              <w:contextualSpacing/>
              <w:jc w:val="center"/>
              <w:rPr>
                <w:sz w:val="20"/>
              </w:rPr>
            </w:pPr>
          </w:p>
        </w:tc>
        <w:tc>
          <w:tcPr>
            <w:tcW w:w="671" w:type="dxa"/>
            <w:tcBorders>
              <w:top w:val="nil"/>
              <w:left w:val="nil"/>
              <w:bottom w:val="single" w:sz="4" w:space="0" w:color="auto"/>
              <w:right w:val="nil"/>
            </w:tcBorders>
          </w:tcPr>
          <w:p w14:paraId="3F0E39B7" w14:textId="082681B7" w:rsidR="000C4299" w:rsidRPr="00426408" w:rsidRDefault="005D7ADC" w:rsidP="00AD02BF">
            <w:pPr>
              <w:spacing w:after="0" w:line="276" w:lineRule="auto"/>
              <w:contextualSpacing/>
              <w:jc w:val="center"/>
              <w:rPr>
                <w:sz w:val="20"/>
              </w:rPr>
            </w:pPr>
            <w:r>
              <w:rPr>
                <w:sz w:val="20"/>
              </w:rPr>
              <w:t>8.5</w:t>
            </w:r>
          </w:p>
        </w:tc>
        <w:tc>
          <w:tcPr>
            <w:tcW w:w="1850" w:type="dxa"/>
            <w:tcBorders>
              <w:top w:val="nil"/>
              <w:left w:val="nil"/>
              <w:bottom w:val="single" w:sz="4" w:space="0" w:color="auto"/>
              <w:right w:val="nil"/>
            </w:tcBorders>
          </w:tcPr>
          <w:p w14:paraId="1FC8E871" w14:textId="6AEF452F" w:rsidR="000C4299" w:rsidRPr="00426408" w:rsidRDefault="00287739" w:rsidP="00AD02BF">
            <w:pPr>
              <w:spacing w:after="0" w:line="276" w:lineRule="auto"/>
              <w:contextualSpacing/>
              <w:jc w:val="center"/>
              <w:rPr>
                <w:sz w:val="20"/>
              </w:rPr>
            </w:pPr>
            <w:r>
              <w:rPr>
                <w:sz w:val="20"/>
              </w:rPr>
              <w:t>0.81 [0.43-1.52]</w:t>
            </w:r>
          </w:p>
        </w:tc>
        <w:tc>
          <w:tcPr>
            <w:tcW w:w="1022" w:type="dxa"/>
            <w:tcBorders>
              <w:top w:val="nil"/>
              <w:left w:val="nil"/>
              <w:bottom w:val="single" w:sz="4" w:space="0" w:color="auto"/>
              <w:right w:val="nil"/>
            </w:tcBorders>
          </w:tcPr>
          <w:p w14:paraId="7989EB0C" w14:textId="1FD2F62D" w:rsidR="000C4299" w:rsidRPr="00426408" w:rsidRDefault="00287739" w:rsidP="00AD02BF">
            <w:pPr>
              <w:spacing w:after="0" w:line="276" w:lineRule="auto"/>
              <w:contextualSpacing/>
              <w:jc w:val="center"/>
              <w:rPr>
                <w:sz w:val="20"/>
              </w:rPr>
            </w:pPr>
            <w:r>
              <w:rPr>
                <w:sz w:val="20"/>
              </w:rPr>
              <w:t>0.509</w:t>
            </w:r>
          </w:p>
        </w:tc>
      </w:tr>
      <w:tr w:rsidR="00140F2B" w:rsidRPr="00DA24D5" w14:paraId="31EA7A89" w14:textId="77777777" w:rsidTr="00904888">
        <w:tblPrEx>
          <w:tblBorders>
            <w:top w:val="single" w:sz="4" w:space="0" w:color="auto"/>
            <w:insideV w:val="none" w:sz="0" w:space="0" w:color="auto"/>
          </w:tblBorders>
        </w:tblPrEx>
        <w:tc>
          <w:tcPr>
            <w:tcW w:w="10192" w:type="dxa"/>
            <w:gridSpan w:val="9"/>
            <w:tcBorders>
              <w:top w:val="single" w:sz="8" w:space="0" w:color="auto"/>
              <w:bottom w:val="nil"/>
            </w:tcBorders>
          </w:tcPr>
          <w:p w14:paraId="4EDDD2FC" w14:textId="77777777" w:rsidR="00140F2B" w:rsidRDefault="00140F2B" w:rsidP="00970D58">
            <w:pPr>
              <w:spacing w:after="0" w:line="276" w:lineRule="auto"/>
              <w:contextualSpacing/>
              <w:rPr>
                <w:rFonts w:cs="Times New Roman"/>
                <w:sz w:val="18"/>
              </w:rPr>
            </w:pPr>
            <w:r>
              <w:rPr>
                <w:rFonts w:cs="Times New Roman"/>
                <w:sz w:val="18"/>
              </w:rPr>
              <w:t>*Indicates the percentage of overweight participants in each group perceiving themselves to be about the right weight or too light.</w:t>
            </w:r>
          </w:p>
          <w:p w14:paraId="2EF3DB19" w14:textId="77777777" w:rsidR="00140F2B" w:rsidRDefault="00140F2B" w:rsidP="00970D58">
            <w:pPr>
              <w:spacing w:after="0" w:line="276" w:lineRule="auto"/>
              <w:contextualSpacing/>
              <w:rPr>
                <w:rFonts w:cs="Times New Roman"/>
                <w:sz w:val="18"/>
              </w:rPr>
            </w:pPr>
            <w:r>
              <w:rPr>
                <w:rFonts w:cs="Times New Roman"/>
                <w:sz w:val="18"/>
              </w:rPr>
              <w:t>OR = odds ratio; CI = confidence interval; SES = socioeconomic status.</w:t>
            </w:r>
          </w:p>
          <w:p w14:paraId="5C2927D8" w14:textId="77777777" w:rsidR="00140F2B" w:rsidRPr="00DA24D5" w:rsidRDefault="00140F2B" w:rsidP="00970D58">
            <w:pPr>
              <w:spacing w:after="0" w:line="276" w:lineRule="auto"/>
              <w:contextualSpacing/>
              <w:rPr>
                <w:rFonts w:cs="Times New Roman"/>
                <w:sz w:val="18"/>
              </w:rPr>
            </w:pPr>
            <w:r>
              <w:rPr>
                <w:rFonts w:cs="Times New Roman"/>
                <w:sz w:val="18"/>
              </w:rPr>
              <w:t xml:space="preserve">Weighted data. </w:t>
            </w:r>
            <w:r w:rsidRPr="007E5E62">
              <w:rPr>
                <w:sz w:val="18"/>
                <w:szCs w:val="18"/>
              </w:rPr>
              <w:t>Sample sizes (</w:t>
            </w:r>
            <w:r w:rsidRPr="007E5E62">
              <w:rPr>
                <w:i/>
                <w:sz w:val="18"/>
                <w:szCs w:val="18"/>
              </w:rPr>
              <w:t>n</w:t>
            </w:r>
            <w:r w:rsidRPr="007E5E62">
              <w:rPr>
                <w:sz w:val="18"/>
                <w:szCs w:val="18"/>
              </w:rPr>
              <w:t>) are shown unweighted.</w:t>
            </w:r>
          </w:p>
        </w:tc>
      </w:tr>
    </w:tbl>
    <w:p w14:paraId="0B6BB749" w14:textId="77777777" w:rsidR="00021A54" w:rsidRDefault="00021A54">
      <w:pPr>
        <w:spacing w:after="200" w:line="276" w:lineRule="auto"/>
        <w:rPr>
          <w:rFonts w:eastAsiaTheme="majorEastAsia" w:cstheme="minorHAnsi"/>
          <w:b/>
          <w:bCs/>
          <w:sz w:val="26"/>
          <w:szCs w:val="26"/>
        </w:rPr>
      </w:pPr>
      <w:r>
        <w:br w:type="page"/>
      </w:r>
    </w:p>
    <w:p w14:paraId="3E631302" w14:textId="3CD4C72A" w:rsidR="00134375" w:rsidRDefault="00134375" w:rsidP="00D55BAF">
      <w:pPr>
        <w:pStyle w:val="Heading2"/>
      </w:pPr>
      <w:r w:rsidRPr="00D55BAF">
        <w:lastRenderedPageBreak/>
        <w:t>Figure</w:t>
      </w:r>
      <w:r w:rsidR="00FD013D">
        <w:t xml:space="preserve"> legend</w:t>
      </w:r>
      <w:r w:rsidRPr="00D55BAF">
        <w:t>s</w:t>
      </w:r>
    </w:p>
    <w:p w14:paraId="2EC8F795" w14:textId="77777777" w:rsidR="00021A54" w:rsidRPr="00E2732F" w:rsidRDefault="00021A54" w:rsidP="0005508C">
      <w:pPr>
        <w:rPr>
          <w:noProof/>
          <w:lang w:eastAsia="en-GB"/>
        </w:rPr>
      </w:pPr>
      <w:r w:rsidRPr="009C619D">
        <w:rPr>
          <w:b/>
        </w:rPr>
        <w:t xml:space="preserve">Figure 1. </w:t>
      </w:r>
      <w:r w:rsidRPr="009C619D">
        <w:t xml:space="preserve">The proportion (with 95% </w:t>
      </w:r>
      <w:r w:rsidR="00557206">
        <w:t>confidence interval</w:t>
      </w:r>
      <w:r w:rsidRPr="009C619D">
        <w:t xml:space="preserve">) of </w:t>
      </w:r>
      <w:r>
        <w:t>men and women</w:t>
      </w:r>
      <w:r w:rsidRPr="009C619D">
        <w:t xml:space="preserve"> who reported feeling ‘too heavy’, ‘about the right weight’, and ‘too ligh</w:t>
      </w:r>
      <w:r>
        <w:t xml:space="preserve">t’, by measured weight status. </w:t>
      </w:r>
      <w:r w:rsidRPr="009C619D">
        <w:t>Weighted data shown.</w:t>
      </w:r>
    </w:p>
    <w:p w14:paraId="6ECEEE36" w14:textId="77777777" w:rsidR="00021A54" w:rsidRPr="00021A54" w:rsidRDefault="00021A54" w:rsidP="00021A54"/>
    <w:sectPr w:rsidR="00021A54" w:rsidRPr="00021A54" w:rsidSect="006C1529">
      <w:pgSz w:w="12240" w:h="15840" w:code="1"/>
      <w:pgMar w:top="1440" w:right="1247" w:bottom="1440" w:left="130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FABFD" w14:textId="77777777" w:rsidR="007C3C56" w:rsidRDefault="007C3C56" w:rsidP="007C0309">
      <w:pPr>
        <w:spacing w:after="0" w:line="240" w:lineRule="auto"/>
      </w:pPr>
      <w:r>
        <w:separator/>
      </w:r>
    </w:p>
  </w:endnote>
  <w:endnote w:type="continuationSeparator" w:id="0">
    <w:p w14:paraId="6C79D170" w14:textId="77777777" w:rsidR="007C3C56" w:rsidRDefault="007C3C56" w:rsidP="007C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1106381"/>
      <w:docPartObj>
        <w:docPartGallery w:val="Page Numbers (Bottom of Page)"/>
        <w:docPartUnique/>
      </w:docPartObj>
    </w:sdtPr>
    <w:sdtEndPr>
      <w:rPr>
        <w:noProof/>
      </w:rPr>
    </w:sdtEndPr>
    <w:sdtContent>
      <w:p w14:paraId="47AD3DF1" w14:textId="7008F491" w:rsidR="00C70EF0" w:rsidRDefault="00C70EF0">
        <w:pPr>
          <w:pStyle w:val="Footer"/>
          <w:jc w:val="right"/>
        </w:pPr>
        <w:r>
          <w:fldChar w:fldCharType="begin"/>
        </w:r>
        <w:r>
          <w:instrText xml:space="preserve"> PAGE   \* MERGEFORMAT </w:instrText>
        </w:r>
        <w:r>
          <w:fldChar w:fldCharType="separate"/>
        </w:r>
        <w:r w:rsidR="003E36BD">
          <w:rPr>
            <w:noProof/>
          </w:rPr>
          <w:t>12</w:t>
        </w:r>
        <w:r>
          <w:rPr>
            <w:noProof/>
          </w:rPr>
          <w:fldChar w:fldCharType="end"/>
        </w:r>
      </w:p>
    </w:sdtContent>
  </w:sdt>
  <w:p w14:paraId="37810184" w14:textId="77777777" w:rsidR="00C70EF0" w:rsidRDefault="00C70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1D180" w14:textId="77777777" w:rsidR="00C70EF0" w:rsidRDefault="00C70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85211" w14:textId="77777777" w:rsidR="007C3C56" w:rsidRDefault="007C3C56" w:rsidP="007C0309">
      <w:pPr>
        <w:spacing w:after="0" w:line="240" w:lineRule="auto"/>
      </w:pPr>
      <w:r>
        <w:separator/>
      </w:r>
    </w:p>
  </w:footnote>
  <w:footnote w:type="continuationSeparator" w:id="0">
    <w:p w14:paraId="4D4A8FAC" w14:textId="77777777" w:rsidR="007C3C56" w:rsidRDefault="007C3C56" w:rsidP="007C0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054876"/>
    <w:multiLevelType w:val="hybridMultilevel"/>
    <w:tmpl w:val="4CC8F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A4846A4"/>
    <w:multiLevelType w:val="hybridMultilevel"/>
    <w:tmpl w:val="A9DC0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0EB"/>
    <w:rsid w:val="00000047"/>
    <w:rsid w:val="000001B3"/>
    <w:rsid w:val="000001D2"/>
    <w:rsid w:val="000001D8"/>
    <w:rsid w:val="00000314"/>
    <w:rsid w:val="000005EB"/>
    <w:rsid w:val="00000721"/>
    <w:rsid w:val="00000D0C"/>
    <w:rsid w:val="00000DE8"/>
    <w:rsid w:val="00000FDA"/>
    <w:rsid w:val="0000106F"/>
    <w:rsid w:val="00001074"/>
    <w:rsid w:val="00001532"/>
    <w:rsid w:val="00001893"/>
    <w:rsid w:val="0000203B"/>
    <w:rsid w:val="00002634"/>
    <w:rsid w:val="00002751"/>
    <w:rsid w:val="00002880"/>
    <w:rsid w:val="00002936"/>
    <w:rsid w:val="00002A03"/>
    <w:rsid w:val="00002F94"/>
    <w:rsid w:val="00003430"/>
    <w:rsid w:val="000036A3"/>
    <w:rsid w:val="0000379E"/>
    <w:rsid w:val="00003ABD"/>
    <w:rsid w:val="00003AD7"/>
    <w:rsid w:val="00004186"/>
    <w:rsid w:val="00004623"/>
    <w:rsid w:val="00004A61"/>
    <w:rsid w:val="00004A7D"/>
    <w:rsid w:val="00004A8E"/>
    <w:rsid w:val="00004CB7"/>
    <w:rsid w:val="00004DE0"/>
    <w:rsid w:val="000050CD"/>
    <w:rsid w:val="000052B3"/>
    <w:rsid w:val="0000580C"/>
    <w:rsid w:val="000059A3"/>
    <w:rsid w:val="00005CA0"/>
    <w:rsid w:val="00005CB0"/>
    <w:rsid w:val="00005D83"/>
    <w:rsid w:val="00005FF7"/>
    <w:rsid w:val="0000647A"/>
    <w:rsid w:val="00006612"/>
    <w:rsid w:val="00006A82"/>
    <w:rsid w:val="00006AB4"/>
    <w:rsid w:val="00006FCA"/>
    <w:rsid w:val="00007083"/>
    <w:rsid w:val="00007352"/>
    <w:rsid w:val="000075CE"/>
    <w:rsid w:val="000077E6"/>
    <w:rsid w:val="000079FC"/>
    <w:rsid w:val="00007C56"/>
    <w:rsid w:val="00010049"/>
    <w:rsid w:val="00010313"/>
    <w:rsid w:val="00010410"/>
    <w:rsid w:val="000108D8"/>
    <w:rsid w:val="00010A6D"/>
    <w:rsid w:val="00010F4A"/>
    <w:rsid w:val="0001105D"/>
    <w:rsid w:val="0001138F"/>
    <w:rsid w:val="000115DA"/>
    <w:rsid w:val="00011653"/>
    <w:rsid w:val="00011A3D"/>
    <w:rsid w:val="00012083"/>
    <w:rsid w:val="000124D2"/>
    <w:rsid w:val="00012580"/>
    <w:rsid w:val="000125E0"/>
    <w:rsid w:val="0001261A"/>
    <w:rsid w:val="00012885"/>
    <w:rsid w:val="00012B3F"/>
    <w:rsid w:val="00012B68"/>
    <w:rsid w:val="00012DFF"/>
    <w:rsid w:val="00013115"/>
    <w:rsid w:val="0001324E"/>
    <w:rsid w:val="000133B5"/>
    <w:rsid w:val="00013589"/>
    <w:rsid w:val="00013A10"/>
    <w:rsid w:val="000145B7"/>
    <w:rsid w:val="00014661"/>
    <w:rsid w:val="00014AB7"/>
    <w:rsid w:val="00014B5C"/>
    <w:rsid w:val="00015235"/>
    <w:rsid w:val="00015658"/>
    <w:rsid w:val="000156D6"/>
    <w:rsid w:val="00015736"/>
    <w:rsid w:val="000157A3"/>
    <w:rsid w:val="00015965"/>
    <w:rsid w:val="00015C6F"/>
    <w:rsid w:val="00015E26"/>
    <w:rsid w:val="00015EF9"/>
    <w:rsid w:val="00015F60"/>
    <w:rsid w:val="00016021"/>
    <w:rsid w:val="0001616A"/>
    <w:rsid w:val="0001619D"/>
    <w:rsid w:val="0001680B"/>
    <w:rsid w:val="00016867"/>
    <w:rsid w:val="00016927"/>
    <w:rsid w:val="00016AB6"/>
    <w:rsid w:val="00016F05"/>
    <w:rsid w:val="000174CF"/>
    <w:rsid w:val="00017C3D"/>
    <w:rsid w:val="00017D43"/>
    <w:rsid w:val="00017DED"/>
    <w:rsid w:val="00017DFF"/>
    <w:rsid w:val="00017E88"/>
    <w:rsid w:val="00017EF0"/>
    <w:rsid w:val="00017F18"/>
    <w:rsid w:val="00017F43"/>
    <w:rsid w:val="000202A6"/>
    <w:rsid w:val="000204B4"/>
    <w:rsid w:val="000204DC"/>
    <w:rsid w:val="00020569"/>
    <w:rsid w:val="000207AB"/>
    <w:rsid w:val="000207B4"/>
    <w:rsid w:val="000207C9"/>
    <w:rsid w:val="00020FA7"/>
    <w:rsid w:val="00021074"/>
    <w:rsid w:val="0002111A"/>
    <w:rsid w:val="0002124F"/>
    <w:rsid w:val="00021312"/>
    <w:rsid w:val="00021419"/>
    <w:rsid w:val="000215D8"/>
    <w:rsid w:val="00021780"/>
    <w:rsid w:val="0002197E"/>
    <w:rsid w:val="00021A54"/>
    <w:rsid w:val="00021F0D"/>
    <w:rsid w:val="000223B6"/>
    <w:rsid w:val="000227B1"/>
    <w:rsid w:val="00022BDB"/>
    <w:rsid w:val="00022D1C"/>
    <w:rsid w:val="00022D42"/>
    <w:rsid w:val="00023246"/>
    <w:rsid w:val="000233BB"/>
    <w:rsid w:val="000233F1"/>
    <w:rsid w:val="000237F7"/>
    <w:rsid w:val="000238B5"/>
    <w:rsid w:val="000238F6"/>
    <w:rsid w:val="0002390A"/>
    <w:rsid w:val="00023B76"/>
    <w:rsid w:val="000244E4"/>
    <w:rsid w:val="000247C8"/>
    <w:rsid w:val="000247FC"/>
    <w:rsid w:val="00024916"/>
    <w:rsid w:val="00024E05"/>
    <w:rsid w:val="00024E7F"/>
    <w:rsid w:val="000256FF"/>
    <w:rsid w:val="000257D6"/>
    <w:rsid w:val="00025872"/>
    <w:rsid w:val="000258E3"/>
    <w:rsid w:val="00025AB4"/>
    <w:rsid w:val="00025E14"/>
    <w:rsid w:val="00025E27"/>
    <w:rsid w:val="00026047"/>
    <w:rsid w:val="00026104"/>
    <w:rsid w:val="0002611A"/>
    <w:rsid w:val="000265A5"/>
    <w:rsid w:val="00026757"/>
    <w:rsid w:val="000268E7"/>
    <w:rsid w:val="0002694B"/>
    <w:rsid w:val="00026BCE"/>
    <w:rsid w:val="00026D21"/>
    <w:rsid w:val="00026D73"/>
    <w:rsid w:val="000270A6"/>
    <w:rsid w:val="000270C0"/>
    <w:rsid w:val="00027635"/>
    <w:rsid w:val="00027985"/>
    <w:rsid w:val="00027987"/>
    <w:rsid w:val="00027AF7"/>
    <w:rsid w:val="00027C1B"/>
    <w:rsid w:val="00027D34"/>
    <w:rsid w:val="00027E35"/>
    <w:rsid w:val="00030132"/>
    <w:rsid w:val="0003016A"/>
    <w:rsid w:val="00030218"/>
    <w:rsid w:val="000306B0"/>
    <w:rsid w:val="0003080D"/>
    <w:rsid w:val="00031153"/>
    <w:rsid w:val="000313A4"/>
    <w:rsid w:val="0003141B"/>
    <w:rsid w:val="000314B1"/>
    <w:rsid w:val="000315DE"/>
    <w:rsid w:val="00031A7B"/>
    <w:rsid w:val="00031D26"/>
    <w:rsid w:val="00031F88"/>
    <w:rsid w:val="000322C0"/>
    <w:rsid w:val="000325BC"/>
    <w:rsid w:val="00032AE6"/>
    <w:rsid w:val="00032D8D"/>
    <w:rsid w:val="000331B5"/>
    <w:rsid w:val="00033373"/>
    <w:rsid w:val="000334C1"/>
    <w:rsid w:val="0003371D"/>
    <w:rsid w:val="000337DC"/>
    <w:rsid w:val="000338FD"/>
    <w:rsid w:val="00033A7F"/>
    <w:rsid w:val="0003400F"/>
    <w:rsid w:val="00034908"/>
    <w:rsid w:val="00034C72"/>
    <w:rsid w:val="00034E9C"/>
    <w:rsid w:val="00034EE3"/>
    <w:rsid w:val="00034F5E"/>
    <w:rsid w:val="00035656"/>
    <w:rsid w:val="000358A1"/>
    <w:rsid w:val="00035B8D"/>
    <w:rsid w:val="00035BFA"/>
    <w:rsid w:val="00035C4B"/>
    <w:rsid w:val="00035CA6"/>
    <w:rsid w:val="0003660E"/>
    <w:rsid w:val="0003668D"/>
    <w:rsid w:val="000366D4"/>
    <w:rsid w:val="000369A5"/>
    <w:rsid w:val="00036B8D"/>
    <w:rsid w:val="00036BBD"/>
    <w:rsid w:val="00037201"/>
    <w:rsid w:val="00037394"/>
    <w:rsid w:val="000377A4"/>
    <w:rsid w:val="00037918"/>
    <w:rsid w:val="00037AF4"/>
    <w:rsid w:val="00037C5A"/>
    <w:rsid w:val="00037F49"/>
    <w:rsid w:val="00037FBF"/>
    <w:rsid w:val="00040675"/>
    <w:rsid w:val="00040954"/>
    <w:rsid w:val="00040AE5"/>
    <w:rsid w:val="00040AEC"/>
    <w:rsid w:val="00041113"/>
    <w:rsid w:val="00041121"/>
    <w:rsid w:val="00041352"/>
    <w:rsid w:val="000414F2"/>
    <w:rsid w:val="0004172D"/>
    <w:rsid w:val="0004178B"/>
    <w:rsid w:val="00042013"/>
    <w:rsid w:val="0004212C"/>
    <w:rsid w:val="000422FA"/>
    <w:rsid w:val="0004296A"/>
    <w:rsid w:val="00042F05"/>
    <w:rsid w:val="00043073"/>
    <w:rsid w:val="00043206"/>
    <w:rsid w:val="0004342F"/>
    <w:rsid w:val="000435F3"/>
    <w:rsid w:val="00043E40"/>
    <w:rsid w:val="00043E44"/>
    <w:rsid w:val="00044314"/>
    <w:rsid w:val="00044608"/>
    <w:rsid w:val="000447EE"/>
    <w:rsid w:val="000448E2"/>
    <w:rsid w:val="00044BCB"/>
    <w:rsid w:val="00044C34"/>
    <w:rsid w:val="00044F6F"/>
    <w:rsid w:val="00045451"/>
    <w:rsid w:val="000454DD"/>
    <w:rsid w:val="0004574E"/>
    <w:rsid w:val="00045814"/>
    <w:rsid w:val="00045D8B"/>
    <w:rsid w:val="00046473"/>
    <w:rsid w:val="0004675A"/>
    <w:rsid w:val="000469FB"/>
    <w:rsid w:val="00046A8D"/>
    <w:rsid w:val="00046DBC"/>
    <w:rsid w:val="00046F7B"/>
    <w:rsid w:val="00046F7E"/>
    <w:rsid w:val="000478CB"/>
    <w:rsid w:val="00047F29"/>
    <w:rsid w:val="0005019E"/>
    <w:rsid w:val="000501C8"/>
    <w:rsid w:val="000503D1"/>
    <w:rsid w:val="00050E86"/>
    <w:rsid w:val="00050FCD"/>
    <w:rsid w:val="000512B7"/>
    <w:rsid w:val="000512FF"/>
    <w:rsid w:val="000516F9"/>
    <w:rsid w:val="00051701"/>
    <w:rsid w:val="00052120"/>
    <w:rsid w:val="000522CF"/>
    <w:rsid w:val="0005236C"/>
    <w:rsid w:val="00052487"/>
    <w:rsid w:val="000524B1"/>
    <w:rsid w:val="000526D4"/>
    <w:rsid w:val="000528C9"/>
    <w:rsid w:val="000532A0"/>
    <w:rsid w:val="000533DA"/>
    <w:rsid w:val="00053427"/>
    <w:rsid w:val="00053446"/>
    <w:rsid w:val="00053535"/>
    <w:rsid w:val="00053668"/>
    <w:rsid w:val="00053CCC"/>
    <w:rsid w:val="00053D21"/>
    <w:rsid w:val="00053E44"/>
    <w:rsid w:val="00053FA3"/>
    <w:rsid w:val="000541FB"/>
    <w:rsid w:val="000546A2"/>
    <w:rsid w:val="00054793"/>
    <w:rsid w:val="00054E09"/>
    <w:rsid w:val="0005508C"/>
    <w:rsid w:val="0005594A"/>
    <w:rsid w:val="00055DC1"/>
    <w:rsid w:val="000562E6"/>
    <w:rsid w:val="000566DD"/>
    <w:rsid w:val="00056708"/>
    <w:rsid w:val="0005685B"/>
    <w:rsid w:val="00056A7E"/>
    <w:rsid w:val="00056B73"/>
    <w:rsid w:val="00056D10"/>
    <w:rsid w:val="0005748C"/>
    <w:rsid w:val="0005757A"/>
    <w:rsid w:val="000579EF"/>
    <w:rsid w:val="000600EB"/>
    <w:rsid w:val="00060541"/>
    <w:rsid w:val="00060CD7"/>
    <w:rsid w:val="00060DD1"/>
    <w:rsid w:val="00060DD9"/>
    <w:rsid w:val="00061056"/>
    <w:rsid w:val="00061406"/>
    <w:rsid w:val="000616B5"/>
    <w:rsid w:val="00061853"/>
    <w:rsid w:val="000619F3"/>
    <w:rsid w:val="00061BB4"/>
    <w:rsid w:val="00061BF3"/>
    <w:rsid w:val="00061E02"/>
    <w:rsid w:val="00061E88"/>
    <w:rsid w:val="00061EFD"/>
    <w:rsid w:val="0006202A"/>
    <w:rsid w:val="000620EE"/>
    <w:rsid w:val="000622C5"/>
    <w:rsid w:val="0006250E"/>
    <w:rsid w:val="00062858"/>
    <w:rsid w:val="00062994"/>
    <w:rsid w:val="00062C11"/>
    <w:rsid w:val="00062C30"/>
    <w:rsid w:val="00062D97"/>
    <w:rsid w:val="00062DB0"/>
    <w:rsid w:val="00062E1A"/>
    <w:rsid w:val="00063092"/>
    <w:rsid w:val="000633E5"/>
    <w:rsid w:val="000636E7"/>
    <w:rsid w:val="000639DA"/>
    <w:rsid w:val="00063C0D"/>
    <w:rsid w:val="00063CAC"/>
    <w:rsid w:val="000641F4"/>
    <w:rsid w:val="000644A1"/>
    <w:rsid w:val="000646AE"/>
    <w:rsid w:val="00064D25"/>
    <w:rsid w:val="00064F77"/>
    <w:rsid w:val="000650AA"/>
    <w:rsid w:val="0006529F"/>
    <w:rsid w:val="00065315"/>
    <w:rsid w:val="0006537F"/>
    <w:rsid w:val="000654AE"/>
    <w:rsid w:val="00065E1D"/>
    <w:rsid w:val="00065E31"/>
    <w:rsid w:val="0006671C"/>
    <w:rsid w:val="0006687E"/>
    <w:rsid w:val="00066B53"/>
    <w:rsid w:val="00066F72"/>
    <w:rsid w:val="000671A0"/>
    <w:rsid w:val="0006743F"/>
    <w:rsid w:val="00067C34"/>
    <w:rsid w:val="00067C88"/>
    <w:rsid w:val="00067CE7"/>
    <w:rsid w:val="00067E4D"/>
    <w:rsid w:val="00067FFC"/>
    <w:rsid w:val="0007048D"/>
    <w:rsid w:val="000707C3"/>
    <w:rsid w:val="00071001"/>
    <w:rsid w:val="000710E1"/>
    <w:rsid w:val="0007153B"/>
    <w:rsid w:val="0007164E"/>
    <w:rsid w:val="00071653"/>
    <w:rsid w:val="00071925"/>
    <w:rsid w:val="00071A18"/>
    <w:rsid w:val="00071E6E"/>
    <w:rsid w:val="0007213A"/>
    <w:rsid w:val="000723B1"/>
    <w:rsid w:val="00072471"/>
    <w:rsid w:val="0007249E"/>
    <w:rsid w:val="000728FE"/>
    <w:rsid w:val="00072DE2"/>
    <w:rsid w:val="000734C3"/>
    <w:rsid w:val="000735D1"/>
    <w:rsid w:val="00073A06"/>
    <w:rsid w:val="00073D03"/>
    <w:rsid w:val="00073D82"/>
    <w:rsid w:val="00074055"/>
    <w:rsid w:val="000741DE"/>
    <w:rsid w:val="00074375"/>
    <w:rsid w:val="00074961"/>
    <w:rsid w:val="000749C0"/>
    <w:rsid w:val="00074B84"/>
    <w:rsid w:val="00074BA4"/>
    <w:rsid w:val="0007542F"/>
    <w:rsid w:val="000759DB"/>
    <w:rsid w:val="00075BB2"/>
    <w:rsid w:val="00075C71"/>
    <w:rsid w:val="00075DA9"/>
    <w:rsid w:val="00076335"/>
    <w:rsid w:val="00076345"/>
    <w:rsid w:val="000764A6"/>
    <w:rsid w:val="000769D1"/>
    <w:rsid w:val="00076A60"/>
    <w:rsid w:val="00076CA2"/>
    <w:rsid w:val="00076CD5"/>
    <w:rsid w:val="000772A8"/>
    <w:rsid w:val="00077BB1"/>
    <w:rsid w:val="00077BB6"/>
    <w:rsid w:val="00077E48"/>
    <w:rsid w:val="00077F12"/>
    <w:rsid w:val="00077F9C"/>
    <w:rsid w:val="000800BF"/>
    <w:rsid w:val="00080199"/>
    <w:rsid w:val="000807FA"/>
    <w:rsid w:val="0008090D"/>
    <w:rsid w:val="00080939"/>
    <w:rsid w:val="00080DAA"/>
    <w:rsid w:val="000810CB"/>
    <w:rsid w:val="000815D6"/>
    <w:rsid w:val="00081A10"/>
    <w:rsid w:val="00082416"/>
    <w:rsid w:val="000827C4"/>
    <w:rsid w:val="00082930"/>
    <w:rsid w:val="00082AB5"/>
    <w:rsid w:val="00082C6D"/>
    <w:rsid w:val="00082D8E"/>
    <w:rsid w:val="00082EE0"/>
    <w:rsid w:val="00082F7C"/>
    <w:rsid w:val="00083812"/>
    <w:rsid w:val="00083A14"/>
    <w:rsid w:val="00083D82"/>
    <w:rsid w:val="00083E79"/>
    <w:rsid w:val="00083F3D"/>
    <w:rsid w:val="00084468"/>
    <w:rsid w:val="000845C7"/>
    <w:rsid w:val="000845E4"/>
    <w:rsid w:val="00084DDF"/>
    <w:rsid w:val="000850ED"/>
    <w:rsid w:val="00085292"/>
    <w:rsid w:val="00085601"/>
    <w:rsid w:val="0008577F"/>
    <w:rsid w:val="00085DE0"/>
    <w:rsid w:val="0008605E"/>
    <w:rsid w:val="000867E7"/>
    <w:rsid w:val="00086CA2"/>
    <w:rsid w:val="00086D0A"/>
    <w:rsid w:val="00086DDB"/>
    <w:rsid w:val="00086EFB"/>
    <w:rsid w:val="0008709D"/>
    <w:rsid w:val="000870BA"/>
    <w:rsid w:val="00087B94"/>
    <w:rsid w:val="00087BCC"/>
    <w:rsid w:val="00087EE1"/>
    <w:rsid w:val="000900D1"/>
    <w:rsid w:val="00090363"/>
    <w:rsid w:val="000903B3"/>
    <w:rsid w:val="00090BF9"/>
    <w:rsid w:val="000918FF"/>
    <w:rsid w:val="00091FC6"/>
    <w:rsid w:val="000926DC"/>
    <w:rsid w:val="0009278A"/>
    <w:rsid w:val="000928DC"/>
    <w:rsid w:val="000929BC"/>
    <w:rsid w:val="00092B49"/>
    <w:rsid w:val="00092B61"/>
    <w:rsid w:val="00092F27"/>
    <w:rsid w:val="00092F5F"/>
    <w:rsid w:val="0009303D"/>
    <w:rsid w:val="000932F2"/>
    <w:rsid w:val="000937B7"/>
    <w:rsid w:val="000939F8"/>
    <w:rsid w:val="00093A36"/>
    <w:rsid w:val="00093D79"/>
    <w:rsid w:val="00093EC0"/>
    <w:rsid w:val="00093F24"/>
    <w:rsid w:val="000940E0"/>
    <w:rsid w:val="0009447C"/>
    <w:rsid w:val="000944FE"/>
    <w:rsid w:val="000945F3"/>
    <w:rsid w:val="00094712"/>
    <w:rsid w:val="00094BE4"/>
    <w:rsid w:val="00094C24"/>
    <w:rsid w:val="00094EBE"/>
    <w:rsid w:val="00095317"/>
    <w:rsid w:val="0009567D"/>
    <w:rsid w:val="000957D3"/>
    <w:rsid w:val="000958D5"/>
    <w:rsid w:val="0009594B"/>
    <w:rsid w:val="000959C3"/>
    <w:rsid w:val="00095D77"/>
    <w:rsid w:val="00095FFB"/>
    <w:rsid w:val="00096075"/>
    <w:rsid w:val="000960AF"/>
    <w:rsid w:val="0009611C"/>
    <w:rsid w:val="000961A5"/>
    <w:rsid w:val="000965BE"/>
    <w:rsid w:val="000966AB"/>
    <w:rsid w:val="00096870"/>
    <w:rsid w:val="00096A15"/>
    <w:rsid w:val="00096A7B"/>
    <w:rsid w:val="00096BA6"/>
    <w:rsid w:val="00097006"/>
    <w:rsid w:val="00097049"/>
    <w:rsid w:val="00097447"/>
    <w:rsid w:val="000974D3"/>
    <w:rsid w:val="00097696"/>
    <w:rsid w:val="00097778"/>
    <w:rsid w:val="00097B19"/>
    <w:rsid w:val="00097C49"/>
    <w:rsid w:val="000A025B"/>
    <w:rsid w:val="000A04E6"/>
    <w:rsid w:val="000A0F1F"/>
    <w:rsid w:val="000A10B6"/>
    <w:rsid w:val="000A1349"/>
    <w:rsid w:val="000A1CD0"/>
    <w:rsid w:val="000A2513"/>
    <w:rsid w:val="000A2A39"/>
    <w:rsid w:val="000A2CAB"/>
    <w:rsid w:val="000A2E6B"/>
    <w:rsid w:val="000A327C"/>
    <w:rsid w:val="000A3365"/>
    <w:rsid w:val="000A356C"/>
    <w:rsid w:val="000A37A3"/>
    <w:rsid w:val="000A39E2"/>
    <w:rsid w:val="000A3E7E"/>
    <w:rsid w:val="000A3EAB"/>
    <w:rsid w:val="000A3F82"/>
    <w:rsid w:val="000A3FEC"/>
    <w:rsid w:val="000A4048"/>
    <w:rsid w:val="000A4998"/>
    <w:rsid w:val="000A4A2A"/>
    <w:rsid w:val="000A4EAB"/>
    <w:rsid w:val="000A573F"/>
    <w:rsid w:val="000A57AD"/>
    <w:rsid w:val="000A59AF"/>
    <w:rsid w:val="000A5A47"/>
    <w:rsid w:val="000A5A5F"/>
    <w:rsid w:val="000A5B13"/>
    <w:rsid w:val="000A5BF5"/>
    <w:rsid w:val="000A5CA2"/>
    <w:rsid w:val="000A5D6F"/>
    <w:rsid w:val="000A5F41"/>
    <w:rsid w:val="000A5FBD"/>
    <w:rsid w:val="000A6319"/>
    <w:rsid w:val="000A6C07"/>
    <w:rsid w:val="000A6CD1"/>
    <w:rsid w:val="000A70CA"/>
    <w:rsid w:val="000A7245"/>
    <w:rsid w:val="000A731F"/>
    <w:rsid w:val="000A7ACA"/>
    <w:rsid w:val="000A7D46"/>
    <w:rsid w:val="000A7DED"/>
    <w:rsid w:val="000B0374"/>
    <w:rsid w:val="000B0634"/>
    <w:rsid w:val="000B07D3"/>
    <w:rsid w:val="000B0F12"/>
    <w:rsid w:val="000B0FED"/>
    <w:rsid w:val="000B1048"/>
    <w:rsid w:val="000B10D3"/>
    <w:rsid w:val="000B14F4"/>
    <w:rsid w:val="000B1503"/>
    <w:rsid w:val="000B1689"/>
    <w:rsid w:val="000B1AC1"/>
    <w:rsid w:val="000B1C9D"/>
    <w:rsid w:val="000B1E1C"/>
    <w:rsid w:val="000B24B8"/>
    <w:rsid w:val="000B24F9"/>
    <w:rsid w:val="000B2AA7"/>
    <w:rsid w:val="000B2ABB"/>
    <w:rsid w:val="000B2DC1"/>
    <w:rsid w:val="000B2FD0"/>
    <w:rsid w:val="000B349F"/>
    <w:rsid w:val="000B3CD3"/>
    <w:rsid w:val="000B3D19"/>
    <w:rsid w:val="000B3E54"/>
    <w:rsid w:val="000B3F7D"/>
    <w:rsid w:val="000B4008"/>
    <w:rsid w:val="000B402A"/>
    <w:rsid w:val="000B40D8"/>
    <w:rsid w:val="000B4194"/>
    <w:rsid w:val="000B41E9"/>
    <w:rsid w:val="000B43A0"/>
    <w:rsid w:val="000B449F"/>
    <w:rsid w:val="000B45F0"/>
    <w:rsid w:val="000B46F3"/>
    <w:rsid w:val="000B475E"/>
    <w:rsid w:val="000B4B73"/>
    <w:rsid w:val="000B4D68"/>
    <w:rsid w:val="000B4E55"/>
    <w:rsid w:val="000B529D"/>
    <w:rsid w:val="000B5407"/>
    <w:rsid w:val="000B5476"/>
    <w:rsid w:val="000B55F7"/>
    <w:rsid w:val="000B598C"/>
    <w:rsid w:val="000B5F7F"/>
    <w:rsid w:val="000B6298"/>
    <w:rsid w:val="000B6CBE"/>
    <w:rsid w:val="000B719F"/>
    <w:rsid w:val="000B7707"/>
    <w:rsid w:val="000B796F"/>
    <w:rsid w:val="000B7A62"/>
    <w:rsid w:val="000B7E24"/>
    <w:rsid w:val="000B7E4C"/>
    <w:rsid w:val="000B7F2F"/>
    <w:rsid w:val="000C0033"/>
    <w:rsid w:val="000C012C"/>
    <w:rsid w:val="000C03A6"/>
    <w:rsid w:val="000C093C"/>
    <w:rsid w:val="000C0B12"/>
    <w:rsid w:val="000C0F70"/>
    <w:rsid w:val="000C12A6"/>
    <w:rsid w:val="000C1616"/>
    <w:rsid w:val="000C1629"/>
    <w:rsid w:val="000C19A8"/>
    <w:rsid w:val="000C1F7E"/>
    <w:rsid w:val="000C20CE"/>
    <w:rsid w:val="000C24AC"/>
    <w:rsid w:val="000C26C0"/>
    <w:rsid w:val="000C2C3A"/>
    <w:rsid w:val="000C2D95"/>
    <w:rsid w:val="000C31F5"/>
    <w:rsid w:val="000C322B"/>
    <w:rsid w:val="000C386E"/>
    <w:rsid w:val="000C3B8C"/>
    <w:rsid w:val="000C4273"/>
    <w:rsid w:val="000C4299"/>
    <w:rsid w:val="000C439F"/>
    <w:rsid w:val="000C4B12"/>
    <w:rsid w:val="000C4C5A"/>
    <w:rsid w:val="000C4E26"/>
    <w:rsid w:val="000C4F12"/>
    <w:rsid w:val="000C507F"/>
    <w:rsid w:val="000C52FF"/>
    <w:rsid w:val="000C5389"/>
    <w:rsid w:val="000C56B2"/>
    <w:rsid w:val="000C5A23"/>
    <w:rsid w:val="000C5F1E"/>
    <w:rsid w:val="000C668E"/>
    <w:rsid w:val="000C6C70"/>
    <w:rsid w:val="000C6CB0"/>
    <w:rsid w:val="000C6F5C"/>
    <w:rsid w:val="000C71E8"/>
    <w:rsid w:val="000C72BD"/>
    <w:rsid w:val="000C7593"/>
    <w:rsid w:val="000C7636"/>
    <w:rsid w:val="000C773A"/>
    <w:rsid w:val="000C7BAC"/>
    <w:rsid w:val="000C7CE1"/>
    <w:rsid w:val="000C7E6D"/>
    <w:rsid w:val="000C7FDA"/>
    <w:rsid w:val="000D069C"/>
    <w:rsid w:val="000D08AA"/>
    <w:rsid w:val="000D092F"/>
    <w:rsid w:val="000D11A5"/>
    <w:rsid w:val="000D1685"/>
    <w:rsid w:val="000D1874"/>
    <w:rsid w:val="000D1C00"/>
    <w:rsid w:val="000D21B1"/>
    <w:rsid w:val="000D25E8"/>
    <w:rsid w:val="000D27DD"/>
    <w:rsid w:val="000D2EC9"/>
    <w:rsid w:val="000D30D3"/>
    <w:rsid w:val="000D3239"/>
    <w:rsid w:val="000D35A7"/>
    <w:rsid w:val="000D367C"/>
    <w:rsid w:val="000D36C4"/>
    <w:rsid w:val="000D3731"/>
    <w:rsid w:val="000D39A3"/>
    <w:rsid w:val="000D3C38"/>
    <w:rsid w:val="000D3D2A"/>
    <w:rsid w:val="000D3F21"/>
    <w:rsid w:val="000D4011"/>
    <w:rsid w:val="000D4374"/>
    <w:rsid w:val="000D46EF"/>
    <w:rsid w:val="000D493D"/>
    <w:rsid w:val="000D4B14"/>
    <w:rsid w:val="000D4D8A"/>
    <w:rsid w:val="000D4F97"/>
    <w:rsid w:val="000D5130"/>
    <w:rsid w:val="000D5329"/>
    <w:rsid w:val="000D554C"/>
    <w:rsid w:val="000D58A8"/>
    <w:rsid w:val="000D5D04"/>
    <w:rsid w:val="000D5E85"/>
    <w:rsid w:val="000D5EE6"/>
    <w:rsid w:val="000D62FE"/>
    <w:rsid w:val="000D64EC"/>
    <w:rsid w:val="000D67EE"/>
    <w:rsid w:val="000D69DB"/>
    <w:rsid w:val="000D6D5C"/>
    <w:rsid w:val="000D6E82"/>
    <w:rsid w:val="000D70A1"/>
    <w:rsid w:val="000D739B"/>
    <w:rsid w:val="000D7748"/>
    <w:rsid w:val="000D7A7E"/>
    <w:rsid w:val="000D7E0C"/>
    <w:rsid w:val="000E0262"/>
    <w:rsid w:val="000E03C9"/>
    <w:rsid w:val="000E0444"/>
    <w:rsid w:val="000E05FE"/>
    <w:rsid w:val="000E0628"/>
    <w:rsid w:val="000E06F6"/>
    <w:rsid w:val="000E07BE"/>
    <w:rsid w:val="000E0D0A"/>
    <w:rsid w:val="000E0E5F"/>
    <w:rsid w:val="000E1252"/>
    <w:rsid w:val="000E1950"/>
    <w:rsid w:val="000E1CFA"/>
    <w:rsid w:val="000E1E81"/>
    <w:rsid w:val="000E20B8"/>
    <w:rsid w:val="000E2388"/>
    <w:rsid w:val="000E238D"/>
    <w:rsid w:val="000E248A"/>
    <w:rsid w:val="000E2ED9"/>
    <w:rsid w:val="000E322B"/>
    <w:rsid w:val="000E332B"/>
    <w:rsid w:val="000E361F"/>
    <w:rsid w:val="000E39DD"/>
    <w:rsid w:val="000E3D44"/>
    <w:rsid w:val="000E3EBE"/>
    <w:rsid w:val="000E3EF2"/>
    <w:rsid w:val="000E421F"/>
    <w:rsid w:val="000E424C"/>
    <w:rsid w:val="000E45B5"/>
    <w:rsid w:val="000E4744"/>
    <w:rsid w:val="000E4ABC"/>
    <w:rsid w:val="000E4B93"/>
    <w:rsid w:val="000E4CE1"/>
    <w:rsid w:val="000E4D83"/>
    <w:rsid w:val="000E4DE6"/>
    <w:rsid w:val="000E50A0"/>
    <w:rsid w:val="000E54D6"/>
    <w:rsid w:val="000E56A9"/>
    <w:rsid w:val="000E589F"/>
    <w:rsid w:val="000E59A5"/>
    <w:rsid w:val="000E5CFB"/>
    <w:rsid w:val="000E5D81"/>
    <w:rsid w:val="000E5D86"/>
    <w:rsid w:val="000E6252"/>
    <w:rsid w:val="000E6A24"/>
    <w:rsid w:val="000E6D80"/>
    <w:rsid w:val="000E6E9B"/>
    <w:rsid w:val="000E720E"/>
    <w:rsid w:val="000E7871"/>
    <w:rsid w:val="000E7D60"/>
    <w:rsid w:val="000E7F6A"/>
    <w:rsid w:val="000F004F"/>
    <w:rsid w:val="000F027B"/>
    <w:rsid w:val="000F0354"/>
    <w:rsid w:val="000F03D4"/>
    <w:rsid w:val="000F0722"/>
    <w:rsid w:val="000F08C1"/>
    <w:rsid w:val="000F0A2D"/>
    <w:rsid w:val="000F0A73"/>
    <w:rsid w:val="000F0BE4"/>
    <w:rsid w:val="000F10D6"/>
    <w:rsid w:val="000F1512"/>
    <w:rsid w:val="000F166E"/>
    <w:rsid w:val="000F16B8"/>
    <w:rsid w:val="000F18FD"/>
    <w:rsid w:val="000F2103"/>
    <w:rsid w:val="000F25F8"/>
    <w:rsid w:val="000F2A46"/>
    <w:rsid w:val="000F345A"/>
    <w:rsid w:val="000F34FF"/>
    <w:rsid w:val="000F35BA"/>
    <w:rsid w:val="000F4077"/>
    <w:rsid w:val="000F475F"/>
    <w:rsid w:val="000F4824"/>
    <w:rsid w:val="000F4FAD"/>
    <w:rsid w:val="000F5206"/>
    <w:rsid w:val="000F54EB"/>
    <w:rsid w:val="000F5A29"/>
    <w:rsid w:val="000F5AA9"/>
    <w:rsid w:val="000F5CD5"/>
    <w:rsid w:val="000F5F06"/>
    <w:rsid w:val="000F5FAF"/>
    <w:rsid w:val="000F649D"/>
    <w:rsid w:val="000F65E2"/>
    <w:rsid w:val="000F6984"/>
    <w:rsid w:val="000F6BCB"/>
    <w:rsid w:val="000F6C21"/>
    <w:rsid w:val="000F6DBC"/>
    <w:rsid w:val="000F7020"/>
    <w:rsid w:val="000F706E"/>
    <w:rsid w:val="000F7707"/>
    <w:rsid w:val="000F7752"/>
    <w:rsid w:val="000F7B83"/>
    <w:rsid w:val="000F7C4B"/>
    <w:rsid w:val="000F7DB0"/>
    <w:rsid w:val="000F7EC0"/>
    <w:rsid w:val="00100061"/>
    <w:rsid w:val="001000B0"/>
    <w:rsid w:val="00100222"/>
    <w:rsid w:val="00100340"/>
    <w:rsid w:val="001004A1"/>
    <w:rsid w:val="001005AD"/>
    <w:rsid w:val="00100719"/>
    <w:rsid w:val="00100806"/>
    <w:rsid w:val="001008F3"/>
    <w:rsid w:val="00100907"/>
    <w:rsid w:val="00100A62"/>
    <w:rsid w:val="00100ABE"/>
    <w:rsid w:val="00101025"/>
    <w:rsid w:val="00101041"/>
    <w:rsid w:val="00101195"/>
    <w:rsid w:val="00101472"/>
    <w:rsid w:val="0010175F"/>
    <w:rsid w:val="00101AFC"/>
    <w:rsid w:val="00101FF3"/>
    <w:rsid w:val="0010278E"/>
    <w:rsid w:val="00102AB1"/>
    <w:rsid w:val="00102D9E"/>
    <w:rsid w:val="00102E99"/>
    <w:rsid w:val="00102FA7"/>
    <w:rsid w:val="001032DB"/>
    <w:rsid w:val="00103829"/>
    <w:rsid w:val="0010392B"/>
    <w:rsid w:val="00104084"/>
    <w:rsid w:val="001042CC"/>
    <w:rsid w:val="00104731"/>
    <w:rsid w:val="0010474C"/>
    <w:rsid w:val="001049F9"/>
    <w:rsid w:val="00104C9D"/>
    <w:rsid w:val="00104F5E"/>
    <w:rsid w:val="001051E4"/>
    <w:rsid w:val="00105795"/>
    <w:rsid w:val="00105A10"/>
    <w:rsid w:val="00105B1D"/>
    <w:rsid w:val="00105C8A"/>
    <w:rsid w:val="00105CA6"/>
    <w:rsid w:val="00106179"/>
    <w:rsid w:val="00106343"/>
    <w:rsid w:val="001063BE"/>
    <w:rsid w:val="00106846"/>
    <w:rsid w:val="001069E6"/>
    <w:rsid w:val="00106EE7"/>
    <w:rsid w:val="001071E7"/>
    <w:rsid w:val="0010742B"/>
    <w:rsid w:val="001078EF"/>
    <w:rsid w:val="001104AA"/>
    <w:rsid w:val="001104C7"/>
    <w:rsid w:val="00110630"/>
    <w:rsid w:val="0011086E"/>
    <w:rsid w:val="0011095B"/>
    <w:rsid w:val="0011112A"/>
    <w:rsid w:val="001111DA"/>
    <w:rsid w:val="00111A44"/>
    <w:rsid w:val="0011201B"/>
    <w:rsid w:val="00112610"/>
    <w:rsid w:val="001127F0"/>
    <w:rsid w:val="00112834"/>
    <w:rsid w:val="00112B3E"/>
    <w:rsid w:val="00112C46"/>
    <w:rsid w:val="00112C7E"/>
    <w:rsid w:val="0011310E"/>
    <w:rsid w:val="001131B9"/>
    <w:rsid w:val="001133FD"/>
    <w:rsid w:val="00113516"/>
    <w:rsid w:val="00113570"/>
    <w:rsid w:val="00113614"/>
    <w:rsid w:val="001136C1"/>
    <w:rsid w:val="001136C6"/>
    <w:rsid w:val="00113A4B"/>
    <w:rsid w:val="00113D4A"/>
    <w:rsid w:val="0011443B"/>
    <w:rsid w:val="00114845"/>
    <w:rsid w:val="00114BC0"/>
    <w:rsid w:val="00114C5A"/>
    <w:rsid w:val="00114C68"/>
    <w:rsid w:val="00114E8A"/>
    <w:rsid w:val="00114FD0"/>
    <w:rsid w:val="001152EA"/>
    <w:rsid w:val="0011532D"/>
    <w:rsid w:val="001153E2"/>
    <w:rsid w:val="0011584F"/>
    <w:rsid w:val="00115B63"/>
    <w:rsid w:val="00115BDF"/>
    <w:rsid w:val="00115C27"/>
    <w:rsid w:val="00115D47"/>
    <w:rsid w:val="00116358"/>
    <w:rsid w:val="001163E2"/>
    <w:rsid w:val="001165C4"/>
    <w:rsid w:val="001165F6"/>
    <w:rsid w:val="001166EE"/>
    <w:rsid w:val="00116B65"/>
    <w:rsid w:val="00116D2E"/>
    <w:rsid w:val="00116E43"/>
    <w:rsid w:val="00117367"/>
    <w:rsid w:val="00117756"/>
    <w:rsid w:val="00117946"/>
    <w:rsid w:val="001179B6"/>
    <w:rsid w:val="00117B06"/>
    <w:rsid w:val="00117D9B"/>
    <w:rsid w:val="00117F80"/>
    <w:rsid w:val="00120040"/>
    <w:rsid w:val="00120091"/>
    <w:rsid w:val="0012034E"/>
    <w:rsid w:val="001204E3"/>
    <w:rsid w:val="0012066C"/>
    <w:rsid w:val="00120796"/>
    <w:rsid w:val="00120940"/>
    <w:rsid w:val="00120ABA"/>
    <w:rsid w:val="00120B89"/>
    <w:rsid w:val="00120BCC"/>
    <w:rsid w:val="00120DB4"/>
    <w:rsid w:val="00120FAA"/>
    <w:rsid w:val="001214C3"/>
    <w:rsid w:val="0012177D"/>
    <w:rsid w:val="00121976"/>
    <w:rsid w:val="00121C10"/>
    <w:rsid w:val="00121C36"/>
    <w:rsid w:val="0012218C"/>
    <w:rsid w:val="00122249"/>
    <w:rsid w:val="00122269"/>
    <w:rsid w:val="0012240B"/>
    <w:rsid w:val="00122510"/>
    <w:rsid w:val="00122983"/>
    <w:rsid w:val="00122BA2"/>
    <w:rsid w:val="00122C89"/>
    <w:rsid w:val="001230DE"/>
    <w:rsid w:val="00123522"/>
    <w:rsid w:val="00123B30"/>
    <w:rsid w:val="00123F45"/>
    <w:rsid w:val="00123F81"/>
    <w:rsid w:val="0012421E"/>
    <w:rsid w:val="0012448D"/>
    <w:rsid w:val="0012491E"/>
    <w:rsid w:val="00124A14"/>
    <w:rsid w:val="00125023"/>
    <w:rsid w:val="00125105"/>
    <w:rsid w:val="00125376"/>
    <w:rsid w:val="00125471"/>
    <w:rsid w:val="00125ACE"/>
    <w:rsid w:val="00125B5C"/>
    <w:rsid w:val="00125C36"/>
    <w:rsid w:val="00125E2F"/>
    <w:rsid w:val="00126184"/>
    <w:rsid w:val="001264E8"/>
    <w:rsid w:val="001266E2"/>
    <w:rsid w:val="0012686B"/>
    <w:rsid w:val="00126E43"/>
    <w:rsid w:val="00127077"/>
    <w:rsid w:val="001270EB"/>
    <w:rsid w:val="001271CF"/>
    <w:rsid w:val="00127320"/>
    <w:rsid w:val="00127393"/>
    <w:rsid w:val="0012752A"/>
    <w:rsid w:val="00127534"/>
    <w:rsid w:val="00127BAA"/>
    <w:rsid w:val="0013005F"/>
    <w:rsid w:val="00130B34"/>
    <w:rsid w:val="00130B3A"/>
    <w:rsid w:val="00131014"/>
    <w:rsid w:val="001310A8"/>
    <w:rsid w:val="001311FA"/>
    <w:rsid w:val="00131276"/>
    <w:rsid w:val="00131537"/>
    <w:rsid w:val="00131784"/>
    <w:rsid w:val="001319A5"/>
    <w:rsid w:val="00131CAF"/>
    <w:rsid w:val="00131F02"/>
    <w:rsid w:val="00132002"/>
    <w:rsid w:val="00132030"/>
    <w:rsid w:val="001322D5"/>
    <w:rsid w:val="00132310"/>
    <w:rsid w:val="0013251D"/>
    <w:rsid w:val="00132698"/>
    <w:rsid w:val="001326FB"/>
    <w:rsid w:val="00132DE3"/>
    <w:rsid w:val="00132EFA"/>
    <w:rsid w:val="00133089"/>
    <w:rsid w:val="00133211"/>
    <w:rsid w:val="00133AAB"/>
    <w:rsid w:val="00133E26"/>
    <w:rsid w:val="00134375"/>
    <w:rsid w:val="00134755"/>
    <w:rsid w:val="0013477F"/>
    <w:rsid w:val="00134845"/>
    <w:rsid w:val="001349E9"/>
    <w:rsid w:val="00134A03"/>
    <w:rsid w:val="001351F2"/>
    <w:rsid w:val="001356B2"/>
    <w:rsid w:val="00135ADC"/>
    <w:rsid w:val="00135C95"/>
    <w:rsid w:val="00135DB0"/>
    <w:rsid w:val="00135F4A"/>
    <w:rsid w:val="0013614F"/>
    <w:rsid w:val="00136360"/>
    <w:rsid w:val="00136671"/>
    <w:rsid w:val="0013671E"/>
    <w:rsid w:val="00136814"/>
    <w:rsid w:val="00136BEF"/>
    <w:rsid w:val="00137588"/>
    <w:rsid w:val="00137B98"/>
    <w:rsid w:val="00137E29"/>
    <w:rsid w:val="00137E95"/>
    <w:rsid w:val="00137ED6"/>
    <w:rsid w:val="001401ED"/>
    <w:rsid w:val="0014036C"/>
    <w:rsid w:val="00140566"/>
    <w:rsid w:val="00140B1A"/>
    <w:rsid w:val="00140C7D"/>
    <w:rsid w:val="00140C8E"/>
    <w:rsid w:val="00140F2B"/>
    <w:rsid w:val="00141265"/>
    <w:rsid w:val="001413FA"/>
    <w:rsid w:val="00141ABE"/>
    <w:rsid w:val="00141B87"/>
    <w:rsid w:val="0014295E"/>
    <w:rsid w:val="00142D90"/>
    <w:rsid w:val="00142FF6"/>
    <w:rsid w:val="001432A0"/>
    <w:rsid w:val="001432D6"/>
    <w:rsid w:val="0014355D"/>
    <w:rsid w:val="0014361F"/>
    <w:rsid w:val="00143674"/>
    <w:rsid w:val="001439AB"/>
    <w:rsid w:val="00143C61"/>
    <w:rsid w:val="00143D26"/>
    <w:rsid w:val="00143D50"/>
    <w:rsid w:val="00143F6A"/>
    <w:rsid w:val="0014417C"/>
    <w:rsid w:val="001442F0"/>
    <w:rsid w:val="0014440C"/>
    <w:rsid w:val="00144509"/>
    <w:rsid w:val="0014467B"/>
    <w:rsid w:val="001449F1"/>
    <w:rsid w:val="00144B87"/>
    <w:rsid w:val="001455C6"/>
    <w:rsid w:val="00145732"/>
    <w:rsid w:val="00145942"/>
    <w:rsid w:val="00145F58"/>
    <w:rsid w:val="00146110"/>
    <w:rsid w:val="00146730"/>
    <w:rsid w:val="00146878"/>
    <w:rsid w:val="001469E8"/>
    <w:rsid w:val="00146BD3"/>
    <w:rsid w:val="00146D3F"/>
    <w:rsid w:val="00146EB3"/>
    <w:rsid w:val="00146F7E"/>
    <w:rsid w:val="00147164"/>
    <w:rsid w:val="0014728B"/>
    <w:rsid w:val="00147429"/>
    <w:rsid w:val="0014748C"/>
    <w:rsid w:val="0014758C"/>
    <w:rsid w:val="00147832"/>
    <w:rsid w:val="0014786E"/>
    <w:rsid w:val="001502D0"/>
    <w:rsid w:val="001505A7"/>
    <w:rsid w:val="001505B2"/>
    <w:rsid w:val="00150735"/>
    <w:rsid w:val="00150B3C"/>
    <w:rsid w:val="00151282"/>
    <w:rsid w:val="00151322"/>
    <w:rsid w:val="001515EF"/>
    <w:rsid w:val="00151670"/>
    <w:rsid w:val="00151726"/>
    <w:rsid w:val="0015198B"/>
    <w:rsid w:val="00151CBA"/>
    <w:rsid w:val="001520A8"/>
    <w:rsid w:val="00152513"/>
    <w:rsid w:val="00152627"/>
    <w:rsid w:val="00152876"/>
    <w:rsid w:val="00152984"/>
    <w:rsid w:val="00152A67"/>
    <w:rsid w:val="00152B24"/>
    <w:rsid w:val="00153440"/>
    <w:rsid w:val="0015359E"/>
    <w:rsid w:val="001535F0"/>
    <w:rsid w:val="00153612"/>
    <w:rsid w:val="001538FF"/>
    <w:rsid w:val="00153ABB"/>
    <w:rsid w:val="00153C9E"/>
    <w:rsid w:val="00153D64"/>
    <w:rsid w:val="00153EB7"/>
    <w:rsid w:val="00154690"/>
    <w:rsid w:val="00154A38"/>
    <w:rsid w:val="00154FFF"/>
    <w:rsid w:val="001550A2"/>
    <w:rsid w:val="0015530D"/>
    <w:rsid w:val="001553E1"/>
    <w:rsid w:val="001553E6"/>
    <w:rsid w:val="00155A7F"/>
    <w:rsid w:val="00155DDF"/>
    <w:rsid w:val="00156066"/>
    <w:rsid w:val="001561B3"/>
    <w:rsid w:val="0015653E"/>
    <w:rsid w:val="00156711"/>
    <w:rsid w:val="001569A2"/>
    <w:rsid w:val="00156B16"/>
    <w:rsid w:val="00156B5B"/>
    <w:rsid w:val="00156E13"/>
    <w:rsid w:val="00156F2E"/>
    <w:rsid w:val="001572DA"/>
    <w:rsid w:val="0015756C"/>
    <w:rsid w:val="001575F1"/>
    <w:rsid w:val="00157991"/>
    <w:rsid w:val="00157B52"/>
    <w:rsid w:val="00157C7A"/>
    <w:rsid w:val="00157E3E"/>
    <w:rsid w:val="00157E6D"/>
    <w:rsid w:val="001603B4"/>
    <w:rsid w:val="001607DD"/>
    <w:rsid w:val="00160CEF"/>
    <w:rsid w:val="00161029"/>
    <w:rsid w:val="001611B0"/>
    <w:rsid w:val="001612BA"/>
    <w:rsid w:val="001614B2"/>
    <w:rsid w:val="00161B90"/>
    <w:rsid w:val="00162530"/>
    <w:rsid w:val="00162559"/>
    <w:rsid w:val="0016269D"/>
    <w:rsid w:val="00162809"/>
    <w:rsid w:val="001633F3"/>
    <w:rsid w:val="001635BA"/>
    <w:rsid w:val="00163777"/>
    <w:rsid w:val="00163E17"/>
    <w:rsid w:val="00163EFB"/>
    <w:rsid w:val="00163F2B"/>
    <w:rsid w:val="0016403A"/>
    <w:rsid w:val="001640D6"/>
    <w:rsid w:val="00164277"/>
    <w:rsid w:val="001648FE"/>
    <w:rsid w:val="00164914"/>
    <w:rsid w:val="001649C2"/>
    <w:rsid w:val="00164B24"/>
    <w:rsid w:val="00164B32"/>
    <w:rsid w:val="00164C00"/>
    <w:rsid w:val="00164D50"/>
    <w:rsid w:val="00165384"/>
    <w:rsid w:val="00165459"/>
    <w:rsid w:val="0016549D"/>
    <w:rsid w:val="001659E3"/>
    <w:rsid w:val="00165A04"/>
    <w:rsid w:val="00166083"/>
    <w:rsid w:val="001661B4"/>
    <w:rsid w:val="0016625F"/>
    <w:rsid w:val="0016626C"/>
    <w:rsid w:val="00166508"/>
    <w:rsid w:val="00166511"/>
    <w:rsid w:val="00166525"/>
    <w:rsid w:val="001668CC"/>
    <w:rsid w:val="00166941"/>
    <w:rsid w:val="001669FF"/>
    <w:rsid w:val="00166BAD"/>
    <w:rsid w:val="001670A7"/>
    <w:rsid w:val="001671B5"/>
    <w:rsid w:val="00167686"/>
    <w:rsid w:val="00167700"/>
    <w:rsid w:val="00167AA2"/>
    <w:rsid w:val="001700FA"/>
    <w:rsid w:val="00170203"/>
    <w:rsid w:val="001704F8"/>
    <w:rsid w:val="0017058D"/>
    <w:rsid w:val="001705D9"/>
    <w:rsid w:val="001706EF"/>
    <w:rsid w:val="00170B62"/>
    <w:rsid w:val="00170C50"/>
    <w:rsid w:val="00170FAC"/>
    <w:rsid w:val="00171146"/>
    <w:rsid w:val="001713E1"/>
    <w:rsid w:val="00171827"/>
    <w:rsid w:val="001718AF"/>
    <w:rsid w:val="001718FF"/>
    <w:rsid w:val="001720BD"/>
    <w:rsid w:val="001723A4"/>
    <w:rsid w:val="001723EE"/>
    <w:rsid w:val="0017268E"/>
    <w:rsid w:val="001726C3"/>
    <w:rsid w:val="001728AB"/>
    <w:rsid w:val="001728E7"/>
    <w:rsid w:val="00172F3A"/>
    <w:rsid w:val="001732E9"/>
    <w:rsid w:val="00173819"/>
    <w:rsid w:val="0017382C"/>
    <w:rsid w:val="0017387E"/>
    <w:rsid w:val="00173921"/>
    <w:rsid w:val="00173B46"/>
    <w:rsid w:val="00173C4D"/>
    <w:rsid w:val="00173C53"/>
    <w:rsid w:val="00173CCD"/>
    <w:rsid w:val="00173F1D"/>
    <w:rsid w:val="00173F4E"/>
    <w:rsid w:val="001741BF"/>
    <w:rsid w:val="001743AD"/>
    <w:rsid w:val="0017447C"/>
    <w:rsid w:val="00174639"/>
    <w:rsid w:val="00174D14"/>
    <w:rsid w:val="001750D5"/>
    <w:rsid w:val="00175247"/>
    <w:rsid w:val="001752D6"/>
    <w:rsid w:val="0017562F"/>
    <w:rsid w:val="00175A27"/>
    <w:rsid w:val="00175BA6"/>
    <w:rsid w:val="00175F6A"/>
    <w:rsid w:val="0017626A"/>
    <w:rsid w:val="00176520"/>
    <w:rsid w:val="001765DD"/>
    <w:rsid w:val="00176627"/>
    <w:rsid w:val="00176AD5"/>
    <w:rsid w:val="00176B62"/>
    <w:rsid w:val="00176D1B"/>
    <w:rsid w:val="00176FDE"/>
    <w:rsid w:val="00177016"/>
    <w:rsid w:val="001770BF"/>
    <w:rsid w:val="00177164"/>
    <w:rsid w:val="00177362"/>
    <w:rsid w:val="001776D6"/>
    <w:rsid w:val="00177745"/>
    <w:rsid w:val="001779AC"/>
    <w:rsid w:val="001779EE"/>
    <w:rsid w:val="00177BA9"/>
    <w:rsid w:val="00177E80"/>
    <w:rsid w:val="00177EED"/>
    <w:rsid w:val="00180489"/>
    <w:rsid w:val="001806FB"/>
    <w:rsid w:val="00180B52"/>
    <w:rsid w:val="001811F7"/>
    <w:rsid w:val="001812AC"/>
    <w:rsid w:val="00181447"/>
    <w:rsid w:val="0018153C"/>
    <w:rsid w:val="00181839"/>
    <w:rsid w:val="00181B47"/>
    <w:rsid w:val="00182864"/>
    <w:rsid w:val="00182A2B"/>
    <w:rsid w:val="00182BC4"/>
    <w:rsid w:val="00182E7E"/>
    <w:rsid w:val="00183058"/>
    <w:rsid w:val="001830C7"/>
    <w:rsid w:val="00183555"/>
    <w:rsid w:val="00183D06"/>
    <w:rsid w:val="00183FEA"/>
    <w:rsid w:val="001846E5"/>
    <w:rsid w:val="001847EF"/>
    <w:rsid w:val="00184935"/>
    <w:rsid w:val="00184AAD"/>
    <w:rsid w:val="00185090"/>
    <w:rsid w:val="001850AE"/>
    <w:rsid w:val="001850F9"/>
    <w:rsid w:val="00185458"/>
    <w:rsid w:val="001854F9"/>
    <w:rsid w:val="00185947"/>
    <w:rsid w:val="00185C12"/>
    <w:rsid w:val="00185C8A"/>
    <w:rsid w:val="0018624E"/>
    <w:rsid w:val="0018676B"/>
    <w:rsid w:val="00186A32"/>
    <w:rsid w:val="00186A91"/>
    <w:rsid w:val="00186BAC"/>
    <w:rsid w:val="00186D17"/>
    <w:rsid w:val="00187A44"/>
    <w:rsid w:val="00187CD1"/>
    <w:rsid w:val="00187E3C"/>
    <w:rsid w:val="00190D84"/>
    <w:rsid w:val="00191016"/>
    <w:rsid w:val="0019113F"/>
    <w:rsid w:val="00191241"/>
    <w:rsid w:val="001913A8"/>
    <w:rsid w:val="001916B8"/>
    <w:rsid w:val="001917FE"/>
    <w:rsid w:val="00191FD1"/>
    <w:rsid w:val="001921AA"/>
    <w:rsid w:val="00192587"/>
    <w:rsid w:val="00192DCD"/>
    <w:rsid w:val="0019362A"/>
    <w:rsid w:val="00193D8D"/>
    <w:rsid w:val="00193E18"/>
    <w:rsid w:val="00193E92"/>
    <w:rsid w:val="001940F3"/>
    <w:rsid w:val="0019410F"/>
    <w:rsid w:val="0019430B"/>
    <w:rsid w:val="00194398"/>
    <w:rsid w:val="0019444A"/>
    <w:rsid w:val="0019466F"/>
    <w:rsid w:val="00194812"/>
    <w:rsid w:val="001948D8"/>
    <w:rsid w:val="0019494E"/>
    <w:rsid w:val="00194C42"/>
    <w:rsid w:val="00194D71"/>
    <w:rsid w:val="00194E52"/>
    <w:rsid w:val="00195226"/>
    <w:rsid w:val="001952B3"/>
    <w:rsid w:val="001955A1"/>
    <w:rsid w:val="001955A7"/>
    <w:rsid w:val="0019579C"/>
    <w:rsid w:val="001957FA"/>
    <w:rsid w:val="0019582D"/>
    <w:rsid w:val="00195B32"/>
    <w:rsid w:val="00195CA3"/>
    <w:rsid w:val="00195E50"/>
    <w:rsid w:val="0019611E"/>
    <w:rsid w:val="0019665C"/>
    <w:rsid w:val="001967CA"/>
    <w:rsid w:val="001967E9"/>
    <w:rsid w:val="00196CDB"/>
    <w:rsid w:val="00196F59"/>
    <w:rsid w:val="00197010"/>
    <w:rsid w:val="0019723D"/>
    <w:rsid w:val="00197327"/>
    <w:rsid w:val="001974B5"/>
    <w:rsid w:val="001977B3"/>
    <w:rsid w:val="001977BD"/>
    <w:rsid w:val="00197BF6"/>
    <w:rsid w:val="00197E4C"/>
    <w:rsid w:val="001A0284"/>
    <w:rsid w:val="001A04F2"/>
    <w:rsid w:val="001A0508"/>
    <w:rsid w:val="001A05B8"/>
    <w:rsid w:val="001A0619"/>
    <w:rsid w:val="001A0696"/>
    <w:rsid w:val="001A0859"/>
    <w:rsid w:val="001A085C"/>
    <w:rsid w:val="001A08D5"/>
    <w:rsid w:val="001A0998"/>
    <w:rsid w:val="001A0B8B"/>
    <w:rsid w:val="001A0EF8"/>
    <w:rsid w:val="001A1317"/>
    <w:rsid w:val="001A142A"/>
    <w:rsid w:val="001A1581"/>
    <w:rsid w:val="001A1802"/>
    <w:rsid w:val="001A1900"/>
    <w:rsid w:val="001A1A26"/>
    <w:rsid w:val="001A2138"/>
    <w:rsid w:val="001A2AF5"/>
    <w:rsid w:val="001A2E8F"/>
    <w:rsid w:val="001A34E4"/>
    <w:rsid w:val="001A3970"/>
    <w:rsid w:val="001A3C9B"/>
    <w:rsid w:val="001A3D66"/>
    <w:rsid w:val="001A428E"/>
    <w:rsid w:val="001A42A0"/>
    <w:rsid w:val="001A474B"/>
    <w:rsid w:val="001A4E6E"/>
    <w:rsid w:val="001A4FAA"/>
    <w:rsid w:val="001A5807"/>
    <w:rsid w:val="001A5B16"/>
    <w:rsid w:val="001A5B6F"/>
    <w:rsid w:val="001A5B87"/>
    <w:rsid w:val="001A610F"/>
    <w:rsid w:val="001A61AC"/>
    <w:rsid w:val="001A6E52"/>
    <w:rsid w:val="001A6FCF"/>
    <w:rsid w:val="001A70F6"/>
    <w:rsid w:val="001A746B"/>
    <w:rsid w:val="001A7921"/>
    <w:rsid w:val="001A79C6"/>
    <w:rsid w:val="001A7A33"/>
    <w:rsid w:val="001A7C4F"/>
    <w:rsid w:val="001A7F24"/>
    <w:rsid w:val="001B049C"/>
    <w:rsid w:val="001B0528"/>
    <w:rsid w:val="001B0601"/>
    <w:rsid w:val="001B0E9D"/>
    <w:rsid w:val="001B0EEF"/>
    <w:rsid w:val="001B0FD5"/>
    <w:rsid w:val="001B1545"/>
    <w:rsid w:val="001B15AD"/>
    <w:rsid w:val="001B17C3"/>
    <w:rsid w:val="001B1F37"/>
    <w:rsid w:val="001B22CA"/>
    <w:rsid w:val="001B2319"/>
    <w:rsid w:val="001B23BC"/>
    <w:rsid w:val="001B2482"/>
    <w:rsid w:val="001B24D4"/>
    <w:rsid w:val="001B2AD5"/>
    <w:rsid w:val="001B2C28"/>
    <w:rsid w:val="001B2CE7"/>
    <w:rsid w:val="001B2DFC"/>
    <w:rsid w:val="001B3151"/>
    <w:rsid w:val="001B331C"/>
    <w:rsid w:val="001B37C1"/>
    <w:rsid w:val="001B3910"/>
    <w:rsid w:val="001B3BCB"/>
    <w:rsid w:val="001B3CBF"/>
    <w:rsid w:val="001B3F04"/>
    <w:rsid w:val="001B3F7C"/>
    <w:rsid w:val="001B4AEF"/>
    <w:rsid w:val="001B4B16"/>
    <w:rsid w:val="001B4E11"/>
    <w:rsid w:val="001B4E25"/>
    <w:rsid w:val="001B57DC"/>
    <w:rsid w:val="001B5843"/>
    <w:rsid w:val="001B5F5D"/>
    <w:rsid w:val="001B63CA"/>
    <w:rsid w:val="001B67A5"/>
    <w:rsid w:val="001B6861"/>
    <w:rsid w:val="001B6A4B"/>
    <w:rsid w:val="001B7498"/>
    <w:rsid w:val="001B776C"/>
    <w:rsid w:val="001B791C"/>
    <w:rsid w:val="001B7A0B"/>
    <w:rsid w:val="001B7D34"/>
    <w:rsid w:val="001C015E"/>
    <w:rsid w:val="001C01C1"/>
    <w:rsid w:val="001C02FB"/>
    <w:rsid w:val="001C03BA"/>
    <w:rsid w:val="001C0A5D"/>
    <w:rsid w:val="001C0CFE"/>
    <w:rsid w:val="001C0EB3"/>
    <w:rsid w:val="001C0F4E"/>
    <w:rsid w:val="001C1235"/>
    <w:rsid w:val="001C14EF"/>
    <w:rsid w:val="001C1576"/>
    <w:rsid w:val="001C159A"/>
    <w:rsid w:val="001C1772"/>
    <w:rsid w:val="001C181D"/>
    <w:rsid w:val="001C191D"/>
    <w:rsid w:val="001C1F46"/>
    <w:rsid w:val="001C21FF"/>
    <w:rsid w:val="001C22D4"/>
    <w:rsid w:val="001C25FC"/>
    <w:rsid w:val="001C26EA"/>
    <w:rsid w:val="001C2A7A"/>
    <w:rsid w:val="001C2F29"/>
    <w:rsid w:val="001C3752"/>
    <w:rsid w:val="001C37F5"/>
    <w:rsid w:val="001C38A1"/>
    <w:rsid w:val="001C3949"/>
    <w:rsid w:val="001C39DC"/>
    <w:rsid w:val="001C3A4D"/>
    <w:rsid w:val="001C3D5D"/>
    <w:rsid w:val="001C427A"/>
    <w:rsid w:val="001C455B"/>
    <w:rsid w:val="001C456E"/>
    <w:rsid w:val="001C467F"/>
    <w:rsid w:val="001C4959"/>
    <w:rsid w:val="001C4BD8"/>
    <w:rsid w:val="001C6018"/>
    <w:rsid w:val="001C6060"/>
    <w:rsid w:val="001C6948"/>
    <w:rsid w:val="001C6A93"/>
    <w:rsid w:val="001C6CD9"/>
    <w:rsid w:val="001C6F3B"/>
    <w:rsid w:val="001C7022"/>
    <w:rsid w:val="001C7031"/>
    <w:rsid w:val="001C7336"/>
    <w:rsid w:val="001C7585"/>
    <w:rsid w:val="001C79C7"/>
    <w:rsid w:val="001C7A06"/>
    <w:rsid w:val="001C7F15"/>
    <w:rsid w:val="001C7F30"/>
    <w:rsid w:val="001D0007"/>
    <w:rsid w:val="001D0815"/>
    <w:rsid w:val="001D0BF0"/>
    <w:rsid w:val="001D0D02"/>
    <w:rsid w:val="001D0DC2"/>
    <w:rsid w:val="001D0F82"/>
    <w:rsid w:val="001D118E"/>
    <w:rsid w:val="001D11A5"/>
    <w:rsid w:val="001D142D"/>
    <w:rsid w:val="001D1F95"/>
    <w:rsid w:val="001D21BC"/>
    <w:rsid w:val="001D2271"/>
    <w:rsid w:val="001D2364"/>
    <w:rsid w:val="001D2AD6"/>
    <w:rsid w:val="001D328D"/>
    <w:rsid w:val="001D37FC"/>
    <w:rsid w:val="001D3B89"/>
    <w:rsid w:val="001D3FCD"/>
    <w:rsid w:val="001D42BB"/>
    <w:rsid w:val="001D43D7"/>
    <w:rsid w:val="001D4466"/>
    <w:rsid w:val="001D4611"/>
    <w:rsid w:val="001D48C9"/>
    <w:rsid w:val="001D542A"/>
    <w:rsid w:val="001D595B"/>
    <w:rsid w:val="001D59BB"/>
    <w:rsid w:val="001D5A42"/>
    <w:rsid w:val="001D601B"/>
    <w:rsid w:val="001D611D"/>
    <w:rsid w:val="001D6B86"/>
    <w:rsid w:val="001D75DA"/>
    <w:rsid w:val="001D7685"/>
    <w:rsid w:val="001D76FF"/>
    <w:rsid w:val="001D796B"/>
    <w:rsid w:val="001D7B6B"/>
    <w:rsid w:val="001E01D8"/>
    <w:rsid w:val="001E0533"/>
    <w:rsid w:val="001E0921"/>
    <w:rsid w:val="001E0AE6"/>
    <w:rsid w:val="001E0F07"/>
    <w:rsid w:val="001E0F31"/>
    <w:rsid w:val="001E11A2"/>
    <w:rsid w:val="001E1434"/>
    <w:rsid w:val="001E161A"/>
    <w:rsid w:val="001E2260"/>
    <w:rsid w:val="001E28B5"/>
    <w:rsid w:val="001E2CF0"/>
    <w:rsid w:val="001E3491"/>
    <w:rsid w:val="001E37BA"/>
    <w:rsid w:val="001E3AC8"/>
    <w:rsid w:val="001E3C9E"/>
    <w:rsid w:val="001E443A"/>
    <w:rsid w:val="001E46CE"/>
    <w:rsid w:val="001E4D8E"/>
    <w:rsid w:val="001E4FAB"/>
    <w:rsid w:val="001E5375"/>
    <w:rsid w:val="001E5D15"/>
    <w:rsid w:val="001E5D17"/>
    <w:rsid w:val="001E5D18"/>
    <w:rsid w:val="001E5E31"/>
    <w:rsid w:val="001E61F4"/>
    <w:rsid w:val="001E62E6"/>
    <w:rsid w:val="001E6772"/>
    <w:rsid w:val="001E6ABD"/>
    <w:rsid w:val="001E6D21"/>
    <w:rsid w:val="001E6D8F"/>
    <w:rsid w:val="001E7107"/>
    <w:rsid w:val="001E7916"/>
    <w:rsid w:val="001E7E84"/>
    <w:rsid w:val="001F004A"/>
    <w:rsid w:val="001F041F"/>
    <w:rsid w:val="001F056B"/>
    <w:rsid w:val="001F0584"/>
    <w:rsid w:val="001F077D"/>
    <w:rsid w:val="001F0A8A"/>
    <w:rsid w:val="001F10C5"/>
    <w:rsid w:val="001F150B"/>
    <w:rsid w:val="001F152F"/>
    <w:rsid w:val="001F1B23"/>
    <w:rsid w:val="001F1BA3"/>
    <w:rsid w:val="001F1DEE"/>
    <w:rsid w:val="001F21E7"/>
    <w:rsid w:val="001F263E"/>
    <w:rsid w:val="001F28A9"/>
    <w:rsid w:val="001F3130"/>
    <w:rsid w:val="001F3546"/>
    <w:rsid w:val="001F367E"/>
    <w:rsid w:val="001F3921"/>
    <w:rsid w:val="001F3AEB"/>
    <w:rsid w:val="001F3FFE"/>
    <w:rsid w:val="001F45F3"/>
    <w:rsid w:val="001F4646"/>
    <w:rsid w:val="001F4AC0"/>
    <w:rsid w:val="001F4DEC"/>
    <w:rsid w:val="001F5139"/>
    <w:rsid w:val="001F55C2"/>
    <w:rsid w:val="001F55FF"/>
    <w:rsid w:val="001F56BE"/>
    <w:rsid w:val="001F58F9"/>
    <w:rsid w:val="001F5977"/>
    <w:rsid w:val="001F59FE"/>
    <w:rsid w:val="001F5B47"/>
    <w:rsid w:val="001F5BE5"/>
    <w:rsid w:val="001F5BFE"/>
    <w:rsid w:val="001F5E6E"/>
    <w:rsid w:val="001F6001"/>
    <w:rsid w:val="001F638B"/>
    <w:rsid w:val="001F68EB"/>
    <w:rsid w:val="001F6A36"/>
    <w:rsid w:val="001F6A41"/>
    <w:rsid w:val="001F7036"/>
    <w:rsid w:val="001F719C"/>
    <w:rsid w:val="001F788F"/>
    <w:rsid w:val="001F78D0"/>
    <w:rsid w:val="001F7908"/>
    <w:rsid w:val="002007F7"/>
    <w:rsid w:val="002008E6"/>
    <w:rsid w:val="00200D37"/>
    <w:rsid w:val="00200D3D"/>
    <w:rsid w:val="002012F7"/>
    <w:rsid w:val="00201A34"/>
    <w:rsid w:val="00201BA6"/>
    <w:rsid w:val="00201CED"/>
    <w:rsid w:val="00201D29"/>
    <w:rsid w:val="00202146"/>
    <w:rsid w:val="0020219C"/>
    <w:rsid w:val="002021B7"/>
    <w:rsid w:val="002022AE"/>
    <w:rsid w:val="00202531"/>
    <w:rsid w:val="0020263B"/>
    <w:rsid w:val="002026EB"/>
    <w:rsid w:val="00202899"/>
    <w:rsid w:val="00202A18"/>
    <w:rsid w:val="00202AA0"/>
    <w:rsid w:val="00202C8D"/>
    <w:rsid w:val="00202E7D"/>
    <w:rsid w:val="00202F08"/>
    <w:rsid w:val="00202F0B"/>
    <w:rsid w:val="002033AE"/>
    <w:rsid w:val="00203D7E"/>
    <w:rsid w:val="00203E61"/>
    <w:rsid w:val="00203F04"/>
    <w:rsid w:val="00204215"/>
    <w:rsid w:val="0020449B"/>
    <w:rsid w:val="00204512"/>
    <w:rsid w:val="0020453D"/>
    <w:rsid w:val="00204B7A"/>
    <w:rsid w:val="00204E1C"/>
    <w:rsid w:val="002055A3"/>
    <w:rsid w:val="00205647"/>
    <w:rsid w:val="002065E2"/>
    <w:rsid w:val="002066A9"/>
    <w:rsid w:val="0020683A"/>
    <w:rsid w:val="002069FA"/>
    <w:rsid w:val="002076F7"/>
    <w:rsid w:val="0020795F"/>
    <w:rsid w:val="00207B23"/>
    <w:rsid w:val="00207BF6"/>
    <w:rsid w:val="00207BF7"/>
    <w:rsid w:val="00207C51"/>
    <w:rsid w:val="00207C59"/>
    <w:rsid w:val="00207C7B"/>
    <w:rsid w:val="00207FDF"/>
    <w:rsid w:val="002103C8"/>
    <w:rsid w:val="0021051B"/>
    <w:rsid w:val="0021063C"/>
    <w:rsid w:val="00210AF1"/>
    <w:rsid w:val="00210F2F"/>
    <w:rsid w:val="0021109F"/>
    <w:rsid w:val="002110E1"/>
    <w:rsid w:val="0021144C"/>
    <w:rsid w:val="0021151B"/>
    <w:rsid w:val="00211554"/>
    <w:rsid w:val="002117C2"/>
    <w:rsid w:val="0021207F"/>
    <w:rsid w:val="002120ED"/>
    <w:rsid w:val="00212382"/>
    <w:rsid w:val="0021240B"/>
    <w:rsid w:val="0021290F"/>
    <w:rsid w:val="002129CC"/>
    <w:rsid w:val="00212EE7"/>
    <w:rsid w:val="002131FA"/>
    <w:rsid w:val="002136A4"/>
    <w:rsid w:val="0021397E"/>
    <w:rsid w:val="00213B2A"/>
    <w:rsid w:val="00213EE5"/>
    <w:rsid w:val="0021408B"/>
    <w:rsid w:val="00214729"/>
    <w:rsid w:val="00215120"/>
    <w:rsid w:val="00215285"/>
    <w:rsid w:val="00215394"/>
    <w:rsid w:val="002154F5"/>
    <w:rsid w:val="002155B1"/>
    <w:rsid w:val="00215733"/>
    <w:rsid w:val="00215BB5"/>
    <w:rsid w:val="00215C75"/>
    <w:rsid w:val="00215F66"/>
    <w:rsid w:val="002160F8"/>
    <w:rsid w:val="00216575"/>
    <w:rsid w:val="00216A10"/>
    <w:rsid w:val="00216CEF"/>
    <w:rsid w:val="002170E9"/>
    <w:rsid w:val="002173B4"/>
    <w:rsid w:val="00217499"/>
    <w:rsid w:val="0022001D"/>
    <w:rsid w:val="00220104"/>
    <w:rsid w:val="0022024E"/>
    <w:rsid w:val="0022057F"/>
    <w:rsid w:val="002205E2"/>
    <w:rsid w:val="002207E3"/>
    <w:rsid w:val="0022087A"/>
    <w:rsid w:val="00220A9D"/>
    <w:rsid w:val="00220FBB"/>
    <w:rsid w:val="0022193B"/>
    <w:rsid w:val="0022195B"/>
    <w:rsid w:val="00221A7A"/>
    <w:rsid w:val="00222135"/>
    <w:rsid w:val="002221BD"/>
    <w:rsid w:val="00222217"/>
    <w:rsid w:val="0022222A"/>
    <w:rsid w:val="00222693"/>
    <w:rsid w:val="0022271C"/>
    <w:rsid w:val="00222773"/>
    <w:rsid w:val="00222C1B"/>
    <w:rsid w:val="00222DBB"/>
    <w:rsid w:val="00222EA3"/>
    <w:rsid w:val="002231A1"/>
    <w:rsid w:val="002231A7"/>
    <w:rsid w:val="002231B4"/>
    <w:rsid w:val="002236B0"/>
    <w:rsid w:val="002236D2"/>
    <w:rsid w:val="002238CF"/>
    <w:rsid w:val="002239D1"/>
    <w:rsid w:val="00223A8C"/>
    <w:rsid w:val="00223B10"/>
    <w:rsid w:val="00223E3D"/>
    <w:rsid w:val="002240FB"/>
    <w:rsid w:val="00224117"/>
    <w:rsid w:val="0022483C"/>
    <w:rsid w:val="00224843"/>
    <w:rsid w:val="002249E7"/>
    <w:rsid w:val="00224AD8"/>
    <w:rsid w:val="00224BF0"/>
    <w:rsid w:val="00224DA0"/>
    <w:rsid w:val="0022513A"/>
    <w:rsid w:val="002252F6"/>
    <w:rsid w:val="002253EA"/>
    <w:rsid w:val="0022560A"/>
    <w:rsid w:val="0022576C"/>
    <w:rsid w:val="00225808"/>
    <w:rsid w:val="00225992"/>
    <w:rsid w:val="00226332"/>
    <w:rsid w:val="002264C9"/>
    <w:rsid w:val="002267A8"/>
    <w:rsid w:val="00226D1F"/>
    <w:rsid w:val="00226E9E"/>
    <w:rsid w:val="00226F05"/>
    <w:rsid w:val="0022712E"/>
    <w:rsid w:val="00227818"/>
    <w:rsid w:val="00227819"/>
    <w:rsid w:val="00227A8B"/>
    <w:rsid w:val="00227F8C"/>
    <w:rsid w:val="0023034A"/>
    <w:rsid w:val="002303C9"/>
    <w:rsid w:val="00230664"/>
    <w:rsid w:val="0023073F"/>
    <w:rsid w:val="00230D14"/>
    <w:rsid w:val="00231182"/>
    <w:rsid w:val="002312DD"/>
    <w:rsid w:val="00231302"/>
    <w:rsid w:val="002314DB"/>
    <w:rsid w:val="002314EC"/>
    <w:rsid w:val="00231786"/>
    <w:rsid w:val="00231A33"/>
    <w:rsid w:val="00232373"/>
    <w:rsid w:val="00232517"/>
    <w:rsid w:val="00232A61"/>
    <w:rsid w:val="00232EF1"/>
    <w:rsid w:val="00232F20"/>
    <w:rsid w:val="0023352C"/>
    <w:rsid w:val="00233773"/>
    <w:rsid w:val="0023385A"/>
    <w:rsid w:val="0023398B"/>
    <w:rsid w:val="00233C64"/>
    <w:rsid w:val="00233CBC"/>
    <w:rsid w:val="00233D95"/>
    <w:rsid w:val="00233DA1"/>
    <w:rsid w:val="00233F7B"/>
    <w:rsid w:val="002348F5"/>
    <w:rsid w:val="00234B16"/>
    <w:rsid w:val="0023513D"/>
    <w:rsid w:val="00235289"/>
    <w:rsid w:val="0023538C"/>
    <w:rsid w:val="0023589F"/>
    <w:rsid w:val="00235D26"/>
    <w:rsid w:val="00235E4F"/>
    <w:rsid w:val="00235E53"/>
    <w:rsid w:val="00235E91"/>
    <w:rsid w:val="002360B9"/>
    <w:rsid w:val="0023628C"/>
    <w:rsid w:val="002363D4"/>
    <w:rsid w:val="002365A5"/>
    <w:rsid w:val="00236A09"/>
    <w:rsid w:val="00236A96"/>
    <w:rsid w:val="00237316"/>
    <w:rsid w:val="00237593"/>
    <w:rsid w:val="00237699"/>
    <w:rsid w:val="00237741"/>
    <w:rsid w:val="0023775D"/>
    <w:rsid w:val="00237836"/>
    <w:rsid w:val="00237A1C"/>
    <w:rsid w:val="00237BD4"/>
    <w:rsid w:val="00237C2C"/>
    <w:rsid w:val="00237C95"/>
    <w:rsid w:val="00237CA0"/>
    <w:rsid w:val="00237E07"/>
    <w:rsid w:val="0024052F"/>
    <w:rsid w:val="002405CD"/>
    <w:rsid w:val="0024072C"/>
    <w:rsid w:val="002407F6"/>
    <w:rsid w:val="00240A12"/>
    <w:rsid w:val="00240B12"/>
    <w:rsid w:val="00240C10"/>
    <w:rsid w:val="00240CAB"/>
    <w:rsid w:val="0024104D"/>
    <w:rsid w:val="00241D01"/>
    <w:rsid w:val="00241DD2"/>
    <w:rsid w:val="00241E74"/>
    <w:rsid w:val="00241F1C"/>
    <w:rsid w:val="00241F5A"/>
    <w:rsid w:val="00241FA5"/>
    <w:rsid w:val="00241FD1"/>
    <w:rsid w:val="002421B5"/>
    <w:rsid w:val="00242313"/>
    <w:rsid w:val="0024240C"/>
    <w:rsid w:val="002425C4"/>
    <w:rsid w:val="00242E5D"/>
    <w:rsid w:val="00242F81"/>
    <w:rsid w:val="00243122"/>
    <w:rsid w:val="00243228"/>
    <w:rsid w:val="00243476"/>
    <w:rsid w:val="0024347F"/>
    <w:rsid w:val="002435BF"/>
    <w:rsid w:val="002439EF"/>
    <w:rsid w:val="00243F7D"/>
    <w:rsid w:val="00243FC8"/>
    <w:rsid w:val="00243FE0"/>
    <w:rsid w:val="00244013"/>
    <w:rsid w:val="002441F7"/>
    <w:rsid w:val="0024477A"/>
    <w:rsid w:val="0024498C"/>
    <w:rsid w:val="00244D22"/>
    <w:rsid w:val="00244DF9"/>
    <w:rsid w:val="00244FFB"/>
    <w:rsid w:val="00245002"/>
    <w:rsid w:val="00245296"/>
    <w:rsid w:val="00245558"/>
    <w:rsid w:val="0024571B"/>
    <w:rsid w:val="00245B2B"/>
    <w:rsid w:val="00245B74"/>
    <w:rsid w:val="00245C2A"/>
    <w:rsid w:val="00245F52"/>
    <w:rsid w:val="002460BD"/>
    <w:rsid w:val="0024619B"/>
    <w:rsid w:val="00246444"/>
    <w:rsid w:val="00246505"/>
    <w:rsid w:val="00246AE5"/>
    <w:rsid w:val="00247288"/>
    <w:rsid w:val="002507F3"/>
    <w:rsid w:val="00250890"/>
    <w:rsid w:val="002509B4"/>
    <w:rsid w:val="00250B98"/>
    <w:rsid w:val="00250CA3"/>
    <w:rsid w:val="0025116D"/>
    <w:rsid w:val="002513BD"/>
    <w:rsid w:val="002517A4"/>
    <w:rsid w:val="00252513"/>
    <w:rsid w:val="00252760"/>
    <w:rsid w:val="0025296B"/>
    <w:rsid w:val="00252FE7"/>
    <w:rsid w:val="00253569"/>
    <w:rsid w:val="0025366E"/>
    <w:rsid w:val="0025395F"/>
    <w:rsid w:val="00253961"/>
    <w:rsid w:val="00253D3F"/>
    <w:rsid w:val="00253F0E"/>
    <w:rsid w:val="00254511"/>
    <w:rsid w:val="0025483D"/>
    <w:rsid w:val="0025489A"/>
    <w:rsid w:val="00254A33"/>
    <w:rsid w:val="00254A44"/>
    <w:rsid w:val="00254B35"/>
    <w:rsid w:val="00254D0A"/>
    <w:rsid w:val="00255290"/>
    <w:rsid w:val="00255389"/>
    <w:rsid w:val="00255501"/>
    <w:rsid w:val="002555F2"/>
    <w:rsid w:val="00255987"/>
    <w:rsid w:val="00256881"/>
    <w:rsid w:val="002568B1"/>
    <w:rsid w:val="00256A50"/>
    <w:rsid w:val="00256DAB"/>
    <w:rsid w:val="002571F6"/>
    <w:rsid w:val="00257462"/>
    <w:rsid w:val="00257888"/>
    <w:rsid w:val="00257B54"/>
    <w:rsid w:val="00257E22"/>
    <w:rsid w:val="00260267"/>
    <w:rsid w:val="002602CA"/>
    <w:rsid w:val="002603C2"/>
    <w:rsid w:val="00260674"/>
    <w:rsid w:val="0026097A"/>
    <w:rsid w:val="002612B4"/>
    <w:rsid w:val="0026144C"/>
    <w:rsid w:val="0026175F"/>
    <w:rsid w:val="002623DF"/>
    <w:rsid w:val="0026281D"/>
    <w:rsid w:val="002628E6"/>
    <w:rsid w:val="002629A7"/>
    <w:rsid w:val="002634FB"/>
    <w:rsid w:val="00263B5A"/>
    <w:rsid w:val="00263BFD"/>
    <w:rsid w:val="00263C15"/>
    <w:rsid w:val="00263CB2"/>
    <w:rsid w:val="002643AF"/>
    <w:rsid w:val="002644B8"/>
    <w:rsid w:val="00264A21"/>
    <w:rsid w:val="00264A81"/>
    <w:rsid w:val="00264BE1"/>
    <w:rsid w:val="00265046"/>
    <w:rsid w:val="00265D46"/>
    <w:rsid w:val="00265F72"/>
    <w:rsid w:val="0026616B"/>
    <w:rsid w:val="00266541"/>
    <w:rsid w:val="0026690D"/>
    <w:rsid w:val="00266923"/>
    <w:rsid w:val="00266A2F"/>
    <w:rsid w:val="00266F3A"/>
    <w:rsid w:val="00266FDC"/>
    <w:rsid w:val="002670E1"/>
    <w:rsid w:val="0026721D"/>
    <w:rsid w:val="00267335"/>
    <w:rsid w:val="00267408"/>
    <w:rsid w:val="00267534"/>
    <w:rsid w:val="00267641"/>
    <w:rsid w:val="0026776A"/>
    <w:rsid w:val="0026793B"/>
    <w:rsid w:val="00267DDE"/>
    <w:rsid w:val="0027037D"/>
    <w:rsid w:val="002704FB"/>
    <w:rsid w:val="00270525"/>
    <w:rsid w:val="00270918"/>
    <w:rsid w:val="00270C3D"/>
    <w:rsid w:val="00270E9F"/>
    <w:rsid w:val="0027116E"/>
    <w:rsid w:val="002715C9"/>
    <w:rsid w:val="002717AD"/>
    <w:rsid w:val="002717EB"/>
    <w:rsid w:val="00271A6F"/>
    <w:rsid w:val="00271C5F"/>
    <w:rsid w:val="00272389"/>
    <w:rsid w:val="002724E2"/>
    <w:rsid w:val="00272560"/>
    <w:rsid w:val="00272698"/>
    <w:rsid w:val="00272913"/>
    <w:rsid w:val="00272A0D"/>
    <w:rsid w:val="00272A70"/>
    <w:rsid w:val="00272ED0"/>
    <w:rsid w:val="00272FA9"/>
    <w:rsid w:val="00273023"/>
    <w:rsid w:val="002730B6"/>
    <w:rsid w:val="0027336C"/>
    <w:rsid w:val="002733B1"/>
    <w:rsid w:val="002735F1"/>
    <w:rsid w:val="00273CA3"/>
    <w:rsid w:val="00273D61"/>
    <w:rsid w:val="00273E40"/>
    <w:rsid w:val="00273FCB"/>
    <w:rsid w:val="0027459A"/>
    <w:rsid w:val="00274A43"/>
    <w:rsid w:val="00274CB4"/>
    <w:rsid w:val="00274E4A"/>
    <w:rsid w:val="00275826"/>
    <w:rsid w:val="002761F0"/>
    <w:rsid w:val="002763F4"/>
    <w:rsid w:val="002764EE"/>
    <w:rsid w:val="002769B5"/>
    <w:rsid w:val="00276C84"/>
    <w:rsid w:val="002774B2"/>
    <w:rsid w:val="00277D7B"/>
    <w:rsid w:val="0028031D"/>
    <w:rsid w:val="00280798"/>
    <w:rsid w:val="00280F0E"/>
    <w:rsid w:val="00281019"/>
    <w:rsid w:val="0028122F"/>
    <w:rsid w:val="00281628"/>
    <w:rsid w:val="00281AD2"/>
    <w:rsid w:val="00281C8A"/>
    <w:rsid w:val="00281D0E"/>
    <w:rsid w:val="002820E5"/>
    <w:rsid w:val="002821E3"/>
    <w:rsid w:val="002823AD"/>
    <w:rsid w:val="00282CF2"/>
    <w:rsid w:val="00283305"/>
    <w:rsid w:val="00283495"/>
    <w:rsid w:val="002839A2"/>
    <w:rsid w:val="00283B14"/>
    <w:rsid w:val="00283DFF"/>
    <w:rsid w:val="002840DC"/>
    <w:rsid w:val="002844A2"/>
    <w:rsid w:val="0028461A"/>
    <w:rsid w:val="00284A6C"/>
    <w:rsid w:val="00284D3B"/>
    <w:rsid w:val="0028534A"/>
    <w:rsid w:val="0028556C"/>
    <w:rsid w:val="00285AB7"/>
    <w:rsid w:val="00285C45"/>
    <w:rsid w:val="00286463"/>
    <w:rsid w:val="00286489"/>
    <w:rsid w:val="002864A7"/>
    <w:rsid w:val="002865AA"/>
    <w:rsid w:val="002865F0"/>
    <w:rsid w:val="002866B2"/>
    <w:rsid w:val="0028675C"/>
    <w:rsid w:val="00286773"/>
    <w:rsid w:val="00286954"/>
    <w:rsid w:val="00286AD1"/>
    <w:rsid w:val="00286C01"/>
    <w:rsid w:val="00286CAC"/>
    <w:rsid w:val="00287224"/>
    <w:rsid w:val="00287563"/>
    <w:rsid w:val="00287739"/>
    <w:rsid w:val="00287ABA"/>
    <w:rsid w:val="00287E47"/>
    <w:rsid w:val="00287FE6"/>
    <w:rsid w:val="00290133"/>
    <w:rsid w:val="002904DB"/>
    <w:rsid w:val="0029068D"/>
    <w:rsid w:val="0029094F"/>
    <w:rsid w:val="00290B13"/>
    <w:rsid w:val="00290C81"/>
    <w:rsid w:val="00290D64"/>
    <w:rsid w:val="00290E7D"/>
    <w:rsid w:val="00290F02"/>
    <w:rsid w:val="0029115E"/>
    <w:rsid w:val="002916B8"/>
    <w:rsid w:val="00291757"/>
    <w:rsid w:val="00291C3B"/>
    <w:rsid w:val="00291E16"/>
    <w:rsid w:val="002920D3"/>
    <w:rsid w:val="002923B1"/>
    <w:rsid w:val="002923DF"/>
    <w:rsid w:val="00292C9D"/>
    <w:rsid w:val="00292DD7"/>
    <w:rsid w:val="00292E21"/>
    <w:rsid w:val="00293272"/>
    <w:rsid w:val="002934A9"/>
    <w:rsid w:val="00293D74"/>
    <w:rsid w:val="0029408A"/>
    <w:rsid w:val="002943C0"/>
    <w:rsid w:val="00294460"/>
    <w:rsid w:val="00294F0C"/>
    <w:rsid w:val="00294F64"/>
    <w:rsid w:val="0029536B"/>
    <w:rsid w:val="0029547F"/>
    <w:rsid w:val="0029557F"/>
    <w:rsid w:val="002955FB"/>
    <w:rsid w:val="0029589D"/>
    <w:rsid w:val="00295E23"/>
    <w:rsid w:val="00295F49"/>
    <w:rsid w:val="002961BE"/>
    <w:rsid w:val="00296428"/>
    <w:rsid w:val="00296494"/>
    <w:rsid w:val="002966FE"/>
    <w:rsid w:val="002968D7"/>
    <w:rsid w:val="00296A18"/>
    <w:rsid w:val="00296B93"/>
    <w:rsid w:val="00296D66"/>
    <w:rsid w:val="002977BA"/>
    <w:rsid w:val="0029783B"/>
    <w:rsid w:val="0029792D"/>
    <w:rsid w:val="002979A5"/>
    <w:rsid w:val="00297CB8"/>
    <w:rsid w:val="00297E9D"/>
    <w:rsid w:val="002A04CD"/>
    <w:rsid w:val="002A0992"/>
    <w:rsid w:val="002A0D23"/>
    <w:rsid w:val="002A0D60"/>
    <w:rsid w:val="002A12FB"/>
    <w:rsid w:val="002A1542"/>
    <w:rsid w:val="002A1920"/>
    <w:rsid w:val="002A1983"/>
    <w:rsid w:val="002A1987"/>
    <w:rsid w:val="002A1C34"/>
    <w:rsid w:val="002A1D0A"/>
    <w:rsid w:val="002A1F67"/>
    <w:rsid w:val="002A2012"/>
    <w:rsid w:val="002A21E3"/>
    <w:rsid w:val="002A2464"/>
    <w:rsid w:val="002A2483"/>
    <w:rsid w:val="002A285C"/>
    <w:rsid w:val="002A2BB5"/>
    <w:rsid w:val="002A2D00"/>
    <w:rsid w:val="002A2F17"/>
    <w:rsid w:val="002A307F"/>
    <w:rsid w:val="002A330E"/>
    <w:rsid w:val="002A3762"/>
    <w:rsid w:val="002A3A17"/>
    <w:rsid w:val="002A3ECC"/>
    <w:rsid w:val="002A4315"/>
    <w:rsid w:val="002A45B2"/>
    <w:rsid w:val="002A46C1"/>
    <w:rsid w:val="002A49E4"/>
    <w:rsid w:val="002A4EEA"/>
    <w:rsid w:val="002A5B62"/>
    <w:rsid w:val="002A6369"/>
    <w:rsid w:val="002A683E"/>
    <w:rsid w:val="002A69BA"/>
    <w:rsid w:val="002A6DF4"/>
    <w:rsid w:val="002A761F"/>
    <w:rsid w:val="002A7748"/>
    <w:rsid w:val="002A7A03"/>
    <w:rsid w:val="002A7A4C"/>
    <w:rsid w:val="002A7A90"/>
    <w:rsid w:val="002A7BBF"/>
    <w:rsid w:val="002B0093"/>
    <w:rsid w:val="002B0133"/>
    <w:rsid w:val="002B089C"/>
    <w:rsid w:val="002B0B67"/>
    <w:rsid w:val="002B0E09"/>
    <w:rsid w:val="002B115E"/>
    <w:rsid w:val="002B1396"/>
    <w:rsid w:val="002B1604"/>
    <w:rsid w:val="002B1DDD"/>
    <w:rsid w:val="002B208B"/>
    <w:rsid w:val="002B21E7"/>
    <w:rsid w:val="002B21FA"/>
    <w:rsid w:val="002B2452"/>
    <w:rsid w:val="002B2466"/>
    <w:rsid w:val="002B29BE"/>
    <w:rsid w:val="002B2C8C"/>
    <w:rsid w:val="002B2E8B"/>
    <w:rsid w:val="002B3139"/>
    <w:rsid w:val="002B32F9"/>
    <w:rsid w:val="002B421D"/>
    <w:rsid w:val="002B4AC9"/>
    <w:rsid w:val="002B4AEC"/>
    <w:rsid w:val="002B4AF4"/>
    <w:rsid w:val="002B4EB5"/>
    <w:rsid w:val="002B5306"/>
    <w:rsid w:val="002B553A"/>
    <w:rsid w:val="002B5D85"/>
    <w:rsid w:val="002B5F6C"/>
    <w:rsid w:val="002B5FA5"/>
    <w:rsid w:val="002B6019"/>
    <w:rsid w:val="002B6210"/>
    <w:rsid w:val="002B635A"/>
    <w:rsid w:val="002B636E"/>
    <w:rsid w:val="002B642D"/>
    <w:rsid w:val="002B646F"/>
    <w:rsid w:val="002B6B92"/>
    <w:rsid w:val="002B7024"/>
    <w:rsid w:val="002B75D2"/>
    <w:rsid w:val="002B7630"/>
    <w:rsid w:val="002B7885"/>
    <w:rsid w:val="002B7AFD"/>
    <w:rsid w:val="002B7E03"/>
    <w:rsid w:val="002B7EAC"/>
    <w:rsid w:val="002B7F9C"/>
    <w:rsid w:val="002C03E6"/>
    <w:rsid w:val="002C06F3"/>
    <w:rsid w:val="002C09DA"/>
    <w:rsid w:val="002C0A70"/>
    <w:rsid w:val="002C0B65"/>
    <w:rsid w:val="002C0B8D"/>
    <w:rsid w:val="002C0D01"/>
    <w:rsid w:val="002C0D2E"/>
    <w:rsid w:val="002C0D80"/>
    <w:rsid w:val="002C10F4"/>
    <w:rsid w:val="002C135E"/>
    <w:rsid w:val="002C142B"/>
    <w:rsid w:val="002C16A2"/>
    <w:rsid w:val="002C16C7"/>
    <w:rsid w:val="002C18C2"/>
    <w:rsid w:val="002C1AC9"/>
    <w:rsid w:val="002C1D33"/>
    <w:rsid w:val="002C2101"/>
    <w:rsid w:val="002C21A6"/>
    <w:rsid w:val="002C2255"/>
    <w:rsid w:val="002C238C"/>
    <w:rsid w:val="002C25FC"/>
    <w:rsid w:val="002C260E"/>
    <w:rsid w:val="002C2D4B"/>
    <w:rsid w:val="002C356D"/>
    <w:rsid w:val="002C372E"/>
    <w:rsid w:val="002C384C"/>
    <w:rsid w:val="002C3BF4"/>
    <w:rsid w:val="002C4287"/>
    <w:rsid w:val="002C4370"/>
    <w:rsid w:val="002C481C"/>
    <w:rsid w:val="002C49C4"/>
    <w:rsid w:val="002C49CC"/>
    <w:rsid w:val="002C4D0D"/>
    <w:rsid w:val="002C4FCD"/>
    <w:rsid w:val="002C524C"/>
    <w:rsid w:val="002C5623"/>
    <w:rsid w:val="002C564D"/>
    <w:rsid w:val="002C56CC"/>
    <w:rsid w:val="002C6082"/>
    <w:rsid w:val="002C6218"/>
    <w:rsid w:val="002C643B"/>
    <w:rsid w:val="002C6D39"/>
    <w:rsid w:val="002C6D9E"/>
    <w:rsid w:val="002C7011"/>
    <w:rsid w:val="002C7B45"/>
    <w:rsid w:val="002D00EA"/>
    <w:rsid w:val="002D0371"/>
    <w:rsid w:val="002D0783"/>
    <w:rsid w:val="002D0DC5"/>
    <w:rsid w:val="002D1382"/>
    <w:rsid w:val="002D17C6"/>
    <w:rsid w:val="002D19F1"/>
    <w:rsid w:val="002D1A6B"/>
    <w:rsid w:val="002D1B4F"/>
    <w:rsid w:val="002D1B6A"/>
    <w:rsid w:val="002D1C0C"/>
    <w:rsid w:val="002D1D3D"/>
    <w:rsid w:val="002D2488"/>
    <w:rsid w:val="002D2662"/>
    <w:rsid w:val="002D2849"/>
    <w:rsid w:val="002D2ADD"/>
    <w:rsid w:val="002D2CD9"/>
    <w:rsid w:val="002D309D"/>
    <w:rsid w:val="002D3205"/>
    <w:rsid w:val="002D32D4"/>
    <w:rsid w:val="002D3609"/>
    <w:rsid w:val="002D38FA"/>
    <w:rsid w:val="002D4026"/>
    <w:rsid w:val="002D4030"/>
    <w:rsid w:val="002D4453"/>
    <w:rsid w:val="002D46F2"/>
    <w:rsid w:val="002D4DC1"/>
    <w:rsid w:val="002D4ECD"/>
    <w:rsid w:val="002D4F3B"/>
    <w:rsid w:val="002D50AE"/>
    <w:rsid w:val="002D5242"/>
    <w:rsid w:val="002D56B5"/>
    <w:rsid w:val="002D5D7C"/>
    <w:rsid w:val="002D5F58"/>
    <w:rsid w:val="002D6008"/>
    <w:rsid w:val="002D615A"/>
    <w:rsid w:val="002D6328"/>
    <w:rsid w:val="002D6360"/>
    <w:rsid w:val="002D64D1"/>
    <w:rsid w:val="002D65AB"/>
    <w:rsid w:val="002D6867"/>
    <w:rsid w:val="002D690E"/>
    <w:rsid w:val="002D6BA4"/>
    <w:rsid w:val="002D6BDB"/>
    <w:rsid w:val="002D6C3F"/>
    <w:rsid w:val="002D6DA1"/>
    <w:rsid w:val="002D745F"/>
    <w:rsid w:val="002D75DE"/>
    <w:rsid w:val="002D7988"/>
    <w:rsid w:val="002D7AE8"/>
    <w:rsid w:val="002D7B9A"/>
    <w:rsid w:val="002D7D0C"/>
    <w:rsid w:val="002E02B6"/>
    <w:rsid w:val="002E0734"/>
    <w:rsid w:val="002E098C"/>
    <w:rsid w:val="002E0AB1"/>
    <w:rsid w:val="002E0BBD"/>
    <w:rsid w:val="002E11E2"/>
    <w:rsid w:val="002E13C2"/>
    <w:rsid w:val="002E195C"/>
    <w:rsid w:val="002E1AD6"/>
    <w:rsid w:val="002E1C89"/>
    <w:rsid w:val="002E1F71"/>
    <w:rsid w:val="002E2109"/>
    <w:rsid w:val="002E210A"/>
    <w:rsid w:val="002E26C9"/>
    <w:rsid w:val="002E285A"/>
    <w:rsid w:val="002E287E"/>
    <w:rsid w:val="002E2A79"/>
    <w:rsid w:val="002E2B20"/>
    <w:rsid w:val="002E2E68"/>
    <w:rsid w:val="002E2E9D"/>
    <w:rsid w:val="002E30D6"/>
    <w:rsid w:val="002E3123"/>
    <w:rsid w:val="002E3394"/>
    <w:rsid w:val="002E3470"/>
    <w:rsid w:val="002E3490"/>
    <w:rsid w:val="002E3509"/>
    <w:rsid w:val="002E3CB8"/>
    <w:rsid w:val="002E3F9E"/>
    <w:rsid w:val="002E404B"/>
    <w:rsid w:val="002E41A6"/>
    <w:rsid w:val="002E4B0A"/>
    <w:rsid w:val="002E4CD8"/>
    <w:rsid w:val="002E4F36"/>
    <w:rsid w:val="002E53DE"/>
    <w:rsid w:val="002E5822"/>
    <w:rsid w:val="002E5AA9"/>
    <w:rsid w:val="002E5E00"/>
    <w:rsid w:val="002E5E44"/>
    <w:rsid w:val="002E613E"/>
    <w:rsid w:val="002E6368"/>
    <w:rsid w:val="002E63FA"/>
    <w:rsid w:val="002E660B"/>
    <w:rsid w:val="002E6630"/>
    <w:rsid w:val="002E68F0"/>
    <w:rsid w:val="002E72D3"/>
    <w:rsid w:val="002E73B3"/>
    <w:rsid w:val="002F02D0"/>
    <w:rsid w:val="002F0883"/>
    <w:rsid w:val="002F09A5"/>
    <w:rsid w:val="002F0D91"/>
    <w:rsid w:val="002F104E"/>
    <w:rsid w:val="002F10A9"/>
    <w:rsid w:val="002F1185"/>
    <w:rsid w:val="002F11C2"/>
    <w:rsid w:val="002F181B"/>
    <w:rsid w:val="002F19E7"/>
    <w:rsid w:val="002F1BC5"/>
    <w:rsid w:val="002F1EC1"/>
    <w:rsid w:val="002F25DF"/>
    <w:rsid w:val="002F2659"/>
    <w:rsid w:val="002F26FF"/>
    <w:rsid w:val="002F274F"/>
    <w:rsid w:val="002F31A5"/>
    <w:rsid w:val="002F3888"/>
    <w:rsid w:val="002F38EA"/>
    <w:rsid w:val="002F3B80"/>
    <w:rsid w:val="002F3EA1"/>
    <w:rsid w:val="002F4263"/>
    <w:rsid w:val="002F49AD"/>
    <w:rsid w:val="002F5A4B"/>
    <w:rsid w:val="002F5E1F"/>
    <w:rsid w:val="002F6120"/>
    <w:rsid w:val="002F70B1"/>
    <w:rsid w:val="002F74B3"/>
    <w:rsid w:val="002F7673"/>
    <w:rsid w:val="002F7761"/>
    <w:rsid w:val="002F77E0"/>
    <w:rsid w:val="002F7AFA"/>
    <w:rsid w:val="002F7EA2"/>
    <w:rsid w:val="0030004B"/>
    <w:rsid w:val="0030007E"/>
    <w:rsid w:val="00300557"/>
    <w:rsid w:val="0030094B"/>
    <w:rsid w:val="00300A24"/>
    <w:rsid w:val="00300CF9"/>
    <w:rsid w:val="0030107A"/>
    <w:rsid w:val="00301241"/>
    <w:rsid w:val="003016D4"/>
    <w:rsid w:val="00301B0B"/>
    <w:rsid w:val="00301F5A"/>
    <w:rsid w:val="00301FBD"/>
    <w:rsid w:val="003024E1"/>
    <w:rsid w:val="003025ED"/>
    <w:rsid w:val="00302774"/>
    <w:rsid w:val="003028D8"/>
    <w:rsid w:val="00302B62"/>
    <w:rsid w:val="00302B87"/>
    <w:rsid w:val="00302C92"/>
    <w:rsid w:val="00302E84"/>
    <w:rsid w:val="00302E8C"/>
    <w:rsid w:val="00302F31"/>
    <w:rsid w:val="003033DD"/>
    <w:rsid w:val="0030351A"/>
    <w:rsid w:val="0030365F"/>
    <w:rsid w:val="0030395E"/>
    <w:rsid w:val="00303CF4"/>
    <w:rsid w:val="00303DD1"/>
    <w:rsid w:val="0030486F"/>
    <w:rsid w:val="003048F2"/>
    <w:rsid w:val="00304945"/>
    <w:rsid w:val="00304FB0"/>
    <w:rsid w:val="003051A7"/>
    <w:rsid w:val="003052EC"/>
    <w:rsid w:val="00305324"/>
    <w:rsid w:val="00305444"/>
    <w:rsid w:val="00305816"/>
    <w:rsid w:val="00305872"/>
    <w:rsid w:val="003059E4"/>
    <w:rsid w:val="00305C67"/>
    <w:rsid w:val="00305CD1"/>
    <w:rsid w:val="00305DBD"/>
    <w:rsid w:val="00305E84"/>
    <w:rsid w:val="00305FA6"/>
    <w:rsid w:val="00306141"/>
    <w:rsid w:val="0030647A"/>
    <w:rsid w:val="00306C0F"/>
    <w:rsid w:val="00306D99"/>
    <w:rsid w:val="003070DF"/>
    <w:rsid w:val="00307376"/>
    <w:rsid w:val="00307672"/>
    <w:rsid w:val="003078DB"/>
    <w:rsid w:val="00307A3A"/>
    <w:rsid w:val="00307BED"/>
    <w:rsid w:val="00307D45"/>
    <w:rsid w:val="00307D98"/>
    <w:rsid w:val="00307DDC"/>
    <w:rsid w:val="003102D6"/>
    <w:rsid w:val="00310426"/>
    <w:rsid w:val="0031066A"/>
    <w:rsid w:val="003108DB"/>
    <w:rsid w:val="00310AF3"/>
    <w:rsid w:val="00310E51"/>
    <w:rsid w:val="003110EA"/>
    <w:rsid w:val="00311106"/>
    <w:rsid w:val="003111F4"/>
    <w:rsid w:val="0031165C"/>
    <w:rsid w:val="0031165D"/>
    <w:rsid w:val="0031177E"/>
    <w:rsid w:val="00311CFD"/>
    <w:rsid w:val="00311FFD"/>
    <w:rsid w:val="0031208B"/>
    <w:rsid w:val="00312140"/>
    <w:rsid w:val="003124D9"/>
    <w:rsid w:val="003125E3"/>
    <w:rsid w:val="00312609"/>
    <w:rsid w:val="003128BA"/>
    <w:rsid w:val="003134A5"/>
    <w:rsid w:val="003135AF"/>
    <w:rsid w:val="0031361E"/>
    <w:rsid w:val="00313A3A"/>
    <w:rsid w:val="00313BB3"/>
    <w:rsid w:val="00313E28"/>
    <w:rsid w:val="00314212"/>
    <w:rsid w:val="0031433D"/>
    <w:rsid w:val="0031446F"/>
    <w:rsid w:val="00314627"/>
    <w:rsid w:val="00314794"/>
    <w:rsid w:val="003148D8"/>
    <w:rsid w:val="0031492C"/>
    <w:rsid w:val="00314B5C"/>
    <w:rsid w:val="00314CF8"/>
    <w:rsid w:val="00314E99"/>
    <w:rsid w:val="003157DF"/>
    <w:rsid w:val="00315D6D"/>
    <w:rsid w:val="00315FE5"/>
    <w:rsid w:val="00316942"/>
    <w:rsid w:val="00316A69"/>
    <w:rsid w:val="00316AB3"/>
    <w:rsid w:val="00316CB4"/>
    <w:rsid w:val="00317055"/>
    <w:rsid w:val="0031708E"/>
    <w:rsid w:val="003170B0"/>
    <w:rsid w:val="0031733A"/>
    <w:rsid w:val="0031740F"/>
    <w:rsid w:val="003174ED"/>
    <w:rsid w:val="0031764C"/>
    <w:rsid w:val="00317911"/>
    <w:rsid w:val="00317ED7"/>
    <w:rsid w:val="003202FA"/>
    <w:rsid w:val="00320334"/>
    <w:rsid w:val="003205A3"/>
    <w:rsid w:val="0032067E"/>
    <w:rsid w:val="003206F5"/>
    <w:rsid w:val="00320702"/>
    <w:rsid w:val="00320B9E"/>
    <w:rsid w:val="00320BC8"/>
    <w:rsid w:val="00321022"/>
    <w:rsid w:val="003211AA"/>
    <w:rsid w:val="0032120B"/>
    <w:rsid w:val="003219FD"/>
    <w:rsid w:val="00321A2C"/>
    <w:rsid w:val="00321C91"/>
    <w:rsid w:val="00322141"/>
    <w:rsid w:val="003221D1"/>
    <w:rsid w:val="0032224E"/>
    <w:rsid w:val="003222A6"/>
    <w:rsid w:val="0032247A"/>
    <w:rsid w:val="00322ABB"/>
    <w:rsid w:val="00322C19"/>
    <w:rsid w:val="003237EF"/>
    <w:rsid w:val="00323933"/>
    <w:rsid w:val="00324169"/>
    <w:rsid w:val="0032449A"/>
    <w:rsid w:val="003248E8"/>
    <w:rsid w:val="00324997"/>
    <w:rsid w:val="00324B12"/>
    <w:rsid w:val="00324BF4"/>
    <w:rsid w:val="00324E16"/>
    <w:rsid w:val="0032533A"/>
    <w:rsid w:val="00325586"/>
    <w:rsid w:val="0032578C"/>
    <w:rsid w:val="00325836"/>
    <w:rsid w:val="0032584F"/>
    <w:rsid w:val="00325CA0"/>
    <w:rsid w:val="00325CE8"/>
    <w:rsid w:val="00325DCE"/>
    <w:rsid w:val="0032619B"/>
    <w:rsid w:val="003262B7"/>
    <w:rsid w:val="003262BA"/>
    <w:rsid w:val="003263C0"/>
    <w:rsid w:val="00326AB5"/>
    <w:rsid w:val="00326D14"/>
    <w:rsid w:val="00326F70"/>
    <w:rsid w:val="003271EA"/>
    <w:rsid w:val="00327262"/>
    <w:rsid w:val="003276A4"/>
    <w:rsid w:val="00327BBA"/>
    <w:rsid w:val="003303B8"/>
    <w:rsid w:val="00330426"/>
    <w:rsid w:val="00330931"/>
    <w:rsid w:val="0033093D"/>
    <w:rsid w:val="0033093E"/>
    <w:rsid w:val="00330F91"/>
    <w:rsid w:val="00331384"/>
    <w:rsid w:val="003317DC"/>
    <w:rsid w:val="00331F96"/>
    <w:rsid w:val="00331FFD"/>
    <w:rsid w:val="003320BD"/>
    <w:rsid w:val="00332555"/>
    <w:rsid w:val="0033278F"/>
    <w:rsid w:val="00332B63"/>
    <w:rsid w:val="00332C0C"/>
    <w:rsid w:val="003330D1"/>
    <w:rsid w:val="0033315A"/>
    <w:rsid w:val="00333392"/>
    <w:rsid w:val="00333650"/>
    <w:rsid w:val="003336B2"/>
    <w:rsid w:val="003338C2"/>
    <w:rsid w:val="00333A17"/>
    <w:rsid w:val="00333B95"/>
    <w:rsid w:val="00333C72"/>
    <w:rsid w:val="00333CD8"/>
    <w:rsid w:val="00333E55"/>
    <w:rsid w:val="0033418A"/>
    <w:rsid w:val="00334257"/>
    <w:rsid w:val="003342A0"/>
    <w:rsid w:val="00334312"/>
    <w:rsid w:val="00334333"/>
    <w:rsid w:val="003347E2"/>
    <w:rsid w:val="00334937"/>
    <w:rsid w:val="00334C55"/>
    <w:rsid w:val="00334DE8"/>
    <w:rsid w:val="00334F90"/>
    <w:rsid w:val="0033503F"/>
    <w:rsid w:val="00335237"/>
    <w:rsid w:val="0033560B"/>
    <w:rsid w:val="003359ED"/>
    <w:rsid w:val="00335A43"/>
    <w:rsid w:val="00335B32"/>
    <w:rsid w:val="00335BA6"/>
    <w:rsid w:val="00336057"/>
    <w:rsid w:val="0033620C"/>
    <w:rsid w:val="00336435"/>
    <w:rsid w:val="00336474"/>
    <w:rsid w:val="003364FE"/>
    <w:rsid w:val="003367A0"/>
    <w:rsid w:val="003367F3"/>
    <w:rsid w:val="00336A43"/>
    <w:rsid w:val="00336A46"/>
    <w:rsid w:val="00336AE7"/>
    <w:rsid w:val="00336BBB"/>
    <w:rsid w:val="00336DD6"/>
    <w:rsid w:val="003371D1"/>
    <w:rsid w:val="00337243"/>
    <w:rsid w:val="00337414"/>
    <w:rsid w:val="00337699"/>
    <w:rsid w:val="00337914"/>
    <w:rsid w:val="00337D45"/>
    <w:rsid w:val="00337F1E"/>
    <w:rsid w:val="003402BB"/>
    <w:rsid w:val="00340481"/>
    <w:rsid w:val="00340B29"/>
    <w:rsid w:val="00340B7F"/>
    <w:rsid w:val="00340E49"/>
    <w:rsid w:val="00340F3F"/>
    <w:rsid w:val="00341030"/>
    <w:rsid w:val="00341270"/>
    <w:rsid w:val="00341475"/>
    <w:rsid w:val="00341742"/>
    <w:rsid w:val="00341DFB"/>
    <w:rsid w:val="0034209E"/>
    <w:rsid w:val="003421A2"/>
    <w:rsid w:val="00342208"/>
    <w:rsid w:val="003422F5"/>
    <w:rsid w:val="00342DEE"/>
    <w:rsid w:val="00342F39"/>
    <w:rsid w:val="00342FE1"/>
    <w:rsid w:val="003431BB"/>
    <w:rsid w:val="00343334"/>
    <w:rsid w:val="0034335B"/>
    <w:rsid w:val="003435BA"/>
    <w:rsid w:val="003436F2"/>
    <w:rsid w:val="00343F85"/>
    <w:rsid w:val="00343FFB"/>
    <w:rsid w:val="0034419E"/>
    <w:rsid w:val="003442A4"/>
    <w:rsid w:val="003446D6"/>
    <w:rsid w:val="00344CC3"/>
    <w:rsid w:val="00344D86"/>
    <w:rsid w:val="00344ED6"/>
    <w:rsid w:val="00344F6B"/>
    <w:rsid w:val="0034520D"/>
    <w:rsid w:val="0034526B"/>
    <w:rsid w:val="0034528B"/>
    <w:rsid w:val="0034547A"/>
    <w:rsid w:val="00345751"/>
    <w:rsid w:val="00345CC4"/>
    <w:rsid w:val="00345E74"/>
    <w:rsid w:val="00345F9E"/>
    <w:rsid w:val="00346008"/>
    <w:rsid w:val="00346067"/>
    <w:rsid w:val="0034620E"/>
    <w:rsid w:val="003462C8"/>
    <w:rsid w:val="003469F5"/>
    <w:rsid w:val="00346A38"/>
    <w:rsid w:val="00346E3A"/>
    <w:rsid w:val="00346E50"/>
    <w:rsid w:val="003473A9"/>
    <w:rsid w:val="003479C5"/>
    <w:rsid w:val="00347F18"/>
    <w:rsid w:val="00347FD9"/>
    <w:rsid w:val="00350069"/>
    <w:rsid w:val="0035017A"/>
    <w:rsid w:val="003504A5"/>
    <w:rsid w:val="00350669"/>
    <w:rsid w:val="00350BD2"/>
    <w:rsid w:val="00351734"/>
    <w:rsid w:val="00351A8B"/>
    <w:rsid w:val="00351DBF"/>
    <w:rsid w:val="00351E1E"/>
    <w:rsid w:val="00351FA6"/>
    <w:rsid w:val="00352156"/>
    <w:rsid w:val="0035256A"/>
    <w:rsid w:val="003525B0"/>
    <w:rsid w:val="0035275B"/>
    <w:rsid w:val="003529EF"/>
    <w:rsid w:val="00352DC1"/>
    <w:rsid w:val="003535D8"/>
    <w:rsid w:val="00353A13"/>
    <w:rsid w:val="00354089"/>
    <w:rsid w:val="003541C8"/>
    <w:rsid w:val="003544BD"/>
    <w:rsid w:val="003545CB"/>
    <w:rsid w:val="00354826"/>
    <w:rsid w:val="00354CD1"/>
    <w:rsid w:val="003557EB"/>
    <w:rsid w:val="003558DE"/>
    <w:rsid w:val="00355FF4"/>
    <w:rsid w:val="00356038"/>
    <w:rsid w:val="00356103"/>
    <w:rsid w:val="00356333"/>
    <w:rsid w:val="003563ED"/>
    <w:rsid w:val="003569B6"/>
    <w:rsid w:val="00356B94"/>
    <w:rsid w:val="00356CE1"/>
    <w:rsid w:val="00356F3F"/>
    <w:rsid w:val="00357179"/>
    <w:rsid w:val="003574CC"/>
    <w:rsid w:val="00357829"/>
    <w:rsid w:val="00357B8E"/>
    <w:rsid w:val="00357FAB"/>
    <w:rsid w:val="00360077"/>
    <w:rsid w:val="003600BD"/>
    <w:rsid w:val="003600EB"/>
    <w:rsid w:val="003602AA"/>
    <w:rsid w:val="0036042E"/>
    <w:rsid w:val="00360785"/>
    <w:rsid w:val="0036099C"/>
    <w:rsid w:val="00360B67"/>
    <w:rsid w:val="00360C1B"/>
    <w:rsid w:val="00360D41"/>
    <w:rsid w:val="00360EA5"/>
    <w:rsid w:val="00360F85"/>
    <w:rsid w:val="00361575"/>
    <w:rsid w:val="00361667"/>
    <w:rsid w:val="0036170A"/>
    <w:rsid w:val="00361898"/>
    <w:rsid w:val="00361AF7"/>
    <w:rsid w:val="00361C43"/>
    <w:rsid w:val="00362075"/>
    <w:rsid w:val="003620B5"/>
    <w:rsid w:val="003624F8"/>
    <w:rsid w:val="0036268B"/>
    <w:rsid w:val="00362A69"/>
    <w:rsid w:val="00362BF8"/>
    <w:rsid w:val="00362C13"/>
    <w:rsid w:val="003632EF"/>
    <w:rsid w:val="003634AF"/>
    <w:rsid w:val="003638E3"/>
    <w:rsid w:val="00363C5F"/>
    <w:rsid w:val="00363DD0"/>
    <w:rsid w:val="00364073"/>
    <w:rsid w:val="0036409D"/>
    <w:rsid w:val="00364141"/>
    <w:rsid w:val="003641E1"/>
    <w:rsid w:val="003646E8"/>
    <w:rsid w:val="00364853"/>
    <w:rsid w:val="003649EA"/>
    <w:rsid w:val="00364BEA"/>
    <w:rsid w:val="00364DAC"/>
    <w:rsid w:val="00364EC6"/>
    <w:rsid w:val="00364EED"/>
    <w:rsid w:val="00364F5B"/>
    <w:rsid w:val="00364FA7"/>
    <w:rsid w:val="00365137"/>
    <w:rsid w:val="003652F1"/>
    <w:rsid w:val="0036534D"/>
    <w:rsid w:val="00365557"/>
    <w:rsid w:val="003659CF"/>
    <w:rsid w:val="00365CA8"/>
    <w:rsid w:val="00365D2B"/>
    <w:rsid w:val="00365D7A"/>
    <w:rsid w:val="00365DF5"/>
    <w:rsid w:val="00365F14"/>
    <w:rsid w:val="00365F23"/>
    <w:rsid w:val="003660DF"/>
    <w:rsid w:val="00366352"/>
    <w:rsid w:val="00366B5D"/>
    <w:rsid w:val="00367248"/>
    <w:rsid w:val="00367437"/>
    <w:rsid w:val="0036749D"/>
    <w:rsid w:val="003676C7"/>
    <w:rsid w:val="0036773F"/>
    <w:rsid w:val="003677E8"/>
    <w:rsid w:val="0036786A"/>
    <w:rsid w:val="003678C5"/>
    <w:rsid w:val="00367AC4"/>
    <w:rsid w:val="00367C9C"/>
    <w:rsid w:val="00367D46"/>
    <w:rsid w:val="00367DFE"/>
    <w:rsid w:val="00367E8F"/>
    <w:rsid w:val="0037004D"/>
    <w:rsid w:val="0037013B"/>
    <w:rsid w:val="00370741"/>
    <w:rsid w:val="003708F6"/>
    <w:rsid w:val="00370C1B"/>
    <w:rsid w:val="00370C78"/>
    <w:rsid w:val="0037104C"/>
    <w:rsid w:val="00371074"/>
    <w:rsid w:val="0037117C"/>
    <w:rsid w:val="00371231"/>
    <w:rsid w:val="00371559"/>
    <w:rsid w:val="00371D52"/>
    <w:rsid w:val="00371D6F"/>
    <w:rsid w:val="00372131"/>
    <w:rsid w:val="00372175"/>
    <w:rsid w:val="003721E0"/>
    <w:rsid w:val="003722B3"/>
    <w:rsid w:val="00372768"/>
    <w:rsid w:val="00372A7F"/>
    <w:rsid w:val="00373054"/>
    <w:rsid w:val="003732CE"/>
    <w:rsid w:val="0037340F"/>
    <w:rsid w:val="003738A9"/>
    <w:rsid w:val="00373ABC"/>
    <w:rsid w:val="00373D2C"/>
    <w:rsid w:val="00373F21"/>
    <w:rsid w:val="00373F68"/>
    <w:rsid w:val="0037406F"/>
    <w:rsid w:val="003742E0"/>
    <w:rsid w:val="00374579"/>
    <w:rsid w:val="003745D2"/>
    <w:rsid w:val="003745EC"/>
    <w:rsid w:val="00374722"/>
    <w:rsid w:val="003747BB"/>
    <w:rsid w:val="00374C7D"/>
    <w:rsid w:val="00374D54"/>
    <w:rsid w:val="00375032"/>
    <w:rsid w:val="00375162"/>
    <w:rsid w:val="00375164"/>
    <w:rsid w:val="003751E7"/>
    <w:rsid w:val="003753C3"/>
    <w:rsid w:val="003754B9"/>
    <w:rsid w:val="003754BB"/>
    <w:rsid w:val="00375D72"/>
    <w:rsid w:val="00375F15"/>
    <w:rsid w:val="003760A1"/>
    <w:rsid w:val="003760A4"/>
    <w:rsid w:val="00376346"/>
    <w:rsid w:val="00377218"/>
    <w:rsid w:val="0037773E"/>
    <w:rsid w:val="00377901"/>
    <w:rsid w:val="0037790A"/>
    <w:rsid w:val="003779E7"/>
    <w:rsid w:val="00377D5B"/>
    <w:rsid w:val="00377EE7"/>
    <w:rsid w:val="00380375"/>
    <w:rsid w:val="003805E0"/>
    <w:rsid w:val="00380964"/>
    <w:rsid w:val="00380CBA"/>
    <w:rsid w:val="00380D0C"/>
    <w:rsid w:val="00380E45"/>
    <w:rsid w:val="00381801"/>
    <w:rsid w:val="00381C54"/>
    <w:rsid w:val="00381D4C"/>
    <w:rsid w:val="00381FC7"/>
    <w:rsid w:val="00382054"/>
    <w:rsid w:val="00382293"/>
    <w:rsid w:val="0038233F"/>
    <w:rsid w:val="00382768"/>
    <w:rsid w:val="003827ED"/>
    <w:rsid w:val="0038291E"/>
    <w:rsid w:val="003829B0"/>
    <w:rsid w:val="00382C2B"/>
    <w:rsid w:val="00382F23"/>
    <w:rsid w:val="0038300A"/>
    <w:rsid w:val="003832AF"/>
    <w:rsid w:val="0038350B"/>
    <w:rsid w:val="0038368F"/>
    <w:rsid w:val="0038387E"/>
    <w:rsid w:val="00383994"/>
    <w:rsid w:val="00383A15"/>
    <w:rsid w:val="00383FC3"/>
    <w:rsid w:val="003844E5"/>
    <w:rsid w:val="003849A1"/>
    <w:rsid w:val="00384A4A"/>
    <w:rsid w:val="00384B70"/>
    <w:rsid w:val="00384F3C"/>
    <w:rsid w:val="00384F47"/>
    <w:rsid w:val="00385275"/>
    <w:rsid w:val="003853CD"/>
    <w:rsid w:val="003853FE"/>
    <w:rsid w:val="00385AE5"/>
    <w:rsid w:val="00385B3A"/>
    <w:rsid w:val="003867E3"/>
    <w:rsid w:val="00386856"/>
    <w:rsid w:val="00386E96"/>
    <w:rsid w:val="00386F3C"/>
    <w:rsid w:val="003870B9"/>
    <w:rsid w:val="00387255"/>
    <w:rsid w:val="0038731A"/>
    <w:rsid w:val="00387787"/>
    <w:rsid w:val="003878A9"/>
    <w:rsid w:val="00387F5C"/>
    <w:rsid w:val="00387FFD"/>
    <w:rsid w:val="003901B4"/>
    <w:rsid w:val="00390330"/>
    <w:rsid w:val="00390395"/>
    <w:rsid w:val="003905CB"/>
    <w:rsid w:val="00390936"/>
    <w:rsid w:val="003909CB"/>
    <w:rsid w:val="00390C34"/>
    <w:rsid w:val="00390D87"/>
    <w:rsid w:val="00391079"/>
    <w:rsid w:val="0039135A"/>
    <w:rsid w:val="0039151A"/>
    <w:rsid w:val="0039152E"/>
    <w:rsid w:val="00391C45"/>
    <w:rsid w:val="00391CD7"/>
    <w:rsid w:val="00391CE1"/>
    <w:rsid w:val="00391EBD"/>
    <w:rsid w:val="00391F3E"/>
    <w:rsid w:val="00391FFC"/>
    <w:rsid w:val="00392CD9"/>
    <w:rsid w:val="0039326E"/>
    <w:rsid w:val="003932D5"/>
    <w:rsid w:val="00393352"/>
    <w:rsid w:val="003936E9"/>
    <w:rsid w:val="003939FB"/>
    <w:rsid w:val="0039403B"/>
    <w:rsid w:val="0039431B"/>
    <w:rsid w:val="003943B6"/>
    <w:rsid w:val="00394780"/>
    <w:rsid w:val="0039484F"/>
    <w:rsid w:val="00394AD5"/>
    <w:rsid w:val="00394AEF"/>
    <w:rsid w:val="00394B2C"/>
    <w:rsid w:val="0039511E"/>
    <w:rsid w:val="00395157"/>
    <w:rsid w:val="003952A6"/>
    <w:rsid w:val="003956C1"/>
    <w:rsid w:val="0039572B"/>
    <w:rsid w:val="0039580D"/>
    <w:rsid w:val="0039582F"/>
    <w:rsid w:val="0039593A"/>
    <w:rsid w:val="00395C78"/>
    <w:rsid w:val="00395D8B"/>
    <w:rsid w:val="003960F0"/>
    <w:rsid w:val="00396130"/>
    <w:rsid w:val="003961A0"/>
    <w:rsid w:val="00396364"/>
    <w:rsid w:val="00396698"/>
    <w:rsid w:val="00396892"/>
    <w:rsid w:val="0039696D"/>
    <w:rsid w:val="00396C00"/>
    <w:rsid w:val="00396F6F"/>
    <w:rsid w:val="003970FA"/>
    <w:rsid w:val="00397452"/>
    <w:rsid w:val="003975CE"/>
    <w:rsid w:val="00397A71"/>
    <w:rsid w:val="003A0163"/>
    <w:rsid w:val="003A0595"/>
    <w:rsid w:val="003A05B0"/>
    <w:rsid w:val="003A0858"/>
    <w:rsid w:val="003A130D"/>
    <w:rsid w:val="003A1599"/>
    <w:rsid w:val="003A1633"/>
    <w:rsid w:val="003A166F"/>
    <w:rsid w:val="003A1701"/>
    <w:rsid w:val="003A18C6"/>
    <w:rsid w:val="003A195E"/>
    <w:rsid w:val="003A19CB"/>
    <w:rsid w:val="003A1A4F"/>
    <w:rsid w:val="003A1F9C"/>
    <w:rsid w:val="003A227D"/>
    <w:rsid w:val="003A2330"/>
    <w:rsid w:val="003A2550"/>
    <w:rsid w:val="003A263D"/>
    <w:rsid w:val="003A26C8"/>
    <w:rsid w:val="003A2999"/>
    <w:rsid w:val="003A29DD"/>
    <w:rsid w:val="003A2C8A"/>
    <w:rsid w:val="003A2ECB"/>
    <w:rsid w:val="003A34A2"/>
    <w:rsid w:val="003A3579"/>
    <w:rsid w:val="003A361B"/>
    <w:rsid w:val="003A397E"/>
    <w:rsid w:val="003A39E2"/>
    <w:rsid w:val="003A3B91"/>
    <w:rsid w:val="003A3B99"/>
    <w:rsid w:val="003A3E3D"/>
    <w:rsid w:val="003A4336"/>
    <w:rsid w:val="003A4774"/>
    <w:rsid w:val="003A47F8"/>
    <w:rsid w:val="003A5047"/>
    <w:rsid w:val="003A5074"/>
    <w:rsid w:val="003A508B"/>
    <w:rsid w:val="003A5299"/>
    <w:rsid w:val="003A535C"/>
    <w:rsid w:val="003A55CC"/>
    <w:rsid w:val="003A56A3"/>
    <w:rsid w:val="003A5B06"/>
    <w:rsid w:val="003A5D25"/>
    <w:rsid w:val="003A618C"/>
    <w:rsid w:val="003A61FF"/>
    <w:rsid w:val="003A62E8"/>
    <w:rsid w:val="003A6453"/>
    <w:rsid w:val="003A64B7"/>
    <w:rsid w:val="003A65BC"/>
    <w:rsid w:val="003A6779"/>
    <w:rsid w:val="003A6BB6"/>
    <w:rsid w:val="003A6DE3"/>
    <w:rsid w:val="003A6E56"/>
    <w:rsid w:val="003A71AF"/>
    <w:rsid w:val="003A766E"/>
    <w:rsid w:val="003A77C3"/>
    <w:rsid w:val="003A7A09"/>
    <w:rsid w:val="003A7BE6"/>
    <w:rsid w:val="003A7CB6"/>
    <w:rsid w:val="003A7EAA"/>
    <w:rsid w:val="003B017F"/>
    <w:rsid w:val="003B025A"/>
    <w:rsid w:val="003B0366"/>
    <w:rsid w:val="003B0676"/>
    <w:rsid w:val="003B0732"/>
    <w:rsid w:val="003B07A6"/>
    <w:rsid w:val="003B0940"/>
    <w:rsid w:val="003B0B0A"/>
    <w:rsid w:val="003B0F6C"/>
    <w:rsid w:val="003B113B"/>
    <w:rsid w:val="003B1220"/>
    <w:rsid w:val="003B140C"/>
    <w:rsid w:val="003B1478"/>
    <w:rsid w:val="003B18D9"/>
    <w:rsid w:val="003B1C1C"/>
    <w:rsid w:val="003B1F4C"/>
    <w:rsid w:val="003B2834"/>
    <w:rsid w:val="003B2A77"/>
    <w:rsid w:val="003B3164"/>
    <w:rsid w:val="003B32A8"/>
    <w:rsid w:val="003B34D4"/>
    <w:rsid w:val="003B3AC6"/>
    <w:rsid w:val="003B3BE5"/>
    <w:rsid w:val="003B3DC2"/>
    <w:rsid w:val="003B3EFE"/>
    <w:rsid w:val="003B474C"/>
    <w:rsid w:val="003B47E1"/>
    <w:rsid w:val="003B49C1"/>
    <w:rsid w:val="003B4A1D"/>
    <w:rsid w:val="003B4B0F"/>
    <w:rsid w:val="003B4D5A"/>
    <w:rsid w:val="003B508D"/>
    <w:rsid w:val="003B50B0"/>
    <w:rsid w:val="003B5669"/>
    <w:rsid w:val="003B5961"/>
    <w:rsid w:val="003B5B15"/>
    <w:rsid w:val="003B5CEF"/>
    <w:rsid w:val="003B6225"/>
    <w:rsid w:val="003B62C4"/>
    <w:rsid w:val="003B6420"/>
    <w:rsid w:val="003B6674"/>
    <w:rsid w:val="003B6A86"/>
    <w:rsid w:val="003B6BC1"/>
    <w:rsid w:val="003B6CC7"/>
    <w:rsid w:val="003B70D1"/>
    <w:rsid w:val="003B72F2"/>
    <w:rsid w:val="003B73E6"/>
    <w:rsid w:val="003B7804"/>
    <w:rsid w:val="003B7892"/>
    <w:rsid w:val="003B7910"/>
    <w:rsid w:val="003B7F2C"/>
    <w:rsid w:val="003C04AF"/>
    <w:rsid w:val="003C0946"/>
    <w:rsid w:val="003C0B8F"/>
    <w:rsid w:val="003C0DF7"/>
    <w:rsid w:val="003C0E25"/>
    <w:rsid w:val="003C1243"/>
    <w:rsid w:val="003C15CD"/>
    <w:rsid w:val="003C1726"/>
    <w:rsid w:val="003C1B03"/>
    <w:rsid w:val="003C1D7C"/>
    <w:rsid w:val="003C26F2"/>
    <w:rsid w:val="003C2A8D"/>
    <w:rsid w:val="003C2B2F"/>
    <w:rsid w:val="003C2C5E"/>
    <w:rsid w:val="003C2E77"/>
    <w:rsid w:val="003C2F51"/>
    <w:rsid w:val="003C309B"/>
    <w:rsid w:val="003C31F4"/>
    <w:rsid w:val="003C33B7"/>
    <w:rsid w:val="003C347F"/>
    <w:rsid w:val="003C3494"/>
    <w:rsid w:val="003C34CA"/>
    <w:rsid w:val="003C3792"/>
    <w:rsid w:val="003C3803"/>
    <w:rsid w:val="003C3B14"/>
    <w:rsid w:val="003C463F"/>
    <w:rsid w:val="003C4678"/>
    <w:rsid w:val="003C46C4"/>
    <w:rsid w:val="003C47C4"/>
    <w:rsid w:val="003C4A6C"/>
    <w:rsid w:val="003C4B41"/>
    <w:rsid w:val="003C4DAA"/>
    <w:rsid w:val="003C4F52"/>
    <w:rsid w:val="003C503D"/>
    <w:rsid w:val="003C5124"/>
    <w:rsid w:val="003C54B7"/>
    <w:rsid w:val="003C55B4"/>
    <w:rsid w:val="003C5D45"/>
    <w:rsid w:val="003C5F2A"/>
    <w:rsid w:val="003C6000"/>
    <w:rsid w:val="003C6109"/>
    <w:rsid w:val="003C62BB"/>
    <w:rsid w:val="003C63B8"/>
    <w:rsid w:val="003C6707"/>
    <w:rsid w:val="003C69D7"/>
    <w:rsid w:val="003C6A02"/>
    <w:rsid w:val="003C781A"/>
    <w:rsid w:val="003C78D0"/>
    <w:rsid w:val="003C7BAA"/>
    <w:rsid w:val="003C7DA8"/>
    <w:rsid w:val="003C7E70"/>
    <w:rsid w:val="003D035D"/>
    <w:rsid w:val="003D1453"/>
    <w:rsid w:val="003D1530"/>
    <w:rsid w:val="003D17BD"/>
    <w:rsid w:val="003D1908"/>
    <w:rsid w:val="003D1AAE"/>
    <w:rsid w:val="003D1E95"/>
    <w:rsid w:val="003D1F5F"/>
    <w:rsid w:val="003D2451"/>
    <w:rsid w:val="003D246A"/>
    <w:rsid w:val="003D2EA9"/>
    <w:rsid w:val="003D3239"/>
    <w:rsid w:val="003D3641"/>
    <w:rsid w:val="003D3802"/>
    <w:rsid w:val="003D380E"/>
    <w:rsid w:val="003D39BC"/>
    <w:rsid w:val="003D3A67"/>
    <w:rsid w:val="003D3EFA"/>
    <w:rsid w:val="003D40C7"/>
    <w:rsid w:val="003D439C"/>
    <w:rsid w:val="003D4768"/>
    <w:rsid w:val="003D4ADA"/>
    <w:rsid w:val="003D518F"/>
    <w:rsid w:val="003D5327"/>
    <w:rsid w:val="003D53D3"/>
    <w:rsid w:val="003D5651"/>
    <w:rsid w:val="003D59D5"/>
    <w:rsid w:val="003D59F7"/>
    <w:rsid w:val="003D68C3"/>
    <w:rsid w:val="003D6CF4"/>
    <w:rsid w:val="003D710A"/>
    <w:rsid w:val="003D710E"/>
    <w:rsid w:val="003D72A8"/>
    <w:rsid w:val="003D7457"/>
    <w:rsid w:val="003D74A4"/>
    <w:rsid w:val="003D74D0"/>
    <w:rsid w:val="003D762C"/>
    <w:rsid w:val="003D7C9E"/>
    <w:rsid w:val="003D7CBA"/>
    <w:rsid w:val="003E0018"/>
    <w:rsid w:val="003E0025"/>
    <w:rsid w:val="003E00EF"/>
    <w:rsid w:val="003E03AD"/>
    <w:rsid w:val="003E03D8"/>
    <w:rsid w:val="003E09F9"/>
    <w:rsid w:val="003E0AD4"/>
    <w:rsid w:val="003E0C6F"/>
    <w:rsid w:val="003E1353"/>
    <w:rsid w:val="003E1382"/>
    <w:rsid w:val="003E1BE6"/>
    <w:rsid w:val="003E1FAB"/>
    <w:rsid w:val="003E2233"/>
    <w:rsid w:val="003E2351"/>
    <w:rsid w:val="003E26CF"/>
    <w:rsid w:val="003E2824"/>
    <w:rsid w:val="003E28ED"/>
    <w:rsid w:val="003E2CC6"/>
    <w:rsid w:val="003E2D63"/>
    <w:rsid w:val="003E2EC9"/>
    <w:rsid w:val="003E2FD0"/>
    <w:rsid w:val="003E30C9"/>
    <w:rsid w:val="003E33F6"/>
    <w:rsid w:val="003E3681"/>
    <w:rsid w:val="003E36BD"/>
    <w:rsid w:val="003E3A81"/>
    <w:rsid w:val="003E3AD5"/>
    <w:rsid w:val="003E3B9D"/>
    <w:rsid w:val="003E41B6"/>
    <w:rsid w:val="003E4682"/>
    <w:rsid w:val="003E52E4"/>
    <w:rsid w:val="003E538D"/>
    <w:rsid w:val="003E5932"/>
    <w:rsid w:val="003E5A26"/>
    <w:rsid w:val="003E5C06"/>
    <w:rsid w:val="003E5F5C"/>
    <w:rsid w:val="003E6008"/>
    <w:rsid w:val="003E61BC"/>
    <w:rsid w:val="003E61E8"/>
    <w:rsid w:val="003E62AD"/>
    <w:rsid w:val="003E62EE"/>
    <w:rsid w:val="003E6A56"/>
    <w:rsid w:val="003E6A7B"/>
    <w:rsid w:val="003E727E"/>
    <w:rsid w:val="003E7289"/>
    <w:rsid w:val="003E73C8"/>
    <w:rsid w:val="003E76C3"/>
    <w:rsid w:val="003E785C"/>
    <w:rsid w:val="003E7888"/>
    <w:rsid w:val="003E7F55"/>
    <w:rsid w:val="003F0170"/>
    <w:rsid w:val="003F0347"/>
    <w:rsid w:val="003F0454"/>
    <w:rsid w:val="003F0932"/>
    <w:rsid w:val="003F0C88"/>
    <w:rsid w:val="003F1253"/>
    <w:rsid w:val="003F1CDD"/>
    <w:rsid w:val="003F1EAF"/>
    <w:rsid w:val="003F1FFF"/>
    <w:rsid w:val="003F248B"/>
    <w:rsid w:val="003F2695"/>
    <w:rsid w:val="003F2884"/>
    <w:rsid w:val="003F28A9"/>
    <w:rsid w:val="003F2B52"/>
    <w:rsid w:val="003F2E2E"/>
    <w:rsid w:val="003F2FB3"/>
    <w:rsid w:val="003F30E8"/>
    <w:rsid w:val="003F3104"/>
    <w:rsid w:val="003F311F"/>
    <w:rsid w:val="003F31C0"/>
    <w:rsid w:val="003F3260"/>
    <w:rsid w:val="003F32C8"/>
    <w:rsid w:val="003F34AF"/>
    <w:rsid w:val="003F35F5"/>
    <w:rsid w:val="003F3A1C"/>
    <w:rsid w:val="003F3CB6"/>
    <w:rsid w:val="003F3D07"/>
    <w:rsid w:val="003F3D20"/>
    <w:rsid w:val="003F40F0"/>
    <w:rsid w:val="003F42D0"/>
    <w:rsid w:val="003F468B"/>
    <w:rsid w:val="003F46A3"/>
    <w:rsid w:val="003F4F86"/>
    <w:rsid w:val="003F50E8"/>
    <w:rsid w:val="003F534F"/>
    <w:rsid w:val="003F5385"/>
    <w:rsid w:val="003F546D"/>
    <w:rsid w:val="003F5672"/>
    <w:rsid w:val="003F57FD"/>
    <w:rsid w:val="003F5907"/>
    <w:rsid w:val="003F5B1F"/>
    <w:rsid w:val="003F5E07"/>
    <w:rsid w:val="003F6056"/>
    <w:rsid w:val="003F626D"/>
    <w:rsid w:val="003F63FF"/>
    <w:rsid w:val="003F642A"/>
    <w:rsid w:val="003F6801"/>
    <w:rsid w:val="003F68FB"/>
    <w:rsid w:val="003F6A17"/>
    <w:rsid w:val="003F6C30"/>
    <w:rsid w:val="003F72F9"/>
    <w:rsid w:val="003F74D6"/>
    <w:rsid w:val="003F7620"/>
    <w:rsid w:val="003F7933"/>
    <w:rsid w:val="003F7AA7"/>
    <w:rsid w:val="003F7BE5"/>
    <w:rsid w:val="00400106"/>
    <w:rsid w:val="00400337"/>
    <w:rsid w:val="004003C3"/>
    <w:rsid w:val="004006F7"/>
    <w:rsid w:val="00400B01"/>
    <w:rsid w:val="00400BB8"/>
    <w:rsid w:val="00400CBD"/>
    <w:rsid w:val="00401780"/>
    <w:rsid w:val="004017CF"/>
    <w:rsid w:val="004017DF"/>
    <w:rsid w:val="00401C33"/>
    <w:rsid w:val="00401C85"/>
    <w:rsid w:val="00402179"/>
    <w:rsid w:val="004021CA"/>
    <w:rsid w:val="00402236"/>
    <w:rsid w:val="004022FA"/>
    <w:rsid w:val="004025A0"/>
    <w:rsid w:val="00402615"/>
    <w:rsid w:val="004026C9"/>
    <w:rsid w:val="004027A7"/>
    <w:rsid w:val="00402864"/>
    <w:rsid w:val="00402AED"/>
    <w:rsid w:val="00402B39"/>
    <w:rsid w:val="00402DA9"/>
    <w:rsid w:val="00402DE8"/>
    <w:rsid w:val="00402EB9"/>
    <w:rsid w:val="004032A3"/>
    <w:rsid w:val="00403537"/>
    <w:rsid w:val="004036D7"/>
    <w:rsid w:val="00403818"/>
    <w:rsid w:val="00403DEA"/>
    <w:rsid w:val="00403E38"/>
    <w:rsid w:val="00403FA3"/>
    <w:rsid w:val="0040421F"/>
    <w:rsid w:val="0040471C"/>
    <w:rsid w:val="00404818"/>
    <w:rsid w:val="004048D4"/>
    <w:rsid w:val="00404ABE"/>
    <w:rsid w:val="00404C0C"/>
    <w:rsid w:val="004050DC"/>
    <w:rsid w:val="00405149"/>
    <w:rsid w:val="004054CF"/>
    <w:rsid w:val="004056E7"/>
    <w:rsid w:val="00405DE8"/>
    <w:rsid w:val="00406004"/>
    <w:rsid w:val="00406C41"/>
    <w:rsid w:val="00406C54"/>
    <w:rsid w:val="0040703C"/>
    <w:rsid w:val="004071F6"/>
    <w:rsid w:val="004076D4"/>
    <w:rsid w:val="00407793"/>
    <w:rsid w:val="00407FBF"/>
    <w:rsid w:val="00410977"/>
    <w:rsid w:val="00410BC2"/>
    <w:rsid w:val="00410C7C"/>
    <w:rsid w:val="00410D8C"/>
    <w:rsid w:val="004113FC"/>
    <w:rsid w:val="0041140F"/>
    <w:rsid w:val="004116A7"/>
    <w:rsid w:val="004117B6"/>
    <w:rsid w:val="004118C8"/>
    <w:rsid w:val="00411ADD"/>
    <w:rsid w:val="00411B2A"/>
    <w:rsid w:val="00411C20"/>
    <w:rsid w:val="00411C7C"/>
    <w:rsid w:val="00411D53"/>
    <w:rsid w:val="00411EE3"/>
    <w:rsid w:val="00411F8D"/>
    <w:rsid w:val="00411FD4"/>
    <w:rsid w:val="00412333"/>
    <w:rsid w:val="004123BA"/>
    <w:rsid w:val="0041251E"/>
    <w:rsid w:val="00412D9C"/>
    <w:rsid w:val="004130B6"/>
    <w:rsid w:val="00413102"/>
    <w:rsid w:val="0041335B"/>
    <w:rsid w:val="00413713"/>
    <w:rsid w:val="00413E2B"/>
    <w:rsid w:val="00413F4C"/>
    <w:rsid w:val="00414174"/>
    <w:rsid w:val="0041458B"/>
    <w:rsid w:val="004145C1"/>
    <w:rsid w:val="0041493C"/>
    <w:rsid w:val="00414C47"/>
    <w:rsid w:val="00414D8D"/>
    <w:rsid w:val="0041505C"/>
    <w:rsid w:val="004151C2"/>
    <w:rsid w:val="00415356"/>
    <w:rsid w:val="004153CC"/>
    <w:rsid w:val="0041541C"/>
    <w:rsid w:val="0041587E"/>
    <w:rsid w:val="00415ABC"/>
    <w:rsid w:val="00416088"/>
    <w:rsid w:val="00416945"/>
    <w:rsid w:val="00416A03"/>
    <w:rsid w:val="00416D53"/>
    <w:rsid w:val="00416DCD"/>
    <w:rsid w:val="00416E34"/>
    <w:rsid w:val="00416EEF"/>
    <w:rsid w:val="00416F83"/>
    <w:rsid w:val="00416FA7"/>
    <w:rsid w:val="004170DE"/>
    <w:rsid w:val="00417344"/>
    <w:rsid w:val="00417544"/>
    <w:rsid w:val="00417688"/>
    <w:rsid w:val="00417B89"/>
    <w:rsid w:val="00417C2D"/>
    <w:rsid w:val="00417F84"/>
    <w:rsid w:val="004201C5"/>
    <w:rsid w:val="00420361"/>
    <w:rsid w:val="00420370"/>
    <w:rsid w:val="004203A2"/>
    <w:rsid w:val="004203D1"/>
    <w:rsid w:val="00420839"/>
    <w:rsid w:val="00420FC1"/>
    <w:rsid w:val="0042107C"/>
    <w:rsid w:val="004210E3"/>
    <w:rsid w:val="004211E2"/>
    <w:rsid w:val="004213BA"/>
    <w:rsid w:val="00421637"/>
    <w:rsid w:val="0042170F"/>
    <w:rsid w:val="00421955"/>
    <w:rsid w:val="00421A9D"/>
    <w:rsid w:val="00421AFF"/>
    <w:rsid w:val="00421B0E"/>
    <w:rsid w:val="00421C56"/>
    <w:rsid w:val="00421CF1"/>
    <w:rsid w:val="00421EE2"/>
    <w:rsid w:val="0042204E"/>
    <w:rsid w:val="00422301"/>
    <w:rsid w:val="00422613"/>
    <w:rsid w:val="00422679"/>
    <w:rsid w:val="004226C2"/>
    <w:rsid w:val="00422888"/>
    <w:rsid w:val="00422E6B"/>
    <w:rsid w:val="00423388"/>
    <w:rsid w:val="00423728"/>
    <w:rsid w:val="004238BE"/>
    <w:rsid w:val="00423982"/>
    <w:rsid w:val="00423EA2"/>
    <w:rsid w:val="004240AE"/>
    <w:rsid w:val="0042479C"/>
    <w:rsid w:val="0042479D"/>
    <w:rsid w:val="00424E4F"/>
    <w:rsid w:val="00424FFA"/>
    <w:rsid w:val="00425145"/>
    <w:rsid w:val="00425225"/>
    <w:rsid w:val="00425292"/>
    <w:rsid w:val="00425495"/>
    <w:rsid w:val="004254FD"/>
    <w:rsid w:val="00425642"/>
    <w:rsid w:val="00425ADE"/>
    <w:rsid w:val="00425E77"/>
    <w:rsid w:val="00425F09"/>
    <w:rsid w:val="004261D0"/>
    <w:rsid w:val="00426408"/>
    <w:rsid w:val="00426449"/>
    <w:rsid w:val="004267C9"/>
    <w:rsid w:val="00426EBD"/>
    <w:rsid w:val="004270B8"/>
    <w:rsid w:val="004274D9"/>
    <w:rsid w:val="00427695"/>
    <w:rsid w:val="00427994"/>
    <w:rsid w:val="00427A04"/>
    <w:rsid w:val="00430263"/>
    <w:rsid w:val="00430279"/>
    <w:rsid w:val="00430517"/>
    <w:rsid w:val="00430812"/>
    <w:rsid w:val="00430893"/>
    <w:rsid w:val="004309B4"/>
    <w:rsid w:val="00430CDD"/>
    <w:rsid w:val="00430D4D"/>
    <w:rsid w:val="00431061"/>
    <w:rsid w:val="00431218"/>
    <w:rsid w:val="00431297"/>
    <w:rsid w:val="004312BA"/>
    <w:rsid w:val="004317AE"/>
    <w:rsid w:val="004317D3"/>
    <w:rsid w:val="00431928"/>
    <w:rsid w:val="00431DF7"/>
    <w:rsid w:val="004321C0"/>
    <w:rsid w:val="0043250B"/>
    <w:rsid w:val="00432605"/>
    <w:rsid w:val="004326B9"/>
    <w:rsid w:val="004329B4"/>
    <w:rsid w:val="00432A51"/>
    <w:rsid w:val="00432AA4"/>
    <w:rsid w:val="00432AFC"/>
    <w:rsid w:val="00432FE8"/>
    <w:rsid w:val="0043307D"/>
    <w:rsid w:val="0043312A"/>
    <w:rsid w:val="00433CE2"/>
    <w:rsid w:val="00433D69"/>
    <w:rsid w:val="00433D9C"/>
    <w:rsid w:val="00433E1F"/>
    <w:rsid w:val="004341BE"/>
    <w:rsid w:val="0043439A"/>
    <w:rsid w:val="00434728"/>
    <w:rsid w:val="00434F60"/>
    <w:rsid w:val="0043511C"/>
    <w:rsid w:val="00435179"/>
    <w:rsid w:val="004353ED"/>
    <w:rsid w:val="00435927"/>
    <w:rsid w:val="004359C5"/>
    <w:rsid w:val="00435BAE"/>
    <w:rsid w:val="00435C17"/>
    <w:rsid w:val="004367FF"/>
    <w:rsid w:val="004368E3"/>
    <w:rsid w:val="00436CBD"/>
    <w:rsid w:val="00436E60"/>
    <w:rsid w:val="0043718E"/>
    <w:rsid w:val="0043778F"/>
    <w:rsid w:val="00437849"/>
    <w:rsid w:val="00437D37"/>
    <w:rsid w:val="00437ECE"/>
    <w:rsid w:val="00437EFD"/>
    <w:rsid w:val="00440563"/>
    <w:rsid w:val="00441300"/>
    <w:rsid w:val="00441FBE"/>
    <w:rsid w:val="00442375"/>
    <w:rsid w:val="00442397"/>
    <w:rsid w:val="004423FB"/>
    <w:rsid w:val="0044246F"/>
    <w:rsid w:val="00442569"/>
    <w:rsid w:val="004427C1"/>
    <w:rsid w:val="00442C57"/>
    <w:rsid w:val="00443160"/>
    <w:rsid w:val="0044375B"/>
    <w:rsid w:val="004437A5"/>
    <w:rsid w:val="004437F7"/>
    <w:rsid w:val="004438AC"/>
    <w:rsid w:val="004438EA"/>
    <w:rsid w:val="00443D54"/>
    <w:rsid w:val="0044480A"/>
    <w:rsid w:val="00444B77"/>
    <w:rsid w:val="00444E71"/>
    <w:rsid w:val="00444FE3"/>
    <w:rsid w:val="00445015"/>
    <w:rsid w:val="00445252"/>
    <w:rsid w:val="00445A10"/>
    <w:rsid w:val="004461DC"/>
    <w:rsid w:val="0044662A"/>
    <w:rsid w:val="00446869"/>
    <w:rsid w:val="00446950"/>
    <w:rsid w:val="004469B8"/>
    <w:rsid w:val="00446A0F"/>
    <w:rsid w:val="00446A2E"/>
    <w:rsid w:val="00446AF8"/>
    <w:rsid w:val="00446C36"/>
    <w:rsid w:val="00446C7C"/>
    <w:rsid w:val="00446EE2"/>
    <w:rsid w:val="00446EE7"/>
    <w:rsid w:val="004471ED"/>
    <w:rsid w:val="00447934"/>
    <w:rsid w:val="00447CC3"/>
    <w:rsid w:val="004503A5"/>
    <w:rsid w:val="00450AB8"/>
    <w:rsid w:val="00450D48"/>
    <w:rsid w:val="004518E4"/>
    <w:rsid w:val="0045198D"/>
    <w:rsid w:val="00451A10"/>
    <w:rsid w:val="00451A70"/>
    <w:rsid w:val="004521C2"/>
    <w:rsid w:val="00452380"/>
    <w:rsid w:val="004524FA"/>
    <w:rsid w:val="004524FE"/>
    <w:rsid w:val="00452598"/>
    <w:rsid w:val="004527B9"/>
    <w:rsid w:val="00452950"/>
    <w:rsid w:val="00452A47"/>
    <w:rsid w:val="00453405"/>
    <w:rsid w:val="004537D2"/>
    <w:rsid w:val="00453A31"/>
    <w:rsid w:val="00453B73"/>
    <w:rsid w:val="00453CB3"/>
    <w:rsid w:val="00453E30"/>
    <w:rsid w:val="00453E72"/>
    <w:rsid w:val="00454253"/>
    <w:rsid w:val="00454307"/>
    <w:rsid w:val="004545B7"/>
    <w:rsid w:val="00454796"/>
    <w:rsid w:val="004549F3"/>
    <w:rsid w:val="00454D00"/>
    <w:rsid w:val="00455463"/>
    <w:rsid w:val="00455611"/>
    <w:rsid w:val="00455871"/>
    <w:rsid w:val="0045597F"/>
    <w:rsid w:val="00455C2A"/>
    <w:rsid w:val="00455F4F"/>
    <w:rsid w:val="00456113"/>
    <w:rsid w:val="004561F3"/>
    <w:rsid w:val="00456858"/>
    <w:rsid w:val="00457149"/>
    <w:rsid w:val="00457AD6"/>
    <w:rsid w:val="00457CAE"/>
    <w:rsid w:val="004600C2"/>
    <w:rsid w:val="0046010B"/>
    <w:rsid w:val="004604EF"/>
    <w:rsid w:val="004605D3"/>
    <w:rsid w:val="00460843"/>
    <w:rsid w:val="00460DD1"/>
    <w:rsid w:val="00460E48"/>
    <w:rsid w:val="00460FE3"/>
    <w:rsid w:val="004610DA"/>
    <w:rsid w:val="00461346"/>
    <w:rsid w:val="004618CA"/>
    <w:rsid w:val="00461A91"/>
    <w:rsid w:val="00462335"/>
    <w:rsid w:val="004623BF"/>
    <w:rsid w:val="00462581"/>
    <w:rsid w:val="00462B3D"/>
    <w:rsid w:val="00462C1E"/>
    <w:rsid w:val="00462E7F"/>
    <w:rsid w:val="004630D9"/>
    <w:rsid w:val="0046316A"/>
    <w:rsid w:val="00463384"/>
    <w:rsid w:val="00463621"/>
    <w:rsid w:val="0046363B"/>
    <w:rsid w:val="004639CE"/>
    <w:rsid w:val="00463AC5"/>
    <w:rsid w:val="00463C06"/>
    <w:rsid w:val="00463C35"/>
    <w:rsid w:val="00463ECA"/>
    <w:rsid w:val="00463EFB"/>
    <w:rsid w:val="004640B8"/>
    <w:rsid w:val="004642E0"/>
    <w:rsid w:val="00464553"/>
    <w:rsid w:val="0046469F"/>
    <w:rsid w:val="00464914"/>
    <w:rsid w:val="00464B96"/>
    <w:rsid w:val="00464F83"/>
    <w:rsid w:val="0046502F"/>
    <w:rsid w:val="00465323"/>
    <w:rsid w:val="004655B4"/>
    <w:rsid w:val="00465967"/>
    <w:rsid w:val="00465CFB"/>
    <w:rsid w:val="004661F5"/>
    <w:rsid w:val="0046643C"/>
    <w:rsid w:val="00467159"/>
    <w:rsid w:val="0046727B"/>
    <w:rsid w:val="004676AD"/>
    <w:rsid w:val="004676E8"/>
    <w:rsid w:val="0046796B"/>
    <w:rsid w:val="00470339"/>
    <w:rsid w:val="0047046D"/>
    <w:rsid w:val="00470476"/>
    <w:rsid w:val="00470822"/>
    <w:rsid w:val="00470F10"/>
    <w:rsid w:val="0047145C"/>
    <w:rsid w:val="0047159C"/>
    <w:rsid w:val="00471691"/>
    <w:rsid w:val="00471732"/>
    <w:rsid w:val="00471A2A"/>
    <w:rsid w:val="00471EED"/>
    <w:rsid w:val="00471F16"/>
    <w:rsid w:val="0047258C"/>
    <w:rsid w:val="004728A3"/>
    <w:rsid w:val="00472E42"/>
    <w:rsid w:val="00472FD1"/>
    <w:rsid w:val="0047304D"/>
    <w:rsid w:val="00473910"/>
    <w:rsid w:val="00473C6C"/>
    <w:rsid w:val="00473F9F"/>
    <w:rsid w:val="00473FF0"/>
    <w:rsid w:val="00474292"/>
    <w:rsid w:val="00474550"/>
    <w:rsid w:val="004749CC"/>
    <w:rsid w:val="00474BC6"/>
    <w:rsid w:val="00475C94"/>
    <w:rsid w:val="00475DC7"/>
    <w:rsid w:val="00476039"/>
    <w:rsid w:val="0047609A"/>
    <w:rsid w:val="00476A55"/>
    <w:rsid w:val="0047737A"/>
    <w:rsid w:val="004773B0"/>
    <w:rsid w:val="0047755C"/>
    <w:rsid w:val="0047784E"/>
    <w:rsid w:val="0047791C"/>
    <w:rsid w:val="00477CB2"/>
    <w:rsid w:val="00477DB4"/>
    <w:rsid w:val="00480399"/>
    <w:rsid w:val="004804F6"/>
    <w:rsid w:val="0048058B"/>
    <w:rsid w:val="0048072F"/>
    <w:rsid w:val="00480BA9"/>
    <w:rsid w:val="0048105C"/>
    <w:rsid w:val="00481138"/>
    <w:rsid w:val="00481D0A"/>
    <w:rsid w:val="00481D2C"/>
    <w:rsid w:val="00482083"/>
    <w:rsid w:val="00482978"/>
    <w:rsid w:val="00482C0E"/>
    <w:rsid w:val="00482C2B"/>
    <w:rsid w:val="00482C80"/>
    <w:rsid w:val="004831B5"/>
    <w:rsid w:val="00483B36"/>
    <w:rsid w:val="00483CAC"/>
    <w:rsid w:val="0048417F"/>
    <w:rsid w:val="004845E7"/>
    <w:rsid w:val="0048491D"/>
    <w:rsid w:val="004849D4"/>
    <w:rsid w:val="00484C03"/>
    <w:rsid w:val="0048542C"/>
    <w:rsid w:val="004858E3"/>
    <w:rsid w:val="00485BF6"/>
    <w:rsid w:val="00485DC8"/>
    <w:rsid w:val="00485FA6"/>
    <w:rsid w:val="004860A5"/>
    <w:rsid w:val="0048616A"/>
    <w:rsid w:val="004861D0"/>
    <w:rsid w:val="00486B39"/>
    <w:rsid w:val="00486F30"/>
    <w:rsid w:val="004875E9"/>
    <w:rsid w:val="00487788"/>
    <w:rsid w:val="0048795B"/>
    <w:rsid w:val="00487C94"/>
    <w:rsid w:val="00490010"/>
    <w:rsid w:val="00490209"/>
    <w:rsid w:val="00490216"/>
    <w:rsid w:val="004902C5"/>
    <w:rsid w:val="00490444"/>
    <w:rsid w:val="004904EE"/>
    <w:rsid w:val="0049091C"/>
    <w:rsid w:val="00490AB8"/>
    <w:rsid w:val="00490CDD"/>
    <w:rsid w:val="00490FEE"/>
    <w:rsid w:val="00491119"/>
    <w:rsid w:val="00491263"/>
    <w:rsid w:val="004912E3"/>
    <w:rsid w:val="004914D1"/>
    <w:rsid w:val="0049168C"/>
    <w:rsid w:val="00491A3B"/>
    <w:rsid w:val="00491A52"/>
    <w:rsid w:val="00491E7B"/>
    <w:rsid w:val="00491FDD"/>
    <w:rsid w:val="00492190"/>
    <w:rsid w:val="00492223"/>
    <w:rsid w:val="00492396"/>
    <w:rsid w:val="0049260D"/>
    <w:rsid w:val="00492A73"/>
    <w:rsid w:val="00492AF4"/>
    <w:rsid w:val="00492CDF"/>
    <w:rsid w:val="0049303D"/>
    <w:rsid w:val="00493410"/>
    <w:rsid w:val="00493539"/>
    <w:rsid w:val="00493628"/>
    <w:rsid w:val="004938C2"/>
    <w:rsid w:val="00493D63"/>
    <w:rsid w:val="00493F94"/>
    <w:rsid w:val="0049428A"/>
    <w:rsid w:val="004943E2"/>
    <w:rsid w:val="00494946"/>
    <w:rsid w:val="00494B25"/>
    <w:rsid w:val="00494F29"/>
    <w:rsid w:val="004952D7"/>
    <w:rsid w:val="00495659"/>
    <w:rsid w:val="00495728"/>
    <w:rsid w:val="004957B3"/>
    <w:rsid w:val="004959DF"/>
    <w:rsid w:val="00495A64"/>
    <w:rsid w:val="00495C00"/>
    <w:rsid w:val="004966A6"/>
    <w:rsid w:val="004966F3"/>
    <w:rsid w:val="00496D00"/>
    <w:rsid w:val="00496E74"/>
    <w:rsid w:val="0049706C"/>
    <w:rsid w:val="004972E7"/>
    <w:rsid w:val="00497400"/>
    <w:rsid w:val="004976FA"/>
    <w:rsid w:val="00497883"/>
    <w:rsid w:val="004979EE"/>
    <w:rsid w:val="00497B14"/>
    <w:rsid w:val="00497D60"/>
    <w:rsid w:val="00497EAD"/>
    <w:rsid w:val="004A03A5"/>
    <w:rsid w:val="004A03FC"/>
    <w:rsid w:val="004A04C4"/>
    <w:rsid w:val="004A07F4"/>
    <w:rsid w:val="004A09C4"/>
    <w:rsid w:val="004A0C24"/>
    <w:rsid w:val="004A0EFA"/>
    <w:rsid w:val="004A10B9"/>
    <w:rsid w:val="004A1160"/>
    <w:rsid w:val="004A137F"/>
    <w:rsid w:val="004A1A23"/>
    <w:rsid w:val="004A1D06"/>
    <w:rsid w:val="004A1D16"/>
    <w:rsid w:val="004A1EEB"/>
    <w:rsid w:val="004A22A9"/>
    <w:rsid w:val="004A238E"/>
    <w:rsid w:val="004A23C7"/>
    <w:rsid w:val="004A2433"/>
    <w:rsid w:val="004A291C"/>
    <w:rsid w:val="004A2E70"/>
    <w:rsid w:val="004A32E3"/>
    <w:rsid w:val="004A344D"/>
    <w:rsid w:val="004A3988"/>
    <w:rsid w:val="004A3B60"/>
    <w:rsid w:val="004A3C50"/>
    <w:rsid w:val="004A3E4A"/>
    <w:rsid w:val="004A3E76"/>
    <w:rsid w:val="004A3F41"/>
    <w:rsid w:val="004A3F59"/>
    <w:rsid w:val="004A408D"/>
    <w:rsid w:val="004A416D"/>
    <w:rsid w:val="004A43AA"/>
    <w:rsid w:val="004A4AF9"/>
    <w:rsid w:val="004A4D0E"/>
    <w:rsid w:val="004A4D5D"/>
    <w:rsid w:val="004A4EE2"/>
    <w:rsid w:val="004A529B"/>
    <w:rsid w:val="004A5619"/>
    <w:rsid w:val="004A5681"/>
    <w:rsid w:val="004A5716"/>
    <w:rsid w:val="004A58C1"/>
    <w:rsid w:val="004A5B24"/>
    <w:rsid w:val="004A5BAD"/>
    <w:rsid w:val="004A5E4F"/>
    <w:rsid w:val="004A5EFE"/>
    <w:rsid w:val="004A6095"/>
    <w:rsid w:val="004A60AF"/>
    <w:rsid w:val="004A62B4"/>
    <w:rsid w:val="004A650A"/>
    <w:rsid w:val="004A66B6"/>
    <w:rsid w:val="004A6747"/>
    <w:rsid w:val="004A6778"/>
    <w:rsid w:val="004A67A4"/>
    <w:rsid w:val="004A6AF4"/>
    <w:rsid w:val="004A717C"/>
    <w:rsid w:val="004A7374"/>
    <w:rsid w:val="004A7433"/>
    <w:rsid w:val="004A7967"/>
    <w:rsid w:val="004A7A10"/>
    <w:rsid w:val="004A7DB7"/>
    <w:rsid w:val="004B0343"/>
    <w:rsid w:val="004B04ED"/>
    <w:rsid w:val="004B0791"/>
    <w:rsid w:val="004B08AA"/>
    <w:rsid w:val="004B11DA"/>
    <w:rsid w:val="004B130B"/>
    <w:rsid w:val="004B136A"/>
    <w:rsid w:val="004B1493"/>
    <w:rsid w:val="004B1529"/>
    <w:rsid w:val="004B19F0"/>
    <w:rsid w:val="004B2002"/>
    <w:rsid w:val="004B229F"/>
    <w:rsid w:val="004B27E2"/>
    <w:rsid w:val="004B2D48"/>
    <w:rsid w:val="004B2DF0"/>
    <w:rsid w:val="004B310B"/>
    <w:rsid w:val="004B331B"/>
    <w:rsid w:val="004B3807"/>
    <w:rsid w:val="004B38E1"/>
    <w:rsid w:val="004B3AB5"/>
    <w:rsid w:val="004B3AD0"/>
    <w:rsid w:val="004B41F6"/>
    <w:rsid w:val="004B485C"/>
    <w:rsid w:val="004B4AFD"/>
    <w:rsid w:val="004B4C4A"/>
    <w:rsid w:val="004B4C5C"/>
    <w:rsid w:val="004B50B9"/>
    <w:rsid w:val="004B50F6"/>
    <w:rsid w:val="004B5399"/>
    <w:rsid w:val="004B53A8"/>
    <w:rsid w:val="004B54B8"/>
    <w:rsid w:val="004B54D6"/>
    <w:rsid w:val="004B573A"/>
    <w:rsid w:val="004B57CA"/>
    <w:rsid w:val="004B5925"/>
    <w:rsid w:val="004B5995"/>
    <w:rsid w:val="004B5C4B"/>
    <w:rsid w:val="004B5C8C"/>
    <w:rsid w:val="004B5DE8"/>
    <w:rsid w:val="004B5F59"/>
    <w:rsid w:val="004B5FC3"/>
    <w:rsid w:val="004B613E"/>
    <w:rsid w:val="004B69F6"/>
    <w:rsid w:val="004B6CE2"/>
    <w:rsid w:val="004B701C"/>
    <w:rsid w:val="004B73DC"/>
    <w:rsid w:val="004B7413"/>
    <w:rsid w:val="004B7CA0"/>
    <w:rsid w:val="004B7D1E"/>
    <w:rsid w:val="004C0410"/>
    <w:rsid w:val="004C0492"/>
    <w:rsid w:val="004C0628"/>
    <w:rsid w:val="004C0772"/>
    <w:rsid w:val="004C0FB5"/>
    <w:rsid w:val="004C1A84"/>
    <w:rsid w:val="004C1AC8"/>
    <w:rsid w:val="004C1CCE"/>
    <w:rsid w:val="004C1CED"/>
    <w:rsid w:val="004C209B"/>
    <w:rsid w:val="004C2293"/>
    <w:rsid w:val="004C24FF"/>
    <w:rsid w:val="004C2715"/>
    <w:rsid w:val="004C28B8"/>
    <w:rsid w:val="004C2C43"/>
    <w:rsid w:val="004C2EEC"/>
    <w:rsid w:val="004C2FAB"/>
    <w:rsid w:val="004C333E"/>
    <w:rsid w:val="004C3350"/>
    <w:rsid w:val="004C336B"/>
    <w:rsid w:val="004C3734"/>
    <w:rsid w:val="004C3A26"/>
    <w:rsid w:val="004C3B19"/>
    <w:rsid w:val="004C426B"/>
    <w:rsid w:val="004C43F7"/>
    <w:rsid w:val="004C4948"/>
    <w:rsid w:val="004C49CC"/>
    <w:rsid w:val="004C52BD"/>
    <w:rsid w:val="004C5409"/>
    <w:rsid w:val="004C5B7E"/>
    <w:rsid w:val="004C5E85"/>
    <w:rsid w:val="004C69B1"/>
    <w:rsid w:val="004C6A12"/>
    <w:rsid w:val="004C6A17"/>
    <w:rsid w:val="004C6B92"/>
    <w:rsid w:val="004C6BB2"/>
    <w:rsid w:val="004C6BD4"/>
    <w:rsid w:val="004C6CA6"/>
    <w:rsid w:val="004C7409"/>
    <w:rsid w:val="004C751A"/>
    <w:rsid w:val="004C7B21"/>
    <w:rsid w:val="004C7D4C"/>
    <w:rsid w:val="004C7D59"/>
    <w:rsid w:val="004C7D73"/>
    <w:rsid w:val="004C7EC0"/>
    <w:rsid w:val="004C7F2A"/>
    <w:rsid w:val="004D01F6"/>
    <w:rsid w:val="004D036E"/>
    <w:rsid w:val="004D0504"/>
    <w:rsid w:val="004D095D"/>
    <w:rsid w:val="004D10C5"/>
    <w:rsid w:val="004D1198"/>
    <w:rsid w:val="004D12F8"/>
    <w:rsid w:val="004D175B"/>
    <w:rsid w:val="004D184A"/>
    <w:rsid w:val="004D187E"/>
    <w:rsid w:val="004D1AEE"/>
    <w:rsid w:val="004D1DDC"/>
    <w:rsid w:val="004D2668"/>
    <w:rsid w:val="004D2B8A"/>
    <w:rsid w:val="004D2C87"/>
    <w:rsid w:val="004D2EAD"/>
    <w:rsid w:val="004D3203"/>
    <w:rsid w:val="004D3445"/>
    <w:rsid w:val="004D398D"/>
    <w:rsid w:val="004D3E7D"/>
    <w:rsid w:val="004D41FA"/>
    <w:rsid w:val="004D4283"/>
    <w:rsid w:val="004D42AA"/>
    <w:rsid w:val="004D447B"/>
    <w:rsid w:val="004D4ACD"/>
    <w:rsid w:val="004D4E52"/>
    <w:rsid w:val="004D4F92"/>
    <w:rsid w:val="004D5525"/>
    <w:rsid w:val="004D5CCB"/>
    <w:rsid w:val="004D5D1B"/>
    <w:rsid w:val="004D5EA9"/>
    <w:rsid w:val="004D6118"/>
    <w:rsid w:val="004D6131"/>
    <w:rsid w:val="004D61CD"/>
    <w:rsid w:val="004D6267"/>
    <w:rsid w:val="004D6287"/>
    <w:rsid w:val="004D62B1"/>
    <w:rsid w:val="004D6E17"/>
    <w:rsid w:val="004D6E2D"/>
    <w:rsid w:val="004D6E81"/>
    <w:rsid w:val="004D77DD"/>
    <w:rsid w:val="004D77F4"/>
    <w:rsid w:val="004D7EE6"/>
    <w:rsid w:val="004E064F"/>
    <w:rsid w:val="004E0A0D"/>
    <w:rsid w:val="004E0E7F"/>
    <w:rsid w:val="004E0FA1"/>
    <w:rsid w:val="004E10FA"/>
    <w:rsid w:val="004E1113"/>
    <w:rsid w:val="004E128E"/>
    <w:rsid w:val="004E1AD4"/>
    <w:rsid w:val="004E1BA7"/>
    <w:rsid w:val="004E233A"/>
    <w:rsid w:val="004E2797"/>
    <w:rsid w:val="004E2B92"/>
    <w:rsid w:val="004E2EBB"/>
    <w:rsid w:val="004E36B9"/>
    <w:rsid w:val="004E3822"/>
    <w:rsid w:val="004E38D2"/>
    <w:rsid w:val="004E3A05"/>
    <w:rsid w:val="004E3A71"/>
    <w:rsid w:val="004E3A94"/>
    <w:rsid w:val="004E3D1D"/>
    <w:rsid w:val="004E41CC"/>
    <w:rsid w:val="004E4386"/>
    <w:rsid w:val="004E438E"/>
    <w:rsid w:val="004E462F"/>
    <w:rsid w:val="004E47D9"/>
    <w:rsid w:val="004E48E4"/>
    <w:rsid w:val="004E49EF"/>
    <w:rsid w:val="004E4DD7"/>
    <w:rsid w:val="004E510F"/>
    <w:rsid w:val="004E595B"/>
    <w:rsid w:val="004E5C8F"/>
    <w:rsid w:val="004E5F89"/>
    <w:rsid w:val="004E5FBF"/>
    <w:rsid w:val="004E6227"/>
    <w:rsid w:val="004E62E0"/>
    <w:rsid w:val="004E639B"/>
    <w:rsid w:val="004E70FA"/>
    <w:rsid w:val="004E73A2"/>
    <w:rsid w:val="004E748D"/>
    <w:rsid w:val="004E74D5"/>
    <w:rsid w:val="004E75E8"/>
    <w:rsid w:val="004E7A3F"/>
    <w:rsid w:val="004E7E88"/>
    <w:rsid w:val="004E7EB6"/>
    <w:rsid w:val="004F012A"/>
    <w:rsid w:val="004F06BD"/>
    <w:rsid w:val="004F07B7"/>
    <w:rsid w:val="004F0C9D"/>
    <w:rsid w:val="004F0E38"/>
    <w:rsid w:val="004F0E41"/>
    <w:rsid w:val="004F112A"/>
    <w:rsid w:val="004F12A5"/>
    <w:rsid w:val="004F14C4"/>
    <w:rsid w:val="004F15A9"/>
    <w:rsid w:val="004F1868"/>
    <w:rsid w:val="004F1C3B"/>
    <w:rsid w:val="004F2079"/>
    <w:rsid w:val="004F27FB"/>
    <w:rsid w:val="004F2884"/>
    <w:rsid w:val="004F2982"/>
    <w:rsid w:val="004F2E72"/>
    <w:rsid w:val="004F30B2"/>
    <w:rsid w:val="004F36D2"/>
    <w:rsid w:val="004F3B92"/>
    <w:rsid w:val="004F42BC"/>
    <w:rsid w:val="004F4535"/>
    <w:rsid w:val="004F461A"/>
    <w:rsid w:val="004F4FA6"/>
    <w:rsid w:val="004F550A"/>
    <w:rsid w:val="004F5940"/>
    <w:rsid w:val="004F598B"/>
    <w:rsid w:val="004F59D1"/>
    <w:rsid w:val="004F61DB"/>
    <w:rsid w:val="004F659A"/>
    <w:rsid w:val="004F67DA"/>
    <w:rsid w:val="004F68B3"/>
    <w:rsid w:val="004F6B16"/>
    <w:rsid w:val="004F6CDA"/>
    <w:rsid w:val="004F6DAB"/>
    <w:rsid w:val="004F72BA"/>
    <w:rsid w:val="004F739D"/>
    <w:rsid w:val="004F745E"/>
    <w:rsid w:val="004F774C"/>
    <w:rsid w:val="004F7841"/>
    <w:rsid w:val="004F7C9B"/>
    <w:rsid w:val="0050010B"/>
    <w:rsid w:val="005002B0"/>
    <w:rsid w:val="00500365"/>
    <w:rsid w:val="00500B38"/>
    <w:rsid w:val="00500DBD"/>
    <w:rsid w:val="00500E19"/>
    <w:rsid w:val="00500FF4"/>
    <w:rsid w:val="00501236"/>
    <w:rsid w:val="005012CE"/>
    <w:rsid w:val="005014FB"/>
    <w:rsid w:val="005015B4"/>
    <w:rsid w:val="005019CA"/>
    <w:rsid w:val="00501ADC"/>
    <w:rsid w:val="00501B6E"/>
    <w:rsid w:val="00501C19"/>
    <w:rsid w:val="00501C52"/>
    <w:rsid w:val="00502312"/>
    <w:rsid w:val="00502336"/>
    <w:rsid w:val="00502674"/>
    <w:rsid w:val="00502B21"/>
    <w:rsid w:val="00502C69"/>
    <w:rsid w:val="00502FBB"/>
    <w:rsid w:val="005031F1"/>
    <w:rsid w:val="00503283"/>
    <w:rsid w:val="00503471"/>
    <w:rsid w:val="0050368C"/>
    <w:rsid w:val="00503787"/>
    <w:rsid w:val="00503B50"/>
    <w:rsid w:val="00503C2E"/>
    <w:rsid w:val="00503DFE"/>
    <w:rsid w:val="00503E3E"/>
    <w:rsid w:val="005040BC"/>
    <w:rsid w:val="0050432D"/>
    <w:rsid w:val="00504684"/>
    <w:rsid w:val="0050477C"/>
    <w:rsid w:val="005048A3"/>
    <w:rsid w:val="00504EAA"/>
    <w:rsid w:val="005050BC"/>
    <w:rsid w:val="00505344"/>
    <w:rsid w:val="005054FD"/>
    <w:rsid w:val="00505616"/>
    <w:rsid w:val="005056B5"/>
    <w:rsid w:val="00505BA6"/>
    <w:rsid w:val="00505E9D"/>
    <w:rsid w:val="00506329"/>
    <w:rsid w:val="005063DB"/>
    <w:rsid w:val="00506BFC"/>
    <w:rsid w:val="00506C36"/>
    <w:rsid w:val="00506CC9"/>
    <w:rsid w:val="00506DC2"/>
    <w:rsid w:val="00506E50"/>
    <w:rsid w:val="00506FA7"/>
    <w:rsid w:val="005072C1"/>
    <w:rsid w:val="005072E5"/>
    <w:rsid w:val="005072FD"/>
    <w:rsid w:val="005079DD"/>
    <w:rsid w:val="00507E3E"/>
    <w:rsid w:val="00510271"/>
    <w:rsid w:val="005106FD"/>
    <w:rsid w:val="005108B1"/>
    <w:rsid w:val="00510D5D"/>
    <w:rsid w:val="00510D81"/>
    <w:rsid w:val="00510E55"/>
    <w:rsid w:val="00510FF7"/>
    <w:rsid w:val="00511173"/>
    <w:rsid w:val="00511C5D"/>
    <w:rsid w:val="00511CDF"/>
    <w:rsid w:val="00511E4C"/>
    <w:rsid w:val="00511EEC"/>
    <w:rsid w:val="00511F32"/>
    <w:rsid w:val="00512018"/>
    <w:rsid w:val="005125F2"/>
    <w:rsid w:val="00512959"/>
    <w:rsid w:val="00512C4F"/>
    <w:rsid w:val="00512C79"/>
    <w:rsid w:val="00512CE8"/>
    <w:rsid w:val="0051336A"/>
    <w:rsid w:val="005133E6"/>
    <w:rsid w:val="0051357E"/>
    <w:rsid w:val="005135AA"/>
    <w:rsid w:val="00513995"/>
    <w:rsid w:val="00513ACE"/>
    <w:rsid w:val="0051411D"/>
    <w:rsid w:val="005142D0"/>
    <w:rsid w:val="0051446E"/>
    <w:rsid w:val="005146DC"/>
    <w:rsid w:val="00514B95"/>
    <w:rsid w:val="00514B9A"/>
    <w:rsid w:val="00514E7F"/>
    <w:rsid w:val="00514EDF"/>
    <w:rsid w:val="00514F42"/>
    <w:rsid w:val="00514FE1"/>
    <w:rsid w:val="0051528C"/>
    <w:rsid w:val="0051568B"/>
    <w:rsid w:val="00515C8F"/>
    <w:rsid w:val="005162A8"/>
    <w:rsid w:val="005165E3"/>
    <w:rsid w:val="0051665E"/>
    <w:rsid w:val="00516D0A"/>
    <w:rsid w:val="0051717B"/>
    <w:rsid w:val="005176E0"/>
    <w:rsid w:val="00517A58"/>
    <w:rsid w:val="00517EF9"/>
    <w:rsid w:val="00517F18"/>
    <w:rsid w:val="005203DF"/>
    <w:rsid w:val="005205ED"/>
    <w:rsid w:val="00520638"/>
    <w:rsid w:val="005207FF"/>
    <w:rsid w:val="00520D6E"/>
    <w:rsid w:val="00521157"/>
    <w:rsid w:val="0052186B"/>
    <w:rsid w:val="00521E1F"/>
    <w:rsid w:val="0052205D"/>
    <w:rsid w:val="00522834"/>
    <w:rsid w:val="005228F0"/>
    <w:rsid w:val="0052291B"/>
    <w:rsid w:val="00522ABA"/>
    <w:rsid w:val="00522ED8"/>
    <w:rsid w:val="005233AE"/>
    <w:rsid w:val="00523475"/>
    <w:rsid w:val="005234B1"/>
    <w:rsid w:val="005236B7"/>
    <w:rsid w:val="00523CA3"/>
    <w:rsid w:val="00523DC8"/>
    <w:rsid w:val="00524073"/>
    <w:rsid w:val="0052414C"/>
    <w:rsid w:val="00524346"/>
    <w:rsid w:val="00524AB9"/>
    <w:rsid w:val="00524EC7"/>
    <w:rsid w:val="00524FB4"/>
    <w:rsid w:val="00525274"/>
    <w:rsid w:val="00525560"/>
    <w:rsid w:val="005259DA"/>
    <w:rsid w:val="00525C34"/>
    <w:rsid w:val="00525C8C"/>
    <w:rsid w:val="00525E5E"/>
    <w:rsid w:val="0052609A"/>
    <w:rsid w:val="00526511"/>
    <w:rsid w:val="00526735"/>
    <w:rsid w:val="005267E9"/>
    <w:rsid w:val="00526A38"/>
    <w:rsid w:val="00526BEF"/>
    <w:rsid w:val="00526C6F"/>
    <w:rsid w:val="005278A6"/>
    <w:rsid w:val="00527B19"/>
    <w:rsid w:val="00527E09"/>
    <w:rsid w:val="00530048"/>
    <w:rsid w:val="005304CF"/>
    <w:rsid w:val="00530C00"/>
    <w:rsid w:val="00530EE5"/>
    <w:rsid w:val="0053145F"/>
    <w:rsid w:val="005314B5"/>
    <w:rsid w:val="00531A0D"/>
    <w:rsid w:val="005321BE"/>
    <w:rsid w:val="00532FD8"/>
    <w:rsid w:val="0053319A"/>
    <w:rsid w:val="00533C37"/>
    <w:rsid w:val="00533D40"/>
    <w:rsid w:val="00533E98"/>
    <w:rsid w:val="00534080"/>
    <w:rsid w:val="0053410A"/>
    <w:rsid w:val="00534134"/>
    <w:rsid w:val="00534223"/>
    <w:rsid w:val="005343B0"/>
    <w:rsid w:val="00534DBE"/>
    <w:rsid w:val="00535011"/>
    <w:rsid w:val="005355A6"/>
    <w:rsid w:val="00535993"/>
    <w:rsid w:val="00535AFA"/>
    <w:rsid w:val="00535C9D"/>
    <w:rsid w:val="005361E2"/>
    <w:rsid w:val="00536B27"/>
    <w:rsid w:val="00536B89"/>
    <w:rsid w:val="00536D72"/>
    <w:rsid w:val="0053726E"/>
    <w:rsid w:val="005372FB"/>
    <w:rsid w:val="0053730D"/>
    <w:rsid w:val="00537502"/>
    <w:rsid w:val="00537CC7"/>
    <w:rsid w:val="005402A1"/>
    <w:rsid w:val="005402F8"/>
    <w:rsid w:val="005405BC"/>
    <w:rsid w:val="0054078B"/>
    <w:rsid w:val="00540960"/>
    <w:rsid w:val="00541040"/>
    <w:rsid w:val="005413A3"/>
    <w:rsid w:val="00541B1D"/>
    <w:rsid w:val="00541E1E"/>
    <w:rsid w:val="00541F0B"/>
    <w:rsid w:val="00541F54"/>
    <w:rsid w:val="00541F74"/>
    <w:rsid w:val="00541F80"/>
    <w:rsid w:val="00542027"/>
    <w:rsid w:val="00542076"/>
    <w:rsid w:val="00542205"/>
    <w:rsid w:val="005425F2"/>
    <w:rsid w:val="00542612"/>
    <w:rsid w:val="00542781"/>
    <w:rsid w:val="00542A98"/>
    <w:rsid w:val="00542FF2"/>
    <w:rsid w:val="00543026"/>
    <w:rsid w:val="00543876"/>
    <w:rsid w:val="00544316"/>
    <w:rsid w:val="00544662"/>
    <w:rsid w:val="00544806"/>
    <w:rsid w:val="0054491E"/>
    <w:rsid w:val="00544AD6"/>
    <w:rsid w:val="00544BC4"/>
    <w:rsid w:val="00544BF9"/>
    <w:rsid w:val="00544FB6"/>
    <w:rsid w:val="00545007"/>
    <w:rsid w:val="00545482"/>
    <w:rsid w:val="005458A6"/>
    <w:rsid w:val="00545CC5"/>
    <w:rsid w:val="0054608A"/>
    <w:rsid w:val="00546245"/>
    <w:rsid w:val="0054669E"/>
    <w:rsid w:val="00546D53"/>
    <w:rsid w:val="00546E66"/>
    <w:rsid w:val="00547195"/>
    <w:rsid w:val="005471F7"/>
    <w:rsid w:val="00547540"/>
    <w:rsid w:val="00547754"/>
    <w:rsid w:val="005479AC"/>
    <w:rsid w:val="00547BCD"/>
    <w:rsid w:val="00547D2F"/>
    <w:rsid w:val="00547D4C"/>
    <w:rsid w:val="00547E3B"/>
    <w:rsid w:val="00550363"/>
    <w:rsid w:val="00550B8E"/>
    <w:rsid w:val="00550C31"/>
    <w:rsid w:val="00551032"/>
    <w:rsid w:val="0055129B"/>
    <w:rsid w:val="0055146D"/>
    <w:rsid w:val="00551636"/>
    <w:rsid w:val="005518AD"/>
    <w:rsid w:val="00551A8F"/>
    <w:rsid w:val="00551C4B"/>
    <w:rsid w:val="00551C86"/>
    <w:rsid w:val="00551DD5"/>
    <w:rsid w:val="00552087"/>
    <w:rsid w:val="0055212A"/>
    <w:rsid w:val="00552165"/>
    <w:rsid w:val="00552862"/>
    <w:rsid w:val="005532BC"/>
    <w:rsid w:val="00553486"/>
    <w:rsid w:val="0055361F"/>
    <w:rsid w:val="0055393B"/>
    <w:rsid w:val="00553951"/>
    <w:rsid w:val="00553D45"/>
    <w:rsid w:val="00554041"/>
    <w:rsid w:val="00554193"/>
    <w:rsid w:val="005541E2"/>
    <w:rsid w:val="005544E9"/>
    <w:rsid w:val="005545CE"/>
    <w:rsid w:val="0055464B"/>
    <w:rsid w:val="00554AC3"/>
    <w:rsid w:val="00554C06"/>
    <w:rsid w:val="00554C20"/>
    <w:rsid w:val="00555124"/>
    <w:rsid w:val="0055571E"/>
    <w:rsid w:val="00555735"/>
    <w:rsid w:val="00555A84"/>
    <w:rsid w:val="00555F86"/>
    <w:rsid w:val="0055611E"/>
    <w:rsid w:val="0055631A"/>
    <w:rsid w:val="00556484"/>
    <w:rsid w:val="005565C4"/>
    <w:rsid w:val="00556EC3"/>
    <w:rsid w:val="00557206"/>
    <w:rsid w:val="005573C8"/>
    <w:rsid w:val="00557460"/>
    <w:rsid w:val="00557822"/>
    <w:rsid w:val="00557C42"/>
    <w:rsid w:val="005601EA"/>
    <w:rsid w:val="005602F4"/>
    <w:rsid w:val="0056044F"/>
    <w:rsid w:val="005607DD"/>
    <w:rsid w:val="00560823"/>
    <w:rsid w:val="00560FE3"/>
    <w:rsid w:val="005617AB"/>
    <w:rsid w:val="005617E7"/>
    <w:rsid w:val="005619E2"/>
    <w:rsid w:val="00561AB8"/>
    <w:rsid w:val="00561E76"/>
    <w:rsid w:val="00561E97"/>
    <w:rsid w:val="0056250E"/>
    <w:rsid w:val="00562569"/>
    <w:rsid w:val="0056261E"/>
    <w:rsid w:val="00562779"/>
    <w:rsid w:val="005628AE"/>
    <w:rsid w:val="00562C5C"/>
    <w:rsid w:val="00563001"/>
    <w:rsid w:val="0056331B"/>
    <w:rsid w:val="0056342C"/>
    <w:rsid w:val="005634D2"/>
    <w:rsid w:val="00563592"/>
    <w:rsid w:val="00564052"/>
    <w:rsid w:val="0056413C"/>
    <w:rsid w:val="00564142"/>
    <w:rsid w:val="00564418"/>
    <w:rsid w:val="00564654"/>
    <w:rsid w:val="00564F0C"/>
    <w:rsid w:val="00564F5C"/>
    <w:rsid w:val="00565037"/>
    <w:rsid w:val="00565271"/>
    <w:rsid w:val="005653C2"/>
    <w:rsid w:val="005653CD"/>
    <w:rsid w:val="0056542F"/>
    <w:rsid w:val="005655BA"/>
    <w:rsid w:val="00565696"/>
    <w:rsid w:val="005658EA"/>
    <w:rsid w:val="00565C7A"/>
    <w:rsid w:val="00566417"/>
    <w:rsid w:val="00566730"/>
    <w:rsid w:val="00566C58"/>
    <w:rsid w:val="00566C9F"/>
    <w:rsid w:val="00566D45"/>
    <w:rsid w:val="00566E2A"/>
    <w:rsid w:val="00566F7F"/>
    <w:rsid w:val="00566FA4"/>
    <w:rsid w:val="00566FDA"/>
    <w:rsid w:val="00566FF3"/>
    <w:rsid w:val="005673CA"/>
    <w:rsid w:val="005678F0"/>
    <w:rsid w:val="00567CD5"/>
    <w:rsid w:val="00567F0F"/>
    <w:rsid w:val="005701C1"/>
    <w:rsid w:val="00570332"/>
    <w:rsid w:val="00570680"/>
    <w:rsid w:val="00570C4A"/>
    <w:rsid w:val="005713E7"/>
    <w:rsid w:val="005717CB"/>
    <w:rsid w:val="00571991"/>
    <w:rsid w:val="00571F6F"/>
    <w:rsid w:val="005723D2"/>
    <w:rsid w:val="005724D2"/>
    <w:rsid w:val="005726D3"/>
    <w:rsid w:val="005727D0"/>
    <w:rsid w:val="0057280A"/>
    <w:rsid w:val="00572A15"/>
    <w:rsid w:val="00572B3A"/>
    <w:rsid w:val="00572DAA"/>
    <w:rsid w:val="00572FBE"/>
    <w:rsid w:val="005731EF"/>
    <w:rsid w:val="00573404"/>
    <w:rsid w:val="005735E1"/>
    <w:rsid w:val="005738E9"/>
    <w:rsid w:val="00573C74"/>
    <w:rsid w:val="00573EE1"/>
    <w:rsid w:val="00573F93"/>
    <w:rsid w:val="00574297"/>
    <w:rsid w:val="0057443E"/>
    <w:rsid w:val="00574A13"/>
    <w:rsid w:val="00574FA3"/>
    <w:rsid w:val="00574FEF"/>
    <w:rsid w:val="005750A4"/>
    <w:rsid w:val="005753CF"/>
    <w:rsid w:val="00575670"/>
    <w:rsid w:val="0057587A"/>
    <w:rsid w:val="00575BDC"/>
    <w:rsid w:val="00575F71"/>
    <w:rsid w:val="00576096"/>
    <w:rsid w:val="00576152"/>
    <w:rsid w:val="00576475"/>
    <w:rsid w:val="005764EE"/>
    <w:rsid w:val="005764F1"/>
    <w:rsid w:val="00576508"/>
    <w:rsid w:val="005766E7"/>
    <w:rsid w:val="005769BB"/>
    <w:rsid w:val="00576C85"/>
    <w:rsid w:val="00577424"/>
    <w:rsid w:val="00577715"/>
    <w:rsid w:val="005779B3"/>
    <w:rsid w:val="00577A23"/>
    <w:rsid w:val="0058005A"/>
    <w:rsid w:val="00580451"/>
    <w:rsid w:val="005805C1"/>
    <w:rsid w:val="0058088C"/>
    <w:rsid w:val="005808BF"/>
    <w:rsid w:val="005808C8"/>
    <w:rsid w:val="0058099D"/>
    <w:rsid w:val="00580BE3"/>
    <w:rsid w:val="00580C3D"/>
    <w:rsid w:val="005812F1"/>
    <w:rsid w:val="00581E3B"/>
    <w:rsid w:val="0058215C"/>
    <w:rsid w:val="005825F2"/>
    <w:rsid w:val="00582730"/>
    <w:rsid w:val="00582A7B"/>
    <w:rsid w:val="00582E10"/>
    <w:rsid w:val="00582F22"/>
    <w:rsid w:val="00582FCC"/>
    <w:rsid w:val="005835AC"/>
    <w:rsid w:val="00583830"/>
    <w:rsid w:val="00583940"/>
    <w:rsid w:val="00583AC3"/>
    <w:rsid w:val="00583D06"/>
    <w:rsid w:val="005843B3"/>
    <w:rsid w:val="005844E1"/>
    <w:rsid w:val="0058469B"/>
    <w:rsid w:val="00584915"/>
    <w:rsid w:val="00584C9F"/>
    <w:rsid w:val="00584DB8"/>
    <w:rsid w:val="00584F12"/>
    <w:rsid w:val="00584F4C"/>
    <w:rsid w:val="005850DA"/>
    <w:rsid w:val="005854E9"/>
    <w:rsid w:val="005856AA"/>
    <w:rsid w:val="005856C7"/>
    <w:rsid w:val="005857EC"/>
    <w:rsid w:val="0058597F"/>
    <w:rsid w:val="00585B93"/>
    <w:rsid w:val="00585BDF"/>
    <w:rsid w:val="00585FD6"/>
    <w:rsid w:val="0058628F"/>
    <w:rsid w:val="00586D89"/>
    <w:rsid w:val="00586E09"/>
    <w:rsid w:val="00586E90"/>
    <w:rsid w:val="00586FCA"/>
    <w:rsid w:val="00587008"/>
    <w:rsid w:val="005870B4"/>
    <w:rsid w:val="00587300"/>
    <w:rsid w:val="005877EB"/>
    <w:rsid w:val="00587AD6"/>
    <w:rsid w:val="00587C1B"/>
    <w:rsid w:val="00587CAF"/>
    <w:rsid w:val="0059017D"/>
    <w:rsid w:val="00590208"/>
    <w:rsid w:val="005904E0"/>
    <w:rsid w:val="00590BD2"/>
    <w:rsid w:val="00590C9D"/>
    <w:rsid w:val="005911AC"/>
    <w:rsid w:val="0059128F"/>
    <w:rsid w:val="005916AE"/>
    <w:rsid w:val="0059171F"/>
    <w:rsid w:val="0059174D"/>
    <w:rsid w:val="0059189A"/>
    <w:rsid w:val="005919FC"/>
    <w:rsid w:val="00591B94"/>
    <w:rsid w:val="00591B9F"/>
    <w:rsid w:val="00591DD0"/>
    <w:rsid w:val="00591EED"/>
    <w:rsid w:val="00591EF4"/>
    <w:rsid w:val="005928E2"/>
    <w:rsid w:val="00593CE4"/>
    <w:rsid w:val="00593EAE"/>
    <w:rsid w:val="00593F1E"/>
    <w:rsid w:val="005940D6"/>
    <w:rsid w:val="0059442F"/>
    <w:rsid w:val="0059467B"/>
    <w:rsid w:val="0059499B"/>
    <w:rsid w:val="00594DA0"/>
    <w:rsid w:val="00594F4C"/>
    <w:rsid w:val="005951B9"/>
    <w:rsid w:val="0059553C"/>
    <w:rsid w:val="00595E61"/>
    <w:rsid w:val="00596736"/>
    <w:rsid w:val="00596791"/>
    <w:rsid w:val="0059735D"/>
    <w:rsid w:val="00597393"/>
    <w:rsid w:val="005975DE"/>
    <w:rsid w:val="00597632"/>
    <w:rsid w:val="005977FA"/>
    <w:rsid w:val="005978C9"/>
    <w:rsid w:val="00597DEA"/>
    <w:rsid w:val="00597E8C"/>
    <w:rsid w:val="005A0720"/>
    <w:rsid w:val="005A0964"/>
    <w:rsid w:val="005A0A1E"/>
    <w:rsid w:val="005A0C85"/>
    <w:rsid w:val="005A0CCF"/>
    <w:rsid w:val="005A0ED5"/>
    <w:rsid w:val="005A117B"/>
    <w:rsid w:val="005A14E5"/>
    <w:rsid w:val="005A16AB"/>
    <w:rsid w:val="005A179D"/>
    <w:rsid w:val="005A190C"/>
    <w:rsid w:val="005A1A2F"/>
    <w:rsid w:val="005A1B82"/>
    <w:rsid w:val="005A1D31"/>
    <w:rsid w:val="005A1F4A"/>
    <w:rsid w:val="005A2453"/>
    <w:rsid w:val="005A28F8"/>
    <w:rsid w:val="005A2A82"/>
    <w:rsid w:val="005A2B57"/>
    <w:rsid w:val="005A2FF2"/>
    <w:rsid w:val="005A36C3"/>
    <w:rsid w:val="005A385D"/>
    <w:rsid w:val="005A3A62"/>
    <w:rsid w:val="005A43D9"/>
    <w:rsid w:val="005A458F"/>
    <w:rsid w:val="005A4627"/>
    <w:rsid w:val="005A4E40"/>
    <w:rsid w:val="005A5037"/>
    <w:rsid w:val="005A5588"/>
    <w:rsid w:val="005A5ACA"/>
    <w:rsid w:val="005A5E98"/>
    <w:rsid w:val="005A6087"/>
    <w:rsid w:val="005A618A"/>
    <w:rsid w:val="005A661D"/>
    <w:rsid w:val="005A676A"/>
    <w:rsid w:val="005A6DC8"/>
    <w:rsid w:val="005A6F5D"/>
    <w:rsid w:val="005A6FCC"/>
    <w:rsid w:val="005A7017"/>
    <w:rsid w:val="005A7150"/>
    <w:rsid w:val="005A74A5"/>
    <w:rsid w:val="005A784E"/>
    <w:rsid w:val="005A7957"/>
    <w:rsid w:val="005A7AAE"/>
    <w:rsid w:val="005A7AC7"/>
    <w:rsid w:val="005A7DB8"/>
    <w:rsid w:val="005B042A"/>
    <w:rsid w:val="005B0481"/>
    <w:rsid w:val="005B0AEF"/>
    <w:rsid w:val="005B0DE7"/>
    <w:rsid w:val="005B1136"/>
    <w:rsid w:val="005B12BD"/>
    <w:rsid w:val="005B12F5"/>
    <w:rsid w:val="005B1306"/>
    <w:rsid w:val="005B15B6"/>
    <w:rsid w:val="005B1646"/>
    <w:rsid w:val="005B1D9A"/>
    <w:rsid w:val="005B1E82"/>
    <w:rsid w:val="005B22CA"/>
    <w:rsid w:val="005B23F3"/>
    <w:rsid w:val="005B2533"/>
    <w:rsid w:val="005B2739"/>
    <w:rsid w:val="005B2810"/>
    <w:rsid w:val="005B287F"/>
    <w:rsid w:val="005B2D69"/>
    <w:rsid w:val="005B2E5B"/>
    <w:rsid w:val="005B3188"/>
    <w:rsid w:val="005B3550"/>
    <w:rsid w:val="005B381B"/>
    <w:rsid w:val="005B3A18"/>
    <w:rsid w:val="005B3AB3"/>
    <w:rsid w:val="005B3C1D"/>
    <w:rsid w:val="005B3CFA"/>
    <w:rsid w:val="005B3F65"/>
    <w:rsid w:val="005B419F"/>
    <w:rsid w:val="005B4235"/>
    <w:rsid w:val="005B4262"/>
    <w:rsid w:val="005B4331"/>
    <w:rsid w:val="005B4413"/>
    <w:rsid w:val="005B4C18"/>
    <w:rsid w:val="005B4F01"/>
    <w:rsid w:val="005B4FD6"/>
    <w:rsid w:val="005B5119"/>
    <w:rsid w:val="005B531F"/>
    <w:rsid w:val="005B5778"/>
    <w:rsid w:val="005B616F"/>
    <w:rsid w:val="005B6905"/>
    <w:rsid w:val="005B6B8A"/>
    <w:rsid w:val="005B6DAF"/>
    <w:rsid w:val="005B7495"/>
    <w:rsid w:val="005B770D"/>
    <w:rsid w:val="005B778B"/>
    <w:rsid w:val="005B7886"/>
    <w:rsid w:val="005B7916"/>
    <w:rsid w:val="005B7B33"/>
    <w:rsid w:val="005B7BA7"/>
    <w:rsid w:val="005B7BD1"/>
    <w:rsid w:val="005B7F3F"/>
    <w:rsid w:val="005C02D8"/>
    <w:rsid w:val="005C126E"/>
    <w:rsid w:val="005C12FF"/>
    <w:rsid w:val="005C18A8"/>
    <w:rsid w:val="005C1992"/>
    <w:rsid w:val="005C19D3"/>
    <w:rsid w:val="005C1BE4"/>
    <w:rsid w:val="005C1E26"/>
    <w:rsid w:val="005C2369"/>
    <w:rsid w:val="005C2375"/>
    <w:rsid w:val="005C2A3A"/>
    <w:rsid w:val="005C2DDF"/>
    <w:rsid w:val="005C3175"/>
    <w:rsid w:val="005C3349"/>
    <w:rsid w:val="005C339B"/>
    <w:rsid w:val="005C3BF3"/>
    <w:rsid w:val="005C42A5"/>
    <w:rsid w:val="005C42AC"/>
    <w:rsid w:val="005C47A1"/>
    <w:rsid w:val="005C4A09"/>
    <w:rsid w:val="005C4F94"/>
    <w:rsid w:val="005C5530"/>
    <w:rsid w:val="005C55BC"/>
    <w:rsid w:val="005C5647"/>
    <w:rsid w:val="005C5AFC"/>
    <w:rsid w:val="005C60A3"/>
    <w:rsid w:val="005C6164"/>
    <w:rsid w:val="005C6265"/>
    <w:rsid w:val="005C66A2"/>
    <w:rsid w:val="005C698C"/>
    <w:rsid w:val="005C70F1"/>
    <w:rsid w:val="005C72BB"/>
    <w:rsid w:val="005C7846"/>
    <w:rsid w:val="005C7C46"/>
    <w:rsid w:val="005C7E2C"/>
    <w:rsid w:val="005D0024"/>
    <w:rsid w:val="005D02F3"/>
    <w:rsid w:val="005D04F9"/>
    <w:rsid w:val="005D077A"/>
    <w:rsid w:val="005D0D3D"/>
    <w:rsid w:val="005D0DEF"/>
    <w:rsid w:val="005D0E44"/>
    <w:rsid w:val="005D136A"/>
    <w:rsid w:val="005D1409"/>
    <w:rsid w:val="005D15DB"/>
    <w:rsid w:val="005D15E9"/>
    <w:rsid w:val="005D1A5D"/>
    <w:rsid w:val="005D241D"/>
    <w:rsid w:val="005D2496"/>
    <w:rsid w:val="005D2642"/>
    <w:rsid w:val="005D28FC"/>
    <w:rsid w:val="005D2CA4"/>
    <w:rsid w:val="005D3399"/>
    <w:rsid w:val="005D3483"/>
    <w:rsid w:val="005D3589"/>
    <w:rsid w:val="005D38E5"/>
    <w:rsid w:val="005D3A84"/>
    <w:rsid w:val="005D3D80"/>
    <w:rsid w:val="005D3EF5"/>
    <w:rsid w:val="005D4122"/>
    <w:rsid w:val="005D412E"/>
    <w:rsid w:val="005D4735"/>
    <w:rsid w:val="005D485E"/>
    <w:rsid w:val="005D4B33"/>
    <w:rsid w:val="005D4E29"/>
    <w:rsid w:val="005D5536"/>
    <w:rsid w:val="005D5691"/>
    <w:rsid w:val="005D5849"/>
    <w:rsid w:val="005D586A"/>
    <w:rsid w:val="005D5883"/>
    <w:rsid w:val="005D5991"/>
    <w:rsid w:val="005D59A9"/>
    <w:rsid w:val="005D5A74"/>
    <w:rsid w:val="005D5CB0"/>
    <w:rsid w:val="005D5DCE"/>
    <w:rsid w:val="005D5E76"/>
    <w:rsid w:val="005D5E99"/>
    <w:rsid w:val="005D6227"/>
    <w:rsid w:val="005D6238"/>
    <w:rsid w:val="005D6517"/>
    <w:rsid w:val="005D671D"/>
    <w:rsid w:val="005D694E"/>
    <w:rsid w:val="005D6B9A"/>
    <w:rsid w:val="005D6F30"/>
    <w:rsid w:val="005D701B"/>
    <w:rsid w:val="005D732B"/>
    <w:rsid w:val="005D763E"/>
    <w:rsid w:val="005D7ADC"/>
    <w:rsid w:val="005D7E0B"/>
    <w:rsid w:val="005D7E5A"/>
    <w:rsid w:val="005E01ED"/>
    <w:rsid w:val="005E032E"/>
    <w:rsid w:val="005E035A"/>
    <w:rsid w:val="005E040E"/>
    <w:rsid w:val="005E0AB8"/>
    <w:rsid w:val="005E11BD"/>
    <w:rsid w:val="005E127E"/>
    <w:rsid w:val="005E141B"/>
    <w:rsid w:val="005E16C4"/>
    <w:rsid w:val="005E1790"/>
    <w:rsid w:val="005E1A43"/>
    <w:rsid w:val="005E1BF6"/>
    <w:rsid w:val="005E1D0D"/>
    <w:rsid w:val="005E1FB3"/>
    <w:rsid w:val="005E1FC2"/>
    <w:rsid w:val="005E230B"/>
    <w:rsid w:val="005E2599"/>
    <w:rsid w:val="005E266F"/>
    <w:rsid w:val="005E28C4"/>
    <w:rsid w:val="005E2A59"/>
    <w:rsid w:val="005E2E62"/>
    <w:rsid w:val="005E2FB9"/>
    <w:rsid w:val="005E38A3"/>
    <w:rsid w:val="005E417B"/>
    <w:rsid w:val="005E43F6"/>
    <w:rsid w:val="005E44F6"/>
    <w:rsid w:val="005E4704"/>
    <w:rsid w:val="005E4BA3"/>
    <w:rsid w:val="005E4EDA"/>
    <w:rsid w:val="005E564C"/>
    <w:rsid w:val="005E56A2"/>
    <w:rsid w:val="005E5ACC"/>
    <w:rsid w:val="005E5E57"/>
    <w:rsid w:val="005E6067"/>
    <w:rsid w:val="005E6B44"/>
    <w:rsid w:val="005E6C56"/>
    <w:rsid w:val="005E6F01"/>
    <w:rsid w:val="005E7257"/>
    <w:rsid w:val="005E7576"/>
    <w:rsid w:val="005E75A3"/>
    <w:rsid w:val="005E76A2"/>
    <w:rsid w:val="005E772B"/>
    <w:rsid w:val="005E794D"/>
    <w:rsid w:val="005F00A1"/>
    <w:rsid w:val="005F045F"/>
    <w:rsid w:val="005F06D5"/>
    <w:rsid w:val="005F09EE"/>
    <w:rsid w:val="005F0C17"/>
    <w:rsid w:val="005F1031"/>
    <w:rsid w:val="005F119C"/>
    <w:rsid w:val="005F1758"/>
    <w:rsid w:val="005F19A9"/>
    <w:rsid w:val="005F1AF0"/>
    <w:rsid w:val="005F1EF7"/>
    <w:rsid w:val="005F1F49"/>
    <w:rsid w:val="005F20D5"/>
    <w:rsid w:val="005F2349"/>
    <w:rsid w:val="005F246A"/>
    <w:rsid w:val="005F24DC"/>
    <w:rsid w:val="005F25B3"/>
    <w:rsid w:val="005F2650"/>
    <w:rsid w:val="005F2A39"/>
    <w:rsid w:val="005F2ACA"/>
    <w:rsid w:val="005F2C72"/>
    <w:rsid w:val="005F2CB9"/>
    <w:rsid w:val="005F2E74"/>
    <w:rsid w:val="005F30B9"/>
    <w:rsid w:val="005F3E9B"/>
    <w:rsid w:val="005F4252"/>
    <w:rsid w:val="005F46C6"/>
    <w:rsid w:val="005F4AE9"/>
    <w:rsid w:val="005F4B0C"/>
    <w:rsid w:val="005F4D0C"/>
    <w:rsid w:val="005F52D8"/>
    <w:rsid w:val="005F5AFB"/>
    <w:rsid w:val="005F5F9D"/>
    <w:rsid w:val="005F65E0"/>
    <w:rsid w:val="005F6726"/>
    <w:rsid w:val="005F6A9E"/>
    <w:rsid w:val="005F727D"/>
    <w:rsid w:val="005F7313"/>
    <w:rsid w:val="005F7325"/>
    <w:rsid w:val="005F75D6"/>
    <w:rsid w:val="005F780B"/>
    <w:rsid w:val="005F7B42"/>
    <w:rsid w:val="005F7BAD"/>
    <w:rsid w:val="005F7D84"/>
    <w:rsid w:val="00600006"/>
    <w:rsid w:val="0060003F"/>
    <w:rsid w:val="00600097"/>
    <w:rsid w:val="0060024A"/>
    <w:rsid w:val="006003D8"/>
    <w:rsid w:val="006008AC"/>
    <w:rsid w:val="00600EB7"/>
    <w:rsid w:val="00600FE8"/>
    <w:rsid w:val="006010BD"/>
    <w:rsid w:val="006016DF"/>
    <w:rsid w:val="006019A3"/>
    <w:rsid w:val="006019F9"/>
    <w:rsid w:val="00601EDC"/>
    <w:rsid w:val="0060319E"/>
    <w:rsid w:val="006031BF"/>
    <w:rsid w:val="006031E3"/>
    <w:rsid w:val="006037A6"/>
    <w:rsid w:val="006038F8"/>
    <w:rsid w:val="00603AC5"/>
    <w:rsid w:val="00603AF9"/>
    <w:rsid w:val="006042F5"/>
    <w:rsid w:val="006043E9"/>
    <w:rsid w:val="00604522"/>
    <w:rsid w:val="00604708"/>
    <w:rsid w:val="00604865"/>
    <w:rsid w:val="00604873"/>
    <w:rsid w:val="00604F5C"/>
    <w:rsid w:val="00604F92"/>
    <w:rsid w:val="0060509B"/>
    <w:rsid w:val="006052FF"/>
    <w:rsid w:val="00605336"/>
    <w:rsid w:val="006057FA"/>
    <w:rsid w:val="00605916"/>
    <w:rsid w:val="00605A06"/>
    <w:rsid w:val="00605AB8"/>
    <w:rsid w:val="00605AD6"/>
    <w:rsid w:val="00605C2C"/>
    <w:rsid w:val="00605F7B"/>
    <w:rsid w:val="0060615B"/>
    <w:rsid w:val="0060624F"/>
    <w:rsid w:val="00606485"/>
    <w:rsid w:val="006064E2"/>
    <w:rsid w:val="006067E6"/>
    <w:rsid w:val="00606D29"/>
    <w:rsid w:val="00607052"/>
    <w:rsid w:val="0060716C"/>
    <w:rsid w:val="006071D9"/>
    <w:rsid w:val="006073AB"/>
    <w:rsid w:val="00607CF5"/>
    <w:rsid w:val="00607E6C"/>
    <w:rsid w:val="00610047"/>
    <w:rsid w:val="00610227"/>
    <w:rsid w:val="00610461"/>
    <w:rsid w:val="00610663"/>
    <w:rsid w:val="0061095E"/>
    <w:rsid w:val="00610987"/>
    <w:rsid w:val="00610A68"/>
    <w:rsid w:val="00610C26"/>
    <w:rsid w:val="00610E8F"/>
    <w:rsid w:val="00610EB2"/>
    <w:rsid w:val="00611102"/>
    <w:rsid w:val="00611152"/>
    <w:rsid w:val="00611327"/>
    <w:rsid w:val="0061170E"/>
    <w:rsid w:val="00611A06"/>
    <w:rsid w:val="00611F95"/>
    <w:rsid w:val="0061206B"/>
    <w:rsid w:val="0061232B"/>
    <w:rsid w:val="006125E0"/>
    <w:rsid w:val="00612621"/>
    <w:rsid w:val="00612759"/>
    <w:rsid w:val="00612E8F"/>
    <w:rsid w:val="00612F00"/>
    <w:rsid w:val="00612F2B"/>
    <w:rsid w:val="00612F5E"/>
    <w:rsid w:val="00613215"/>
    <w:rsid w:val="0061343D"/>
    <w:rsid w:val="0061343F"/>
    <w:rsid w:val="00613A52"/>
    <w:rsid w:val="00613BBF"/>
    <w:rsid w:val="00613D41"/>
    <w:rsid w:val="00613F6C"/>
    <w:rsid w:val="00614360"/>
    <w:rsid w:val="00614657"/>
    <w:rsid w:val="00614AE9"/>
    <w:rsid w:val="00614CDD"/>
    <w:rsid w:val="00614E90"/>
    <w:rsid w:val="00614F19"/>
    <w:rsid w:val="00614FED"/>
    <w:rsid w:val="00615321"/>
    <w:rsid w:val="00615454"/>
    <w:rsid w:val="006154C8"/>
    <w:rsid w:val="006157E1"/>
    <w:rsid w:val="00615C3D"/>
    <w:rsid w:val="006161F1"/>
    <w:rsid w:val="006164EE"/>
    <w:rsid w:val="00616E31"/>
    <w:rsid w:val="0061724D"/>
    <w:rsid w:val="00617677"/>
    <w:rsid w:val="00617880"/>
    <w:rsid w:val="00617C77"/>
    <w:rsid w:val="00617E58"/>
    <w:rsid w:val="00617FB5"/>
    <w:rsid w:val="0062008A"/>
    <w:rsid w:val="00621189"/>
    <w:rsid w:val="006214BB"/>
    <w:rsid w:val="00621815"/>
    <w:rsid w:val="00621ACB"/>
    <w:rsid w:val="00621FBA"/>
    <w:rsid w:val="00622155"/>
    <w:rsid w:val="006223F4"/>
    <w:rsid w:val="0062290B"/>
    <w:rsid w:val="00622A3D"/>
    <w:rsid w:val="00622B52"/>
    <w:rsid w:val="00623149"/>
    <w:rsid w:val="0062341D"/>
    <w:rsid w:val="00623887"/>
    <w:rsid w:val="00623AEB"/>
    <w:rsid w:val="00623E06"/>
    <w:rsid w:val="00623E3D"/>
    <w:rsid w:val="00623EB6"/>
    <w:rsid w:val="00623FDE"/>
    <w:rsid w:val="006245E4"/>
    <w:rsid w:val="006247F2"/>
    <w:rsid w:val="00624928"/>
    <w:rsid w:val="00624BB3"/>
    <w:rsid w:val="00624CED"/>
    <w:rsid w:val="00624D1C"/>
    <w:rsid w:val="00624F22"/>
    <w:rsid w:val="00624F37"/>
    <w:rsid w:val="00624FEB"/>
    <w:rsid w:val="00625E43"/>
    <w:rsid w:val="00626956"/>
    <w:rsid w:val="00626962"/>
    <w:rsid w:val="006269F1"/>
    <w:rsid w:val="00626FA7"/>
    <w:rsid w:val="00626FFF"/>
    <w:rsid w:val="00627060"/>
    <w:rsid w:val="0062719A"/>
    <w:rsid w:val="006271FF"/>
    <w:rsid w:val="006273DC"/>
    <w:rsid w:val="00627EF3"/>
    <w:rsid w:val="00630454"/>
    <w:rsid w:val="006308C5"/>
    <w:rsid w:val="00630AB4"/>
    <w:rsid w:val="00630C51"/>
    <w:rsid w:val="00630E98"/>
    <w:rsid w:val="0063102D"/>
    <w:rsid w:val="0063118A"/>
    <w:rsid w:val="006313D2"/>
    <w:rsid w:val="00631A86"/>
    <w:rsid w:val="00631B9D"/>
    <w:rsid w:val="00632022"/>
    <w:rsid w:val="00632358"/>
    <w:rsid w:val="00632476"/>
    <w:rsid w:val="00632C2B"/>
    <w:rsid w:val="00633211"/>
    <w:rsid w:val="00633600"/>
    <w:rsid w:val="0063365A"/>
    <w:rsid w:val="00633799"/>
    <w:rsid w:val="00633E6C"/>
    <w:rsid w:val="00633ECC"/>
    <w:rsid w:val="006341DA"/>
    <w:rsid w:val="00634588"/>
    <w:rsid w:val="00634618"/>
    <w:rsid w:val="00634873"/>
    <w:rsid w:val="00634B38"/>
    <w:rsid w:val="006353E1"/>
    <w:rsid w:val="00635DEA"/>
    <w:rsid w:val="00635E75"/>
    <w:rsid w:val="00636103"/>
    <w:rsid w:val="006362CB"/>
    <w:rsid w:val="0063643D"/>
    <w:rsid w:val="006365DE"/>
    <w:rsid w:val="00636915"/>
    <w:rsid w:val="00636941"/>
    <w:rsid w:val="00636AE4"/>
    <w:rsid w:val="0063709D"/>
    <w:rsid w:val="006370AC"/>
    <w:rsid w:val="006375AD"/>
    <w:rsid w:val="00637B0F"/>
    <w:rsid w:val="00637B6D"/>
    <w:rsid w:val="0064008A"/>
    <w:rsid w:val="00640181"/>
    <w:rsid w:val="0064029D"/>
    <w:rsid w:val="00640394"/>
    <w:rsid w:val="006405BD"/>
    <w:rsid w:val="006408AE"/>
    <w:rsid w:val="006408E3"/>
    <w:rsid w:val="00640A22"/>
    <w:rsid w:val="00640C8A"/>
    <w:rsid w:val="00640F5C"/>
    <w:rsid w:val="00640FE4"/>
    <w:rsid w:val="00641049"/>
    <w:rsid w:val="0064139D"/>
    <w:rsid w:val="006416C1"/>
    <w:rsid w:val="0064175B"/>
    <w:rsid w:val="006417E4"/>
    <w:rsid w:val="00641C80"/>
    <w:rsid w:val="006423C5"/>
    <w:rsid w:val="00642563"/>
    <w:rsid w:val="006427B5"/>
    <w:rsid w:val="00642AEA"/>
    <w:rsid w:val="00642CC5"/>
    <w:rsid w:val="00642EEB"/>
    <w:rsid w:val="00643038"/>
    <w:rsid w:val="006432E6"/>
    <w:rsid w:val="00643576"/>
    <w:rsid w:val="00643994"/>
    <w:rsid w:val="00643B37"/>
    <w:rsid w:val="00643ED6"/>
    <w:rsid w:val="00643FF6"/>
    <w:rsid w:val="00644002"/>
    <w:rsid w:val="006444B9"/>
    <w:rsid w:val="00644564"/>
    <w:rsid w:val="006445F8"/>
    <w:rsid w:val="006447E8"/>
    <w:rsid w:val="00644D9A"/>
    <w:rsid w:val="00644F67"/>
    <w:rsid w:val="00645012"/>
    <w:rsid w:val="00645088"/>
    <w:rsid w:val="00645158"/>
    <w:rsid w:val="006456C2"/>
    <w:rsid w:val="00645A4D"/>
    <w:rsid w:val="00645C1E"/>
    <w:rsid w:val="00645DF1"/>
    <w:rsid w:val="00645E3D"/>
    <w:rsid w:val="00645ED8"/>
    <w:rsid w:val="006461D8"/>
    <w:rsid w:val="00646257"/>
    <w:rsid w:val="00646305"/>
    <w:rsid w:val="0064673B"/>
    <w:rsid w:val="0064684F"/>
    <w:rsid w:val="0064690C"/>
    <w:rsid w:val="006469A4"/>
    <w:rsid w:val="00646B23"/>
    <w:rsid w:val="00646BF1"/>
    <w:rsid w:val="0064709D"/>
    <w:rsid w:val="00647446"/>
    <w:rsid w:val="006475FA"/>
    <w:rsid w:val="00647A00"/>
    <w:rsid w:val="00647FC6"/>
    <w:rsid w:val="00650137"/>
    <w:rsid w:val="00650465"/>
    <w:rsid w:val="006505B8"/>
    <w:rsid w:val="00650680"/>
    <w:rsid w:val="006506C5"/>
    <w:rsid w:val="00650875"/>
    <w:rsid w:val="006508B9"/>
    <w:rsid w:val="00650AEC"/>
    <w:rsid w:val="00650B9A"/>
    <w:rsid w:val="00651176"/>
    <w:rsid w:val="0065128E"/>
    <w:rsid w:val="006512AD"/>
    <w:rsid w:val="006517F2"/>
    <w:rsid w:val="00651989"/>
    <w:rsid w:val="00651ADD"/>
    <w:rsid w:val="00651BC2"/>
    <w:rsid w:val="00651FDB"/>
    <w:rsid w:val="00652367"/>
    <w:rsid w:val="00652531"/>
    <w:rsid w:val="00652980"/>
    <w:rsid w:val="00653469"/>
    <w:rsid w:val="00653539"/>
    <w:rsid w:val="00653C5E"/>
    <w:rsid w:val="0065408C"/>
    <w:rsid w:val="00654236"/>
    <w:rsid w:val="00654686"/>
    <w:rsid w:val="006547E6"/>
    <w:rsid w:val="00654A44"/>
    <w:rsid w:val="00654DFF"/>
    <w:rsid w:val="00654E85"/>
    <w:rsid w:val="00654F48"/>
    <w:rsid w:val="006559BA"/>
    <w:rsid w:val="00655BF8"/>
    <w:rsid w:val="006563FF"/>
    <w:rsid w:val="00656649"/>
    <w:rsid w:val="00656C16"/>
    <w:rsid w:val="006575FE"/>
    <w:rsid w:val="00657866"/>
    <w:rsid w:val="0065788D"/>
    <w:rsid w:val="00657C5D"/>
    <w:rsid w:val="00657E44"/>
    <w:rsid w:val="006602FB"/>
    <w:rsid w:val="0066056E"/>
    <w:rsid w:val="0066077A"/>
    <w:rsid w:val="006607D9"/>
    <w:rsid w:val="006609F9"/>
    <w:rsid w:val="00660ECA"/>
    <w:rsid w:val="00660F9D"/>
    <w:rsid w:val="0066153F"/>
    <w:rsid w:val="0066192E"/>
    <w:rsid w:val="00661C1B"/>
    <w:rsid w:val="00661CD2"/>
    <w:rsid w:val="00661D7F"/>
    <w:rsid w:val="00661FFE"/>
    <w:rsid w:val="00662523"/>
    <w:rsid w:val="00662E4D"/>
    <w:rsid w:val="00663016"/>
    <w:rsid w:val="00663568"/>
    <w:rsid w:val="006636A1"/>
    <w:rsid w:val="00663BB4"/>
    <w:rsid w:val="00663C80"/>
    <w:rsid w:val="00663CCB"/>
    <w:rsid w:val="00663D76"/>
    <w:rsid w:val="00663EBB"/>
    <w:rsid w:val="00664150"/>
    <w:rsid w:val="00664210"/>
    <w:rsid w:val="006643D2"/>
    <w:rsid w:val="0066489E"/>
    <w:rsid w:val="00664977"/>
    <w:rsid w:val="00664F24"/>
    <w:rsid w:val="00665375"/>
    <w:rsid w:val="006657F0"/>
    <w:rsid w:val="00665B42"/>
    <w:rsid w:val="00665D52"/>
    <w:rsid w:val="00665F10"/>
    <w:rsid w:val="00666855"/>
    <w:rsid w:val="00666BFA"/>
    <w:rsid w:val="00666CAF"/>
    <w:rsid w:val="00666CD1"/>
    <w:rsid w:val="00666F4C"/>
    <w:rsid w:val="00667212"/>
    <w:rsid w:val="006676CB"/>
    <w:rsid w:val="006676FD"/>
    <w:rsid w:val="0066770D"/>
    <w:rsid w:val="006679F6"/>
    <w:rsid w:val="006679FC"/>
    <w:rsid w:val="00667EF8"/>
    <w:rsid w:val="00670184"/>
    <w:rsid w:val="00670551"/>
    <w:rsid w:val="00670557"/>
    <w:rsid w:val="006706BA"/>
    <w:rsid w:val="00670704"/>
    <w:rsid w:val="00670B30"/>
    <w:rsid w:val="00670E32"/>
    <w:rsid w:val="00670EB1"/>
    <w:rsid w:val="00670FE7"/>
    <w:rsid w:val="00671ACC"/>
    <w:rsid w:val="00671C6C"/>
    <w:rsid w:val="00671CB1"/>
    <w:rsid w:val="00671CC6"/>
    <w:rsid w:val="00671D74"/>
    <w:rsid w:val="00671E4C"/>
    <w:rsid w:val="00671EE3"/>
    <w:rsid w:val="00671FFC"/>
    <w:rsid w:val="00672476"/>
    <w:rsid w:val="00672C1F"/>
    <w:rsid w:val="00672FB3"/>
    <w:rsid w:val="0067366C"/>
    <w:rsid w:val="00673B3C"/>
    <w:rsid w:val="00673F16"/>
    <w:rsid w:val="006742D7"/>
    <w:rsid w:val="00674398"/>
    <w:rsid w:val="00674AF4"/>
    <w:rsid w:val="00674B71"/>
    <w:rsid w:val="00674D61"/>
    <w:rsid w:val="00674E7E"/>
    <w:rsid w:val="00675111"/>
    <w:rsid w:val="00675470"/>
    <w:rsid w:val="0067560A"/>
    <w:rsid w:val="00675A6D"/>
    <w:rsid w:val="006765A0"/>
    <w:rsid w:val="00676805"/>
    <w:rsid w:val="00676DDF"/>
    <w:rsid w:val="00677752"/>
    <w:rsid w:val="00677797"/>
    <w:rsid w:val="00677A92"/>
    <w:rsid w:val="00677C40"/>
    <w:rsid w:val="00677D97"/>
    <w:rsid w:val="00677DC9"/>
    <w:rsid w:val="00680018"/>
    <w:rsid w:val="0068020B"/>
    <w:rsid w:val="0068040A"/>
    <w:rsid w:val="00680656"/>
    <w:rsid w:val="00680A41"/>
    <w:rsid w:val="00680AAF"/>
    <w:rsid w:val="00680AB7"/>
    <w:rsid w:val="00680D1C"/>
    <w:rsid w:val="00680D5D"/>
    <w:rsid w:val="0068119D"/>
    <w:rsid w:val="0068159E"/>
    <w:rsid w:val="00681E07"/>
    <w:rsid w:val="006827BA"/>
    <w:rsid w:val="00682849"/>
    <w:rsid w:val="00682A30"/>
    <w:rsid w:val="00682BC5"/>
    <w:rsid w:val="00682CD9"/>
    <w:rsid w:val="00682F15"/>
    <w:rsid w:val="0068311C"/>
    <w:rsid w:val="006831DF"/>
    <w:rsid w:val="00683542"/>
    <w:rsid w:val="00683777"/>
    <w:rsid w:val="006839AA"/>
    <w:rsid w:val="00683D28"/>
    <w:rsid w:val="00684314"/>
    <w:rsid w:val="006843C5"/>
    <w:rsid w:val="00684498"/>
    <w:rsid w:val="00684566"/>
    <w:rsid w:val="006845A4"/>
    <w:rsid w:val="00684953"/>
    <w:rsid w:val="00684A0C"/>
    <w:rsid w:val="00684A45"/>
    <w:rsid w:val="00684B65"/>
    <w:rsid w:val="00684F68"/>
    <w:rsid w:val="00684FBA"/>
    <w:rsid w:val="00685876"/>
    <w:rsid w:val="00685A10"/>
    <w:rsid w:val="00685C55"/>
    <w:rsid w:val="00686126"/>
    <w:rsid w:val="00686165"/>
    <w:rsid w:val="006862C7"/>
    <w:rsid w:val="00686300"/>
    <w:rsid w:val="00686868"/>
    <w:rsid w:val="0068692A"/>
    <w:rsid w:val="00686C73"/>
    <w:rsid w:val="0068724A"/>
    <w:rsid w:val="00687343"/>
    <w:rsid w:val="0068767B"/>
    <w:rsid w:val="0068796F"/>
    <w:rsid w:val="00687A31"/>
    <w:rsid w:val="00687E36"/>
    <w:rsid w:val="00687EF5"/>
    <w:rsid w:val="0069023F"/>
    <w:rsid w:val="0069069B"/>
    <w:rsid w:val="00690B61"/>
    <w:rsid w:val="00690F5A"/>
    <w:rsid w:val="0069126C"/>
    <w:rsid w:val="00691351"/>
    <w:rsid w:val="00691430"/>
    <w:rsid w:val="006918AF"/>
    <w:rsid w:val="00691999"/>
    <w:rsid w:val="006919F7"/>
    <w:rsid w:val="00691A88"/>
    <w:rsid w:val="00691DE0"/>
    <w:rsid w:val="00691FFF"/>
    <w:rsid w:val="00692182"/>
    <w:rsid w:val="0069230D"/>
    <w:rsid w:val="00692C20"/>
    <w:rsid w:val="00692CA6"/>
    <w:rsid w:val="00693011"/>
    <w:rsid w:val="0069359A"/>
    <w:rsid w:val="00693ECD"/>
    <w:rsid w:val="00694300"/>
    <w:rsid w:val="00694450"/>
    <w:rsid w:val="006944E3"/>
    <w:rsid w:val="006947ED"/>
    <w:rsid w:val="00694835"/>
    <w:rsid w:val="00694930"/>
    <w:rsid w:val="00694938"/>
    <w:rsid w:val="00694A82"/>
    <w:rsid w:val="00694FC2"/>
    <w:rsid w:val="00695354"/>
    <w:rsid w:val="006954A0"/>
    <w:rsid w:val="0069571E"/>
    <w:rsid w:val="00695C50"/>
    <w:rsid w:val="00696749"/>
    <w:rsid w:val="00696B1A"/>
    <w:rsid w:val="00696D2D"/>
    <w:rsid w:val="00696EDC"/>
    <w:rsid w:val="006970A5"/>
    <w:rsid w:val="00697577"/>
    <w:rsid w:val="006975E3"/>
    <w:rsid w:val="00697787"/>
    <w:rsid w:val="00697958"/>
    <w:rsid w:val="00697C6A"/>
    <w:rsid w:val="00697E69"/>
    <w:rsid w:val="006A0BEC"/>
    <w:rsid w:val="006A1A54"/>
    <w:rsid w:val="006A1B6E"/>
    <w:rsid w:val="006A21FA"/>
    <w:rsid w:val="006A225A"/>
    <w:rsid w:val="006A23C7"/>
    <w:rsid w:val="006A2584"/>
    <w:rsid w:val="006A2AF5"/>
    <w:rsid w:val="006A2D24"/>
    <w:rsid w:val="006A3841"/>
    <w:rsid w:val="006A3991"/>
    <w:rsid w:val="006A3D3B"/>
    <w:rsid w:val="006A3E24"/>
    <w:rsid w:val="006A3FE1"/>
    <w:rsid w:val="006A4053"/>
    <w:rsid w:val="006A4376"/>
    <w:rsid w:val="006A48A1"/>
    <w:rsid w:val="006A49F1"/>
    <w:rsid w:val="006A4D2D"/>
    <w:rsid w:val="006A5297"/>
    <w:rsid w:val="006A5785"/>
    <w:rsid w:val="006A59B1"/>
    <w:rsid w:val="006A6324"/>
    <w:rsid w:val="006A65C8"/>
    <w:rsid w:val="006A700A"/>
    <w:rsid w:val="006A737F"/>
    <w:rsid w:val="006A7508"/>
    <w:rsid w:val="006A7981"/>
    <w:rsid w:val="006A7E70"/>
    <w:rsid w:val="006B0347"/>
    <w:rsid w:val="006B0416"/>
    <w:rsid w:val="006B043C"/>
    <w:rsid w:val="006B050C"/>
    <w:rsid w:val="006B06D1"/>
    <w:rsid w:val="006B07E3"/>
    <w:rsid w:val="006B0C00"/>
    <w:rsid w:val="006B1740"/>
    <w:rsid w:val="006B1948"/>
    <w:rsid w:val="006B1D8F"/>
    <w:rsid w:val="006B1D9E"/>
    <w:rsid w:val="006B29D3"/>
    <w:rsid w:val="006B29FB"/>
    <w:rsid w:val="006B2C15"/>
    <w:rsid w:val="006B2CA4"/>
    <w:rsid w:val="006B2EEE"/>
    <w:rsid w:val="006B32F8"/>
    <w:rsid w:val="006B333C"/>
    <w:rsid w:val="006B34F0"/>
    <w:rsid w:val="006B3873"/>
    <w:rsid w:val="006B3C6C"/>
    <w:rsid w:val="006B4595"/>
    <w:rsid w:val="006B4C4E"/>
    <w:rsid w:val="006B5358"/>
    <w:rsid w:val="006B559C"/>
    <w:rsid w:val="006B5616"/>
    <w:rsid w:val="006B5761"/>
    <w:rsid w:val="006B57A9"/>
    <w:rsid w:val="006B58E5"/>
    <w:rsid w:val="006B5D61"/>
    <w:rsid w:val="006B602D"/>
    <w:rsid w:val="006B636C"/>
    <w:rsid w:val="006B638A"/>
    <w:rsid w:val="006B6639"/>
    <w:rsid w:val="006B66EB"/>
    <w:rsid w:val="006B6972"/>
    <w:rsid w:val="006B6A3C"/>
    <w:rsid w:val="006B6C69"/>
    <w:rsid w:val="006B6FB2"/>
    <w:rsid w:val="006B718E"/>
    <w:rsid w:val="006B7401"/>
    <w:rsid w:val="006B78ED"/>
    <w:rsid w:val="006B7A32"/>
    <w:rsid w:val="006B7B34"/>
    <w:rsid w:val="006C008E"/>
    <w:rsid w:val="006C04BD"/>
    <w:rsid w:val="006C082F"/>
    <w:rsid w:val="006C0ADD"/>
    <w:rsid w:val="006C0C42"/>
    <w:rsid w:val="006C0EF4"/>
    <w:rsid w:val="006C1152"/>
    <w:rsid w:val="006C14F6"/>
    <w:rsid w:val="006C1529"/>
    <w:rsid w:val="006C1F5F"/>
    <w:rsid w:val="006C2012"/>
    <w:rsid w:val="006C2182"/>
    <w:rsid w:val="006C2A77"/>
    <w:rsid w:val="006C2B18"/>
    <w:rsid w:val="006C2B33"/>
    <w:rsid w:val="006C2F5A"/>
    <w:rsid w:val="006C3637"/>
    <w:rsid w:val="006C382A"/>
    <w:rsid w:val="006C38FF"/>
    <w:rsid w:val="006C3C0F"/>
    <w:rsid w:val="006C3D63"/>
    <w:rsid w:val="006C4C3C"/>
    <w:rsid w:val="006C4E32"/>
    <w:rsid w:val="006C53EE"/>
    <w:rsid w:val="006C5809"/>
    <w:rsid w:val="006C5DA8"/>
    <w:rsid w:val="006C5FE4"/>
    <w:rsid w:val="006C6053"/>
    <w:rsid w:val="006C63CD"/>
    <w:rsid w:val="006C646C"/>
    <w:rsid w:val="006C6643"/>
    <w:rsid w:val="006C689F"/>
    <w:rsid w:val="006C6AB1"/>
    <w:rsid w:val="006C6E2A"/>
    <w:rsid w:val="006C6EAF"/>
    <w:rsid w:val="006C6ED4"/>
    <w:rsid w:val="006C70AF"/>
    <w:rsid w:val="006C75DA"/>
    <w:rsid w:val="006C7B3C"/>
    <w:rsid w:val="006C7C36"/>
    <w:rsid w:val="006D009F"/>
    <w:rsid w:val="006D0501"/>
    <w:rsid w:val="006D050F"/>
    <w:rsid w:val="006D0698"/>
    <w:rsid w:val="006D0BB2"/>
    <w:rsid w:val="006D0DC5"/>
    <w:rsid w:val="006D1349"/>
    <w:rsid w:val="006D1A45"/>
    <w:rsid w:val="006D1A6E"/>
    <w:rsid w:val="006D1B30"/>
    <w:rsid w:val="006D1C67"/>
    <w:rsid w:val="006D1E5E"/>
    <w:rsid w:val="006D1FC3"/>
    <w:rsid w:val="006D222C"/>
    <w:rsid w:val="006D25E1"/>
    <w:rsid w:val="006D28E7"/>
    <w:rsid w:val="006D2C51"/>
    <w:rsid w:val="006D2CF6"/>
    <w:rsid w:val="006D2D14"/>
    <w:rsid w:val="006D3178"/>
    <w:rsid w:val="006D354C"/>
    <w:rsid w:val="006D35F0"/>
    <w:rsid w:val="006D375B"/>
    <w:rsid w:val="006D3764"/>
    <w:rsid w:val="006D37B1"/>
    <w:rsid w:val="006D3962"/>
    <w:rsid w:val="006D3B48"/>
    <w:rsid w:val="006D3D52"/>
    <w:rsid w:val="006D404C"/>
    <w:rsid w:val="006D452A"/>
    <w:rsid w:val="006D4AB8"/>
    <w:rsid w:val="006D4C25"/>
    <w:rsid w:val="006D4F40"/>
    <w:rsid w:val="006D525C"/>
    <w:rsid w:val="006D52E9"/>
    <w:rsid w:val="006D5350"/>
    <w:rsid w:val="006D57B4"/>
    <w:rsid w:val="006D5E41"/>
    <w:rsid w:val="006D62C6"/>
    <w:rsid w:val="006D6632"/>
    <w:rsid w:val="006D6764"/>
    <w:rsid w:val="006D6845"/>
    <w:rsid w:val="006D68C2"/>
    <w:rsid w:val="006D6EC9"/>
    <w:rsid w:val="006D74F5"/>
    <w:rsid w:val="006D7CB8"/>
    <w:rsid w:val="006D7CD1"/>
    <w:rsid w:val="006D7E48"/>
    <w:rsid w:val="006D7EA2"/>
    <w:rsid w:val="006D7EC0"/>
    <w:rsid w:val="006E0838"/>
    <w:rsid w:val="006E0B5B"/>
    <w:rsid w:val="006E10AB"/>
    <w:rsid w:val="006E10E0"/>
    <w:rsid w:val="006E125D"/>
    <w:rsid w:val="006E140F"/>
    <w:rsid w:val="006E14B5"/>
    <w:rsid w:val="006E16F3"/>
    <w:rsid w:val="006E19A7"/>
    <w:rsid w:val="006E19E6"/>
    <w:rsid w:val="006E1B4C"/>
    <w:rsid w:val="006E1CED"/>
    <w:rsid w:val="006E1D14"/>
    <w:rsid w:val="006E204F"/>
    <w:rsid w:val="006E2288"/>
    <w:rsid w:val="006E22ED"/>
    <w:rsid w:val="006E26A9"/>
    <w:rsid w:val="006E2732"/>
    <w:rsid w:val="006E32B1"/>
    <w:rsid w:val="006E3356"/>
    <w:rsid w:val="006E3535"/>
    <w:rsid w:val="006E4179"/>
    <w:rsid w:val="006E4277"/>
    <w:rsid w:val="006E4684"/>
    <w:rsid w:val="006E4DFF"/>
    <w:rsid w:val="006E4FBD"/>
    <w:rsid w:val="006E5250"/>
    <w:rsid w:val="006E55D8"/>
    <w:rsid w:val="006E571E"/>
    <w:rsid w:val="006E5947"/>
    <w:rsid w:val="006E5E8A"/>
    <w:rsid w:val="006E5EE0"/>
    <w:rsid w:val="006E5F55"/>
    <w:rsid w:val="006E630C"/>
    <w:rsid w:val="006E633F"/>
    <w:rsid w:val="006E644C"/>
    <w:rsid w:val="006E679E"/>
    <w:rsid w:val="006E67E7"/>
    <w:rsid w:val="006E6887"/>
    <w:rsid w:val="006E69C0"/>
    <w:rsid w:val="006E6CCA"/>
    <w:rsid w:val="006E7130"/>
    <w:rsid w:val="006E7637"/>
    <w:rsid w:val="006E7DFC"/>
    <w:rsid w:val="006E7E99"/>
    <w:rsid w:val="006F0073"/>
    <w:rsid w:val="006F0214"/>
    <w:rsid w:val="006F0FAC"/>
    <w:rsid w:val="006F116F"/>
    <w:rsid w:val="006F17FE"/>
    <w:rsid w:val="006F1CFB"/>
    <w:rsid w:val="006F21BE"/>
    <w:rsid w:val="006F22CB"/>
    <w:rsid w:val="006F297F"/>
    <w:rsid w:val="006F2AF2"/>
    <w:rsid w:val="006F2CF1"/>
    <w:rsid w:val="006F329D"/>
    <w:rsid w:val="006F346C"/>
    <w:rsid w:val="006F3481"/>
    <w:rsid w:val="006F3571"/>
    <w:rsid w:val="006F3B37"/>
    <w:rsid w:val="006F3D2F"/>
    <w:rsid w:val="006F43C1"/>
    <w:rsid w:val="006F4888"/>
    <w:rsid w:val="006F4D0E"/>
    <w:rsid w:val="006F4E9F"/>
    <w:rsid w:val="006F51AB"/>
    <w:rsid w:val="006F5292"/>
    <w:rsid w:val="006F5396"/>
    <w:rsid w:val="006F5421"/>
    <w:rsid w:val="006F5791"/>
    <w:rsid w:val="006F5FB7"/>
    <w:rsid w:val="006F6157"/>
    <w:rsid w:val="006F62B9"/>
    <w:rsid w:val="006F6566"/>
    <w:rsid w:val="006F6672"/>
    <w:rsid w:val="006F6AC6"/>
    <w:rsid w:val="006F6C3F"/>
    <w:rsid w:val="006F6DBB"/>
    <w:rsid w:val="006F6EE0"/>
    <w:rsid w:val="006F6F6C"/>
    <w:rsid w:val="006F7075"/>
    <w:rsid w:val="006F72E9"/>
    <w:rsid w:val="006F7692"/>
    <w:rsid w:val="006F7E26"/>
    <w:rsid w:val="00700229"/>
    <w:rsid w:val="0070073D"/>
    <w:rsid w:val="0070090F"/>
    <w:rsid w:val="0070092E"/>
    <w:rsid w:val="00700A60"/>
    <w:rsid w:val="00701135"/>
    <w:rsid w:val="007013ED"/>
    <w:rsid w:val="00701644"/>
    <w:rsid w:val="0070181D"/>
    <w:rsid w:val="00701D3C"/>
    <w:rsid w:val="00701F3A"/>
    <w:rsid w:val="0070288F"/>
    <w:rsid w:val="007028DF"/>
    <w:rsid w:val="00702BF3"/>
    <w:rsid w:val="0070360E"/>
    <w:rsid w:val="0070372D"/>
    <w:rsid w:val="007039A9"/>
    <w:rsid w:val="00704064"/>
    <w:rsid w:val="0070425A"/>
    <w:rsid w:val="00704335"/>
    <w:rsid w:val="00704722"/>
    <w:rsid w:val="0070475B"/>
    <w:rsid w:val="007048B3"/>
    <w:rsid w:val="00704B8B"/>
    <w:rsid w:val="00704C0D"/>
    <w:rsid w:val="00704C7C"/>
    <w:rsid w:val="00704EBC"/>
    <w:rsid w:val="00704FB0"/>
    <w:rsid w:val="00705247"/>
    <w:rsid w:val="00705ECC"/>
    <w:rsid w:val="00706293"/>
    <w:rsid w:val="00706363"/>
    <w:rsid w:val="0070698C"/>
    <w:rsid w:val="00706ADE"/>
    <w:rsid w:val="00706B42"/>
    <w:rsid w:val="00706BF7"/>
    <w:rsid w:val="007071D2"/>
    <w:rsid w:val="00707234"/>
    <w:rsid w:val="007072F2"/>
    <w:rsid w:val="00707596"/>
    <w:rsid w:val="00707608"/>
    <w:rsid w:val="007076FB"/>
    <w:rsid w:val="00707919"/>
    <w:rsid w:val="00707E89"/>
    <w:rsid w:val="00707E96"/>
    <w:rsid w:val="00707F91"/>
    <w:rsid w:val="007100B8"/>
    <w:rsid w:val="00710767"/>
    <w:rsid w:val="00710B29"/>
    <w:rsid w:val="00710B33"/>
    <w:rsid w:val="00710D59"/>
    <w:rsid w:val="00710F4D"/>
    <w:rsid w:val="007110AC"/>
    <w:rsid w:val="0071153E"/>
    <w:rsid w:val="00711585"/>
    <w:rsid w:val="00711722"/>
    <w:rsid w:val="00711A67"/>
    <w:rsid w:val="00711DD2"/>
    <w:rsid w:val="00711E28"/>
    <w:rsid w:val="00711EAF"/>
    <w:rsid w:val="00711EC3"/>
    <w:rsid w:val="007120CB"/>
    <w:rsid w:val="00712311"/>
    <w:rsid w:val="00712514"/>
    <w:rsid w:val="0071258F"/>
    <w:rsid w:val="007125AE"/>
    <w:rsid w:val="007125FE"/>
    <w:rsid w:val="007127DA"/>
    <w:rsid w:val="00712D01"/>
    <w:rsid w:val="007130FD"/>
    <w:rsid w:val="0071313D"/>
    <w:rsid w:val="007131A2"/>
    <w:rsid w:val="007133E3"/>
    <w:rsid w:val="00713581"/>
    <w:rsid w:val="00713584"/>
    <w:rsid w:val="0071395F"/>
    <w:rsid w:val="00713AC1"/>
    <w:rsid w:val="00714298"/>
    <w:rsid w:val="00714355"/>
    <w:rsid w:val="00714442"/>
    <w:rsid w:val="00714460"/>
    <w:rsid w:val="00714502"/>
    <w:rsid w:val="00714578"/>
    <w:rsid w:val="00714702"/>
    <w:rsid w:val="00714B68"/>
    <w:rsid w:val="00714CB7"/>
    <w:rsid w:val="007156B5"/>
    <w:rsid w:val="007157FF"/>
    <w:rsid w:val="00715946"/>
    <w:rsid w:val="00715B07"/>
    <w:rsid w:val="00715E5A"/>
    <w:rsid w:val="00716360"/>
    <w:rsid w:val="0071649B"/>
    <w:rsid w:val="007164CF"/>
    <w:rsid w:val="00716591"/>
    <w:rsid w:val="007165AD"/>
    <w:rsid w:val="00716DAD"/>
    <w:rsid w:val="00716FFF"/>
    <w:rsid w:val="0071713E"/>
    <w:rsid w:val="007174A8"/>
    <w:rsid w:val="00717638"/>
    <w:rsid w:val="007200A9"/>
    <w:rsid w:val="007203F6"/>
    <w:rsid w:val="00720669"/>
    <w:rsid w:val="007207C6"/>
    <w:rsid w:val="0072097D"/>
    <w:rsid w:val="00720E25"/>
    <w:rsid w:val="007211BF"/>
    <w:rsid w:val="007212C4"/>
    <w:rsid w:val="00721451"/>
    <w:rsid w:val="00721498"/>
    <w:rsid w:val="00721549"/>
    <w:rsid w:val="00721AF7"/>
    <w:rsid w:val="00721F04"/>
    <w:rsid w:val="00721F78"/>
    <w:rsid w:val="0072201F"/>
    <w:rsid w:val="007220B1"/>
    <w:rsid w:val="007223FB"/>
    <w:rsid w:val="00722E38"/>
    <w:rsid w:val="00722EEC"/>
    <w:rsid w:val="007233E5"/>
    <w:rsid w:val="0072349E"/>
    <w:rsid w:val="0072389D"/>
    <w:rsid w:val="007238FE"/>
    <w:rsid w:val="00723E07"/>
    <w:rsid w:val="00723F7C"/>
    <w:rsid w:val="00724334"/>
    <w:rsid w:val="0072442C"/>
    <w:rsid w:val="00724556"/>
    <w:rsid w:val="00724F3A"/>
    <w:rsid w:val="00725088"/>
    <w:rsid w:val="00725371"/>
    <w:rsid w:val="00725674"/>
    <w:rsid w:val="00725687"/>
    <w:rsid w:val="00725947"/>
    <w:rsid w:val="007261FA"/>
    <w:rsid w:val="00726215"/>
    <w:rsid w:val="00726340"/>
    <w:rsid w:val="00726917"/>
    <w:rsid w:val="00726B7B"/>
    <w:rsid w:val="00726CB8"/>
    <w:rsid w:val="00726EC7"/>
    <w:rsid w:val="00727105"/>
    <w:rsid w:val="007272AE"/>
    <w:rsid w:val="00727461"/>
    <w:rsid w:val="00727871"/>
    <w:rsid w:val="00727914"/>
    <w:rsid w:val="00727C54"/>
    <w:rsid w:val="00730300"/>
    <w:rsid w:val="0073039C"/>
    <w:rsid w:val="00730853"/>
    <w:rsid w:val="00730BC1"/>
    <w:rsid w:val="007317EE"/>
    <w:rsid w:val="00731AC6"/>
    <w:rsid w:val="0073207D"/>
    <w:rsid w:val="0073222E"/>
    <w:rsid w:val="00732A84"/>
    <w:rsid w:val="00732FE7"/>
    <w:rsid w:val="00733199"/>
    <w:rsid w:val="007336C7"/>
    <w:rsid w:val="00733781"/>
    <w:rsid w:val="00733A74"/>
    <w:rsid w:val="00735060"/>
    <w:rsid w:val="007350F2"/>
    <w:rsid w:val="007350FE"/>
    <w:rsid w:val="0073515E"/>
    <w:rsid w:val="00735188"/>
    <w:rsid w:val="007355D6"/>
    <w:rsid w:val="0073563A"/>
    <w:rsid w:val="007356CA"/>
    <w:rsid w:val="00735775"/>
    <w:rsid w:val="0073596E"/>
    <w:rsid w:val="00735CC3"/>
    <w:rsid w:val="00736C14"/>
    <w:rsid w:val="0073705E"/>
    <w:rsid w:val="00737119"/>
    <w:rsid w:val="0073772E"/>
    <w:rsid w:val="00737CA2"/>
    <w:rsid w:val="00737DF1"/>
    <w:rsid w:val="00737F52"/>
    <w:rsid w:val="00740006"/>
    <w:rsid w:val="0074048D"/>
    <w:rsid w:val="007404FD"/>
    <w:rsid w:val="00740528"/>
    <w:rsid w:val="00740A3E"/>
    <w:rsid w:val="00740CC8"/>
    <w:rsid w:val="00740ED6"/>
    <w:rsid w:val="00741124"/>
    <w:rsid w:val="00741165"/>
    <w:rsid w:val="007413DA"/>
    <w:rsid w:val="00741B9D"/>
    <w:rsid w:val="0074230F"/>
    <w:rsid w:val="00742329"/>
    <w:rsid w:val="007424D5"/>
    <w:rsid w:val="0074269A"/>
    <w:rsid w:val="007428B6"/>
    <w:rsid w:val="007428FA"/>
    <w:rsid w:val="00742AF1"/>
    <w:rsid w:val="00742E75"/>
    <w:rsid w:val="007436BD"/>
    <w:rsid w:val="00743847"/>
    <w:rsid w:val="00743AFD"/>
    <w:rsid w:val="00743B65"/>
    <w:rsid w:val="0074436F"/>
    <w:rsid w:val="007444DF"/>
    <w:rsid w:val="00744737"/>
    <w:rsid w:val="00744749"/>
    <w:rsid w:val="00744A9D"/>
    <w:rsid w:val="00744F93"/>
    <w:rsid w:val="00745ADB"/>
    <w:rsid w:val="007460EE"/>
    <w:rsid w:val="007462E9"/>
    <w:rsid w:val="0074655B"/>
    <w:rsid w:val="007467A2"/>
    <w:rsid w:val="00746904"/>
    <w:rsid w:val="00746E07"/>
    <w:rsid w:val="00746F90"/>
    <w:rsid w:val="007470F6"/>
    <w:rsid w:val="007478F8"/>
    <w:rsid w:val="00747AF3"/>
    <w:rsid w:val="00747F93"/>
    <w:rsid w:val="007502D9"/>
    <w:rsid w:val="007503AA"/>
    <w:rsid w:val="0075094B"/>
    <w:rsid w:val="00750DE3"/>
    <w:rsid w:val="00750E98"/>
    <w:rsid w:val="007510E2"/>
    <w:rsid w:val="007511E4"/>
    <w:rsid w:val="007517B5"/>
    <w:rsid w:val="007519CA"/>
    <w:rsid w:val="00751B36"/>
    <w:rsid w:val="00752664"/>
    <w:rsid w:val="0075269A"/>
    <w:rsid w:val="007526C5"/>
    <w:rsid w:val="0075270C"/>
    <w:rsid w:val="00752731"/>
    <w:rsid w:val="007527B2"/>
    <w:rsid w:val="00752D36"/>
    <w:rsid w:val="00752DF8"/>
    <w:rsid w:val="00752E29"/>
    <w:rsid w:val="00753087"/>
    <w:rsid w:val="00753190"/>
    <w:rsid w:val="007531F3"/>
    <w:rsid w:val="007538F4"/>
    <w:rsid w:val="0075411A"/>
    <w:rsid w:val="007541FA"/>
    <w:rsid w:val="00754333"/>
    <w:rsid w:val="007549A9"/>
    <w:rsid w:val="00754A1F"/>
    <w:rsid w:val="00754C1C"/>
    <w:rsid w:val="00754E92"/>
    <w:rsid w:val="00754EFF"/>
    <w:rsid w:val="007553BF"/>
    <w:rsid w:val="0075568E"/>
    <w:rsid w:val="007557ED"/>
    <w:rsid w:val="00755865"/>
    <w:rsid w:val="007558FA"/>
    <w:rsid w:val="0075593F"/>
    <w:rsid w:val="00755EC3"/>
    <w:rsid w:val="00756335"/>
    <w:rsid w:val="0075636C"/>
    <w:rsid w:val="00756395"/>
    <w:rsid w:val="007564CF"/>
    <w:rsid w:val="00756516"/>
    <w:rsid w:val="00756882"/>
    <w:rsid w:val="007569AC"/>
    <w:rsid w:val="00756A34"/>
    <w:rsid w:val="00756AA0"/>
    <w:rsid w:val="00756B80"/>
    <w:rsid w:val="00756C67"/>
    <w:rsid w:val="00756E20"/>
    <w:rsid w:val="00756F0B"/>
    <w:rsid w:val="00756FE5"/>
    <w:rsid w:val="00757239"/>
    <w:rsid w:val="00757475"/>
    <w:rsid w:val="0075766D"/>
    <w:rsid w:val="00757855"/>
    <w:rsid w:val="00757888"/>
    <w:rsid w:val="00757ACB"/>
    <w:rsid w:val="00757C95"/>
    <w:rsid w:val="00757CDF"/>
    <w:rsid w:val="00757DCA"/>
    <w:rsid w:val="00757FAC"/>
    <w:rsid w:val="00760A48"/>
    <w:rsid w:val="00760CC4"/>
    <w:rsid w:val="00760DAB"/>
    <w:rsid w:val="00760FAA"/>
    <w:rsid w:val="00761163"/>
    <w:rsid w:val="0076126D"/>
    <w:rsid w:val="007613EE"/>
    <w:rsid w:val="00761D2B"/>
    <w:rsid w:val="00761D39"/>
    <w:rsid w:val="00761D93"/>
    <w:rsid w:val="00762138"/>
    <w:rsid w:val="007623DD"/>
    <w:rsid w:val="00762554"/>
    <w:rsid w:val="007628D2"/>
    <w:rsid w:val="007629A2"/>
    <w:rsid w:val="00762C41"/>
    <w:rsid w:val="00763438"/>
    <w:rsid w:val="007634ED"/>
    <w:rsid w:val="00763727"/>
    <w:rsid w:val="00763BF1"/>
    <w:rsid w:val="00763BFF"/>
    <w:rsid w:val="00763D15"/>
    <w:rsid w:val="0076424A"/>
    <w:rsid w:val="00764251"/>
    <w:rsid w:val="0076428D"/>
    <w:rsid w:val="00764418"/>
    <w:rsid w:val="00764993"/>
    <w:rsid w:val="00764F8F"/>
    <w:rsid w:val="00765583"/>
    <w:rsid w:val="00765941"/>
    <w:rsid w:val="00765B07"/>
    <w:rsid w:val="00765C7D"/>
    <w:rsid w:val="00765CCB"/>
    <w:rsid w:val="00765CDF"/>
    <w:rsid w:val="00765D87"/>
    <w:rsid w:val="00766400"/>
    <w:rsid w:val="007669DB"/>
    <w:rsid w:val="00766B5F"/>
    <w:rsid w:val="00766B6A"/>
    <w:rsid w:val="00766BF9"/>
    <w:rsid w:val="00766CF7"/>
    <w:rsid w:val="00766D1D"/>
    <w:rsid w:val="00766E73"/>
    <w:rsid w:val="0076714F"/>
    <w:rsid w:val="007671DF"/>
    <w:rsid w:val="007672A3"/>
    <w:rsid w:val="0076746E"/>
    <w:rsid w:val="00767AE3"/>
    <w:rsid w:val="00767CE0"/>
    <w:rsid w:val="00767DBB"/>
    <w:rsid w:val="00767E5F"/>
    <w:rsid w:val="00770358"/>
    <w:rsid w:val="007703E1"/>
    <w:rsid w:val="007703F4"/>
    <w:rsid w:val="00770416"/>
    <w:rsid w:val="00770639"/>
    <w:rsid w:val="007706CC"/>
    <w:rsid w:val="00770D55"/>
    <w:rsid w:val="00770EA1"/>
    <w:rsid w:val="00770FA5"/>
    <w:rsid w:val="0077110C"/>
    <w:rsid w:val="00771917"/>
    <w:rsid w:val="00771A53"/>
    <w:rsid w:val="00771C17"/>
    <w:rsid w:val="00771FC8"/>
    <w:rsid w:val="00772920"/>
    <w:rsid w:val="00772EE4"/>
    <w:rsid w:val="00773010"/>
    <w:rsid w:val="0077350E"/>
    <w:rsid w:val="007742C3"/>
    <w:rsid w:val="007742ED"/>
    <w:rsid w:val="0077475D"/>
    <w:rsid w:val="007747CA"/>
    <w:rsid w:val="00774BF8"/>
    <w:rsid w:val="00774C24"/>
    <w:rsid w:val="00774FF0"/>
    <w:rsid w:val="007750D6"/>
    <w:rsid w:val="0077536F"/>
    <w:rsid w:val="0077548D"/>
    <w:rsid w:val="00775776"/>
    <w:rsid w:val="007757AE"/>
    <w:rsid w:val="00775FBF"/>
    <w:rsid w:val="007760E3"/>
    <w:rsid w:val="007767CF"/>
    <w:rsid w:val="00776B84"/>
    <w:rsid w:val="00776CED"/>
    <w:rsid w:val="00776EA3"/>
    <w:rsid w:val="00776F83"/>
    <w:rsid w:val="007770C4"/>
    <w:rsid w:val="00777407"/>
    <w:rsid w:val="00777777"/>
    <w:rsid w:val="007777EA"/>
    <w:rsid w:val="0077780A"/>
    <w:rsid w:val="0077782A"/>
    <w:rsid w:val="007779A3"/>
    <w:rsid w:val="00777BE7"/>
    <w:rsid w:val="00777C4D"/>
    <w:rsid w:val="00780363"/>
    <w:rsid w:val="00780481"/>
    <w:rsid w:val="00780A04"/>
    <w:rsid w:val="00780C24"/>
    <w:rsid w:val="00780D70"/>
    <w:rsid w:val="00780DE0"/>
    <w:rsid w:val="00780E33"/>
    <w:rsid w:val="007811A1"/>
    <w:rsid w:val="007816C4"/>
    <w:rsid w:val="007817AC"/>
    <w:rsid w:val="00781A56"/>
    <w:rsid w:val="00781B8E"/>
    <w:rsid w:val="00781BDC"/>
    <w:rsid w:val="00781DB8"/>
    <w:rsid w:val="007824EE"/>
    <w:rsid w:val="00782726"/>
    <w:rsid w:val="007828AE"/>
    <w:rsid w:val="00782908"/>
    <w:rsid w:val="00782A25"/>
    <w:rsid w:val="00782DA7"/>
    <w:rsid w:val="00782F32"/>
    <w:rsid w:val="00783153"/>
    <w:rsid w:val="007834DF"/>
    <w:rsid w:val="00783673"/>
    <w:rsid w:val="00783A28"/>
    <w:rsid w:val="00784527"/>
    <w:rsid w:val="00784817"/>
    <w:rsid w:val="007848DE"/>
    <w:rsid w:val="00784DDF"/>
    <w:rsid w:val="0078561D"/>
    <w:rsid w:val="0078594B"/>
    <w:rsid w:val="00785AE7"/>
    <w:rsid w:val="00785CD3"/>
    <w:rsid w:val="00785E4E"/>
    <w:rsid w:val="00786269"/>
    <w:rsid w:val="00786770"/>
    <w:rsid w:val="007868AC"/>
    <w:rsid w:val="00786A29"/>
    <w:rsid w:val="00787385"/>
    <w:rsid w:val="00787476"/>
    <w:rsid w:val="00787A0B"/>
    <w:rsid w:val="0079063E"/>
    <w:rsid w:val="007908DB"/>
    <w:rsid w:val="007909D9"/>
    <w:rsid w:val="00790B0E"/>
    <w:rsid w:val="00790BE8"/>
    <w:rsid w:val="00790D95"/>
    <w:rsid w:val="0079128D"/>
    <w:rsid w:val="0079166C"/>
    <w:rsid w:val="007916BC"/>
    <w:rsid w:val="00791B04"/>
    <w:rsid w:val="00791E80"/>
    <w:rsid w:val="00792132"/>
    <w:rsid w:val="007921BC"/>
    <w:rsid w:val="00792798"/>
    <w:rsid w:val="007927C7"/>
    <w:rsid w:val="00792B84"/>
    <w:rsid w:val="00792C5A"/>
    <w:rsid w:val="007930FB"/>
    <w:rsid w:val="007931DE"/>
    <w:rsid w:val="0079329A"/>
    <w:rsid w:val="007935F6"/>
    <w:rsid w:val="007936B1"/>
    <w:rsid w:val="00793C02"/>
    <w:rsid w:val="007946BA"/>
    <w:rsid w:val="00794AD7"/>
    <w:rsid w:val="00794DB5"/>
    <w:rsid w:val="007954C3"/>
    <w:rsid w:val="0079556F"/>
    <w:rsid w:val="00795625"/>
    <w:rsid w:val="0079569E"/>
    <w:rsid w:val="007957FD"/>
    <w:rsid w:val="00796175"/>
    <w:rsid w:val="007962ED"/>
    <w:rsid w:val="0079634F"/>
    <w:rsid w:val="007966D3"/>
    <w:rsid w:val="00796940"/>
    <w:rsid w:val="00796AD9"/>
    <w:rsid w:val="00796C67"/>
    <w:rsid w:val="00796EBF"/>
    <w:rsid w:val="00796F4F"/>
    <w:rsid w:val="0079703C"/>
    <w:rsid w:val="007972D3"/>
    <w:rsid w:val="00797329"/>
    <w:rsid w:val="0079740F"/>
    <w:rsid w:val="007977A4"/>
    <w:rsid w:val="00797A72"/>
    <w:rsid w:val="00797DB1"/>
    <w:rsid w:val="00797F56"/>
    <w:rsid w:val="007A0305"/>
    <w:rsid w:val="007A047A"/>
    <w:rsid w:val="007A0B55"/>
    <w:rsid w:val="007A0D3A"/>
    <w:rsid w:val="007A0DE2"/>
    <w:rsid w:val="007A1040"/>
    <w:rsid w:val="007A106B"/>
    <w:rsid w:val="007A1274"/>
    <w:rsid w:val="007A12A5"/>
    <w:rsid w:val="007A12A6"/>
    <w:rsid w:val="007A16A3"/>
    <w:rsid w:val="007A1A4A"/>
    <w:rsid w:val="007A1EC1"/>
    <w:rsid w:val="007A2143"/>
    <w:rsid w:val="007A244D"/>
    <w:rsid w:val="007A26F2"/>
    <w:rsid w:val="007A29B6"/>
    <w:rsid w:val="007A2DE3"/>
    <w:rsid w:val="007A30FE"/>
    <w:rsid w:val="007A34E9"/>
    <w:rsid w:val="007A355F"/>
    <w:rsid w:val="007A3689"/>
    <w:rsid w:val="007A36F1"/>
    <w:rsid w:val="007A370D"/>
    <w:rsid w:val="007A3A08"/>
    <w:rsid w:val="007A3B9C"/>
    <w:rsid w:val="007A3CCD"/>
    <w:rsid w:val="007A4275"/>
    <w:rsid w:val="007A427B"/>
    <w:rsid w:val="007A429E"/>
    <w:rsid w:val="007A4510"/>
    <w:rsid w:val="007A4605"/>
    <w:rsid w:val="007A4629"/>
    <w:rsid w:val="007A4B04"/>
    <w:rsid w:val="007A5192"/>
    <w:rsid w:val="007A5397"/>
    <w:rsid w:val="007A552A"/>
    <w:rsid w:val="007A56A1"/>
    <w:rsid w:val="007A5863"/>
    <w:rsid w:val="007A5A34"/>
    <w:rsid w:val="007A5C0B"/>
    <w:rsid w:val="007A5DB4"/>
    <w:rsid w:val="007A69FC"/>
    <w:rsid w:val="007A6CC1"/>
    <w:rsid w:val="007A74C5"/>
    <w:rsid w:val="007A76E1"/>
    <w:rsid w:val="007A7E4C"/>
    <w:rsid w:val="007A7ED4"/>
    <w:rsid w:val="007A7F39"/>
    <w:rsid w:val="007B01B0"/>
    <w:rsid w:val="007B0787"/>
    <w:rsid w:val="007B0C39"/>
    <w:rsid w:val="007B0E96"/>
    <w:rsid w:val="007B11FF"/>
    <w:rsid w:val="007B1368"/>
    <w:rsid w:val="007B17B1"/>
    <w:rsid w:val="007B1A8E"/>
    <w:rsid w:val="007B1B6D"/>
    <w:rsid w:val="007B1BBB"/>
    <w:rsid w:val="007B1C0D"/>
    <w:rsid w:val="007B2349"/>
    <w:rsid w:val="007B29C1"/>
    <w:rsid w:val="007B2AE8"/>
    <w:rsid w:val="007B2D11"/>
    <w:rsid w:val="007B2DE3"/>
    <w:rsid w:val="007B2E0D"/>
    <w:rsid w:val="007B2E63"/>
    <w:rsid w:val="007B3640"/>
    <w:rsid w:val="007B3896"/>
    <w:rsid w:val="007B3B22"/>
    <w:rsid w:val="007B3C53"/>
    <w:rsid w:val="007B3F98"/>
    <w:rsid w:val="007B4CFB"/>
    <w:rsid w:val="007B4F44"/>
    <w:rsid w:val="007B5720"/>
    <w:rsid w:val="007B5818"/>
    <w:rsid w:val="007B5CC0"/>
    <w:rsid w:val="007B5DEB"/>
    <w:rsid w:val="007B6032"/>
    <w:rsid w:val="007B605F"/>
    <w:rsid w:val="007B639A"/>
    <w:rsid w:val="007B64A3"/>
    <w:rsid w:val="007B6706"/>
    <w:rsid w:val="007B673F"/>
    <w:rsid w:val="007B6801"/>
    <w:rsid w:val="007B685F"/>
    <w:rsid w:val="007B68B4"/>
    <w:rsid w:val="007B6FA1"/>
    <w:rsid w:val="007B7096"/>
    <w:rsid w:val="007B7298"/>
    <w:rsid w:val="007B7449"/>
    <w:rsid w:val="007B76EE"/>
    <w:rsid w:val="007B78F1"/>
    <w:rsid w:val="007B794E"/>
    <w:rsid w:val="007B7ACB"/>
    <w:rsid w:val="007B7AE1"/>
    <w:rsid w:val="007B7C02"/>
    <w:rsid w:val="007B7FA0"/>
    <w:rsid w:val="007C0018"/>
    <w:rsid w:val="007C00EA"/>
    <w:rsid w:val="007C0309"/>
    <w:rsid w:val="007C0415"/>
    <w:rsid w:val="007C0509"/>
    <w:rsid w:val="007C05BB"/>
    <w:rsid w:val="007C09DC"/>
    <w:rsid w:val="007C0A35"/>
    <w:rsid w:val="007C0A9B"/>
    <w:rsid w:val="007C0D95"/>
    <w:rsid w:val="007C0F82"/>
    <w:rsid w:val="007C0FF6"/>
    <w:rsid w:val="007C10DF"/>
    <w:rsid w:val="007C1137"/>
    <w:rsid w:val="007C1277"/>
    <w:rsid w:val="007C1307"/>
    <w:rsid w:val="007C1379"/>
    <w:rsid w:val="007C17E1"/>
    <w:rsid w:val="007C1821"/>
    <w:rsid w:val="007C19A2"/>
    <w:rsid w:val="007C1C02"/>
    <w:rsid w:val="007C1CA2"/>
    <w:rsid w:val="007C2190"/>
    <w:rsid w:val="007C2307"/>
    <w:rsid w:val="007C2B38"/>
    <w:rsid w:val="007C321B"/>
    <w:rsid w:val="007C33B4"/>
    <w:rsid w:val="007C36C8"/>
    <w:rsid w:val="007C38A1"/>
    <w:rsid w:val="007C3A77"/>
    <w:rsid w:val="007C3B3B"/>
    <w:rsid w:val="007C3C56"/>
    <w:rsid w:val="007C3E44"/>
    <w:rsid w:val="007C3ED2"/>
    <w:rsid w:val="007C4066"/>
    <w:rsid w:val="007C430B"/>
    <w:rsid w:val="007C49DB"/>
    <w:rsid w:val="007C4D22"/>
    <w:rsid w:val="007C524A"/>
    <w:rsid w:val="007C52B9"/>
    <w:rsid w:val="007C55B8"/>
    <w:rsid w:val="007C5A2D"/>
    <w:rsid w:val="007C5AE1"/>
    <w:rsid w:val="007C6076"/>
    <w:rsid w:val="007C6476"/>
    <w:rsid w:val="007C6543"/>
    <w:rsid w:val="007C68FD"/>
    <w:rsid w:val="007C6A50"/>
    <w:rsid w:val="007C6A7A"/>
    <w:rsid w:val="007C6DED"/>
    <w:rsid w:val="007C6FCF"/>
    <w:rsid w:val="007C73C7"/>
    <w:rsid w:val="007C75B7"/>
    <w:rsid w:val="007C78FF"/>
    <w:rsid w:val="007D0267"/>
    <w:rsid w:val="007D0365"/>
    <w:rsid w:val="007D0393"/>
    <w:rsid w:val="007D044C"/>
    <w:rsid w:val="007D0AB2"/>
    <w:rsid w:val="007D0F3A"/>
    <w:rsid w:val="007D138E"/>
    <w:rsid w:val="007D16A3"/>
    <w:rsid w:val="007D17E8"/>
    <w:rsid w:val="007D1800"/>
    <w:rsid w:val="007D1BD9"/>
    <w:rsid w:val="007D1CB3"/>
    <w:rsid w:val="007D1ECF"/>
    <w:rsid w:val="007D1F81"/>
    <w:rsid w:val="007D20C5"/>
    <w:rsid w:val="007D2227"/>
    <w:rsid w:val="007D238A"/>
    <w:rsid w:val="007D25F6"/>
    <w:rsid w:val="007D293F"/>
    <w:rsid w:val="007D2F42"/>
    <w:rsid w:val="007D3421"/>
    <w:rsid w:val="007D3A7E"/>
    <w:rsid w:val="007D3B3D"/>
    <w:rsid w:val="007D3C1C"/>
    <w:rsid w:val="007D3C69"/>
    <w:rsid w:val="007D3F1B"/>
    <w:rsid w:val="007D4586"/>
    <w:rsid w:val="007D4933"/>
    <w:rsid w:val="007D4965"/>
    <w:rsid w:val="007D4B6F"/>
    <w:rsid w:val="007D550D"/>
    <w:rsid w:val="007D58DB"/>
    <w:rsid w:val="007D5BBD"/>
    <w:rsid w:val="007D5D7E"/>
    <w:rsid w:val="007D5EFF"/>
    <w:rsid w:val="007D6129"/>
    <w:rsid w:val="007D61E3"/>
    <w:rsid w:val="007D65EA"/>
    <w:rsid w:val="007D6BD4"/>
    <w:rsid w:val="007D6BF4"/>
    <w:rsid w:val="007D6D3D"/>
    <w:rsid w:val="007D7015"/>
    <w:rsid w:val="007D7372"/>
    <w:rsid w:val="007D7919"/>
    <w:rsid w:val="007D7CC9"/>
    <w:rsid w:val="007D7D16"/>
    <w:rsid w:val="007D7D49"/>
    <w:rsid w:val="007D7DE6"/>
    <w:rsid w:val="007E01AE"/>
    <w:rsid w:val="007E0212"/>
    <w:rsid w:val="007E0231"/>
    <w:rsid w:val="007E0254"/>
    <w:rsid w:val="007E035F"/>
    <w:rsid w:val="007E04E7"/>
    <w:rsid w:val="007E0E0C"/>
    <w:rsid w:val="007E0F85"/>
    <w:rsid w:val="007E1237"/>
    <w:rsid w:val="007E1438"/>
    <w:rsid w:val="007E1581"/>
    <w:rsid w:val="007E1598"/>
    <w:rsid w:val="007E1674"/>
    <w:rsid w:val="007E188F"/>
    <w:rsid w:val="007E19CE"/>
    <w:rsid w:val="007E267F"/>
    <w:rsid w:val="007E286A"/>
    <w:rsid w:val="007E2A92"/>
    <w:rsid w:val="007E2CFF"/>
    <w:rsid w:val="007E300E"/>
    <w:rsid w:val="007E3047"/>
    <w:rsid w:val="007E38E6"/>
    <w:rsid w:val="007E39EE"/>
    <w:rsid w:val="007E3D8A"/>
    <w:rsid w:val="007E3DA6"/>
    <w:rsid w:val="007E4678"/>
    <w:rsid w:val="007E47A1"/>
    <w:rsid w:val="007E493D"/>
    <w:rsid w:val="007E49B2"/>
    <w:rsid w:val="007E4A19"/>
    <w:rsid w:val="007E509A"/>
    <w:rsid w:val="007E509F"/>
    <w:rsid w:val="007E544A"/>
    <w:rsid w:val="007E576C"/>
    <w:rsid w:val="007E57A6"/>
    <w:rsid w:val="007E5B89"/>
    <w:rsid w:val="007E5B8A"/>
    <w:rsid w:val="007E5EEF"/>
    <w:rsid w:val="007E624B"/>
    <w:rsid w:val="007E6427"/>
    <w:rsid w:val="007E66B9"/>
    <w:rsid w:val="007E677B"/>
    <w:rsid w:val="007E67C8"/>
    <w:rsid w:val="007E6C11"/>
    <w:rsid w:val="007E7099"/>
    <w:rsid w:val="007E7154"/>
    <w:rsid w:val="007E7576"/>
    <w:rsid w:val="007E7C34"/>
    <w:rsid w:val="007E7EF6"/>
    <w:rsid w:val="007E7F4B"/>
    <w:rsid w:val="007E7F55"/>
    <w:rsid w:val="007F0137"/>
    <w:rsid w:val="007F0786"/>
    <w:rsid w:val="007F0DC8"/>
    <w:rsid w:val="007F0DE2"/>
    <w:rsid w:val="007F0E58"/>
    <w:rsid w:val="007F1043"/>
    <w:rsid w:val="007F1587"/>
    <w:rsid w:val="007F16C0"/>
    <w:rsid w:val="007F1AE7"/>
    <w:rsid w:val="007F1C00"/>
    <w:rsid w:val="007F1CF0"/>
    <w:rsid w:val="007F1DC5"/>
    <w:rsid w:val="007F2689"/>
    <w:rsid w:val="007F2759"/>
    <w:rsid w:val="007F2DD5"/>
    <w:rsid w:val="007F320C"/>
    <w:rsid w:val="007F3629"/>
    <w:rsid w:val="007F3EF5"/>
    <w:rsid w:val="007F3FB3"/>
    <w:rsid w:val="007F4551"/>
    <w:rsid w:val="007F4A0D"/>
    <w:rsid w:val="007F4A38"/>
    <w:rsid w:val="007F4E55"/>
    <w:rsid w:val="007F5066"/>
    <w:rsid w:val="007F51F0"/>
    <w:rsid w:val="007F546E"/>
    <w:rsid w:val="007F58E6"/>
    <w:rsid w:val="007F5D14"/>
    <w:rsid w:val="007F63B6"/>
    <w:rsid w:val="007F681E"/>
    <w:rsid w:val="007F6A01"/>
    <w:rsid w:val="007F6BBB"/>
    <w:rsid w:val="007F6E26"/>
    <w:rsid w:val="007F7391"/>
    <w:rsid w:val="007F796E"/>
    <w:rsid w:val="007F7F4B"/>
    <w:rsid w:val="008001C5"/>
    <w:rsid w:val="00800230"/>
    <w:rsid w:val="008002AE"/>
    <w:rsid w:val="0080042C"/>
    <w:rsid w:val="00800A54"/>
    <w:rsid w:val="00800AAD"/>
    <w:rsid w:val="00800D0B"/>
    <w:rsid w:val="00800F56"/>
    <w:rsid w:val="00801077"/>
    <w:rsid w:val="0080121F"/>
    <w:rsid w:val="00801255"/>
    <w:rsid w:val="008014EE"/>
    <w:rsid w:val="00801710"/>
    <w:rsid w:val="008018DA"/>
    <w:rsid w:val="00801C0C"/>
    <w:rsid w:val="00801C8A"/>
    <w:rsid w:val="00801D41"/>
    <w:rsid w:val="00802DDB"/>
    <w:rsid w:val="00803136"/>
    <w:rsid w:val="0080358B"/>
    <w:rsid w:val="0080385F"/>
    <w:rsid w:val="008039B9"/>
    <w:rsid w:val="008039DE"/>
    <w:rsid w:val="00803BAE"/>
    <w:rsid w:val="00803E14"/>
    <w:rsid w:val="00804180"/>
    <w:rsid w:val="0080439A"/>
    <w:rsid w:val="00804761"/>
    <w:rsid w:val="00804A99"/>
    <w:rsid w:val="00804B97"/>
    <w:rsid w:val="00804D3D"/>
    <w:rsid w:val="00805448"/>
    <w:rsid w:val="008055D8"/>
    <w:rsid w:val="0080561C"/>
    <w:rsid w:val="00805B5E"/>
    <w:rsid w:val="00805DE7"/>
    <w:rsid w:val="00805FC5"/>
    <w:rsid w:val="00806163"/>
    <w:rsid w:val="00806266"/>
    <w:rsid w:val="00806314"/>
    <w:rsid w:val="0080639A"/>
    <w:rsid w:val="00806428"/>
    <w:rsid w:val="008066C1"/>
    <w:rsid w:val="008067D4"/>
    <w:rsid w:val="008068B2"/>
    <w:rsid w:val="00806961"/>
    <w:rsid w:val="00806B30"/>
    <w:rsid w:val="00806C99"/>
    <w:rsid w:val="00806CA8"/>
    <w:rsid w:val="008072F1"/>
    <w:rsid w:val="00807737"/>
    <w:rsid w:val="008079DC"/>
    <w:rsid w:val="00807A6A"/>
    <w:rsid w:val="00807ABE"/>
    <w:rsid w:val="00807B77"/>
    <w:rsid w:val="00810019"/>
    <w:rsid w:val="0081015B"/>
    <w:rsid w:val="0081029E"/>
    <w:rsid w:val="0081033B"/>
    <w:rsid w:val="00810BA9"/>
    <w:rsid w:val="00811180"/>
    <w:rsid w:val="00811423"/>
    <w:rsid w:val="008114C8"/>
    <w:rsid w:val="0081153F"/>
    <w:rsid w:val="008115CD"/>
    <w:rsid w:val="008116B7"/>
    <w:rsid w:val="00811712"/>
    <w:rsid w:val="008117BB"/>
    <w:rsid w:val="00811A5F"/>
    <w:rsid w:val="00811A7F"/>
    <w:rsid w:val="0081218A"/>
    <w:rsid w:val="00812476"/>
    <w:rsid w:val="008125FC"/>
    <w:rsid w:val="0081266C"/>
    <w:rsid w:val="00812DEA"/>
    <w:rsid w:val="0081358E"/>
    <w:rsid w:val="00813B75"/>
    <w:rsid w:val="0081401D"/>
    <w:rsid w:val="008141A7"/>
    <w:rsid w:val="00814320"/>
    <w:rsid w:val="00814490"/>
    <w:rsid w:val="00814C51"/>
    <w:rsid w:val="00814F61"/>
    <w:rsid w:val="00814F66"/>
    <w:rsid w:val="00815253"/>
    <w:rsid w:val="0081550A"/>
    <w:rsid w:val="00815632"/>
    <w:rsid w:val="00815757"/>
    <w:rsid w:val="00815C78"/>
    <w:rsid w:val="0081658E"/>
    <w:rsid w:val="0081691D"/>
    <w:rsid w:val="008169BE"/>
    <w:rsid w:val="0081704E"/>
    <w:rsid w:val="0081729A"/>
    <w:rsid w:val="00817CFD"/>
    <w:rsid w:val="00817E6F"/>
    <w:rsid w:val="00817EAC"/>
    <w:rsid w:val="0082019B"/>
    <w:rsid w:val="0082036A"/>
    <w:rsid w:val="0082064D"/>
    <w:rsid w:val="008208D2"/>
    <w:rsid w:val="008209A6"/>
    <w:rsid w:val="00820B54"/>
    <w:rsid w:val="00821326"/>
    <w:rsid w:val="00821332"/>
    <w:rsid w:val="008213A2"/>
    <w:rsid w:val="0082179D"/>
    <w:rsid w:val="008221C3"/>
    <w:rsid w:val="00822454"/>
    <w:rsid w:val="00822840"/>
    <w:rsid w:val="0082327D"/>
    <w:rsid w:val="008235E8"/>
    <w:rsid w:val="00823B2C"/>
    <w:rsid w:val="00823CB6"/>
    <w:rsid w:val="00823F27"/>
    <w:rsid w:val="008243E6"/>
    <w:rsid w:val="00824C64"/>
    <w:rsid w:val="00824FC8"/>
    <w:rsid w:val="00825B4C"/>
    <w:rsid w:val="00826052"/>
    <w:rsid w:val="0082605E"/>
    <w:rsid w:val="008260BC"/>
    <w:rsid w:val="00826338"/>
    <w:rsid w:val="0082697E"/>
    <w:rsid w:val="00826CC7"/>
    <w:rsid w:val="00826D57"/>
    <w:rsid w:val="0082700A"/>
    <w:rsid w:val="0082719D"/>
    <w:rsid w:val="0082755D"/>
    <w:rsid w:val="0082788A"/>
    <w:rsid w:val="0083019E"/>
    <w:rsid w:val="008302FE"/>
    <w:rsid w:val="00830338"/>
    <w:rsid w:val="00830339"/>
    <w:rsid w:val="00830609"/>
    <w:rsid w:val="0083091A"/>
    <w:rsid w:val="00830A21"/>
    <w:rsid w:val="00830AB9"/>
    <w:rsid w:val="00830F4E"/>
    <w:rsid w:val="008319BB"/>
    <w:rsid w:val="00832441"/>
    <w:rsid w:val="008326A9"/>
    <w:rsid w:val="008326AB"/>
    <w:rsid w:val="0083272B"/>
    <w:rsid w:val="00832A01"/>
    <w:rsid w:val="00832E53"/>
    <w:rsid w:val="00832EFE"/>
    <w:rsid w:val="00832F92"/>
    <w:rsid w:val="0083300E"/>
    <w:rsid w:val="00833160"/>
    <w:rsid w:val="00833178"/>
    <w:rsid w:val="00833626"/>
    <w:rsid w:val="008338AF"/>
    <w:rsid w:val="00833A01"/>
    <w:rsid w:val="00833A4A"/>
    <w:rsid w:val="0083445D"/>
    <w:rsid w:val="00834782"/>
    <w:rsid w:val="00834892"/>
    <w:rsid w:val="00834ABB"/>
    <w:rsid w:val="0083518E"/>
    <w:rsid w:val="008356FC"/>
    <w:rsid w:val="00835E69"/>
    <w:rsid w:val="0083618D"/>
    <w:rsid w:val="00836339"/>
    <w:rsid w:val="00836953"/>
    <w:rsid w:val="008369DB"/>
    <w:rsid w:val="00836C87"/>
    <w:rsid w:val="00836D29"/>
    <w:rsid w:val="00836E09"/>
    <w:rsid w:val="00837148"/>
    <w:rsid w:val="00837522"/>
    <w:rsid w:val="00837800"/>
    <w:rsid w:val="0083786B"/>
    <w:rsid w:val="00837A4A"/>
    <w:rsid w:val="00837A68"/>
    <w:rsid w:val="00837C8F"/>
    <w:rsid w:val="008400E3"/>
    <w:rsid w:val="0084034A"/>
    <w:rsid w:val="008406E4"/>
    <w:rsid w:val="00840883"/>
    <w:rsid w:val="00840E54"/>
    <w:rsid w:val="00841425"/>
    <w:rsid w:val="008416AD"/>
    <w:rsid w:val="00841748"/>
    <w:rsid w:val="008417DD"/>
    <w:rsid w:val="008418B7"/>
    <w:rsid w:val="00841975"/>
    <w:rsid w:val="00841AAE"/>
    <w:rsid w:val="008422E2"/>
    <w:rsid w:val="00842540"/>
    <w:rsid w:val="008425FD"/>
    <w:rsid w:val="00842D04"/>
    <w:rsid w:val="00842DC5"/>
    <w:rsid w:val="00843359"/>
    <w:rsid w:val="00843673"/>
    <w:rsid w:val="00843710"/>
    <w:rsid w:val="0084371F"/>
    <w:rsid w:val="00843C50"/>
    <w:rsid w:val="00843C72"/>
    <w:rsid w:val="00843C88"/>
    <w:rsid w:val="00844039"/>
    <w:rsid w:val="0084418D"/>
    <w:rsid w:val="0084451C"/>
    <w:rsid w:val="008448F5"/>
    <w:rsid w:val="00844962"/>
    <w:rsid w:val="00844AC7"/>
    <w:rsid w:val="00844CEE"/>
    <w:rsid w:val="0084538A"/>
    <w:rsid w:val="008453B8"/>
    <w:rsid w:val="0084591A"/>
    <w:rsid w:val="00845E09"/>
    <w:rsid w:val="00845F12"/>
    <w:rsid w:val="00845FD4"/>
    <w:rsid w:val="008464DE"/>
    <w:rsid w:val="00846921"/>
    <w:rsid w:val="00846B07"/>
    <w:rsid w:val="00846BA0"/>
    <w:rsid w:val="00846CAE"/>
    <w:rsid w:val="00846FA8"/>
    <w:rsid w:val="0084707D"/>
    <w:rsid w:val="008472F5"/>
    <w:rsid w:val="00847540"/>
    <w:rsid w:val="008475F8"/>
    <w:rsid w:val="00847D2F"/>
    <w:rsid w:val="00847E36"/>
    <w:rsid w:val="0085025E"/>
    <w:rsid w:val="008504AD"/>
    <w:rsid w:val="00850514"/>
    <w:rsid w:val="008513A7"/>
    <w:rsid w:val="0085173D"/>
    <w:rsid w:val="00851BF9"/>
    <w:rsid w:val="00851D34"/>
    <w:rsid w:val="00851E09"/>
    <w:rsid w:val="00851E26"/>
    <w:rsid w:val="00851EEF"/>
    <w:rsid w:val="00851F03"/>
    <w:rsid w:val="00851F29"/>
    <w:rsid w:val="00851F8F"/>
    <w:rsid w:val="00852153"/>
    <w:rsid w:val="008522BA"/>
    <w:rsid w:val="0085248D"/>
    <w:rsid w:val="0085272D"/>
    <w:rsid w:val="0085294A"/>
    <w:rsid w:val="008535EF"/>
    <w:rsid w:val="008536E7"/>
    <w:rsid w:val="008538F0"/>
    <w:rsid w:val="00853E34"/>
    <w:rsid w:val="00853E53"/>
    <w:rsid w:val="00854308"/>
    <w:rsid w:val="00854316"/>
    <w:rsid w:val="00854412"/>
    <w:rsid w:val="008547DF"/>
    <w:rsid w:val="00854A0E"/>
    <w:rsid w:val="008551C8"/>
    <w:rsid w:val="0085527A"/>
    <w:rsid w:val="00855667"/>
    <w:rsid w:val="00855BAC"/>
    <w:rsid w:val="00855F07"/>
    <w:rsid w:val="00855FDB"/>
    <w:rsid w:val="00856071"/>
    <w:rsid w:val="00856085"/>
    <w:rsid w:val="0085625E"/>
    <w:rsid w:val="008566BE"/>
    <w:rsid w:val="00856827"/>
    <w:rsid w:val="00856B43"/>
    <w:rsid w:val="00856E02"/>
    <w:rsid w:val="00856FFC"/>
    <w:rsid w:val="00857175"/>
    <w:rsid w:val="008573B6"/>
    <w:rsid w:val="00857441"/>
    <w:rsid w:val="00857A6A"/>
    <w:rsid w:val="00860042"/>
    <w:rsid w:val="0086077D"/>
    <w:rsid w:val="00860C25"/>
    <w:rsid w:val="00860FE4"/>
    <w:rsid w:val="008616C6"/>
    <w:rsid w:val="00861821"/>
    <w:rsid w:val="00861E9E"/>
    <w:rsid w:val="008620E7"/>
    <w:rsid w:val="0086266B"/>
    <w:rsid w:val="008628F1"/>
    <w:rsid w:val="008631E1"/>
    <w:rsid w:val="00863280"/>
    <w:rsid w:val="00863E74"/>
    <w:rsid w:val="00864204"/>
    <w:rsid w:val="008642D8"/>
    <w:rsid w:val="0086430B"/>
    <w:rsid w:val="00864436"/>
    <w:rsid w:val="008645ED"/>
    <w:rsid w:val="00864699"/>
    <w:rsid w:val="00864816"/>
    <w:rsid w:val="00864868"/>
    <w:rsid w:val="00864D72"/>
    <w:rsid w:val="00864E81"/>
    <w:rsid w:val="00864F68"/>
    <w:rsid w:val="008658D3"/>
    <w:rsid w:val="00865A85"/>
    <w:rsid w:val="00865BDF"/>
    <w:rsid w:val="00865EAA"/>
    <w:rsid w:val="00865F08"/>
    <w:rsid w:val="00866322"/>
    <w:rsid w:val="008667D4"/>
    <w:rsid w:val="008667DA"/>
    <w:rsid w:val="008668B0"/>
    <w:rsid w:val="0086693A"/>
    <w:rsid w:val="00866A7A"/>
    <w:rsid w:val="00866C70"/>
    <w:rsid w:val="00867470"/>
    <w:rsid w:val="008674AA"/>
    <w:rsid w:val="00867968"/>
    <w:rsid w:val="00867973"/>
    <w:rsid w:val="00867E75"/>
    <w:rsid w:val="00867E9A"/>
    <w:rsid w:val="00867EC9"/>
    <w:rsid w:val="0087029D"/>
    <w:rsid w:val="008703F6"/>
    <w:rsid w:val="008703F7"/>
    <w:rsid w:val="00870881"/>
    <w:rsid w:val="00870921"/>
    <w:rsid w:val="00870C77"/>
    <w:rsid w:val="008714F4"/>
    <w:rsid w:val="0087178D"/>
    <w:rsid w:val="00871D0A"/>
    <w:rsid w:val="00871E96"/>
    <w:rsid w:val="008721FE"/>
    <w:rsid w:val="0087247A"/>
    <w:rsid w:val="00872C36"/>
    <w:rsid w:val="00873490"/>
    <w:rsid w:val="0087358E"/>
    <w:rsid w:val="0087362D"/>
    <w:rsid w:val="00873783"/>
    <w:rsid w:val="008738D5"/>
    <w:rsid w:val="00873A06"/>
    <w:rsid w:val="00873D52"/>
    <w:rsid w:val="00873E0C"/>
    <w:rsid w:val="00873F2B"/>
    <w:rsid w:val="008742C9"/>
    <w:rsid w:val="0087569D"/>
    <w:rsid w:val="008759BC"/>
    <w:rsid w:val="00875F1F"/>
    <w:rsid w:val="00876091"/>
    <w:rsid w:val="008761B4"/>
    <w:rsid w:val="008761DB"/>
    <w:rsid w:val="00876468"/>
    <w:rsid w:val="008765FD"/>
    <w:rsid w:val="00876648"/>
    <w:rsid w:val="00876DDF"/>
    <w:rsid w:val="008771DC"/>
    <w:rsid w:val="008776C9"/>
    <w:rsid w:val="008776F0"/>
    <w:rsid w:val="00877A67"/>
    <w:rsid w:val="00877C10"/>
    <w:rsid w:val="00877CF6"/>
    <w:rsid w:val="00880168"/>
    <w:rsid w:val="0088032E"/>
    <w:rsid w:val="00880705"/>
    <w:rsid w:val="008807F3"/>
    <w:rsid w:val="008808FE"/>
    <w:rsid w:val="00880DA3"/>
    <w:rsid w:val="00880E6B"/>
    <w:rsid w:val="008812A9"/>
    <w:rsid w:val="00881836"/>
    <w:rsid w:val="00881892"/>
    <w:rsid w:val="00881B54"/>
    <w:rsid w:val="008822B7"/>
    <w:rsid w:val="008822E7"/>
    <w:rsid w:val="00882470"/>
    <w:rsid w:val="008824FE"/>
    <w:rsid w:val="00882677"/>
    <w:rsid w:val="008827CC"/>
    <w:rsid w:val="0088293E"/>
    <w:rsid w:val="0088327C"/>
    <w:rsid w:val="00883280"/>
    <w:rsid w:val="008833C5"/>
    <w:rsid w:val="008837D5"/>
    <w:rsid w:val="00883864"/>
    <w:rsid w:val="0088391C"/>
    <w:rsid w:val="00883BEC"/>
    <w:rsid w:val="00883D51"/>
    <w:rsid w:val="00883EFF"/>
    <w:rsid w:val="00883F0D"/>
    <w:rsid w:val="00884275"/>
    <w:rsid w:val="0088481B"/>
    <w:rsid w:val="00884837"/>
    <w:rsid w:val="00884D5E"/>
    <w:rsid w:val="00884FD3"/>
    <w:rsid w:val="00884FF0"/>
    <w:rsid w:val="008854D7"/>
    <w:rsid w:val="0088585D"/>
    <w:rsid w:val="00885E7F"/>
    <w:rsid w:val="0088605E"/>
    <w:rsid w:val="008862C5"/>
    <w:rsid w:val="0088674F"/>
    <w:rsid w:val="00886795"/>
    <w:rsid w:val="00886944"/>
    <w:rsid w:val="00886988"/>
    <w:rsid w:val="008869C7"/>
    <w:rsid w:val="00886E44"/>
    <w:rsid w:val="00886EBD"/>
    <w:rsid w:val="00887431"/>
    <w:rsid w:val="00887492"/>
    <w:rsid w:val="008874E4"/>
    <w:rsid w:val="008876B9"/>
    <w:rsid w:val="008877F0"/>
    <w:rsid w:val="008878C0"/>
    <w:rsid w:val="008879A7"/>
    <w:rsid w:val="008879BA"/>
    <w:rsid w:val="00887C4C"/>
    <w:rsid w:val="00887CB5"/>
    <w:rsid w:val="00887E77"/>
    <w:rsid w:val="0089028B"/>
    <w:rsid w:val="008905D0"/>
    <w:rsid w:val="00890846"/>
    <w:rsid w:val="008910A8"/>
    <w:rsid w:val="00891259"/>
    <w:rsid w:val="00891A37"/>
    <w:rsid w:val="00891F69"/>
    <w:rsid w:val="008922CF"/>
    <w:rsid w:val="00892412"/>
    <w:rsid w:val="008926AC"/>
    <w:rsid w:val="008930EC"/>
    <w:rsid w:val="008931D2"/>
    <w:rsid w:val="008939DF"/>
    <w:rsid w:val="00893C5E"/>
    <w:rsid w:val="00894105"/>
    <w:rsid w:val="008943DC"/>
    <w:rsid w:val="008948BC"/>
    <w:rsid w:val="008948D8"/>
    <w:rsid w:val="00894913"/>
    <w:rsid w:val="00894B17"/>
    <w:rsid w:val="00894C83"/>
    <w:rsid w:val="00895096"/>
    <w:rsid w:val="008950A3"/>
    <w:rsid w:val="008950C0"/>
    <w:rsid w:val="0089538B"/>
    <w:rsid w:val="0089559A"/>
    <w:rsid w:val="00895CE7"/>
    <w:rsid w:val="008960CE"/>
    <w:rsid w:val="00896241"/>
    <w:rsid w:val="0089629C"/>
    <w:rsid w:val="008967E8"/>
    <w:rsid w:val="00896B8A"/>
    <w:rsid w:val="00896CD8"/>
    <w:rsid w:val="00897001"/>
    <w:rsid w:val="008974C9"/>
    <w:rsid w:val="008974FE"/>
    <w:rsid w:val="00897AC3"/>
    <w:rsid w:val="00897CD2"/>
    <w:rsid w:val="00897F35"/>
    <w:rsid w:val="008A03F5"/>
    <w:rsid w:val="008A0429"/>
    <w:rsid w:val="008A0584"/>
    <w:rsid w:val="008A0762"/>
    <w:rsid w:val="008A0F5D"/>
    <w:rsid w:val="008A1122"/>
    <w:rsid w:val="008A1BE2"/>
    <w:rsid w:val="008A1D5F"/>
    <w:rsid w:val="008A21B8"/>
    <w:rsid w:val="008A226C"/>
    <w:rsid w:val="008A23AC"/>
    <w:rsid w:val="008A261E"/>
    <w:rsid w:val="008A26B0"/>
    <w:rsid w:val="008A2718"/>
    <w:rsid w:val="008A2848"/>
    <w:rsid w:val="008A288B"/>
    <w:rsid w:val="008A2DAD"/>
    <w:rsid w:val="008A2FFC"/>
    <w:rsid w:val="008A30CD"/>
    <w:rsid w:val="008A35C2"/>
    <w:rsid w:val="008A38FC"/>
    <w:rsid w:val="008A3C99"/>
    <w:rsid w:val="008A3D7C"/>
    <w:rsid w:val="008A3DC1"/>
    <w:rsid w:val="008A41D0"/>
    <w:rsid w:val="008A45C3"/>
    <w:rsid w:val="008A47C5"/>
    <w:rsid w:val="008A4845"/>
    <w:rsid w:val="008A4995"/>
    <w:rsid w:val="008A4E4F"/>
    <w:rsid w:val="008A5189"/>
    <w:rsid w:val="008A521D"/>
    <w:rsid w:val="008A55DF"/>
    <w:rsid w:val="008A60EA"/>
    <w:rsid w:val="008A6117"/>
    <w:rsid w:val="008A6168"/>
    <w:rsid w:val="008A66B9"/>
    <w:rsid w:val="008A6793"/>
    <w:rsid w:val="008A68EC"/>
    <w:rsid w:val="008A6EE8"/>
    <w:rsid w:val="008A6F68"/>
    <w:rsid w:val="008A700F"/>
    <w:rsid w:val="008A7350"/>
    <w:rsid w:val="008A754F"/>
    <w:rsid w:val="008A7A39"/>
    <w:rsid w:val="008A7BCF"/>
    <w:rsid w:val="008B0106"/>
    <w:rsid w:val="008B08B9"/>
    <w:rsid w:val="008B08DF"/>
    <w:rsid w:val="008B092E"/>
    <w:rsid w:val="008B0A0C"/>
    <w:rsid w:val="008B0C1A"/>
    <w:rsid w:val="008B0D40"/>
    <w:rsid w:val="008B0DA7"/>
    <w:rsid w:val="008B0DB3"/>
    <w:rsid w:val="008B0E5E"/>
    <w:rsid w:val="008B0E89"/>
    <w:rsid w:val="008B0EB1"/>
    <w:rsid w:val="008B1235"/>
    <w:rsid w:val="008B15C5"/>
    <w:rsid w:val="008B2247"/>
    <w:rsid w:val="008B241C"/>
    <w:rsid w:val="008B2487"/>
    <w:rsid w:val="008B24EA"/>
    <w:rsid w:val="008B2677"/>
    <w:rsid w:val="008B2889"/>
    <w:rsid w:val="008B288A"/>
    <w:rsid w:val="008B2B41"/>
    <w:rsid w:val="008B2D90"/>
    <w:rsid w:val="008B2D9A"/>
    <w:rsid w:val="008B2FA0"/>
    <w:rsid w:val="008B2FDD"/>
    <w:rsid w:val="008B321C"/>
    <w:rsid w:val="008B33AD"/>
    <w:rsid w:val="008B3804"/>
    <w:rsid w:val="008B38E7"/>
    <w:rsid w:val="008B39B7"/>
    <w:rsid w:val="008B3A2A"/>
    <w:rsid w:val="008B3C33"/>
    <w:rsid w:val="008B41CA"/>
    <w:rsid w:val="008B45C6"/>
    <w:rsid w:val="008B468B"/>
    <w:rsid w:val="008B473D"/>
    <w:rsid w:val="008B4938"/>
    <w:rsid w:val="008B4C8E"/>
    <w:rsid w:val="008B5282"/>
    <w:rsid w:val="008B53D4"/>
    <w:rsid w:val="008B5A36"/>
    <w:rsid w:val="008B5CAA"/>
    <w:rsid w:val="008B62D8"/>
    <w:rsid w:val="008B6330"/>
    <w:rsid w:val="008B64C6"/>
    <w:rsid w:val="008B64FD"/>
    <w:rsid w:val="008B6B08"/>
    <w:rsid w:val="008B6BE4"/>
    <w:rsid w:val="008B6C81"/>
    <w:rsid w:val="008B6D44"/>
    <w:rsid w:val="008B6E46"/>
    <w:rsid w:val="008B6F03"/>
    <w:rsid w:val="008B6F31"/>
    <w:rsid w:val="008B701D"/>
    <w:rsid w:val="008B750E"/>
    <w:rsid w:val="008B77BF"/>
    <w:rsid w:val="008B78F0"/>
    <w:rsid w:val="008B79C2"/>
    <w:rsid w:val="008B7C5F"/>
    <w:rsid w:val="008B7D22"/>
    <w:rsid w:val="008B7F0B"/>
    <w:rsid w:val="008B7F94"/>
    <w:rsid w:val="008C0266"/>
    <w:rsid w:val="008C08A0"/>
    <w:rsid w:val="008C08D8"/>
    <w:rsid w:val="008C08EC"/>
    <w:rsid w:val="008C0C31"/>
    <w:rsid w:val="008C0CE4"/>
    <w:rsid w:val="008C11B1"/>
    <w:rsid w:val="008C11C5"/>
    <w:rsid w:val="008C1929"/>
    <w:rsid w:val="008C1991"/>
    <w:rsid w:val="008C19A5"/>
    <w:rsid w:val="008C1E6C"/>
    <w:rsid w:val="008C1FBA"/>
    <w:rsid w:val="008C227D"/>
    <w:rsid w:val="008C283F"/>
    <w:rsid w:val="008C2A19"/>
    <w:rsid w:val="008C2ACD"/>
    <w:rsid w:val="008C2B41"/>
    <w:rsid w:val="008C2DE8"/>
    <w:rsid w:val="008C3299"/>
    <w:rsid w:val="008C335C"/>
    <w:rsid w:val="008C3411"/>
    <w:rsid w:val="008C35CE"/>
    <w:rsid w:val="008C3C8B"/>
    <w:rsid w:val="008C3E26"/>
    <w:rsid w:val="008C3EC4"/>
    <w:rsid w:val="008C41F9"/>
    <w:rsid w:val="008C4648"/>
    <w:rsid w:val="008C4770"/>
    <w:rsid w:val="008C4B14"/>
    <w:rsid w:val="008C4B96"/>
    <w:rsid w:val="008C4DAA"/>
    <w:rsid w:val="008C50C2"/>
    <w:rsid w:val="008C52A6"/>
    <w:rsid w:val="008C5607"/>
    <w:rsid w:val="008C56E0"/>
    <w:rsid w:val="008C584B"/>
    <w:rsid w:val="008C5ABB"/>
    <w:rsid w:val="008C5AD0"/>
    <w:rsid w:val="008C5B98"/>
    <w:rsid w:val="008C5C2B"/>
    <w:rsid w:val="008C5D28"/>
    <w:rsid w:val="008C5DD6"/>
    <w:rsid w:val="008C5EA8"/>
    <w:rsid w:val="008C5F04"/>
    <w:rsid w:val="008C60CB"/>
    <w:rsid w:val="008C61B0"/>
    <w:rsid w:val="008C6604"/>
    <w:rsid w:val="008C671F"/>
    <w:rsid w:val="008C698B"/>
    <w:rsid w:val="008C6DA9"/>
    <w:rsid w:val="008C6DAF"/>
    <w:rsid w:val="008C738C"/>
    <w:rsid w:val="008C741C"/>
    <w:rsid w:val="008C74B7"/>
    <w:rsid w:val="008C75A5"/>
    <w:rsid w:val="008C77CA"/>
    <w:rsid w:val="008C7801"/>
    <w:rsid w:val="008C7867"/>
    <w:rsid w:val="008C7B81"/>
    <w:rsid w:val="008C7C13"/>
    <w:rsid w:val="008D0202"/>
    <w:rsid w:val="008D024A"/>
    <w:rsid w:val="008D030E"/>
    <w:rsid w:val="008D0649"/>
    <w:rsid w:val="008D079F"/>
    <w:rsid w:val="008D0956"/>
    <w:rsid w:val="008D0A60"/>
    <w:rsid w:val="008D0ED4"/>
    <w:rsid w:val="008D0F22"/>
    <w:rsid w:val="008D0FEA"/>
    <w:rsid w:val="008D10B8"/>
    <w:rsid w:val="008D1123"/>
    <w:rsid w:val="008D1234"/>
    <w:rsid w:val="008D1655"/>
    <w:rsid w:val="008D1772"/>
    <w:rsid w:val="008D1DC7"/>
    <w:rsid w:val="008D226B"/>
    <w:rsid w:val="008D2373"/>
    <w:rsid w:val="008D23C3"/>
    <w:rsid w:val="008D25CA"/>
    <w:rsid w:val="008D2A7B"/>
    <w:rsid w:val="008D2B0A"/>
    <w:rsid w:val="008D2FCB"/>
    <w:rsid w:val="008D322C"/>
    <w:rsid w:val="008D3250"/>
    <w:rsid w:val="008D3F4C"/>
    <w:rsid w:val="008D42C4"/>
    <w:rsid w:val="008D4514"/>
    <w:rsid w:val="008D4664"/>
    <w:rsid w:val="008D46C9"/>
    <w:rsid w:val="008D48B6"/>
    <w:rsid w:val="008D4903"/>
    <w:rsid w:val="008D490E"/>
    <w:rsid w:val="008D49AF"/>
    <w:rsid w:val="008D4C2F"/>
    <w:rsid w:val="008D4CBA"/>
    <w:rsid w:val="008D5038"/>
    <w:rsid w:val="008D53D4"/>
    <w:rsid w:val="008D5548"/>
    <w:rsid w:val="008D5560"/>
    <w:rsid w:val="008D59FF"/>
    <w:rsid w:val="008D5F6C"/>
    <w:rsid w:val="008D608C"/>
    <w:rsid w:val="008D60FC"/>
    <w:rsid w:val="008D6223"/>
    <w:rsid w:val="008D6277"/>
    <w:rsid w:val="008D640E"/>
    <w:rsid w:val="008D6756"/>
    <w:rsid w:val="008D6778"/>
    <w:rsid w:val="008D6CDC"/>
    <w:rsid w:val="008D6E8C"/>
    <w:rsid w:val="008D6E92"/>
    <w:rsid w:val="008D6EC0"/>
    <w:rsid w:val="008D71D7"/>
    <w:rsid w:val="008D74E7"/>
    <w:rsid w:val="008D78CB"/>
    <w:rsid w:val="008D7A61"/>
    <w:rsid w:val="008D7AB1"/>
    <w:rsid w:val="008D7DFD"/>
    <w:rsid w:val="008D7F8E"/>
    <w:rsid w:val="008E0361"/>
    <w:rsid w:val="008E06EB"/>
    <w:rsid w:val="008E0B20"/>
    <w:rsid w:val="008E0D1F"/>
    <w:rsid w:val="008E12BC"/>
    <w:rsid w:val="008E1714"/>
    <w:rsid w:val="008E1946"/>
    <w:rsid w:val="008E1BA6"/>
    <w:rsid w:val="008E1DA3"/>
    <w:rsid w:val="008E1DB3"/>
    <w:rsid w:val="008E1DBF"/>
    <w:rsid w:val="008E1EED"/>
    <w:rsid w:val="008E250A"/>
    <w:rsid w:val="008E2FCF"/>
    <w:rsid w:val="008E31F6"/>
    <w:rsid w:val="008E367D"/>
    <w:rsid w:val="008E369E"/>
    <w:rsid w:val="008E37E8"/>
    <w:rsid w:val="008E3A34"/>
    <w:rsid w:val="008E3A87"/>
    <w:rsid w:val="008E3C00"/>
    <w:rsid w:val="008E42F2"/>
    <w:rsid w:val="008E4325"/>
    <w:rsid w:val="008E4399"/>
    <w:rsid w:val="008E45FB"/>
    <w:rsid w:val="008E468E"/>
    <w:rsid w:val="008E4702"/>
    <w:rsid w:val="008E4AD4"/>
    <w:rsid w:val="008E4B7F"/>
    <w:rsid w:val="008E5168"/>
    <w:rsid w:val="008E52E1"/>
    <w:rsid w:val="008E59B0"/>
    <w:rsid w:val="008E5AF2"/>
    <w:rsid w:val="008E5AFB"/>
    <w:rsid w:val="008E60EC"/>
    <w:rsid w:val="008E6383"/>
    <w:rsid w:val="008E63DE"/>
    <w:rsid w:val="008E63E5"/>
    <w:rsid w:val="008E6763"/>
    <w:rsid w:val="008E6A3F"/>
    <w:rsid w:val="008E6A57"/>
    <w:rsid w:val="008E6AE8"/>
    <w:rsid w:val="008E6FFB"/>
    <w:rsid w:val="008E7803"/>
    <w:rsid w:val="008E7B91"/>
    <w:rsid w:val="008F0353"/>
    <w:rsid w:val="008F05E1"/>
    <w:rsid w:val="008F0797"/>
    <w:rsid w:val="008F0827"/>
    <w:rsid w:val="008F11D8"/>
    <w:rsid w:val="008F131F"/>
    <w:rsid w:val="008F154D"/>
    <w:rsid w:val="008F15B9"/>
    <w:rsid w:val="008F1A82"/>
    <w:rsid w:val="008F1B70"/>
    <w:rsid w:val="008F1C77"/>
    <w:rsid w:val="008F1DEB"/>
    <w:rsid w:val="008F2016"/>
    <w:rsid w:val="008F2113"/>
    <w:rsid w:val="008F24B3"/>
    <w:rsid w:val="008F2665"/>
    <w:rsid w:val="008F27D3"/>
    <w:rsid w:val="008F2965"/>
    <w:rsid w:val="008F29D4"/>
    <w:rsid w:val="008F2B53"/>
    <w:rsid w:val="008F2CF9"/>
    <w:rsid w:val="008F2E65"/>
    <w:rsid w:val="008F2F51"/>
    <w:rsid w:val="008F2FEC"/>
    <w:rsid w:val="008F3181"/>
    <w:rsid w:val="008F325A"/>
    <w:rsid w:val="008F32C9"/>
    <w:rsid w:val="008F344A"/>
    <w:rsid w:val="008F3B73"/>
    <w:rsid w:val="008F3DE9"/>
    <w:rsid w:val="008F3F7A"/>
    <w:rsid w:val="008F3FF5"/>
    <w:rsid w:val="008F4169"/>
    <w:rsid w:val="008F4213"/>
    <w:rsid w:val="008F4359"/>
    <w:rsid w:val="008F437A"/>
    <w:rsid w:val="008F443F"/>
    <w:rsid w:val="008F479B"/>
    <w:rsid w:val="008F47D3"/>
    <w:rsid w:val="008F495B"/>
    <w:rsid w:val="008F4C11"/>
    <w:rsid w:val="008F4D06"/>
    <w:rsid w:val="008F4DDB"/>
    <w:rsid w:val="008F4E51"/>
    <w:rsid w:val="008F5384"/>
    <w:rsid w:val="008F5A2F"/>
    <w:rsid w:val="008F6123"/>
    <w:rsid w:val="008F6148"/>
    <w:rsid w:val="008F6200"/>
    <w:rsid w:val="008F673B"/>
    <w:rsid w:val="008F69A9"/>
    <w:rsid w:val="008F69DB"/>
    <w:rsid w:val="008F6AEA"/>
    <w:rsid w:val="008F7121"/>
    <w:rsid w:val="008F75F6"/>
    <w:rsid w:val="008F77C4"/>
    <w:rsid w:val="008F787F"/>
    <w:rsid w:val="008F7A18"/>
    <w:rsid w:val="008F7AB1"/>
    <w:rsid w:val="008F7B0C"/>
    <w:rsid w:val="00900167"/>
    <w:rsid w:val="009002DC"/>
    <w:rsid w:val="00900B87"/>
    <w:rsid w:val="00901163"/>
    <w:rsid w:val="00901174"/>
    <w:rsid w:val="00901322"/>
    <w:rsid w:val="009015F7"/>
    <w:rsid w:val="00901721"/>
    <w:rsid w:val="009017F2"/>
    <w:rsid w:val="009020DA"/>
    <w:rsid w:val="00902295"/>
    <w:rsid w:val="009022B2"/>
    <w:rsid w:val="0090248B"/>
    <w:rsid w:val="00902F1A"/>
    <w:rsid w:val="009035FA"/>
    <w:rsid w:val="00903733"/>
    <w:rsid w:val="0090375E"/>
    <w:rsid w:val="009037C6"/>
    <w:rsid w:val="00903872"/>
    <w:rsid w:val="00903A03"/>
    <w:rsid w:val="00903BA1"/>
    <w:rsid w:val="00903CED"/>
    <w:rsid w:val="00903F58"/>
    <w:rsid w:val="009040A1"/>
    <w:rsid w:val="0090445D"/>
    <w:rsid w:val="00904662"/>
    <w:rsid w:val="00904888"/>
    <w:rsid w:val="00904F81"/>
    <w:rsid w:val="00905423"/>
    <w:rsid w:val="00905714"/>
    <w:rsid w:val="0090576C"/>
    <w:rsid w:val="009058EB"/>
    <w:rsid w:val="0090696D"/>
    <w:rsid w:val="00906B76"/>
    <w:rsid w:val="00907077"/>
    <w:rsid w:val="0090712B"/>
    <w:rsid w:val="00907873"/>
    <w:rsid w:val="00907949"/>
    <w:rsid w:val="0091008B"/>
    <w:rsid w:val="009101DF"/>
    <w:rsid w:val="0091052B"/>
    <w:rsid w:val="009105AC"/>
    <w:rsid w:val="0091080D"/>
    <w:rsid w:val="00910996"/>
    <w:rsid w:val="00910CCF"/>
    <w:rsid w:val="00910FF9"/>
    <w:rsid w:val="0091120A"/>
    <w:rsid w:val="0091149E"/>
    <w:rsid w:val="0091156C"/>
    <w:rsid w:val="009115B4"/>
    <w:rsid w:val="0091160C"/>
    <w:rsid w:val="009119D9"/>
    <w:rsid w:val="00911AA2"/>
    <w:rsid w:val="00911B7F"/>
    <w:rsid w:val="00911B83"/>
    <w:rsid w:val="00911E98"/>
    <w:rsid w:val="009125AD"/>
    <w:rsid w:val="0091269A"/>
    <w:rsid w:val="0091273D"/>
    <w:rsid w:val="00912BA1"/>
    <w:rsid w:val="00912FB5"/>
    <w:rsid w:val="00913328"/>
    <w:rsid w:val="0091391A"/>
    <w:rsid w:val="00913C17"/>
    <w:rsid w:val="00913DEB"/>
    <w:rsid w:val="009140F9"/>
    <w:rsid w:val="00914144"/>
    <w:rsid w:val="00914510"/>
    <w:rsid w:val="00914F69"/>
    <w:rsid w:val="00915647"/>
    <w:rsid w:val="00915785"/>
    <w:rsid w:val="00915937"/>
    <w:rsid w:val="0091598B"/>
    <w:rsid w:val="00915A78"/>
    <w:rsid w:val="00915C4F"/>
    <w:rsid w:val="00915D6E"/>
    <w:rsid w:val="00915EA9"/>
    <w:rsid w:val="00916112"/>
    <w:rsid w:val="00916200"/>
    <w:rsid w:val="00916291"/>
    <w:rsid w:val="00916491"/>
    <w:rsid w:val="00916603"/>
    <w:rsid w:val="009166EC"/>
    <w:rsid w:val="009168A1"/>
    <w:rsid w:val="009168DE"/>
    <w:rsid w:val="009169C5"/>
    <w:rsid w:val="00917196"/>
    <w:rsid w:val="0091742E"/>
    <w:rsid w:val="0091746F"/>
    <w:rsid w:val="00917A00"/>
    <w:rsid w:val="00917A43"/>
    <w:rsid w:val="00917C46"/>
    <w:rsid w:val="00917D1A"/>
    <w:rsid w:val="00917EC0"/>
    <w:rsid w:val="009200AC"/>
    <w:rsid w:val="00920176"/>
    <w:rsid w:val="0092036F"/>
    <w:rsid w:val="00920748"/>
    <w:rsid w:val="009208D6"/>
    <w:rsid w:val="00921020"/>
    <w:rsid w:val="0092114E"/>
    <w:rsid w:val="0092142D"/>
    <w:rsid w:val="00921484"/>
    <w:rsid w:val="009217BF"/>
    <w:rsid w:val="00921A3F"/>
    <w:rsid w:val="00921A50"/>
    <w:rsid w:val="00921B85"/>
    <w:rsid w:val="00921C45"/>
    <w:rsid w:val="00922623"/>
    <w:rsid w:val="009226E9"/>
    <w:rsid w:val="00922739"/>
    <w:rsid w:val="00922897"/>
    <w:rsid w:val="00922BC2"/>
    <w:rsid w:val="00922BC6"/>
    <w:rsid w:val="00922D85"/>
    <w:rsid w:val="00923391"/>
    <w:rsid w:val="009234E0"/>
    <w:rsid w:val="0092387B"/>
    <w:rsid w:val="00923F7C"/>
    <w:rsid w:val="0092401B"/>
    <w:rsid w:val="00924028"/>
    <w:rsid w:val="009243A3"/>
    <w:rsid w:val="00924B22"/>
    <w:rsid w:val="00924B79"/>
    <w:rsid w:val="00924BF1"/>
    <w:rsid w:val="00924F6C"/>
    <w:rsid w:val="00925044"/>
    <w:rsid w:val="0092612E"/>
    <w:rsid w:val="009261E3"/>
    <w:rsid w:val="0092634D"/>
    <w:rsid w:val="00926C53"/>
    <w:rsid w:val="00927213"/>
    <w:rsid w:val="009277C2"/>
    <w:rsid w:val="009278F6"/>
    <w:rsid w:val="00927B60"/>
    <w:rsid w:val="00927C1E"/>
    <w:rsid w:val="00927C40"/>
    <w:rsid w:val="00927E17"/>
    <w:rsid w:val="00927E4F"/>
    <w:rsid w:val="009301C1"/>
    <w:rsid w:val="00930CF3"/>
    <w:rsid w:val="00930F3B"/>
    <w:rsid w:val="0093108E"/>
    <w:rsid w:val="00931352"/>
    <w:rsid w:val="00931444"/>
    <w:rsid w:val="0093158F"/>
    <w:rsid w:val="00931854"/>
    <w:rsid w:val="00931866"/>
    <w:rsid w:val="00931CC1"/>
    <w:rsid w:val="00931D07"/>
    <w:rsid w:val="009321BC"/>
    <w:rsid w:val="0093228A"/>
    <w:rsid w:val="009322E7"/>
    <w:rsid w:val="0093298F"/>
    <w:rsid w:val="00932AE2"/>
    <w:rsid w:val="00933031"/>
    <w:rsid w:val="0093324F"/>
    <w:rsid w:val="009332DD"/>
    <w:rsid w:val="009334F1"/>
    <w:rsid w:val="00933A31"/>
    <w:rsid w:val="00933B8E"/>
    <w:rsid w:val="00933CEF"/>
    <w:rsid w:val="00933E4A"/>
    <w:rsid w:val="00933F83"/>
    <w:rsid w:val="00934123"/>
    <w:rsid w:val="00934177"/>
    <w:rsid w:val="0093450B"/>
    <w:rsid w:val="009345D6"/>
    <w:rsid w:val="009346DE"/>
    <w:rsid w:val="00934767"/>
    <w:rsid w:val="00934A48"/>
    <w:rsid w:val="00934ABB"/>
    <w:rsid w:val="00934C9D"/>
    <w:rsid w:val="00934F50"/>
    <w:rsid w:val="00934FB3"/>
    <w:rsid w:val="009356E8"/>
    <w:rsid w:val="00935853"/>
    <w:rsid w:val="009358C9"/>
    <w:rsid w:val="00935ADA"/>
    <w:rsid w:val="009362BE"/>
    <w:rsid w:val="00936797"/>
    <w:rsid w:val="009367A8"/>
    <w:rsid w:val="00936876"/>
    <w:rsid w:val="00936C0B"/>
    <w:rsid w:val="009371F3"/>
    <w:rsid w:val="00937C01"/>
    <w:rsid w:val="00937E86"/>
    <w:rsid w:val="00940063"/>
    <w:rsid w:val="009402C1"/>
    <w:rsid w:val="009413E9"/>
    <w:rsid w:val="0094150E"/>
    <w:rsid w:val="00941607"/>
    <w:rsid w:val="0094182A"/>
    <w:rsid w:val="009418C1"/>
    <w:rsid w:val="009422B6"/>
    <w:rsid w:val="009423D7"/>
    <w:rsid w:val="00942555"/>
    <w:rsid w:val="00942599"/>
    <w:rsid w:val="00942631"/>
    <w:rsid w:val="009428F8"/>
    <w:rsid w:val="00942AB1"/>
    <w:rsid w:val="00942EDE"/>
    <w:rsid w:val="00942F9A"/>
    <w:rsid w:val="00943678"/>
    <w:rsid w:val="009436B6"/>
    <w:rsid w:val="009436C4"/>
    <w:rsid w:val="009438DD"/>
    <w:rsid w:val="0094394C"/>
    <w:rsid w:val="00943BD3"/>
    <w:rsid w:val="00943E33"/>
    <w:rsid w:val="00943EFC"/>
    <w:rsid w:val="00944065"/>
    <w:rsid w:val="00944598"/>
    <w:rsid w:val="0094467D"/>
    <w:rsid w:val="00944872"/>
    <w:rsid w:val="00944955"/>
    <w:rsid w:val="00944990"/>
    <w:rsid w:val="009449CF"/>
    <w:rsid w:val="00944AD6"/>
    <w:rsid w:val="00944DBB"/>
    <w:rsid w:val="00944DC1"/>
    <w:rsid w:val="00944EFF"/>
    <w:rsid w:val="00944FE0"/>
    <w:rsid w:val="00945D3A"/>
    <w:rsid w:val="0094613C"/>
    <w:rsid w:val="009462F9"/>
    <w:rsid w:val="00946A02"/>
    <w:rsid w:val="00946A86"/>
    <w:rsid w:val="00946B9D"/>
    <w:rsid w:val="00946BFA"/>
    <w:rsid w:val="00946CF6"/>
    <w:rsid w:val="0094726A"/>
    <w:rsid w:val="009472E8"/>
    <w:rsid w:val="00947A08"/>
    <w:rsid w:val="00947A46"/>
    <w:rsid w:val="00947D2E"/>
    <w:rsid w:val="00947DA3"/>
    <w:rsid w:val="00947F14"/>
    <w:rsid w:val="0095074E"/>
    <w:rsid w:val="009507D1"/>
    <w:rsid w:val="009508A0"/>
    <w:rsid w:val="00950A6E"/>
    <w:rsid w:val="00950FFD"/>
    <w:rsid w:val="00951598"/>
    <w:rsid w:val="00951667"/>
    <w:rsid w:val="009516C1"/>
    <w:rsid w:val="00951FCB"/>
    <w:rsid w:val="0095235F"/>
    <w:rsid w:val="009523C2"/>
    <w:rsid w:val="009523F9"/>
    <w:rsid w:val="009526E7"/>
    <w:rsid w:val="009528CE"/>
    <w:rsid w:val="00952BE4"/>
    <w:rsid w:val="0095333C"/>
    <w:rsid w:val="00953474"/>
    <w:rsid w:val="00953568"/>
    <w:rsid w:val="009539BB"/>
    <w:rsid w:val="00953B49"/>
    <w:rsid w:val="00953BD3"/>
    <w:rsid w:val="00953EA4"/>
    <w:rsid w:val="00954CCC"/>
    <w:rsid w:val="00954F10"/>
    <w:rsid w:val="00955031"/>
    <w:rsid w:val="009555A7"/>
    <w:rsid w:val="009556D1"/>
    <w:rsid w:val="0095576D"/>
    <w:rsid w:val="009557DF"/>
    <w:rsid w:val="00955936"/>
    <w:rsid w:val="00955AD7"/>
    <w:rsid w:val="00955B5E"/>
    <w:rsid w:val="00955DC0"/>
    <w:rsid w:val="00955F8E"/>
    <w:rsid w:val="009560E3"/>
    <w:rsid w:val="009560EC"/>
    <w:rsid w:val="009561AB"/>
    <w:rsid w:val="00956208"/>
    <w:rsid w:val="009562EB"/>
    <w:rsid w:val="00957071"/>
    <w:rsid w:val="0095722B"/>
    <w:rsid w:val="009574D7"/>
    <w:rsid w:val="009575BF"/>
    <w:rsid w:val="009603FC"/>
    <w:rsid w:val="009608D0"/>
    <w:rsid w:val="00960ADD"/>
    <w:rsid w:val="00960CD0"/>
    <w:rsid w:val="00960F59"/>
    <w:rsid w:val="00960F81"/>
    <w:rsid w:val="00961061"/>
    <w:rsid w:val="00961152"/>
    <w:rsid w:val="009612C4"/>
    <w:rsid w:val="00961512"/>
    <w:rsid w:val="00961973"/>
    <w:rsid w:val="00961BD5"/>
    <w:rsid w:val="009620C2"/>
    <w:rsid w:val="009622F6"/>
    <w:rsid w:val="0096231B"/>
    <w:rsid w:val="0096237F"/>
    <w:rsid w:val="00962445"/>
    <w:rsid w:val="00962C6E"/>
    <w:rsid w:val="00962DFB"/>
    <w:rsid w:val="00962E20"/>
    <w:rsid w:val="00962EDF"/>
    <w:rsid w:val="00962F1C"/>
    <w:rsid w:val="00963557"/>
    <w:rsid w:val="009635E3"/>
    <w:rsid w:val="00963C6D"/>
    <w:rsid w:val="00963D5B"/>
    <w:rsid w:val="00963DFC"/>
    <w:rsid w:val="0096403E"/>
    <w:rsid w:val="009640F7"/>
    <w:rsid w:val="00964232"/>
    <w:rsid w:val="009645F5"/>
    <w:rsid w:val="00964989"/>
    <w:rsid w:val="009649C7"/>
    <w:rsid w:val="00964A12"/>
    <w:rsid w:val="00964A5C"/>
    <w:rsid w:val="00964B15"/>
    <w:rsid w:val="00965299"/>
    <w:rsid w:val="00965770"/>
    <w:rsid w:val="00965A0A"/>
    <w:rsid w:val="00965CAE"/>
    <w:rsid w:val="00965D72"/>
    <w:rsid w:val="00965E92"/>
    <w:rsid w:val="00965ECE"/>
    <w:rsid w:val="00966019"/>
    <w:rsid w:val="009660A6"/>
    <w:rsid w:val="00966209"/>
    <w:rsid w:val="009663C3"/>
    <w:rsid w:val="00966782"/>
    <w:rsid w:val="009667A1"/>
    <w:rsid w:val="00966988"/>
    <w:rsid w:val="00966F58"/>
    <w:rsid w:val="0096714E"/>
    <w:rsid w:val="00967481"/>
    <w:rsid w:val="0096770A"/>
    <w:rsid w:val="00967BEB"/>
    <w:rsid w:val="00967E96"/>
    <w:rsid w:val="0097007E"/>
    <w:rsid w:val="00970137"/>
    <w:rsid w:val="009701DC"/>
    <w:rsid w:val="00970347"/>
    <w:rsid w:val="00970397"/>
    <w:rsid w:val="00970D58"/>
    <w:rsid w:val="00970D78"/>
    <w:rsid w:val="009712B7"/>
    <w:rsid w:val="00971392"/>
    <w:rsid w:val="009714FB"/>
    <w:rsid w:val="00971580"/>
    <w:rsid w:val="009715D4"/>
    <w:rsid w:val="00971760"/>
    <w:rsid w:val="00971AA1"/>
    <w:rsid w:val="00971B1D"/>
    <w:rsid w:val="00971EE2"/>
    <w:rsid w:val="0097223F"/>
    <w:rsid w:val="0097246A"/>
    <w:rsid w:val="009725B0"/>
    <w:rsid w:val="00972CE2"/>
    <w:rsid w:val="00972DE7"/>
    <w:rsid w:val="00973480"/>
    <w:rsid w:val="009734D7"/>
    <w:rsid w:val="0097385E"/>
    <w:rsid w:val="009738BA"/>
    <w:rsid w:val="0097390B"/>
    <w:rsid w:val="00973A08"/>
    <w:rsid w:val="00973B15"/>
    <w:rsid w:val="00973BC4"/>
    <w:rsid w:val="00973E4D"/>
    <w:rsid w:val="00973E7B"/>
    <w:rsid w:val="00973FBA"/>
    <w:rsid w:val="00974446"/>
    <w:rsid w:val="009745D0"/>
    <w:rsid w:val="00974810"/>
    <w:rsid w:val="00974892"/>
    <w:rsid w:val="00975204"/>
    <w:rsid w:val="009753A9"/>
    <w:rsid w:val="009753F4"/>
    <w:rsid w:val="009756AF"/>
    <w:rsid w:val="00975C10"/>
    <w:rsid w:val="00975E1C"/>
    <w:rsid w:val="00975EEA"/>
    <w:rsid w:val="0097644F"/>
    <w:rsid w:val="00976595"/>
    <w:rsid w:val="00976633"/>
    <w:rsid w:val="009767D6"/>
    <w:rsid w:val="0097682A"/>
    <w:rsid w:val="00976C41"/>
    <w:rsid w:val="00976F56"/>
    <w:rsid w:val="009770B2"/>
    <w:rsid w:val="009772D1"/>
    <w:rsid w:val="00977408"/>
    <w:rsid w:val="0097754C"/>
    <w:rsid w:val="0097774B"/>
    <w:rsid w:val="009778B0"/>
    <w:rsid w:val="00977BFC"/>
    <w:rsid w:val="009803CB"/>
    <w:rsid w:val="00980504"/>
    <w:rsid w:val="009805E5"/>
    <w:rsid w:val="00980860"/>
    <w:rsid w:val="009808E3"/>
    <w:rsid w:val="00981A31"/>
    <w:rsid w:val="00981CE3"/>
    <w:rsid w:val="00981D70"/>
    <w:rsid w:val="009820CF"/>
    <w:rsid w:val="00982286"/>
    <w:rsid w:val="0098265B"/>
    <w:rsid w:val="00982A52"/>
    <w:rsid w:val="00982CA0"/>
    <w:rsid w:val="00982F0C"/>
    <w:rsid w:val="00982F31"/>
    <w:rsid w:val="009830A3"/>
    <w:rsid w:val="009833BA"/>
    <w:rsid w:val="00983714"/>
    <w:rsid w:val="00983817"/>
    <w:rsid w:val="009838A2"/>
    <w:rsid w:val="0098395A"/>
    <w:rsid w:val="00983A4F"/>
    <w:rsid w:val="00984017"/>
    <w:rsid w:val="009840AF"/>
    <w:rsid w:val="009840EE"/>
    <w:rsid w:val="0098422E"/>
    <w:rsid w:val="0098458B"/>
    <w:rsid w:val="00984AAE"/>
    <w:rsid w:val="00984B78"/>
    <w:rsid w:val="00984C6A"/>
    <w:rsid w:val="00984DCD"/>
    <w:rsid w:val="00984F39"/>
    <w:rsid w:val="0098500B"/>
    <w:rsid w:val="00985319"/>
    <w:rsid w:val="00985E5C"/>
    <w:rsid w:val="00986204"/>
    <w:rsid w:val="00986421"/>
    <w:rsid w:val="00986631"/>
    <w:rsid w:val="0098689E"/>
    <w:rsid w:val="00986A35"/>
    <w:rsid w:val="00986C51"/>
    <w:rsid w:val="00986EEA"/>
    <w:rsid w:val="009871D0"/>
    <w:rsid w:val="00987244"/>
    <w:rsid w:val="009872FB"/>
    <w:rsid w:val="00987599"/>
    <w:rsid w:val="009877C4"/>
    <w:rsid w:val="009877D3"/>
    <w:rsid w:val="00987842"/>
    <w:rsid w:val="009879CD"/>
    <w:rsid w:val="00987B31"/>
    <w:rsid w:val="00987C4B"/>
    <w:rsid w:val="00987E33"/>
    <w:rsid w:val="00990108"/>
    <w:rsid w:val="0099041F"/>
    <w:rsid w:val="0099049E"/>
    <w:rsid w:val="00990636"/>
    <w:rsid w:val="00990681"/>
    <w:rsid w:val="0099077F"/>
    <w:rsid w:val="00990909"/>
    <w:rsid w:val="00990AB1"/>
    <w:rsid w:val="00990DA7"/>
    <w:rsid w:val="00990E3A"/>
    <w:rsid w:val="009911F1"/>
    <w:rsid w:val="00992043"/>
    <w:rsid w:val="00992163"/>
    <w:rsid w:val="00992408"/>
    <w:rsid w:val="00992415"/>
    <w:rsid w:val="0099258A"/>
    <w:rsid w:val="0099271D"/>
    <w:rsid w:val="009927D7"/>
    <w:rsid w:val="009927F0"/>
    <w:rsid w:val="00992982"/>
    <w:rsid w:val="00992A80"/>
    <w:rsid w:val="00992AB8"/>
    <w:rsid w:val="00992B37"/>
    <w:rsid w:val="00992B51"/>
    <w:rsid w:val="00992FB1"/>
    <w:rsid w:val="00992FD5"/>
    <w:rsid w:val="009930F0"/>
    <w:rsid w:val="0099324C"/>
    <w:rsid w:val="00994038"/>
    <w:rsid w:val="00994067"/>
    <w:rsid w:val="0099470D"/>
    <w:rsid w:val="0099471D"/>
    <w:rsid w:val="0099478F"/>
    <w:rsid w:val="0099497F"/>
    <w:rsid w:val="00994C32"/>
    <w:rsid w:val="00995307"/>
    <w:rsid w:val="00995498"/>
    <w:rsid w:val="009955E0"/>
    <w:rsid w:val="00995A39"/>
    <w:rsid w:val="00995A5C"/>
    <w:rsid w:val="009962F3"/>
    <w:rsid w:val="009965DB"/>
    <w:rsid w:val="009967C1"/>
    <w:rsid w:val="00996888"/>
    <w:rsid w:val="009968A3"/>
    <w:rsid w:val="0099691F"/>
    <w:rsid w:val="00996C40"/>
    <w:rsid w:val="00996CB1"/>
    <w:rsid w:val="00996E13"/>
    <w:rsid w:val="009973CF"/>
    <w:rsid w:val="009973DC"/>
    <w:rsid w:val="00997409"/>
    <w:rsid w:val="0099742A"/>
    <w:rsid w:val="00997B35"/>
    <w:rsid w:val="009A042F"/>
    <w:rsid w:val="009A04D9"/>
    <w:rsid w:val="009A0569"/>
    <w:rsid w:val="009A060C"/>
    <w:rsid w:val="009A07DF"/>
    <w:rsid w:val="009A0810"/>
    <w:rsid w:val="009A0AF4"/>
    <w:rsid w:val="009A0EAB"/>
    <w:rsid w:val="009A13A9"/>
    <w:rsid w:val="009A14E0"/>
    <w:rsid w:val="009A1A0E"/>
    <w:rsid w:val="009A1CDC"/>
    <w:rsid w:val="009A2608"/>
    <w:rsid w:val="009A26A4"/>
    <w:rsid w:val="009A291B"/>
    <w:rsid w:val="009A2A25"/>
    <w:rsid w:val="009A2F67"/>
    <w:rsid w:val="009A31AA"/>
    <w:rsid w:val="009A359A"/>
    <w:rsid w:val="009A3B11"/>
    <w:rsid w:val="009A3C32"/>
    <w:rsid w:val="009A437D"/>
    <w:rsid w:val="009A45DC"/>
    <w:rsid w:val="009A50BF"/>
    <w:rsid w:val="009A5264"/>
    <w:rsid w:val="009A5281"/>
    <w:rsid w:val="009A52BF"/>
    <w:rsid w:val="009A5666"/>
    <w:rsid w:val="009A5A08"/>
    <w:rsid w:val="009A5BC9"/>
    <w:rsid w:val="009A615A"/>
    <w:rsid w:val="009A6201"/>
    <w:rsid w:val="009A6640"/>
    <w:rsid w:val="009A6E92"/>
    <w:rsid w:val="009A73E3"/>
    <w:rsid w:val="009A772A"/>
    <w:rsid w:val="009A7732"/>
    <w:rsid w:val="009A7DEF"/>
    <w:rsid w:val="009A7EDD"/>
    <w:rsid w:val="009B0120"/>
    <w:rsid w:val="009B0341"/>
    <w:rsid w:val="009B054B"/>
    <w:rsid w:val="009B088B"/>
    <w:rsid w:val="009B09C9"/>
    <w:rsid w:val="009B0B2E"/>
    <w:rsid w:val="009B0C34"/>
    <w:rsid w:val="009B0C43"/>
    <w:rsid w:val="009B0DFC"/>
    <w:rsid w:val="009B1416"/>
    <w:rsid w:val="009B1BA8"/>
    <w:rsid w:val="009B1FD2"/>
    <w:rsid w:val="009B22D7"/>
    <w:rsid w:val="009B2486"/>
    <w:rsid w:val="009B284B"/>
    <w:rsid w:val="009B2E51"/>
    <w:rsid w:val="009B2FC7"/>
    <w:rsid w:val="009B307B"/>
    <w:rsid w:val="009B420B"/>
    <w:rsid w:val="009B44A2"/>
    <w:rsid w:val="009B489E"/>
    <w:rsid w:val="009B4C34"/>
    <w:rsid w:val="009B4E6B"/>
    <w:rsid w:val="009B5160"/>
    <w:rsid w:val="009B5378"/>
    <w:rsid w:val="009B560F"/>
    <w:rsid w:val="009B5A45"/>
    <w:rsid w:val="009B5AAF"/>
    <w:rsid w:val="009B5C42"/>
    <w:rsid w:val="009B5DF7"/>
    <w:rsid w:val="009B5FBD"/>
    <w:rsid w:val="009B63E0"/>
    <w:rsid w:val="009B6496"/>
    <w:rsid w:val="009B6505"/>
    <w:rsid w:val="009B65E8"/>
    <w:rsid w:val="009B667A"/>
    <w:rsid w:val="009B6ADA"/>
    <w:rsid w:val="009B6B7E"/>
    <w:rsid w:val="009B70A2"/>
    <w:rsid w:val="009B7130"/>
    <w:rsid w:val="009B733E"/>
    <w:rsid w:val="009B767A"/>
    <w:rsid w:val="009B7721"/>
    <w:rsid w:val="009B7761"/>
    <w:rsid w:val="009B7775"/>
    <w:rsid w:val="009B778A"/>
    <w:rsid w:val="009B77F9"/>
    <w:rsid w:val="009B7E91"/>
    <w:rsid w:val="009B7EB9"/>
    <w:rsid w:val="009C032C"/>
    <w:rsid w:val="009C03DF"/>
    <w:rsid w:val="009C04AE"/>
    <w:rsid w:val="009C08C3"/>
    <w:rsid w:val="009C0CB3"/>
    <w:rsid w:val="009C0D1B"/>
    <w:rsid w:val="009C0FF7"/>
    <w:rsid w:val="009C172A"/>
    <w:rsid w:val="009C18EF"/>
    <w:rsid w:val="009C193C"/>
    <w:rsid w:val="009C1CB5"/>
    <w:rsid w:val="009C1DD8"/>
    <w:rsid w:val="009C1F05"/>
    <w:rsid w:val="009C1F80"/>
    <w:rsid w:val="009C243F"/>
    <w:rsid w:val="009C2671"/>
    <w:rsid w:val="009C26B9"/>
    <w:rsid w:val="009C30EE"/>
    <w:rsid w:val="009C38BF"/>
    <w:rsid w:val="009C3C92"/>
    <w:rsid w:val="009C4131"/>
    <w:rsid w:val="009C436C"/>
    <w:rsid w:val="009C4ED7"/>
    <w:rsid w:val="009C5149"/>
    <w:rsid w:val="009C5198"/>
    <w:rsid w:val="009C5674"/>
    <w:rsid w:val="009C5800"/>
    <w:rsid w:val="009C590F"/>
    <w:rsid w:val="009C5B30"/>
    <w:rsid w:val="009C5D3C"/>
    <w:rsid w:val="009C603B"/>
    <w:rsid w:val="009C66CC"/>
    <w:rsid w:val="009C67B1"/>
    <w:rsid w:val="009C6882"/>
    <w:rsid w:val="009C69DF"/>
    <w:rsid w:val="009C6A12"/>
    <w:rsid w:val="009C6B64"/>
    <w:rsid w:val="009C6E21"/>
    <w:rsid w:val="009C70FD"/>
    <w:rsid w:val="009C7333"/>
    <w:rsid w:val="009C735E"/>
    <w:rsid w:val="009C75A1"/>
    <w:rsid w:val="009C76A8"/>
    <w:rsid w:val="009C770A"/>
    <w:rsid w:val="009C7823"/>
    <w:rsid w:val="009C7A15"/>
    <w:rsid w:val="009C7A38"/>
    <w:rsid w:val="009C7AF7"/>
    <w:rsid w:val="009C7C21"/>
    <w:rsid w:val="009C7FD8"/>
    <w:rsid w:val="009D03B0"/>
    <w:rsid w:val="009D05F7"/>
    <w:rsid w:val="009D0982"/>
    <w:rsid w:val="009D0F81"/>
    <w:rsid w:val="009D10FE"/>
    <w:rsid w:val="009D12BB"/>
    <w:rsid w:val="009D132D"/>
    <w:rsid w:val="009D15A9"/>
    <w:rsid w:val="009D1662"/>
    <w:rsid w:val="009D17A4"/>
    <w:rsid w:val="009D184A"/>
    <w:rsid w:val="009D1DAC"/>
    <w:rsid w:val="009D201A"/>
    <w:rsid w:val="009D209B"/>
    <w:rsid w:val="009D2573"/>
    <w:rsid w:val="009D2A97"/>
    <w:rsid w:val="009D2B97"/>
    <w:rsid w:val="009D301D"/>
    <w:rsid w:val="009D30B8"/>
    <w:rsid w:val="009D3403"/>
    <w:rsid w:val="009D348D"/>
    <w:rsid w:val="009D364A"/>
    <w:rsid w:val="009D3A88"/>
    <w:rsid w:val="009D3D34"/>
    <w:rsid w:val="009D408E"/>
    <w:rsid w:val="009D4787"/>
    <w:rsid w:val="009D4A41"/>
    <w:rsid w:val="009D4C4F"/>
    <w:rsid w:val="009D4E87"/>
    <w:rsid w:val="009D4F17"/>
    <w:rsid w:val="009D4F3E"/>
    <w:rsid w:val="009D509F"/>
    <w:rsid w:val="009D50BB"/>
    <w:rsid w:val="009D51FD"/>
    <w:rsid w:val="009D578E"/>
    <w:rsid w:val="009D5A2F"/>
    <w:rsid w:val="009D5B46"/>
    <w:rsid w:val="009D5BDA"/>
    <w:rsid w:val="009D5D0A"/>
    <w:rsid w:val="009D63C7"/>
    <w:rsid w:val="009D63CD"/>
    <w:rsid w:val="009D6435"/>
    <w:rsid w:val="009D65C7"/>
    <w:rsid w:val="009D6880"/>
    <w:rsid w:val="009D6E21"/>
    <w:rsid w:val="009D7483"/>
    <w:rsid w:val="009D75B9"/>
    <w:rsid w:val="009D796F"/>
    <w:rsid w:val="009D79C5"/>
    <w:rsid w:val="009D7EA7"/>
    <w:rsid w:val="009E037F"/>
    <w:rsid w:val="009E0413"/>
    <w:rsid w:val="009E0AE7"/>
    <w:rsid w:val="009E0BA4"/>
    <w:rsid w:val="009E0C88"/>
    <w:rsid w:val="009E0F34"/>
    <w:rsid w:val="009E0FB7"/>
    <w:rsid w:val="009E1058"/>
    <w:rsid w:val="009E1208"/>
    <w:rsid w:val="009E13C8"/>
    <w:rsid w:val="009E16AF"/>
    <w:rsid w:val="009E1781"/>
    <w:rsid w:val="009E18AC"/>
    <w:rsid w:val="009E1AA5"/>
    <w:rsid w:val="009E2244"/>
    <w:rsid w:val="009E23EB"/>
    <w:rsid w:val="009E2448"/>
    <w:rsid w:val="009E2545"/>
    <w:rsid w:val="009E2633"/>
    <w:rsid w:val="009E2976"/>
    <w:rsid w:val="009E3337"/>
    <w:rsid w:val="009E3404"/>
    <w:rsid w:val="009E362F"/>
    <w:rsid w:val="009E3675"/>
    <w:rsid w:val="009E3A57"/>
    <w:rsid w:val="009E3EB6"/>
    <w:rsid w:val="009E3EFB"/>
    <w:rsid w:val="009E413B"/>
    <w:rsid w:val="009E4192"/>
    <w:rsid w:val="009E460E"/>
    <w:rsid w:val="009E4BD1"/>
    <w:rsid w:val="009E4C10"/>
    <w:rsid w:val="009E4E19"/>
    <w:rsid w:val="009E4F04"/>
    <w:rsid w:val="009E51A7"/>
    <w:rsid w:val="009E5240"/>
    <w:rsid w:val="009E5679"/>
    <w:rsid w:val="009E5C80"/>
    <w:rsid w:val="009E6378"/>
    <w:rsid w:val="009E695D"/>
    <w:rsid w:val="009E6AC4"/>
    <w:rsid w:val="009E6C62"/>
    <w:rsid w:val="009E6CE4"/>
    <w:rsid w:val="009E6E38"/>
    <w:rsid w:val="009E6F88"/>
    <w:rsid w:val="009E713D"/>
    <w:rsid w:val="009E7145"/>
    <w:rsid w:val="009E74C9"/>
    <w:rsid w:val="009E74D3"/>
    <w:rsid w:val="009F029B"/>
    <w:rsid w:val="009F06C2"/>
    <w:rsid w:val="009F07AC"/>
    <w:rsid w:val="009F0A50"/>
    <w:rsid w:val="009F0A6D"/>
    <w:rsid w:val="009F0ADA"/>
    <w:rsid w:val="009F0D43"/>
    <w:rsid w:val="009F0F94"/>
    <w:rsid w:val="009F11A6"/>
    <w:rsid w:val="009F17DE"/>
    <w:rsid w:val="009F18BF"/>
    <w:rsid w:val="009F2295"/>
    <w:rsid w:val="009F2662"/>
    <w:rsid w:val="009F26BB"/>
    <w:rsid w:val="009F297A"/>
    <w:rsid w:val="009F2B1A"/>
    <w:rsid w:val="009F2CC0"/>
    <w:rsid w:val="009F2DED"/>
    <w:rsid w:val="009F363C"/>
    <w:rsid w:val="009F383E"/>
    <w:rsid w:val="009F3BCD"/>
    <w:rsid w:val="009F3DC9"/>
    <w:rsid w:val="009F421F"/>
    <w:rsid w:val="009F48E4"/>
    <w:rsid w:val="009F495E"/>
    <w:rsid w:val="009F4CDE"/>
    <w:rsid w:val="009F5098"/>
    <w:rsid w:val="009F516D"/>
    <w:rsid w:val="009F51FA"/>
    <w:rsid w:val="009F5560"/>
    <w:rsid w:val="009F5901"/>
    <w:rsid w:val="009F5F1A"/>
    <w:rsid w:val="009F6243"/>
    <w:rsid w:val="009F639E"/>
    <w:rsid w:val="009F65D7"/>
    <w:rsid w:val="009F6608"/>
    <w:rsid w:val="009F6A65"/>
    <w:rsid w:val="009F7176"/>
    <w:rsid w:val="009F7609"/>
    <w:rsid w:val="009F7736"/>
    <w:rsid w:val="009F7801"/>
    <w:rsid w:val="009F780B"/>
    <w:rsid w:val="009F7F70"/>
    <w:rsid w:val="00A00FFD"/>
    <w:rsid w:val="00A010A6"/>
    <w:rsid w:val="00A0124E"/>
    <w:rsid w:val="00A013EF"/>
    <w:rsid w:val="00A01D84"/>
    <w:rsid w:val="00A02889"/>
    <w:rsid w:val="00A02AF1"/>
    <w:rsid w:val="00A02F54"/>
    <w:rsid w:val="00A03066"/>
    <w:rsid w:val="00A0338E"/>
    <w:rsid w:val="00A03432"/>
    <w:rsid w:val="00A0374E"/>
    <w:rsid w:val="00A03E93"/>
    <w:rsid w:val="00A03EC3"/>
    <w:rsid w:val="00A03F05"/>
    <w:rsid w:val="00A04051"/>
    <w:rsid w:val="00A0430B"/>
    <w:rsid w:val="00A04625"/>
    <w:rsid w:val="00A048C2"/>
    <w:rsid w:val="00A0505F"/>
    <w:rsid w:val="00A05802"/>
    <w:rsid w:val="00A05E39"/>
    <w:rsid w:val="00A05F88"/>
    <w:rsid w:val="00A06366"/>
    <w:rsid w:val="00A065E6"/>
    <w:rsid w:val="00A06DAC"/>
    <w:rsid w:val="00A06FC2"/>
    <w:rsid w:val="00A07FA0"/>
    <w:rsid w:val="00A07FBA"/>
    <w:rsid w:val="00A1009F"/>
    <w:rsid w:val="00A10153"/>
    <w:rsid w:val="00A10363"/>
    <w:rsid w:val="00A10B03"/>
    <w:rsid w:val="00A10DE5"/>
    <w:rsid w:val="00A10EE4"/>
    <w:rsid w:val="00A10EFC"/>
    <w:rsid w:val="00A11001"/>
    <w:rsid w:val="00A1111E"/>
    <w:rsid w:val="00A114A3"/>
    <w:rsid w:val="00A119CB"/>
    <w:rsid w:val="00A11AF1"/>
    <w:rsid w:val="00A11C8E"/>
    <w:rsid w:val="00A11DF2"/>
    <w:rsid w:val="00A11EBD"/>
    <w:rsid w:val="00A11F4A"/>
    <w:rsid w:val="00A127AC"/>
    <w:rsid w:val="00A12A0E"/>
    <w:rsid w:val="00A12A7A"/>
    <w:rsid w:val="00A12CDF"/>
    <w:rsid w:val="00A13165"/>
    <w:rsid w:val="00A1382A"/>
    <w:rsid w:val="00A13EDD"/>
    <w:rsid w:val="00A14418"/>
    <w:rsid w:val="00A1450B"/>
    <w:rsid w:val="00A146F3"/>
    <w:rsid w:val="00A147BF"/>
    <w:rsid w:val="00A147D4"/>
    <w:rsid w:val="00A149AE"/>
    <w:rsid w:val="00A14C38"/>
    <w:rsid w:val="00A15510"/>
    <w:rsid w:val="00A159DE"/>
    <w:rsid w:val="00A15B07"/>
    <w:rsid w:val="00A15CD3"/>
    <w:rsid w:val="00A16416"/>
    <w:rsid w:val="00A16467"/>
    <w:rsid w:val="00A164BC"/>
    <w:rsid w:val="00A16545"/>
    <w:rsid w:val="00A165B5"/>
    <w:rsid w:val="00A166FE"/>
    <w:rsid w:val="00A16AB8"/>
    <w:rsid w:val="00A16B27"/>
    <w:rsid w:val="00A173D2"/>
    <w:rsid w:val="00A17616"/>
    <w:rsid w:val="00A17762"/>
    <w:rsid w:val="00A17851"/>
    <w:rsid w:val="00A1792A"/>
    <w:rsid w:val="00A179D7"/>
    <w:rsid w:val="00A17E7C"/>
    <w:rsid w:val="00A17F18"/>
    <w:rsid w:val="00A17F31"/>
    <w:rsid w:val="00A17F7C"/>
    <w:rsid w:val="00A17FE7"/>
    <w:rsid w:val="00A200BA"/>
    <w:rsid w:val="00A20111"/>
    <w:rsid w:val="00A20335"/>
    <w:rsid w:val="00A203EF"/>
    <w:rsid w:val="00A20510"/>
    <w:rsid w:val="00A205A5"/>
    <w:rsid w:val="00A207FF"/>
    <w:rsid w:val="00A20E14"/>
    <w:rsid w:val="00A21154"/>
    <w:rsid w:val="00A212F1"/>
    <w:rsid w:val="00A215FF"/>
    <w:rsid w:val="00A2161D"/>
    <w:rsid w:val="00A21689"/>
    <w:rsid w:val="00A218B9"/>
    <w:rsid w:val="00A21D17"/>
    <w:rsid w:val="00A21F61"/>
    <w:rsid w:val="00A22210"/>
    <w:rsid w:val="00A224A2"/>
    <w:rsid w:val="00A22788"/>
    <w:rsid w:val="00A2294C"/>
    <w:rsid w:val="00A22A31"/>
    <w:rsid w:val="00A22F41"/>
    <w:rsid w:val="00A22F9B"/>
    <w:rsid w:val="00A231A6"/>
    <w:rsid w:val="00A23281"/>
    <w:rsid w:val="00A232B8"/>
    <w:rsid w:val="00A2353F"/>
    <w:rsid w:val="00A236C0"/>
    <w:rsid w:val="00A236E0"/>
    <w:rsid w:val="00A23780"/>
    <w:rsid w:val="00A23850"/>
    <w:rsid w:val="00A23B65"/>
    <w:rsid w:val="00A240AB"/>
    <w:rsid w:val="00A241BA"/>
    <w:rsid w:val="00A2455D"/>
    <w:rsid w:val="00A24B65"/>
    <w:rsid w:val="00A24DA2"/>
    <w:rsid w:val="00A25170"/>
    <w:rsid w:val="00A254C1"/>
    <w:rsid w:val="00A258DF"/>
    <w:rsid w:val="00A25A25"/>
    <w:rsid w:val="00A25A5B"/>
    <w:rsid w:val="00A25B86"/>
    <w:rsid w:val="00A25CB9"/>
    <w:rsid w:val="00A25E64"/>
    <w:rsid w:val="00A26546"/>
    <w:rsid w:val="00A26767"/>
    <w:rsid w:val="00A267E9"/>
    <w:rsid w:val="00A26957"/>
    <w:rsid w:val="00A26AC0"/>
    <w:rsid w:val="00A26D4C"/>
    <w:rsid w:val="00A27238"/>
    <w:rsid w:val="00A2729D"/>
    <w:rsid w:val="00A27595"/>
    <w:rsid w:val="00A27692"/>
    <w:rsid w:val="00A27814"/>
    <w:rsid w:val="00A27A4C"/>
    <w:rsid w:val="00A27C59"/>
    <w:rsid w:val="00A30020"/>
    <w:rsid w:val="00A301EB"/>
    <w:rsid w:val="00A304B9"/>
    <w:rsid w:val="00A309F3"/>
    <w:rsid w:val="00A316E7"/>
    <w:rsid w:val="00A319AB"/>
    <w:rsid w:val="00A31A56"/>
    <w:rsid w:val="00A31C9F"/>
    <w:rsid w:val="00A31DFA"/>
    <w:rsid w:val="00A320A7"/>
    <w:rsid w:val="00A3212E"/>
    <w:rsid w:val="00A3254F"/>
    <w:rsid w:val="00A327DE"/>
    <w:rsid w:val="00A32B73"/>
    <w:rsid w:val="00A32B96"/>
    <w:rsid w:val="00A32C63"/>
    <w:rsid w:val="00A32CE8"/>
    <w:rsid w:val="00A32E65"/>
    <w:rsid w:val="00A3304B"/>
    <w:rsid w:val="00A330B6"/>
    <w:rsid w:val="00A3343F"/>
    <w:rsid w:val="00A335D8"/>
    <w:rsid w:val="00A33A04"/>
    <w:rsid w:val="00A3448D"/>
    <w:rsid w:val="00A34499"/>
    <w:rsid w:val="00A34669"/>
    <w:rsid w:val="00A347AD"/>
    <w:rsid w:val="00A3482B"/>
    <w:rsid w:val="00A34BDA"/>
    <w:rsid w:val="00A34C22"/>
    <w:rsid w:val="00A34ED8"/>
    <w:rsid w:val="00A34F59"/>
    <w:rsid w:val="00A34F5E"/>
    <w:rsid w:val="00A351AE"/>
    <w:rsid w:val="00A351C9"/>
    <w:rsid w:val="00A357F4"/>
    <w:rsid w:val="00A35B20"/>
    <w:rsid w:val="00A35E47"/>
    <w:rsid w:val="00A3611F"/>
    <w:rsid w:val="00A363D3"/>
    <w:rsid w:val="00A36425"/>
    <w:rsid w:val="00A36491"/>
    <w:rsid w:val="00A36C09"/>
    <w:rsid w:val="00A36C4D"/>
    <w:rsid w:val="00A36E85"/>
    <w:rsid w:val="00A36F8D"/>
    <w:rsid w:val="00A372F3"/>
    <w:rsid w:val="00A37321"/>
    <w:rsid w:val="00A3768D"/>
    <w:rsid w:val="00A3769E"/>
    <w:rsid w:val="00A37891"/>
    <w:rsid w:val="00A378FB"/>
    <w:rsid w:val="00A379E5"/>
    <w:rsid w:val="00A37D8E"/>
    <w:rsid w:val="00A4025F"/>
    <w:rsid w:val="00A406A8"/>
    <w:rsid w:val="00A40732"/>
    <w:rsid w:val="00A410C6"/>
    <w:rsid w:val="00A4155A"/>
    <w:rsid w:val="00A417B3"/>
    <w:rsid w:val="00A41BF0"/>
    <w:rsid w:val="00A41C56"/>
    <w:rsid w:val="00A41DBF"/>
    <w:rsid w:val="00A41E89"/>
    <w:rsid w:val="00A42302"/>
    <w:rsid w:val="00A423A1"/>
    <w:rsid w:val="00A42885"/>
    <w:rsid w:val="00A429FE"/>
    <w:rsid w:val="00A42A71"/>
    <w:rsid w:val="00A42A8E"/>
    <w:rsid w:val="00A4308C"/>
    <w:rsid w:val="00A43179"/>
    <w:rsid w:val="00A431FA"/>
    <w:rsid w:val="00A434F1"/>
    <w:rsid w:val="00A4359D"/>
    <w:rsid w:val="00A435F9"/>
    <w:rsid w:val="00A43688"/>
    <w:rsid w:val="00A43B99"/>
    <w:rsid w:val="00A43C83"/>
    <w:rsid w:val="00A445C9"/>
    <w:rsid w:val="00A44678"/>
    <w:rsid w:val="00A447EB"/>
    <w:rsid w:val="00A448CE"/>
    <w:rsid w:val="00A44BE2"/>
    <w:rsid w:val="00A44C2A"/>
    <w:rsid w:val="00A44CE9"/>
    <w:rsid w:val="00A44EEB"/>
    <w:rsid w:val="00A459B6"/>
    <w:rsid w:val="00A45AF9"/>
    <w:rsid w:val="00A45C43"/>
    <w:rsid w:val="00A45D63"/>
    <w:rsid w:val="00A45E2E"/>
    <w:rsid w:val="00A45E48"/>
    <w:rsid w:val="00A45F41"/>
    <w:rsid w:val="00A461C9"/>
    <w:rsid w:val="00A462FC"/>
    <w:rsid w:val="00A46A75"/>
    <w:rsid w:val="00A46BF8"/>
    <w:rsid w:val="00A46D3C"/>
    <w:rsid w:val="00A46E2F"/>
    <w:rsid w:val="00A47004"/>
    <w:rsid w:val="00A479C5"/>
    <w:rsid w:val="00A47DE7"/>
    <w:rsid w:val="00A47F03"/>
    <w:rsid w:val="00A500A0"/>
    <w:rsid w:val="00A502A5"/>
    <w:rsid w:val="00A502AE"/>
    <w:rsid w:val="00A504A1"/>
    <w:rsid w:val="00A51127"/>
    <w:rsid w:val="00A51322"/>
    <w:rsid w:val="00A5170E"/>
    <w:rsid w:val="00A51840"/>
    <w:rsid w:val="00A5195F"/>
    <w:rsid w:val="00A51D0D"/>
    <w:rsid w:val="00A51DEF"/>
    <w:rsid w:val="00A51F4F"/>
    <w:rsid w:val="00A52652"/>
    <w:rsid w:val="00A5269A"/>
    <w:rsid w:val="00A52708"/>
    <w:rsid w:val="00A52995"/>
    <w:rsid w:val="00A52EEC"/>
    <w:rsid w:val="00A52F11"/>
    <w:rsid w:val="00A5302D"/>
    <w:rsid w:val="00A53D05"/>
    <w:rsid w:val="00A53DA4"/>
    <w:rsid w:val="00A54506"/>
    <w:rsid w:val="00A54595"/>
    <w:rsid w:val="00A54660"/>
    <w:rsid w:val="00A546BC"/>
    <w:rsid w:val="00A54B3C"/>
    <w:rsid w:val="00A54BD1"/>
    <w:rsid w:val="00A54E39"/>
    <w:rsid w:val="00A54E46"/>
    <w:rsid w:val="00A55449"/>
    <w:rsid w:val="00A556E4"/>
    <w:rsid w:val="00A55E0A"/>
    <w:rsid w:val="00A5672F"/>
    <w:rsid w:val="00A56862"/>
    <w:rsid w:val="00A56A7D"/>
    <w:rsid w:val="00A56B61"/>
    <w:rsid w:val="00A56BBC"/>
    <w:rsid w:val="00A56BC5"/>
    <w:rsid w:val="00A56C89"/>
    <w:rsid w:val="00A56E2A"/>
    <w:rsid w:val="00A56E65"/>
    <w:rsid w:val="00A57265"/>
    <w:rsid w:val="00A574DE"/>
    <w:rsid w:val="00A5789F"/>
    <w:rsid w:val="00A5797A"/>
    <w:rsid w:val="00A57BA2"/>
    <w:rsid w:val="00A607A0"/>
    <w:rsid w:val="00A609E6"/>
    <w:rsid w:val="00A60D87"/>
    <w:rsid w:val="00A60DC0"/>
    <w:rsid w:val="00A60E2B"/>
    <w:rsid w:val="00A60EA0"/>
    <w:rsid w:val="00A6112A"/>
    <w:rsid w:val="00A61376"/>
    <w:rsid w:val="00A61476"/>
    <w:rsid w:val="00A61FAA"/>
    <w:rsid w:val="00A622B9"/>
    <w:rsid w:val="00A622DE"/>
    <w:rsid w:val="00A62480"/>
    <w:rsid w:val="00A6253B"/>
    <w:rsid w:val="00A62681"/>
    <w:rsid w:val="00A62E9B"/>
    <w:rsid w:val="00A63060"/>
    <w:rsid w:val="00A630E7"/>
    <w:rsid w:val="00A632D8"/>
    <w:rsid w:val="00A636BE"/>
    <w:rsid w:val="00A637BA"/>
    <w:rsid w:val="00A63BE0"/>
    <w:rsid w:val="00A63D41"/>
    <w:rsid w:val="00A63DE6"/>
    <w:rsid w:val="00A63E2A"/>
    <w:rsid w:val="00A643A6"/>
    <w:rsid w:val="00A6467E"/>
    <w:rsid w:val="00A64752"/>
    <w:rsid w:val="00A6476A"/>
    <w:rsid w:val="00A65247"/>
    <w:rsid w:val="00A65795"/>
    <w:rsid w:val="00A659E9"/>
    <w:rsid w:val="00A65BD6"/>
    <w:rsid w:val="00A65C14"/>
    <w:rsid w:val="00A65E67"/>
    <w:rsid w:val="00A66315"/>
    <w:rsid w:val="00A66425"/>
    <w:rsid w:val="00A66B97"/>
    <w:rsid w:val="00A66BF0"/>
    <w:rsid w:val="00A66DCD"/>
    <w:rsid w:val="00A67101"/>
    <w:rsid w:val="00A67205"/>
    <w:rsid w:val="00A6721C"/>
    <w:rsid w:val="00A67ACB"/>
    <w:rsid w:val="00A67D58"/>
    <w:rsid w:val="00A70130"/>
    <w:rsid w:val="00A703CE"/>
    <w:rsid w:val="00A703D0"/>
    <w:rsid w:val="00A7092B"/>
    <w:rsid w:val="00A70A8A"/>
    <w:rsid w:val="00A70FE3"/>
    <w:rsid w:val="00A7139C"/>
    <w:rsid w:val="00A7153C"/>
    <w:rsid w:val="00A715E6"/>
    <w:rsid w:val="00A71650"/>
    <w:rsid w:val="00A71A7B"/>
    <w:rsid w:val="00A71DA1"/>
    <w:rsid w:val="00A71DB2"/>
    <w:rsid w:val="00A71ED3"/>
    <w:rsid w:val="00A721EA"/>
    <w:rsid w:val="00A72700"/>
    <w:rsid w:val="00A72A68"/>
    <w:rsid w:val="00A72B80"/>
    <w:rsid w:val="00A72E01"/>
    <w:rsid w:val="00A72E61"/>
    <w:rsid w:val="00A73199"/>
    <w:rsid w:val="00A73242"/>
    <w:rsid w:val="00A7336D"/>
    <w:rsid w:val="00A73664"/>
    <w:rsid w:val="00A737CA"/>
    <w:rsid w:val="00A73F7B"/>
    <w:rsid w:val="00A74502"/>
    <w:rsid w:val="00A7461B"/>
    <w:rsid w:val="00A74901"/>
    <w:rsid w:val="00A74C0D"/>
    <w:rsid w:val="00A74E81"/>
    <w:rsid w:val="00A74EB3"/>
    <w:rsid w:val="00A75300"/>
    <w:rsid w:val="00A7584F"/>
    <w:rsid w:val="00A75A80"/>
    <w:rsid w:val="00A75BD0"/>
    <w:rsid w:val="00A76020"/>
    <w:rsid w:val="00A761AB"/>
    <w:rsid w:val="00A76298"/>
    <w:rsid w:val="00A76356"/>
    <w:rsid w:val="00A76422"/>
    <w:rsid w:val="00A775AE"/>
    <w:rsid w:val="00A777B2"/>
    <w:rsid w:val="00A77BBC"/>
    <w:rsid w:val="00A8003D"/>
    <w:rsid w:val="00A803A6"/>
    <w:rsid w:val="00A804D2"/>
    <w:rsid w:val="00A80BB7"/>
    <w:rsid w:val="00A80C7A"/>
    <w:rsid w:val="00A80DFA"/>
    <w:rsid w:val="00A80EE5"/>
    <w:rsid w:val="00A81031"/>
    <w:rsid w:val="00A813D1"/>
    <w:rsid w:val="00A815C7"/>
    <w:rsid w:val="00A81979"/>
    <w:rsid w:val="00A81D00"/>
    <w:rsid w:val="00A81F3D"/>
    <w:rsid w:val="00A82475"/>
    <w:rsid w:val="00A8258D"/>
    <w:rsid w:val="00A8268C"/>
    <w:rsid w:val="00A82799"/>
    <w:rsid w:val="00A82B3B"/>
    <w:rsid w:val="00A82EDD"/>
    <w:rsid w:val="00A8323D"/>
    <w:rsid w:val="00A832BF"/>
    <w:rsid w:val="00A83603"/>
    <w:rsid w:val="00A8365E"/>
    <w:rsid w:val="00A83817"/>
    <w:rsid w:val="00A83CAD"/>
    <w:rsid w:val="00A83F41"/>
    <w:rsid w:val="00A8423C"/>
    <w:rsid w:val="00A844B7"/>
    <w:rsid w:val="00A84529"/>
    <w:rsid w:val="00A847C2"/>
    <w:rsid w:val="00A84E53"/>
    <w:rsid w:val="00A84E73"/>
    <w:rsid w:val="00A84EA5"/>
    <w:rsid w:val="00A850B4"/>
    <w:rsid w:val="00A852FF"/>
    <w:rsid w:val="00A854D9"/>
    <w:rsid w:val="00A858EB"/>
    <w:rsid w:val="00A85D56"/>
    <w:rsid w:val="00A85DE0"/>
    <w:rsid w:val="00A85E53"/>
    <w:rsid w:val="00A8623E"/>
    <w:rsid w:val="00A86D67"/>
    <w:rsid w:val="00A87250"/>
    <w:rsid w:val="00A8736F"/>
    <w:rsid w:val="00A87480"/>
    <w:rsid w:val="00A874D8"/>
    <w:rsid w:val="00A874D9"/>
    <w:rsid w:val="00A87FFD"/>
    <w:rsid w:val="00A900C1"/>
    <w:rsid w:val="00A90165"/>
    <w:rsid w:val="00A9054D"/>
    <w:rsid w:val="00A90961"/>
    <w:rsid w:val="00A90C63"/>
    <w:rsid w:val="00A90CBB"/>
    <w:rsid w:val="00A915EC"/>
    <w:rsid w:val="00A919A3"/>
    <w:rsid w:val="00A91AF7"/>
    <w:rsid w:val="00A91BA6"/>
    <w:rsid w:val="00A91DFD"/>
    <w:rsid w:val="00A91F01"/>
    <w:rsid w:val="00A9215D"/>
    <w:rsid w:val="00A923AA"/>
    <w:rsid w:val="00A927C8"/>
    <w:rsid w:val="00A92C04"/>
    <w:rsid w:val="00A92C38"/>
    <w:rsid w:val="00A92CEC"/>
    <w:rsid w:val="00A92EDF"/>
    <w:rsid w:val="00A93492"/>
    <w:rsid w:val="00A93566"/>
    <w:rsid w:val="00A938EF"/>
    <w:rsid w:val="00A9399C"/>
    <w:rsid w:val="00A93AD6"/>
    <w:rsid w:val="00A93C82"/>
    <w:rsid w:val="00A941CA"/>
    <w:rsid w:val="00A944D8"/>
    <w:rsid w:val="00A944E6"/>
    <w:rsid w:val="00A94502"/>
    <w:rsid w:val="00A94620"/>
    <w:rsid w:val="00A94BE4"/>
    <w:rsid w:val="00A94D77"/>
    <w:rsid w:val="00A94EC6"/>
    <w:rsid w:val="00A951BB"/>
    <w:rsid w:val="00A957BF"/>
    <w:rsid w:val="00A958E6"/>
    <w:rsid w:val="00A95ACA"/>
    <w:rsid w:val="00A95BFC"/>
    <w:rsid w:val="00A95D9F"/>
    <w:rsid w:val="00A96761"/>
    <w:rsid w:val="00A96C39"/>
    <w:rsid w:val="00A97168"/>
    <w:rsid w:val="00A97771"/>
    <w:rsid w:val="00A979B9"/>
    <w:rsid w:val="00A97D5D"/>
    <w:rsid w:val="00A97EB3"/>
    <w:rsid w:val="00A97F48"/>
    <w:rsid w:val="00AA03EC"/>
    <w:rsid w:val="00AA0A5B"/>
    <w:rsid w:val="00AA1005"/>
    <w:rsid w:val="00AA10C4"/>
    <w:rsid w:val="00AA139E"/>
    <w:rsid w:val="00AA156C"/>
    <w:rsid w:val="00AA183E"/>
    <w:rsid w:val="00AA1C5A"/>
    <w:rsid w:val="00AA2060"/>
    <w:rsid w:val="00AA22A8"/>
    <w:rsid w:val="00AA2534"/>
    <w:rsid w:val="00AA258D"/>
    <w:rsid w:val="00AA2866"/>
    <w:rsid w:val="00AA2E4E"/>
    <w:rsid w:val="00AA345E"/>
    <w:rsid w:val="00AA38D3"/>
    <w:rsid w:val="00AA396E"/>
    <w:rsid w:val="00AA3A35"/>
    <w:rsid w:val="00AA3A5B"/>
    <w:rsid w:val="00AA3AE3"/>
    <w:rsid w:val="00AA3DA9"/>
    <w:rsid w:val="00AA3F44"/>
    <w:rsid w:val="00AA3F4F"/>
    <w:rsid w:val="00AA414B"/>
    <w:rsid w:val="00AA42FA"/>
    <w:rsid w:val="00AA4315"/>
    <w:rsid w:val="00AA44D0"/>
    <w:rsid w:val="00AA46E8"/>
    <w:rsid w:val="00AA4766"/>
    <w:rsid w:val="00AA49F8"/>
    <w:rsid w:val="00AA4A0A"/>
    <w:rsid w:val="00AA4B1E"/>
    <w:rsid w:val="00AA4BCA"/>
    <w:rsid w:val="00AA4FA3"/>
    <w:rsid w:val="00AA57B9"/>
    <w:rsid w:val="00AA6120"/>
    <w:rsid w:val="00AA620F"/>
    <w:rsid w:val="00AA6242"/>
    <w:rsid w:val="00AA643D"/>
    <w:rsid w:val="00AA66D2"/>
    <w:rsid w:val="00AA6A74"/>
    <w:rsid w:val="00AA6C09"/>
    <w:rsid w:val="00AA7162"/>
    <w:rsid w:val="00AA725D"/>
    <w:rsid w:val="00AA73A0"/>
    <w:rsid w:val="00AA75FE"/>
    <w:rsid w:val="00AA7770"/>
    <w:rsid w:val="00AA7842"/>
    <w:rsid w:val="00AB018B"/>
    <w:rsid w:val="00AB028F"/>
    <w:rsid w:val="00AB03BE"/>
    <w:rsid w:val="00AB03FB"/>
    <w:rsid w:val="00AB0556"/>
    <w:rsid w:val="00AB06B2"/>
    <w:rsid w:val="00AB07E4"/>
    <w:rsid w:val="00AB07F7"/>
    <w:rsid w:val="00AB0B9B"/>
    <w:rsid w:val="00AB107A"/>
    <w:rsid w:val="00AB108F"/>
    <w:rsid w:val="00AB1157"/>
    <w:rsid w:val="00AB1786"/>
    <w:rsid w:val="00AB17C1"/>
    <w:rsid w:val="00AB1934"/>
    <w:rsid w:val="00AB1965"/>
    <w:rsid w:val="00AB1F02"/>
    <w:rsid w:val="00AB1F4B"/>
    <w:rsid w:val="00AB1FF5"/>
    <w:rsid w:val="00AB20A7"/>
    <w:rsid w:val="00AB286E"/>
    <w:rsid w:val="00AB2961"/>
    <w:rsid w:val="00AB30CF"/>
    <w:rsid w:val="00AB31B5"/>
    <w:rsid w:val="00AB322C"/>
    <w:rsid w:val="00AB3311"/>
    <w:rsid w:val="00AB36F9"/>
    <w:rsid w:val="00AB392F"/>
    <w:rsid w:val="00AB3F05"/>
    <w:rsid w:val="00AB3FD4"/>
    <w:rsid w:val="00AB47BF"/>
    <w:rsid w:val="00AB48BA"/>
    <w:rsid w:val="00AB495A"/>
    <w:rsid w:val="00AB49CD"/>
    <w:rsid w:val="00AB49CE"/>
    <w:rsid w:val="00AB4D76"/>
    <w:rsid w:val="00AB4D96"/>
    <w:rsid w:val="00AB4F0C"/>
    <w:rsid w:val="00AB53F0"/>
    <w:rsid w:val="00AB561E"/>
    <w:rsid w:val="00AB5AD0"/>
    <w:rsid w:val="00AB5B8E"/>
    <w:rsid w:val="00AB5EBA"/>
    <w:rsid w:val="00AB5FA0"/>
    <w:rsid w:val="00AB63EB"/>
    <w:rsid w:val="00AB667C"/>
    <w:rsid w:val="00AB75FA"/>
    <w:rsid w:val="00AB785C"/>
    <w:rsid w:val="00AB7884"/>
    <w:rsid w:val="00AC0083"/>
    <w:rsid w:val="00AC0370"/>
    <w:rsid w:val="00AC04C7"/>
    <w:rsid w:val="00AC07AB"/>
    <w:rsid w:val="00AC0C87"/>
    <w:rsid w:val="00AC0CF8"/>
    <w:rsid w:val="00AC0D2A"/>
    <w:rsid w:val="00AC0E11"/>
    <w:rsid w:val="00AC0F0E"/>
    <w:rsid w:val="00AC1282"/>
    <w:rsid w:val="00AC15FA"/>
    <w:rsid w:val="00AC1BB6"/>
    <w:rsid w:val="00AC1C4C"/>
    <w:rsid w:val="00AC1C77"/>
    <w:rsid w:val="00AC1F20"/>
    <w:rsid w:val="00AC214E"/>
    <w:rsid w:val="00AC25EE"/>
    <w:rsid w:val="00AC28AE"/>
    <w:rsid w:val="00AC29B9"/>
    <w:rsid w:val="00AC2BFA"/>
    <w:rsid w:val="00AC3784"/>
    <w:rsid w:val="00AC38AA"/>
    <w:rsid w:val="00AC39CD"/>
    <w:rsid w:val="00AC3A85"/>
    <w:rsid w:val="00AC3C15"/>
    <w:rsid w:val="00AC4672"/>
    <w:rsid w:val="00AC478F"/>
    <w:rsid w:val="00AC4A25"/>
    <w:rsid w:val="00AC4C8C"/>
    <w:rsid w:val="00AC4EAD"/>
    <w:rsid w:val="00AC5597"/>
    <w:rsid w:val="00AC573A"/>
    <w:rsid w:val="00AC594D"/>
    <w:rsid w:val="00AC5B9A"/>
    <w:rsid w:val="00AC5F6A"/>
    <w:rsid w:val="00AC60E5"/>
    <w:rsid w:val="00AC6E1D"/>
    <w:rsid w:val="00AC6E20"/>
    <w:rsid w:val="00AC6F30"/>
    <w:rsid w:val="00AC7095"/>
    <w:rsid w:val="00AC7424"/>
    <w:rsid w:val="00AC755B"/>
    <w:rsid w:val="00AC775B"/>
    <w:rsid w:val="00AC7859"/>
    <w:rsid w:val="00AC786F"/>
    <w:rsid w:val="00AC7906"/>
    <w:rsid w:val="00AC7C90"/>
    <w:rsid w:val="00AC7CEF"/>
    <w:rsid w:val="00AC7E87"/>
    <w:rsid w:val="00AC7ECA"/>
    <w:rsid w:val="00AC7EF7"/>
    <w:rsid w:val="00AD003A"/>
    <w:rsid w:val="00AD02BF"/>
    <w:rsid w:val="00AD0376"/>
    <w:rsid w:val="00AD0DEA"/>
    <w:rsid w:val="00AD104F"/>
    <w:rsid w:val="00AD14D6"/>
    <w:rsid w:val="00AD17D1"/>
    <w:rsid w:val="00AD1932"/>
    <w:rsid w:val="00AD1A2B"/>
    <w:rsid w:val="00AD1DB0"/>
    <w:rsid w:val="00AD1E5E"/>
    <w:rsid w:val="00AD1EDE"/>
    <w:rsid w:val="00AD2106"/>
    <w:rsid w:val="00AD24BF"/>
    <w:rsid w:val="00AD28E7"/>
    <w:rsid w:val="00AD2B60"/>
    <w:rsid w:val="00AD30E4"/>
    <w:rsid w:val="00AD329B"/>
    <w:rsid w:val="00AD32BA"/>
    <w:rsid w:val="00AD3723"/>
    <w:rsid w:val="00AD3778"/>
    <w:rsid w:val="00AD3798"/>
    <w:rsid w:val="00AD3C58"/>
    <w:rsid w:val="00AD3DBC"/>
    <w:rsid w:val="00AD415C"/>
    <w:rsid w:val="00AD45E5"/>
    <w:rsid w:val="00AD494D"/>
    <w:rsid w:val="00AD4B8D"/>
    <w:rsid w:val="00AD4CC9"/>
    <w:rsid w:val="00AD4F32"/>
    <w:rsid w:val="00AD4F56"/>
    <w:rsid w:val="00AD56DA"/>
    <w:rsid w:val="00AD5770"/>
    <w:rsid w:val="00AD59AA"/>
    <w:rsid w:val="00AD59F7"/>
    <w:rsid w:val="00AD5A75"/>
    <w:rsid w:val="00AD5AB9"/>
    <w:rsid w:val="00AD6155"/>
    <w:rsid w:val="00AD646A"/>
    <w:rsid w:val="00AD66D7"/>
    <w:rsid w:val="00AD6B59"/>
    <w:rsid w:val="00AD6CBC"/>
    <w:rsid w:val="00AD74DD"/>
    <w:rsid w:val="00AD75AA"/>
    <w:rsid w:val="00AD7808"/>
    <w:rsid w:val="00AE00FE"/>
    <w:rsid w:val="00AE04D6"/>
    <w:rsid w:val="00AE0515"/>
    <w:rsid w:val="00AE0558"/>
    <w:rsid w:val="00AE085B"/>
    <w:rsid w:val="00AE0D1D"/>
    <w:rsid w:val="00AE0DC6"/>
    <w:rsid w:val="00AE0EC2"/>
    <w:rsid w:val="00AE10E7"/>
    <w:rsid w:val="00AE1166"/>
    <w:rsid w:val="00AE1516"/>
    <w:rsid w:val="00AE17A5"/>
    <w:rsid w:val="00AE19B2"/>
    <w:rsid w:val="00AE1B2C"/>
    <w:rsid w:val="00AE2120"/>
    <w:rsid w:val="00AE214F"/>
    <w:rsid w:val="00AE23DD"/>
    <w:rsid w:val="00AE2561"/>
    <w:rsid w:val="00AE2D59"/>
    <w:rsid w:val="00AE2FF8"/>
    <w:rsid w:val="00AE3444"/>
    <w:rsid w:val="00AE3483"/>
    <w:rsid w:val="00AE34BE"/>
    <w:rsid w:val="00AE365C"/>
    <w:rsid w:val="00AE3A65"/>
    <w:rsid w:val="00AE3C47"/>
    <w:rsid w:val="00AE434E"/>
    <w:rsid w:val="00AE43AB"/>
    <w:rsid w:val="00AE43B0"/>
    <w:rsid w:val="00AE43F6"/>
    <w:rsid w:val="00AE47B1"/>
    <w:rsid w:val="00AE4E2F"/>
    <w:rsid w:val="00AE5005"/>
    <w:rsid w:val="00AE5242"/>
    <w:rsid w:val="00AE5352"/>
    <w:rsid w:val="00AE5BBA"/>
    <w:rsid w:val="00AE5E11"/>
    <w:rsid w:val="00AE630A"/>
    <w:rsid w:val="00AE6318"/>
    <w:rsid w:val="00AE635B"/>
    <w:rsid w:val="00AE63CD"/>
    <w:rsid w:val="00AE64DB"/>
    <w:rsid w:val="00AE66FA"/>
    <w:rsid w:val="00AE6A58"/>
    <w:rsid w:val="00AE6B14"/>
    <w:rsid w:val="00AE7211"/>
    <w:rsid w:val="00AF00B1"/>
    <w:rsid w:val="00AF00B8"/>
    <w:rsid w:val="00AF0410"/>
    <w:rsid w:val="00AF045E"/>
    <w:rsid w:val="00AF04A4"/>
    <w:rsid w:val="00AF04DA"/>
    <w:rsid w:val="00AF0594"/>
    <w:rsid w:val="00AF0BBE"/>
    <w:rsid w:val="00AF11A0"/>
    <w:rsid w:val="00AF12A3"/>
    <w:rsid w:val="00AF15BD"/>
    <w:rsid w:val="00AF184D"/>
    <w:rsid w:val="00AF1878"/>
    <w:rsid w:val="00AF18AA"/>
    <w:rsid w:val="00AF1ADB"/>
    <w:rsid w:val="00AF21A8"/>
    <w:rsid w:val="00AF2304"/>
    <w:rsid w:val="00AF2F2F"/>
    <w:rsid w:val="00AF2FD1"/>
    <w:rsid w:val="00AF2FF0"/>
    <w:rsid w:val="00AF35A3"/>
    <w:rsid w:val="00AF3DF1"/>
    <w:rsid w:val="00AF3E29"/>
    <w:rsid w:val="00AF43A5"/>
    <w:rsid w:val="00AF48F6"/>
    <w:rsid w:val="00AF4A1A"/>
    <w:rsid w:val="00AF4D25"/>
    <w:rsid w:val="00AF5228"/>
    <w:rsid w:val="00AF5269"/>
    <w:rsid w:val="00AF52DA"/>
    <w:rsid w:val="00AF535C"/>
    <w:rsid w:val="00AF54B7"/>
    <w:rsid w:val="00AF563E"/>
    <w:rsid w:val="00AF5C4C"/>
    <w:rsid w:val="00AF5F79"/>
    <w:rsid w:val="00AF6548"/>
    <w:rsid w:val="00AF6825"/>
    <w:rsid w:val="00AF6A8F"/>
    <w:rsid w:val="00AF6C40"/>
    <w:rsid w:val="00AF6D17"/>
    <w:rsid w:val="00AF7107"/>
    <w:rsid w:val="00AF7563"/>
    <w:rsid w:val="00AF7686"/>
    <w:rsid w:val="00AF7BEC"/>
    <w:rsid w:val="00AF7F35"/>
    <w:rsid w:val="00B004D0"/>
    <w:rsid w:val="00B00621"/>
    <w:rsid w:val="00B01014"/>
    <w:rsid w:val="00B01034"/>
    <w:rsid w:val="00B010BC"/>
    <w:rsid w:val="00B0126A"/>
    <w:rsid w:val="00B014A8"/>
    <w:rsid w:val="00B01558"/>
    <w:rsid w:val="00B01577"/>
    <w:rsid w:val="00B01683"/>
    <w:rsid w:val="00B017CC"/>
    <w:rsid w:val="00B01931"/>
    <w:rsid w:val="00B0198C"/>
    <w:rsid w:val="00B019EE"/>
    <w:rsid w:val="00B01CD6"/>
    <w:rsid w:val="00B024A2"/>
    <w:rsid w:val="00B028CF"/>
    <w:rsid w:val="00B028DC"/>
    <w:rsid w:val="00B02B33"/>
    <w:rsid w:val="00B02B6A"/>
    <w:rsid w:val="00B02D81"/>
    <w:rsid w:val="00B02EBC"/>
    <w:rsid w:val="00B031E6"/>
    <w:rsid w:val="00B0366B"/>
    <w:rsid w:val="00B037FD"/>
    <w:rsid w:val="00B03CC2"/>
    <w:rsid w:val="00B03E33"/>
    <w:rsid w:val="00B04097"/>
    <w:rsid w:val="00B04307"/>
    <w:rsid w:val="00B0441E"/>
    <w:rsid w:val="00B0487B"/>
    <w:rsid w:val="00B0489A"/>
    <w:rsid w:val="00B04BD6"/>
    <w:rsid w:val="00B04C56"/>
    <w:rsid w:val="00B051F2"/>
    <w:rsid w:val="00B052BE"/>
    <w:rsid w:val="00B055E0"/>
    <w:rsid w:val="00B05680"/>
    <w:rsid w:val="00B05A89"/>
    <w:rsid w:val="00B05C18"/>
    <w:rsid w:val="00B05CA8"/>
    <w:rsid w:val="00B05D06"/>
    <w:rsid w:val="00B061CF"/>
    <w:rsid w:val="00B0648C"/>
    <w:rsid w:val="00B06493"/>
    <w:rsid w:val="00B06584"/>
    <w:rsid w:val="00B066CC"/>
    <w:rsid w:val="00B06E68"/>
    <w:rsid w:val="00B0705F"/>
    <w:rsid w:val="00B07458"/>
    <w:rsid w:val="00B076F2"/>
    <w:rsid w:val="00B07B48"/>
    <w:rsid w:val="00B07CDE"/>
    <w:rsid w:val="00B07D7E"/>
    <w:rsid w:val="00B07E34"/>
    <w:rsid w:val="00B10059"/>
    <w:rsid w:val="00B1005C"/>
    <w:rsid w:val="00B106C0"/>
    <w:rsid w:val="00B10C24"/>
    <w:rsid w:val="00B10C5A"/>
    <w:rsid w:val="00B10D4D"/>
    <w:rsid w:val="00B10DCB"/>
    <w:rsid w:val="00B11543"/>
    <w:rsid w:val="00B1159F"/>
    <w:rsid w:val="00B119E8"/>
    <w:rsid w:val="00B11A3B"/>
    <w:rsid w:val="00B11BC4"/>
    <w:rsid w:val="00B11ED4"/>
    <w:rsid w:val="00B11F41"/>
    <w:rsid w:val="00B11FE6"/>
    <w:rsid w:val="00B122C0"/>
    <w:rsid w:val="00B122C1"/>
    <w:rsid w:val="00B123C5"/>
    <w:rsid w:val="00B12495"/>
    <w:rsid w:val="00B12AB3"/>
    <w:rsid w:val="00B12CFF"/>
    <w:rsid w:val="00B13137"/>
    <w:rsid w:val="00B13536"/>
    <w:rsid w:val="00B1389D"/>
    <w:rsid w:val="00B138C6"/>
    <w:rsid w:val="00B13AB2"/>
    <w:rsid w:val="00B13EA9"/>
    <w:rsid w:val="00B140AC"/>
    <w:rsid w:val="00B141BD"/>
    <w:rsid w:val="00B144DE"/>
    <w:rsid w:val="00B14569"/>
    <w:rsid w:val="00B148C2"/>
    <w:rsid w:val="00B150FF"/>
    <w:rsid w:val="00B152A2"/>
    <w:rsid w:val="00B15347"/>
    <w:rsid w:val="00B157A0"/>
    <w:rsid w:val="00B15970"/>
    <w:rsid w:val="00B15F63"/>
    <w:rsid w:val="00B16134"/>
    <w:rsid w:val="00B162C3"/>
    <w:rsid w:val="00B16478"/>
    <w:rsid w:val="00B16C80"/>
    <w:rsid w:val="00B16CBC"/>
    <w:rsid w:val="00B17801"/>
    <w:rsid w:val="00B17824"/>
    <w:rsid w:val="00B1787C"/>
    <w:rsid w:val="00B17ACA"/>
    <w:rsid w:val="00B17D55"/>
    <w:rsid w:val="00B2040D"/>
    <w:rsid w:val="00B20458"/>
    <w:rsid w:val="00B20467"/>
    <w:rsid w:val="00B209D4"/>
    <w:rsid w:val="00B2110E"/>
    <w:rsid w:val="00B21365"/>
    <w:rsid w:val="00B2140B"/>
    <w:rsid w:val="00B215EF"/>
    <w:rsid w:val="00B21EC8"/>
    <w:rsid w:val="00B21ED9"/>
    <w:rsid w:val="00B22165"/>
    <w:rsid w:val="00B222DA"/>
    <w:rsid w:val="00B22AD6"/>
    <w:rsid w:val="00B22C80"/>
    <w:rsid w:val="00B22D2B"/>
    <w:rsid w:val="00B22E53"/>
    <w:rsid w:val="00B2366F"/>
    <w:rsid w:val="00B237E9"/>
    <w:rsid w:val="00B237F6"/>
    <w:rsid w:val="00B23E69"/>
    <w:rsid w:val="00B23EA9"/>
    <w:rsid w:val="00B247AD"/>
    <w:rsid w:val="00B24C8E"/>
    <w:rsid w:val="00B24D6E"/>
    <w:rsid w:val="00B24EBC"/>
    <w:rsid w:val="00B25844"/>
    <w:rsid w:val="00B25975"/>
    <w:rsid w:val="00B25CD5"/>
    <w:rsid w:val="00B25DB1"/>
    <w:rsid w:val="00B2625B"/>
    <w:rsid w:val="00B26485"/>
    <w:rsid w:val="00B26787"/>
    <w:rsid w:val="00B269EF"/>
    <w:rsid w:val="00B271E8"/>
    <w:rsid w:val="00B27A58"/>
    <w:rsid w:val="00B3042C"/>
    <w:rsid w:val="00B30506"/>
    <w:rsid w:val="00B30532"/>
    <w:rsid w:val="00B30C80"/>
    <w:rsid w:val="00B30C8B"/>
    <w:rsid w:val="00B30CA1"/>
    <w:rsid w:val="00B30D45"/>
    <w:rsid w:val="00B310A6"/>
    <w:rsid w:val="00B324A4"/>
    <w:rsid w:val="00B3252A"/>
    <w:rsid w:val="00B32579"/>
    <w:rsid w:val="00B327BD"/>
    <w:rsid w:val="00B327D8"/>
    <w:rsid w:val="00B32B19"/>
    <w:rsid w:val="00B32CF0"/>
    <w:rsid w:val="00B32D68"/>
    <w:rsid w:val="00B32F76"/>
    <w:rsid w:val="00B335C6"/>
    <w:rsid w:val="00B33632"/>
    <w:rsid w:val="00B33654"/>
    <w:rsid w:val="00B336B1"/>
    <w:rsid w:val="00B3414D"/>
    <w:rsid w:val="00B3417C"/>
    <w:rsid w:val="00B341D2"/>
    <w:rsid w:val="00B346C9"/>
    <w:rsid w:val="00B349B4"/>
    <w:rsid w:val="00B34A12"/>
    <w:rsid w:val="00B34C84"/>
    <w:rsid w:val="00B350C5"/>
    <w:rsid w:val="00B3542C"/>
    <w:rsid w:val="00B35446"/>
    <w:rsid w:val="00B35582"/>
    <w:rsid w:val="00B35B46"/>
    <w:rsid w:val="00B36842"/>
    <w:rsid w:val="00B36B00"/>
    <w:rsid w:val="00B36D37"/>
    <w:rsid w:val="00B36DB0"/>
    <w:rsid w:val="00B37378"/>
    <w:rsid w:val="00B37720"/>
    <w:rsid w:val="00B3786A"/>
    <w:rsid w:val="00B37949"/>
    <w:rsid w:val="00B37A29"/>
    <w:rsid w:val="00B37CE7"/>
    <w:rsid w:val="00B37F34"/>
    <w:rsid w:val="00B40205"/>
    <w:rsid w:val="00B40330"/>
    <w:rsid w:val="00B40905"/>
    <w:rsid w:val="00B409F4"/>
    <w:rsid w:val="00B40A85"/>
    <w:rsid w:val="00B40D32"/>
    <w:rsid w:val="00B40E04"/>
    <w:rsid w:val="00B41071"/>
    <w:rsid w:val="00B41396"/>
    <w:rsid w:val="00B41B07"/>
    <w:rsid w:val="00B41B29"/>
    <w:rsid w:val="00B41B67"/>
    <w:rsid w:val="00B41C01"/>
    <w:rsid w:val="00B41E33"/>
    <w:rsid w:val="00B41F8C"/>
    <w:rsid w:val="00B42140"/>
    <w:rsid w:val="00B422A4"/>
    <w:rsid w:val="00B42363"/>
    <w:rsid w:val="00B4249F"/>
    <w:rsid w:val="00B42963"/>
    <w:rsid w:val="00B42D9C"/>
    <w:rsid w:val="00B4339A"/>
    <w:rsid w:val="00B435EC"/>
    <w:rsid w:val="00B43A21"/>
    <w:rsid w:val="00B43ECF"/>
    <w:rsid w:val="00B440D5"/>
    <w:rsid w:val="00B44527"/>
    <w:rsid w:val="00B44EC2"/>
    <w:rsid w:val="00B4547D"/>
    <w:rsid w:val="00B457A5"/>
    <w:rsid w:val="00B45FC2"/>
    <w:rsid w:val="00B465D6"/>
    <w:rsid w:val="00B46707"/>
    <w:rsid w:val="00B4670B"/>
    <w:rsid w:val="00B47069"/>
    <w:rsid w:val="00B4707A"/>
    <w:rsid w:val="00B47103"/>
    <w:rsid w:val="00B472AE"/>
    <w:rsid w:val="00B477FB"/>
    <w:rsid w:val="00B47E78"/>
    <w:rsid w:val="00B500CA"/>
    <w:rsid w:val="00B500E9"/>
    <w:rsid w:val="00B503BA"/>
    <w:rsid w:val="00B50598"/>
    <w:rsid w:val="00B508D1"/>
    <w:rsid w:val="00B50A78"/>
    <w:rsid w:val="00B50F12"/>
    <w:rsid w:val="00B5123D"/>
    <w:rsid w:val="00B51374"/>
    <w:rsid w:val="00B514F8"/>
    <w:rsid w:val="00B5251C"/>
    <w:rsid w:val="00B52647"/>
    <w:rsid w:val="00B52980"/>
    <w:rsid w:val="00B52CED"/>
    <w:rsid w:val="00B52D8E"/>
    <w:rsid w:val="00B53206"/>
    <w:rsid w:val="00B53435"/>
    <w:rsid w:val="00B53552"/>
    <w:rsid w:val="00B54002"/>
    <w:rsid w:val="00B544AA"/>
    <w:rsid w:val="00B544DC"/>
    <w:rsid w:val="00B548B7"/>
    <w:rsid w:val="00B54A04"/>
    <w:rsid w:val="00B54C17"/>
    <w:rsid w:val="00B54C65"/>
    <w:rsid w:val="00B54DA5"/>
    <w:rsid w:val="00B550D4"/>
    <w:rsid w:val="00B55252"/>
    <w:rsid w:val="00B552B3"/>
    <w:rsid w:val="00B5564C"/>
    <w:rsid w:val="00B55CA1"/>
    <w:rsid w:val="00B55EA1"/>
    <w:rsid w:val="00B56783"/>
    <w:rsid w:val="00B56B4E"/>
    <w:rsid w:val="00B56F3B"/>
    <w:rsid w:val="00B57136"/>
    <w:rsid w:val="00B573AF"/>
    <w:rsid w:val="00B5745E"/>
    <w:rsid w:val="00B575F8"/>
    <w:rsid w:val="00B577C2"/>
    <w:rsid w:val="00B57850"/>
    <w:rsid w:val="00B57B5A"/>
    <w:rsid w:val="00B6002E"/>
    <w:rsid w:val="00B605FD"/>
    <w:rsid w:val="00B60784"/>
    <w:rsid w:val="00B61693"/>
    <w:rsid w:val="00B61891"/>
    <w:rsid w:val="00B61B04"/>
    <w:rsid w:val="00B61C08"/>
    <w:rsid w:val="00B61E3D"/>
    <w:rsid w:val="00B61EEA"/>
    <w:rsid w:val="00B61EF8"/>
    <w:rsid w:val="00B621C2"/>
    <w:rsid w:val="00B621C6"/>
    <w:rsid w:val="00B626FD"/>
    <w:rsid w:val="00B62C55"/>
    <w:rsid w:val="00B62C60"/>
    <w:rsid w:val="00B62DD2"/>
    <w:rsid w:val="00B62FAD"/>
    <w:rsid w:val="00B63903"/>
    <w:rsid w:val="00B6398A"/>
    <w:rsid w:val="00B63CB8"/>
    <w:rsid w:val="00B63F31"/>
    <w:rsid w:val="00B64031"/>
    <w:rsid w:val="00B64120"/>
    <w:rsid w:val="00B641C9"/>
    <w:rsid w:val="00B64ADA"/>
    <w:rsid w:val="00B6541C"/>
    <w:rsid w:val="00B65663"/>
    <w:rsid w:val="00B656B0"/>
    <w:rsid w:val="00B65E77"/>
    <w:rsid w:val="00B65E86"/>
    <w:rsid w:val="00B65F59"/>
    <w:rsid w:val="00B666DF"/>
    <w:rsid w:val="00B66731"/>
    <w:rsid w:val="00B66A87"/>
    <w:rsid w:val="00B6764A"/>
    <w:rsid w:val="00B67D3F"/>
    <w:rsid w:val="00B67E42"/>
    <w:rsid w:val="00B70059"/>
    <w:rsid w:val="00B70131"/>
    <w:rsid w:val="00B7017B"/>
    <w:rsid w:val="00B703D3"/>
    <w:rsid w:val="00B70420"/>
    <w:rsid w:val="00B70570"/>
    <w:rsid w:val="00B705CD"/>
    <w:rsid w:val="00B70827"/>
    <w:rsid w:val="00B70848"/>
    <w:rsid w:val="00B70A56"/>
    <w:rsid w:val="00B70C8E"/>
    <w:rsid w:val="00B70D3F"/>
    <w:rsid w:val="00B71635"/>
    <w:rsid w:val="00B71951"/>
    <w:rsid w:val="00B719DB"/>
    <w:rsid w:val="00B71DC1"/>
    <w:rsid w:val="00B725F9"/>
    <w:rsid w:val="00B728C7"/>
    <w:rsid w:val="00B72D80"/>
    <w:rsid w:val="00B73294"/>
    <w:rsid w:val="00B7332D"/>
    <w:rsid w:val="00B73472"/>
    <w:rsid w:val="00B735F6"/>
    <w:rsid w:val="00B73AA2"/>
    <w:rsid w:val="00B73B64"/>
    <w:rsid w:val="00B73C1F"/>
    <w:rsid w:val="00B73EA4"/>
    <w:rsid w:val="00B73FEA"/>
    <w:rsid w:val="00B742BC"/>
    <w:rsid w:val="00B748BB"/>
    <w:rsid w:val="00B749D7"/>
    <w:rsid w:val="00B74AD8"/>
    <w:rsid w:val="00B753E6"/>
    <w:rsid w:val="00B75D50"/>
    <w:rsid w:val="00B75EBC"/>
    <w:rsid w:val="00B75F74"/>
    <w:rsid w:val="00B760E2"/>
    <w:rsid w:val="00B760EB"/>
    <w:rsid w:val="00B762B7"/>
    <w:rsid w:val="00B76421"/>
    <w:rsid w:val="00B7647E"/>
    <w:rsid w:val="00B76505"/>
    <w:rsid w:val="00B76577"/>
    <w:rsid w:val="00B767D0"/>
    <w:rsid w:val="00B769D7"/>
    <w:rsid w:val="00B76AF7"/>
    <w:rsid w:val="00B76C25"/>
    <w:rsid w:val="00B76F65"/>
    <w:rsid w:val="00B774F1"/>
    <w:rsid w:val="00B77CAA"/>
    <w:rsid w:val="00B800F0"/>
    <w:rsid w:val="00B8019E"/>
    <w:rsid w:val="00B8034A"/>
    <w:rsid w:val="00B80421"/>
    <w:rsid w:val="00B80504"/>
    <w:rsid w:val="00B80A6F"/>
    <w:rsid w:val="00B80BD8"/>
    <w:rsid w:val="00B80EF6"/>
    <w:rsid w:val="00B80F76"/>
    <w:rsid w:val="00B81020"/>
    <w:rsid w:val="00B81112"/>
    <w:rsid w:val="00B81A8C"/>
    <w:rsid w:val="00B81C3A"/>
    <w:rsid w:val="00B82674"/>
    <w:rsid w:val="00B827A8"/>
    <w:rsid w:val="00B82954"/>
    <w:rsid w:val="00B82D70"/>
    <w:rsid w:val="00B82F97"/>
    <w:rsid w:val="00B83096"/>
    <w:rsid w:val="00B8309F"/>
    <w:rsid w:val="00B83385"/>
    <w:rsid w:val="00B834AC"/>
    <w:rsid w:val="00B8367A"/>
    <w:rsid w:val="00B83BF5"/>
    <w:rsid w:val="00B84186"/>
    <w:rsid w:val="00B84866"/>
    <w:rsid w:val="00B849E3"/>
    <w:rsid w:val="00B84E15"/>
    <w:rsid w:val="00B85019"/>
    <w:rsid w:val="00B8554B"/>
    <w:rsid w:val="00B8584E"/>
    <w:rsid w:val="00B8589D"/>
    <w:rsid w:val="00B85979"/>
    <w:rsid w:val="00B85A2B"/>
    <w:rsid w:val="00B85C2F"/>
    <w:rsid w:val="00B85EF2"/>
    <w:rsid w:val="00B862A3"/>
    <w:rsid w:val="00B86422"/>
    <w:rsid w:val="00B86922"/>
    <w:rsid w:val="00B86E7D"/>
    <w:rsid w:val="00B8708C"/>
    <w:rsid w:val="00B87101"/>
    <w:rsid w:val="00B87932"/>
    <w:rsid w:val="00B87ECE"/>
    <w:rsid w:val="00B9002F"/>
    <w:rsid w:val="00B901AB"/>
    <w:rsid w:val="00B9031F"/>
    <w:rsid w:val="00B9049A"/>
    <w:rsid w:val="00B9068C"/>
    <w:rsid w:val="00B906FC"/>
    <w:rsid w:val="00B907F2"/>
    <w:rsid w:val="00B9096D"/>
    <w:rsid w:val="00B90B7C"/>
    <w:rsid w:val="00B90BE7"/>
    <w:rsid w:val="00B90E82"/>
    <w:rsid w:val="00B910BD"/>
    <w:rsid w:val="00B911A4"/>
    <w:rsid w:val="00B9125E"/>
    <w:rsid w:val="00B912D7"/>
    <w:rsid w:val="00B914D0"/>
    <w:rsid w:val="00B91611"/>
    <w:rsid w:val="00B91E83"/>
    <w:rsid w:val="00B9204B"/>
    <w:rsid w:val="00B92157"/>
    <w:rsid w:val="00B92199"/>
    <w:rsid w:val="00B92662"/>
    <w:rsid w:val="00B92D84"/>
    <w:rsid w:val="00B92FD3"/>
    <w:rsid w:val="00B931CA"/>
    <w:rsid w:val="00B9320F"/>
    <w:rsid w:val="00B9326A"/>
    <w:rsid w:val="00B9327D"/>
    <w:rsid w:val="00B93892"/>
    <w:rsid w:val="00B93B11"/>
    <w:rsid w:val="00B93D62"/>
    <w:rsid w:val="00B93EE0"/>
    <w:rsid w:val="00B94391"/>
    <w:rsid w:val="00B944AA"/>
    <w:rsid w:val="00B944E2"/>
    <w:rsid w:val="00B945B6"/>
    <w:rsid w:val="00B9461C"/>
    <w:rsid w:val="00B94939"/>
    <w:rsid w:val="00B9544B"/>
    <w:rsid w:val="00B9546D"/>
    <w:rsid w:val="00B95530"/>
    <w:rsid w:val="00B95A8D"/>
    <w:rsid w:val="00B95D1F"/>
    <w:rsid w:val="00B95D5A"/>
    <w:rsid w:val="00B95EC6"/>
    <w:rsid w:val="00B968EA"/>
    <w:rsid w:val="00B96A0C"/>
    <w:rsid w:val="00B96D6E"/>
    <w:rsid w:val="00B96D9B"/>
    <w:rsid w:val="00B96E5F"/>
    <w:rsid w:val="00B974C0"/>
    <w:rsid w:val="00B97BC5"/>
    <w:rsid w:val="00B97CDD"/>
    <w:rsid w:val="00BA042E"/>
    <w:rsid w:val="00BA08DF"/>
    <w:rsid w:val="00BA0A8C"/>
    <w:rsid w:val="00BA0AC4"/>
    <w:rsid w:val="00BA0E83"/>
    <w:rsid w:val="00BA114C"/>
    <w:rsid w:val="00BA16B9"/>
    <w:rsid w:val="00BA1B51"/>
    <w:rsid w:val="00BA1C0A"/>
    <w:rsid w:val="00BA20D7"/>
    <w:rsid w:val="00BA2270"/>
    <w:rsid w:val="00BA22B0"/>
    <w:rsid w:val="00BA2A1D"/>
    <w:rsid w:val="00BA2E1F"/>
    <w:rsid w:val="00BA32BE"/>
    <w:rsid w:val="00BA36FC"/>
    <w:rsid w:val="00BA3727"/>
    <w:rsid w:val="00BA413B"/>
    <w:rsid w:val="00BA431B"/>
    <w:rsid w:val="00BA439B"/>
    <w:rsid w:val="00BA4955"/>
    <w:rsid w:val="00BA4A30"/>
    <w:rsid w:val="00BA4E0C"/>
    <w:rsid w:val="00BA5110"/>
    <w:rsid w:val="00BA5176"/>
    <w:rsid w:val="00BA5C99"/>
    <w:rsid w:val="00BA5D0B"/>
    <w:rsid w:val="00BA5DEC"/>
    <w:rsid w:val="00BA5FB2"/>
    <w:rsid w:val="00BA6462"/>
    <w:rsid w:val="00BA6520"/>
    <w:rsid w:val="00BA6705"/>
    <w:rsid w:val="00BA6AB2"/>
    <w:rsid w:val="00BA6B35"/>
    <w:rsid w:val="00BA6B6E"/>
    <w:rsid w:val="00BA6F59"/>
    <w:rsid w:val="00BA7283"/>
    <w:rsid w:val="00BA7A44"/>
    <w:rsid w:val="00BA7AD5"/>
    <w:rsid w:val="00BA7F44"/>
    <w:rsid w:val="00BA7FF6"/>
    <w:rsid w:val="00BB0051"/>
    <w:rsid w:val="00BB0CEB"/>
    <w:rsid w:val="00BB0D66"/>
    <w:rsid w:val="00BB0D76"/>
    <w:rsid w:val="00BB0F06"/>
    <w:rsid w:val="00BB0F55"/>
    <w:rsid w:val="00BB11EA"/>
    <w:rsid w:val="00BB12B6"/>
    <w:rsid w:val="00BB1316"/>
    <w:rsid w:val="00BB15AA"/>
    <w:rsid w:val="00BB1638"/>
    <w:rsid w:val="00BB16FF"/>
    <w:rsid w:val="00BB183E"/>
    <w:rsid w:val="00BB18D3"/>
    <w:rsid w:val="00BB1DEC"/>
    <w:rsid w:val="00BB21EF"/>
    <w:rsid w:val="00BB2521"/>
    <w:rsid w:val="00BB2772"/>
    <w:rsid w:val="00BB2B4F"/>
    <w:rsid w:val="00BB2CDB"/>
    <w:rsid w:val="00BB2EAB"/>
    <w:rsid w:val="00BB305F"/>
    <w:rsid w:val="00BB31F8"/>
    <w:rsid w:val="00BB32CC"/>
    <w:rsid w:val="00BB36F1"/>
    <w:rsid w:val="00BB3B4C"/>
    <w:rsid w:val="00BB3FBB"/>
    <w:rsid w:val="00BB3FC9"/>
    <w:rsid w:val="00BB44D5"/>
    <w:rsid w:val="00BB4D3B"/>
    <w:rsid w:val="00BB4DCC"/>
    <w:rsid w:val="00BB55C6"/>
    <w:rsid w:val="00BB5614"/>
    <w:rsid w:val="00BB56B6"/>
    <w:rsid w:val="00BB5AB1"/>
    <w:rsid w:val="00BB5B07"/>
    <w:rsid w:val="00BB5B82"/>
    <w:rsid w:val="00BB5E5F"/>
    <w:rsid w:val="00BB6218"/>
    <w:rsid w:val="00BB6484"/>
    <w:rsid w:val="00BB65FD"/>
    <w:rsid w:val="00BB6A7D"/>
    <w:rsid w:val="00BB6ACD"/>
    <w:rsid w:val="00BB6D06"/>
    <w:rsid w:val="00BB6D64"/>
    <w:rsid w:val="00BB6E93"/>
    <w:rsid w:val="00BB7176"/>
    <w:rsid w:val="00BB73C4"/>
    <w:rsid w:val="00BB7405"/>
    <w:rsid w:val="00BB77C3"/>
    <w:rsid w:val="00BB79A5"/>
    <w:rsid w:val="00BB7D49"/>
    <w:rsid w:val="00BB7D56"/>
    <w:rsid w:val="00BC0016"/>
    <w:rsid w:val="00BC00A1"/>
    <w:rsid w:val="00BC0E80"/>
    <w:rsid w:val="00BC16C2"/>
    <w:rsid w:val="00BC1BEE"/>
    <w:rsid w:val="00BC1F58"/>
    <w:rsid w:val="00BC2383"/>
    <w:rsid w:val="00BC2384"/>
    <w:rsid w:val="00BC24B2"/>
    <w:rsid w:val="00BC2A2C"/>
    <w:rsid w:val="00BC2A39"/>
    <w:rsid w:val="00BC2B46"/>
    <w:rsid w:val="00BC2E33"/>
    <w:rsid w:val="00BC2F99"/>
    <w:rsid w:val="00BC324A"/>
    <w:rsid w:val="00BC333E"/>
    <w:rsid w:val="00BC4275"/>
    <w:rsid w:val="00BC4302"/>
    <w:rsid w:val="00BC46B8"/>
    <w:rsid w:val="00BC48A5"/>
    <w:rsid w:val="00BC4F4E"/>
    <w:rsid w:val="00BC50F6"/>
    <w:rsid w:val="00BC5286"/>
    <w:rsid w:val="00BC5337"/>
    <w:rsid w:val="00BC583F"/>
    <w:rsid w:val="00BC5B0D"/>
    <w:rsid w:val="00BC5F4C"/>
    <w:rsid w:val="00BC60E2"/>
    <w:rsid w:val="00BC6A2A"/>
    <w:rsid w:val="00BC6D5F"/>
    <w:rsid w:val="00BC6F72"/>
    <w:rsid w:val="00BC6FAB"/>
    <w:rsid w:val="00BC749A"/>
    <w:rsid w:val="00BC773C"/>
    <w:rsid w:val="00BC77D3"/>
    <w:rsid w:val="00BC79DB"/>
    <w:rsid w:val="00BC7A0D"/>
    <w:rsid w:val="00BC7A6B"/>
    <w:rsid w:val="00BC7B9D"/>
    <w:rsid w:val="00BC7C7D"/>
    <w:rsid w:val="00BC7E79"/>
    <w:rsid w:val="00BD0228"/>
    <w:rsid w:val="00BD04A5"/>
    <w:rsid w:val="00BD088F"/>
    <w:rsid w:val="00BD0D87"/>
    <w:rsid w:val="00BD110E"/>
    <w:rsid w:val="00BD1422"/>
    <w:rsid w:val="00BD1434"/>
    <w:rsid w:val="00BD146E"/>
    <w:rsid w:val="00BD1C46"/>
    <w:rsid w:val="00BD1FE5"/>
    <w:rsid w:val="00BD22CF"/>
    <w:rsid w:val="00BD250C"/>
    <w:rsid w:val="00BD2718"/>
    <w:rsid w:val="00BD2867"/>
    <w:rsid w:val="00BD2B7C"/>
    <w:rsid w:val="00BD2C0C"/>
    <w:rsid w:val="00BD2C4F"/>
    <w:rsid w:val="00BD2D92"/>
    <w:rsid w:val="00BD2E0B"/>
    <w:rsid w:val="00BD2F80"/>
    <w:rsid w:val="00BD3562"/>
    <w:rsid w:val="00BD39BF"/>
    <w:rsid w:val="00BD3A25"/>
    <w:rsid w:val="00BD3AAC"/>
    <w:rsid w:val="00BD3FBE"/>
    <w:rsid w:val="00BD42EE"/>
    <w:rsid w:val="00BD44C7"/>
    <w:rsid w:val="00BD45FF"/>
    <w:rsid w:val="00BD4648"/>
    <w:rsid w:val="00BD468A"/>
    <w:rsid w:val="00BD491F"/>
    <w:rsid w:val="00BD4DDE"/>
    <w:rsid w:val="00BD518D"/>
    <w:rsid w:val="00BD534E"/>
    <w:rsid w:val="00BD53CB"/>
    <w:rsid w:val="00BD55BA"/>
    <w:rsid w:val="00BD58B7"/>
    <w:rsid w:val="00BD5B58"/>
    <w:rsid w:val="00BD6929"/>
    <w:rsid w:val="00BD69D3"/>
    <w:rsid w:val="00BD6E56"/>
    <w:rsid w:val="00BD6EF6"/>
    <w:rsid w:val="00BD6EFD"/>
    <w:rsid w:val="00BD6F52"/>
    <w:rsid w:val="00BD7525"/>
    <w:rsid w:val="00BD75DC"/>
    <w:rsid w:val="00BD7901"/>
    <w:rsid w:val="00BD7A42"/>
    <w:rsid w:val="00BE0078"/>
    <w:rsid w:val="00BE0173"/>
    <w:rsid w:val="00BE017F"/>
    <w:rsid w:val="00BE01BD"/>
    <w:rsid w:val="00BE0271"/>
    <w:rsid w:val="00BE0863"/>
    <w:rsid w:val="00BE08B0"/>
    <w:rsid w:val="00BE0A95"/>
    <w:rsid w:val="00BE0B33"/>
    <w:rsid w:val="00BE0D89"/>
    <w:rsid w:val="00BE1181"/>
    <w:rsid w:val="00BE11ED"/>
    <w:rsid w:val="00BE1252"/>
    <w:rsid w:val="00BE148C"/>
    <w:rsid w:val="00BE180D"/>
    <w:rsid w:val="00BE1D4D"/>
    <w:rsid w:val="00BE1F57"/>
    <w:rsid w:val="00BE20EC"/>
    <w:rsid w:val="00BE22FE"/>
    <w:rsid w:val="00BE238C"/>
    <w:rsid w:val="00BE287F"/>
    <w:rsid w:val="00BE2A6F"/>
    <w:rsid w:val="00BE33CC"/>
    <w:rsid w:val="00BE3464"/>
    <w:rsid w:val="00BE348B"/>
    <w:rsid w:val="00BE3587"/>
    <w:rsid w:val="00BE3974"/>
    <w:rsid w:val="00BE39B9"/>
    <w:rsid w:val="00BE3FBA"/>
    <w:rsid w:val="00BE45BC"/>
    <w:rsid w:val="00BE4A6A"/>
    <w:rsid w:val="00BE5333"/>
    <w:rsid w:val="00BE550F"/>
    <w:rsid w:val="00BE5CA6"/>
    <w:rsid w:val="00BE5CFB"/>
    <w:rsid w:val="00BE5D44"/>
    <w:rsid w:val="00BE5DE2"/>
    <w:rsid w:val="00BE64EB"/>
    <w:rsid w:val="00BE67DC"/>
    <w:rsid w:val="00BE6C3D"/>
    <w:rsid w:val="00BE6F2E"/>
    <w:rsid w:val="00BE6F8E"/>
    <w:rsid w:val="00BE7380"/>
    <w:rsid w:val="00BE74C9"/>
    <w:rsid w:val="00BE7B42"/>
    <w:rsid w:val="00BE7BAE"/>
    <w:rsid w:val="00BE7D20"/>
    <w:rsid w:val="00BF006B"/>
    <w:rsid w:val="00BF025E"/>
    <w:rsid w:val="00BF04C1"/>
    <w:rsid w:val="00BF0995"/>
    <w:rsid w:val="00BF0AE3"/>
    <w:rsid w:val="00BF0CDE"/>
    <w:rsid w:val="00BF1697"/>
    <w:rsid w:val="00BF1761"/>
    <w:rsid w:val="00BF1AF0"/>
    <w:rsid w:val="00BF1E52"/>
    <w:rsid w:val="00BF2065"/>
    <w:rsid w:val="00BF23A5"/>
    <w:rsid w:val="00BF23E1"/>
    <w:rsid w:val="00BF2485"/>
    <w:rsid w:val="00BF2E0A"/>
    <w:rsid w:val="00BF3063"/>
    <w:rsid w:val="00BF3CC1"/>
    <w:rsid w:val="00BF3D73"/>
    <w:rsid w:val="00BF4215"/>
    <w:rsid w:val="00BF4B82"/>
    <w:rsid w:val="00BF52D4"/>
    <w:rsid w:val="00BF54CA"/>
    <w:rsid w:val="00BF5B67"/>
    <w:rsid w:val="00BF5E2B"/>
    <w:rsid w:val="00BF6001"/>
    <w:rsid w:val="00BF653A"/>
    <w:rsid w:val="00BF67E9"/>
    <w:rsid w:val="00BF6912"/>
    <w:rsid w:val="00BF6C82"/>
    <w:rsid w:val="00BF6E86"/>
    <w:rsid w:val="00BF7956"/>
    <w:rsid w:val="00BF7BE2"/>
    <w:rsid w:val="00C000A3"/>
    <w:rsid w:val="00C00131"/>
    <w:rsid w:val="00C00322"/>
    <w:rsid w:val="00C00410"/>
    <w:rsid w:val="00C006B6"/>
    <w:rsid w:val="00C013C3"/>
    <w:rsid w:val="00C0160E"/>
    <w:rsid w:val="00C01785"/>
    <w:rsid w:val="00C01B7A"/>
    <w:rsid w:val="00C01C34"/>
    <w:rsid w:val="00C022EC"/>
    <w:rsid w:val="00C022FF"/>
    <w:rsid w:val="00C02649"/>
    <w:rsid w:val="00C02B95"/>
    <w:rsid w:val="00C02BBC"/>
    <w:rsid w:val="00C02E56"/>
    <w:rsid w:val="00C0309D"/>
    <w:rsid w:val="00C031DA"/>
    <w:rsid w:val="00C0351A"/>
    <w:rsid w:val="00C03564"/>
    <w:rsid w:val="00C0377A"/>
    <w:rsid w:val="00C0380A"/>
    <w:rsid w:val="00C03877"/>
    <w:rsid w:val="00C038ED"/>
    <w:rsid w:val="00C03937"/>
    <w:rsid w:val="00C03AF7"/>
    <w:rsid w:val="00C03C35"/>
    <w:rsid w:val="00C045A0"/>
    <w:rsid w:val="00C046BD"/>
    <w:rsid w:val="00C0477B"/>
    <w:rsid w:val="00C04C2E"/>
    <w:rsid w:val="00C05169"/>
    <w:rsid w:val="00C052C0"/>
    <w:rsid w:val="00C0532C"/>
    <w:rsid w:val="00C053F0"/>
    <w:rsid w:val="00C0571D"/>
    <w:rsid w:val="00C05934"/>
    <w:rsid w:val="00C05975"/>
    <w:rsid w:val="00C05B46"/>
    <w:rsid w:val="00C0628C"/>
    <w:rsid w:val="00C064B5"/>
    <w:rsid w:val="00C06AC2"/>
    <w:rsid w:val="00C06B0D"/>
    <w:rsid w:val="00C06B4B"/>
    <w:rsid w:val="00C06DE8"/>
    <w:rsid w:val="00C0705B"/>
    <w:rsid w:val="00C071E1"/>
    <w:rsid w:val="00C07347"/>
    <w:rsid w:val="00C07943"/>
    <w:rsid w:val="00C079EA"/>
    <w:rsid w:val="00C07A07"/>
    <w:rsid w:val="00C07B22"/>
    <w:rsid w:val="00C07B83"/>
    <w:rsid w:val="00C07BBF"/>
    <w:rsid w:val="00C07E1E"/>
    <w:rsid w:val="00C10112"/>
    <w:rsid w:val="00C10328"/>
    <w:rsid w:val="00C10953"/>
    <w:rsid w:val="00C10E4F"/>
    <w:rsid w:val="00C10FFC"/>
    <w:rsid w:val="00C112BA"/>
    <w:rsid w:val="00C114C7"/>
    <w:rsid w:val="00C11658"/>
    <w:rsid w:val="00C11702"/>
    <w:rsid w:val="00C11893"/>
    <w:rsid w:val="00C11A92"/>
    <w:rsid w:val="00C11C46"/>
    <w:rsid w:val="00C121C6"/>
    <w:rsid w:val="00C1238A"/>
    <w:rsid w:val="00C123C3"/>
    <w:rsid w:val="00C125AD"/>
    <w:rsid w:val="00C12761"/>
    <w:rsid w:val="00C127B7"/>
    <w:rsid w:val="00C12965"/>
    <w:rsid w:val="00C1299A"/>
    <w:rsid w:val="00C12D1C"/>
    <w:rsid w:val="00C12E84"/>
    <w:rsid w:val="00C1339A"/>
    <w:rsid w:val="00C13553"/>
    <w:rsid w:val="00C13D86"/>
    <w:rsid w:val="00C13E04"/>
    <w:rsid w:val="00C13FEF"/>
    <w:rsid w:val="00C1463B"/>
    <w:rsid w:val="00C1482C"/>
    <w:rsid w:val="00C15288"/>
    <w:rsid w:val="00C153EB"/>
    <w:rsid w:val="00C15414"/>
    <w:rsid w:val="00C15507"/>
    <w:rsid w:val="00C155F7"/>
    <w:rsid w:val="00C15ACD"/>
    <w:rsid w:val="00C15EC3"/>
    <w:rsid w:val="00C16122"/>
    <w:rsid w:val="00C169EF"/>
    <w:rsid w:val="00C16DE9"/>
    <w:rsid w:val="00C16F55"/>
    <w:rsid w:val="00C16F7F"/>
    <w:rsid w:val="00C17026"/>
    <w:rsid w:val="00C1704A"/>
    <w:rsid w:val="00C17099"/>
    <w:rsid w:val="00C17203"/>
    <w:rsid w:val="00C17778"/>
    <w:rsid w:val="00C177E6"/>
    <w:rsid w:val="00C17A30"/>
    <w:rsid w:val="00C17C8A"/>
    <w:rsid w:val="00C17ECB"/>
    <w:rsid w:val="00C17EFC"/>
    <w:rsid w:val="00C205CC"/>
    <w:rsid w:val="00C20CBD"/>
    <w:rsid w:val="00C21029"/>
    <w:rsid w:val="00C21072"/>
    <w:rsid w:val="00C210ED"/>
    <w:rsid w:val="00C210F8"/>
    <w:rsid w:val="00C214D5"/>
    <w:rsid w:val="00C2192F"/>
    <w:rsid w:val="00C21A13"/>
    <w:rsid w:val="00C21B83"/>
    <w:rsid w:val="00C21E6F"/>
    <w:rsid w:val="00C21F73"/>
    <w:rsid w:val="00C22102"/>
    <w:rsid w:val="00C229AB"/>
    <w:rsid w:val="00C22D4E"/>
    <w:rsid w:val="00C22FF4"/>
    <w:rsid w:val="00C2317F"/>
    <w:rsid w:val="00C23243"/>
    <w:rsid w:val="00C23589"/>
    <w:rsid w:val="00C235A9"/>
    <w:rsid w:val="00C235F1"/>
    <w:rsid w:val="00C2362E"/>
    <w:rsid w:val="00C23D4E"/>
    <w:rsid w:val="00C23EB1"/>
    <w:rsid w:val="00C23EE1"/>
    <w:rsid w:val="00C2446B"/>
    <w:rsid w:val="00C253BC"/>
    <w:rsid w:val="00C2547E"/>
    <w:rsid w:val="00C2597B"/>
    <w:rsid w:val="00C25DD3"/>
    <w:rsid w:val="00C25FAC"/>
    <w:rsid w:val="00C2692C"/>
    <w:rsid w:val="00C26AF7"/>
    <w:rsid w:val="00C27109"/>
    <w:rsid w:val="00C271B8"/>
    <w:rsid w:val="00C273F2"/>
    <w:rsid w:val="00C274C6"/>
    <w:rsid w:val="00C275C9"/>
    <w:rsid w:val="00C27771"/>
    <w:rsid w:val="00C27828"/>
    <w:rsid w:val="00C27942"/>
    <w:rsid w:val="00C279D3"/>
    <w:rsid w:val="00C27A57"/>
    <w:rsid w:val="00C27AE7"/>
    <w:rsid w:val="00C27E19"/>
    <w:rsid w:val="00C300B1"/>
    <w:rsid w:val="00C30241"/>
    <w:rsid w:val="00C305E1"/>
    <w:rsid w:val="00C3064D"/>
    <w:rsid w:val="00C30FD8"/>
    <w:rsid w:val="00C31047"/>
    <w:rsid w:val="00C31270"/>
    <w:rsid w:val="00C312E2"/>
    <w:rsid w:val="00C31300"/>
    <w:rsid w:val="00C314B7"/>
    <w:rsid w:val="00C31600"/>
    <w:rsid w:val="00C317CD"/>
    <w:rsid w:val="00C318A8"/>
    <w:rsid w:val="00C318F6"/>
    <w:rsid w:val="00C31933"/>
    <w:rsid w:val="00C3196E"/>
    <w:rsid w:val="00C31A0E"/>
    <w:rsid w:val="00C31A19"/>
    <w:rsid w:val="00C31D4D"/>
    <w:rsid w:val="00C32505"/>
    <w:rsid w:val="00C32726"/>
    <w:rsid w:val="00C32A78"/>
    <w:rsid w:val="00C3317A"/>
    <w:rsid w:val="00C3354B"/>
    <w:rsid w:val="00C335AD"/>
    <w:rsid w:val="00C33818"/>
    <w:rsid w:val="00C33A9C"/>
    <w:rsid w:val="00C33E56"/>
    <w:rsid w:val="00C34241"/>
    <w:rsid w:val="00C342FC"/>
    <w:rsid w:val="00C343EB"/>
    <w:rsid w:val="00C346BE"/>
    <w:rsid w:val="00C348F0"/>
    <w:rsid w:val="00C34A1E"/>
    <w:rsid w:val="00C34FCF"/>
    <w:rsid w:val="00C35085"/>
    <w:rsid w:val="00C3523D"/>
    <w:rsid w:val="00C355C3"/>
    <w:rsid w:val="00C35862"/>
    <w:rsid w:val="00C35C04"/>
    <w:rsid w:val="00C35CF4"/>
    <w:rsid w:val="00C35D6D"/>
    <w:rsid w:val="00C35E4B"/>
    <w:rsid w:val="00C36051"/>
    <w:rsid w:val="00C363B0"/>
    <w:rsid w:val="00C363FC"/>
    <w:rsid w:val="00C3665F"/>
    <w:rsid w:val="00C36817"/>
    <w:rsid w:val="00C36AAC"/>
    <w:rsid w:val="00C36BF1"/>
    <w:rsid w:val="00C36E79"/>
    <w:rsid w:val="00C36E97"/>
    <w:rsid w:val="00C36E9C"/>
    <w:rsid w:val="00C36EEC"/>
    <w:rsid w:val="00C3757D"/>
    <w:rsid w:val="00C37868"/>
    <w:rsid w:val="00C378E9"/>
    <w:rsid w:val="00C37D75"/>
    <w:rsid w:val="00C40D5C"/>
    <w:rsid w:val="00C41B3C"/>
    <w:rsid w:val="00C41D0D"/>
    <w:rsid w:val="00C4201C"/>
    <w:rsid w:val="00C42631"/>
    <w:rsid w:val="00C42951"/>
    <w:rsid w:val="00C42F32"/>
    <w:rsid w:val="00C4300E"/>
    <w:rsid w:val="00C435A6"/>
    <w:rsid w:val="00C43691"/>
    <w:rsid w:val="00C439C0"/>
    <w:rsid w:val="00C441B5"/>
    <w:rsid w:val="00C4473B"/>
    <w:rsid w:val="00C44794"/>
    <w:rsid w:val="00C44B21"/>
    <w:rsid w:val="00C45347"/>
    <w:rsid w:val="00C4539C"/>
    <w:rsid w:val="00C457DB"/>
    <w:rsid w:val="00C458AB"/>
    <w:rsid w:val="00C45AEF"/>
    <w:rsid w:val="00C45F4F"/>
    <w:rsid w:val="00C4620B"/>
    <w:rsid w:val="00C46516"/>
    <w:rsid w:val="00C47008"/>
    <w:rsid w:val="00C472E7"/>
    <w:rsid w:val="00C4739E"/>
    <w:rsid w:val="00C474FF"/>
    <w:rsid w:val="00C47685"/>
    <w:rsid w:val="00C47F11"/>
    <w:rsid w:val="00C50E4E"/>
    <w:rsid w:val="00C50F17"/>
    <w:rsid w:val="00C51227"/>
    <w:rsid w:val="00C5187F"/>
    <w:rsid w:val="00C5192D"/>
    <w:rsid w:val="00C51BEF"/>
    <w:rsid w:val="00C52884"/>
    <w:rsid w:val="00C52BA6"/>
    <w:rsid w:val="00C52C00"/>
    <w:rsid w:val="00C52CC5"/>
    <w:rsid w:val="00C52D21"/>
    <w:rsid w:val="00C53763"/>
    <w:rsid w:val="00C5379F"/>
    <w:rsid w:val="00C53932"/>
    <w:rsid w:val="00C540D5"/>
    <w:rsid w:val="00C54400"/>
    <w:rsid w:val="00C54481"/>
    <w:rsid w:val="00C5455D"/>
    <w:rsid w:val="00C54698"/>
    <w:rsid w:val="00C5469F"/>
    <w:rsid w:val="00C54802"/>
    <w:rsid w:val="00C54849"/>
    <w:rsid w:val="00C54EFE"/>
    <w:rsid w:val="00C5537D"/>
    <w:rsid w:val="00C55844"/>
    <w:rsid w:val="00C5588A"/>
    <w:rsid w:val="00C55A21"/>
    <w:rsid w:val="00C55F7D"/>
    <w:rsid w:val="00C562F3"/>
    <w:rsid w:val="00C564CE"/>
    <w:rsid w:val="00C56AF7"/>
    <w:rsid w:val="00C56B6B"/>
    <w:rsid w:val="00C56BBC"/>
    <w:rsid w:val="00C56D75"/>
    <w:rsid w:val="00C56E2A"/>
    <w:rsid w:val="00C570F4"/>
    <w:rsid w:val="00C570FF"/>
    <w:rsid w:val="00C574AA"/>
    <w:rsid w:val="00C5780D"/>
    <w:rsid w:val="00C5781D"/>
    <w:rsid w:val="00C57A81"/>
    <w:rsid w:val="00C57C21"/>
    <w:rsid w:val="00C609D4"/>
    <w:rsid w:val="00C60B4C"/>
    <w:rsid w:val="00C60D31"/>
    <w:rsid w:val="00C60E7B"/>
    <w:rsid w:val="00C60F70"/>
    <w:rsid w:val="00C61372"/>
    <w:rsid w:val="00C61748"/>
    <w:rsid w:val="00C6186E"/>
    <w:rsid w:val="00C61C1B"/>
    <w:rsid w:val="00C61D28"/>
    <w:rsid w:val="00C61FE7"/>
    <w:rsid w:val="00C62139"/>
    <w:rsid w:val="00C62273"/>
    <w:rsid w:val="00C625B4"/>
    <w:rsid w:val="00C62E95"/>
    <w:rsid w:val="00C6350D"/>
    <w:rsid w:val="00C6357D"/>
    <w:rsid w:val="00C638B9"/>
    <w:rsid w:val="00C63A97"/>
    <w:rsid w:val="00C63F4D"/>
    <w:rsid w:val="00C649C2"/>
    <w:rsid w:val="00C64A2B"/>
    <w:rsid w:val="00C64F4D"/>
    <w:rsid w:val="00C6521E"/>
    <w:rsid w:val="00C654A0"/>
    <w:rsid w:val="00C65A35"/>
    <w:rsid w:val="00C65BD4"/>
    <w:rsid w:val="00C65C36"/>
    <w:rsid w:val="00C65D1C"/>
    <w:rsid w:val="00C65E9E"/>
    <w:rsid w:val="00C65F9D"/>
    <w:rsid w:val="00C660DF"/>
    <w:rsid w:val="00C6624D"/>
    <w:rsid w:val="00C66553"/>
    <w:rsid w:val="00C6665E"/>
    <w:rsid w:val="00C66FB6"/>
    <w:rsid w:val="00C670A4"/>
    <w:rsid w:val="00C672CE"/>
    <w:rsid w:val="00C6754B"/>
    <w:rsid w:val="00C675FD"/>
    <w:rsid w:val="00C677FE"/>
    <w:rsid w:val="00C678A3"/>
    <w:rsid w:val="00C67B9A"/>
    <w:rsid w:val="00C67D31"/>
    <w:rsid w:val="00C67DA3"/>
    <w:rsid w:val="00C70150"/>
    <w:rsid w:val="00C701FB"/>
    <w:rsid w:val="00C709B7"/>
    <w:rsid w:val="00C70EF0"/>
    <w:rsid w:val="00C71951"/>
    <w:rsid w:val="00C71D40"/>
    <w:rsid w:val="00C72082"/>
    <w:rsid w:val="00C72474"/>
    <w:rsid w:val="00C727B9"/>
    <w:rsid w:val="00C72978"/>
    <w:rsid w:val="00C72B27"/>
    <w:rsid w:val="00C72D5E"/>
    <w:rsid w:val="00C72EB0"/>
    <w:rsid w:val="00C73144"/>
    <w:rsid w:val="00C73431"/>
    <w:rsid w:val="00C73536"/>
    <w:rsid w:val="00C73D77"/>
    <w:rsid w:val="00C73FE5"/>
    <w:rsid w:val="00C745CB"/>
    <w:rsid w:val="00C74AD2"/>
    <w:rsid w:val="00C74FDA"/>
    <w:rsid w:val="00C75071"/>
    <w:rsid w:val="00C7557E"/>
    <w:rsid w:val="00C759FD"/>
    <w:rsid w:val="00C75CCE"/>
    <w:rsid w:val="00C75E33"/>
    <w:rsid w:val="00C7618A"/>
    <w:rsid w:val="00C76864"/>
    <w:rsid w:val="00C768D8"/>
    <w:rsid w:val="00C76B2D"/>
    <w:rsid w:val="00C77160"/>
    <w:rsid w:val="00C7730E"/>
    <w:rsid w:val="00C775CF"/>
    <w:rsid w:val="00C77610"/>
    <w:rsid w:val="00C802D4"/>
    <w:rsid w:val="00C80328"/>
    <w:rsid w:val="00C80389"/>
    <w:rsid w:val="00C80887"/>
    <w:rsid w:val="00C80954"/>
    <w:rsid w:val="00C8099C"/>
    <w:rsid w:val="00C80F1B"/>
    <w:rsid w:val="00C81198"/>
    <w:rsid w:val="00C81B00"/>
    <w:rsid w:val="00C81BF7"/>
    <w:rsid w:val="00C82329"/>
    <w:rsid w:val="00C823D7"/>
    <w:rsid w:val="00C82563"/>
    <w:rsid w:val="00C8260C"/>
    <w:rsid w:val="00C8290D"/>
    <w:rsid w:val="00C82B80"/>
    <w:rsid w:val="00C82B96"/>
    <w:rsid w:val="00C82C99"/>
    <w:rsid w:val="00C82E31"/>
    <w:rsid w:val="00C82F43"/>
    <w:rsid w:val="00C830DF"/>
    <w:rsid w:val="00C8323F"/>
    <w:rsid w:val="00C8349A"/>
    <w:rsid w:val="00C834A0"/>
    <w:rsid w:val="00C8366C"/>
    <w:rsid w:val="00C836FF"/>
    <w:rsid w:val="00C83979"/>
    <w:rsid w:val="00C8399B"/>
    <w:rsid w:val="00C83D73"/>
    <w:rsid w:val="00C83FA3"/>
    <w:rsid w:val="00C84380"/>
    <w:rsid w:val="00C84D32"/>
    <w:rsid w:val="00C84DF1"/>
    <w:rsid w:val="00C8543E"/>
    <w:rsid w:val="00C85865"/>
    <w:rsid w:val="00C85D00"/>
    <w:rsid w:val="00C85EB7"/>
    <w:rsid w:val="00C863D3"/>
    <w:rsid w:val="00C86681"/>
    <w:rsid w:val="00C868F9"/>
    <w:rsid w:val="00C86B89"/>
    <w:rsid w:val="00C8725F"/>
    <w:rsid w:val="00C874A3"/>
    <w:rsid w:val="00C900FB"/>
    <w:rsid w:val="00C90111"/>
    <w:rsid w:val="00C904A8"/>
    <w:rsid w:val="00C9079D"/>
    <w:rsid w:val="00C90B5A"/>
    <w:rsid w:val="00C90B78"/>
    <w:rsid w:val="00C90C6C"/>
    <w:rsid w:val="00C91416"/>
    <w:rsid w:val="00C916DA"/>
    <w:rsid w:val="00C91BBE"/>
    <w:rsid w:val="00C91C0C"/>
    <w:rsid w:val="00C91D96"/>
    <w:rsid w:val="00C920C2"/>
    <w:rsid w:val="00C92306"/>
    <w:rsid w:val="00C924ED"/>
    <w:rsid w:val="00C9257F"/>
    <w:rsid w:val="00C92735"/>
    <w:rsid w:val="00C9288B"/>
    <w:rsid w:val="00C928A8"/>
    <w:rsid w:val="00C92BA4"/>
    <w:rsid w:val="00C92C0C"/>
    <w:rsid w:val="00C92E00"/>
    <w:rsid w:val="00C92F9C"/>
    <w:rsid w:val="00C93394"/>
    <w:rsid w:val="00C93E78"/>
    <w:rsid w:val="00C93E9D"/>
    <w:rsid w:val="00C9423F"/>
    <w:rsid w:val="00C943B2"/>
    <w:rsid w:val="00C9449A"/>
    <w:rsid w:val="00C945C0"/>
    <w:rsid w:val="00C946C8"/>
    <w:rsid w:val="00C94913"/>
    <w:rsid w:val="00C94CC3"/>
    <w:rsid w:val="00C9508B"/>
    <w:rsid w:val="00C952F2"/>
    <w:rsid w:val="00C954C3"/>
    <w:rsid w:val="00C9558E"/>
    <w:rsid w:val="00C95A6C"/>
    <w:rsid w:val="00C95B17"/>
    <w:rsid w:val="00C95C7E"/>
    <w:rsid w:val="00C95D6F"/>
    <w:rsid w:val="00C95EBD"/>
    <w:rsid w:val="00C960A8"/>
    <w:rsid w:val="00C96301"/>
    <w:rsid w:val="00C96499"/>
    <w:rsid w:val="00C96A1E"/>
    <w:rsid w:val="00C96DDE"/>
    <w:rsid w:val="00C97379"/>
    <w:rsid w:val="00C973D6"/>
    <w:rsid w:val="00C97456"/>
    <w:rsid w:val="00C9745D"/>
    <w:rsid w:val="00C976D4"/>
    <w:rsid w:val="00C9778A"/>
    <w:rsid w:val="00C97B6F"/>
    <w:rsid w:val="00C97E3C"/>
    <w:rsid w:val="00C97F85"/>
    <w:rsid w:val="00CA00A3"/>
    <w:rsid w:val="00CA0316"/>
    <w:rsid w:val="00CA0A42"/>
    <w:rsid w:val="00CA0AF3"/>
    <w:rsid w:val="00CA112C"/>
    <w:rsid w:val="00CA1971"/>
    <w:rsid w:val="00CA1BF1"/>
    <w:rsid w:val="00CA1EE8"/>
    <w:rsid w:val="00CA1FB8"/>
    <w:rsid w:val="00CA20E0"/>
    <w:rsid w:val="00CA2AAB"/>
    <w:rsid w:val="00CA2ADA"/>
    <w:rsid w:val="00CA2D15"/>
    <w:rsid w:val="00CA2E77"/>
    <w:rsid w:val="00CA334C"/>
    <w:rsid w:val="00CA38E7"/>
    <w:rsid w:val="00CA3BF7"/>
    <w:rsid w:val="00CA3E0C"/>
    <w:rsid w:val="00CA3E0F"/>
    <w:rsid w:val="00CA431B"/>
    <w:rsid w:val="00CA45C0"/>
    <w:rsid w:val="00CA4952"/>
    <w:rsid w:val="00CA4A27"/>
    <w:rsid w:val="00CA4B09"/>
    <w:rsid w:val="00CA4CBB"/>
    <w:rsid w:val="00CA4D03"/>
    <w:rsid w:val="00CA550A"/>
    <w:rsid w:val="00CA5EF7"/>
    <w:rsid w:val="00CA60FC"/>
    <w:rsid w:val="00CA627A"/>
    <w:rsid w:val="00CA64C4"/>
    <w:rsid w:val="00CA655B"/>
    <w:rsid w:val="00CA65FD"/>
    <w:rsid w:val="00CA676D"/>
    <w:rsid w:val="00CA694B"/>
    <w:rsid w:val="00CA6B2B"/>
    <w:rsid w:val="00CA6B6D"/>
    <w:rsid w:val="00CA6F73"/>
    <w:rsid w:val="00CA7334"/>
    <w:rsid w:val="00CA75D3"/>
    <w:rsid w:val="00CA7789"/>
    <w:rsid w:val="00CA7979"/>
    <w:rsid w:val="00CA7D88"/>
    <w:rsid w:val="00CA7E73"/>
    <w:rsid w:val="00CB0433"/>
    <w:rsid w:val="00CB0983"/>
    <w:rsid w:val="00CB09F1"/>
    <w:rsid w:val="00CB0D6D"/>
    <w:rsid w:val="00CB0E82"/>
    <w:rsid w:val="00CB0F77"/>
    <w:rsid w:val="00CB10B1"/>
    <w:rsid w:val="00CB12D7"/>
    <w:rsid w:val="00CB1333"/>
    <w:rsid w:val="00CB1591"/>
    <w:rsid w:val="00CB188C"/>
    <w:rsid w:val="00CB1B55"/>
    <w:rsid w:val="00CB2236"/>
    <w:rsid w:val="00CB2336"/>
    <w:rsid w:val="00CB23C8"/>
    <w:rsid w:val="00CB24B2"/>
    <w:rsid w:val="00CB2655"/>
    <w:rsid w:val="00CB2D67"/>
    <w:rsid w:val="00CB35C4"/>
    <w:rsid w:val="00CB3E9A"/>
    <w:rsid w:val="00CB3F09"/>
    <w:rsid w:val="00CB3FB8"/>
    <w:rsid w:val="00CB42F0"/>
    <w:rsid w:val="00CB43A5"/>
    <w:rsid w:val="00CB459F"/>
    <w:rsid w:val="00CB484C"/>
    <w:rsid w:val="00CB4A14"/>
    <w:rsid w:val="00CB4FF3"/>
    <w:rsid w:val="00CB503B"/>
    <w:rsid w:val="00CB53CB"/>
    <w:rsid w:val="00CB56CA"/>
    <w:rsid w:val="00CB58ED"/>
    <w:rsid w:val="00CB5A1A"/>
    <w:rsid w:val="00CB5B0F"/>
    <w:rsid w:val="00CB5E58"/>
    <w:rsid w:val="00CB655F"/>
    <w:rsid w:val="00CB72F7"/>
    <w:rsid w:val="00CB7439"/>
    <w:rsid w:val="00CB7BF2"/>
    <w:rsid w:val="00CB7CC1"/>
    <w:rsid w:val="00CB7E84"/>
    <w:rsid w:val="00CC00F9"/>
    <w:rsid w:val="00CC0229"/>
    <w:rsid w:val="00CC03B8"/>
    <w:rsid w:val="00CC04E7"/>
    <w:rsid w:val="00CC0888"/>
    <w:rsid w:val="00CC0D65"/>
    <w:rsid w:val="00CC0DBA"/>
    <w:rsid w:val="00CC0E3D"/>
    <w:rsid w:val="00CC16ED"/>
    <w:rsid w:val="00CC170C"/>
    <w:rsid w:val="00CC18B1"/>
    <w:rsid w:val="00CC18C3"/>
    <w:rsid w:val="00CC19F2"/>
    <w:rsid w:val="00CC1ABA"/>
    <w:rsid w:val="00CC1B20"/>
    <w:rsid w:val="00CC1E34"/>
    <w:rsid w:val="00CC1F2A"/>
    <w:rsid w:val="00CC254C"/>
    <w:rsid w:val="00CC26FA"/>
    <w:rsid w:val="00CC29A4"/>
    <w:rsid w:val="00CC2D59"/>
    <w:rsid w:val="00CC2D83"/>
    <w:rsid w:val="00CC30FA"/>
    <w:rsid w:val="00CC3906"/>
    <w:rsid w:val="00CC3E7E"/>
    <w:rsid w:val="00CC42E4"/>
    <w:rsid w:val="00CC4694"/>
    <w:rsid w:val="00CC46B0"/>
    <w:rsid w:val="00CC4778"/>
    <w:rsid w:val="00CC4866"/>
    <w:rsid w:val="00CC492C"/>
    <w:rsid w:val="00CC50E9"/>
    <w:rsid w:val="00CC52F2"/>
    <w:rsid w:val="00CC52FF"/>
    <w:rsid w:val="00CC5522"/>
    <w:rsid w:val="00CC55FB"/>
    <w:rsid w:val="00CC57BA"/>
    <w:rsid w:val="00CC581B"/>
    <w:rsid w:val="00CC5934"/>
    <w:rsid w:val="00CC5DDD"/>
    <w:rsid w:val="00CC61D4"/>
    <w:rsid w:val="00CC63EF"/>
    <w:rsid w:val="00CC66F0"/>
    <w:rsid w:val="00CC6AF5"/>
    <w:rsid w:val="00CC6E9D"/>
    <w:rsid w:val="00CC6EBA"/>
    <w:rsid w:val="00CC7754"/>
    <w:rsid w:val="00CC791D"/>
    <w:rsid w:val="00CC79DB"/>
    <w:rsid w:val="00CC7E02"/>
    <w:rsid w:val="00CC7F91"/>
    <w:rsid w:val="00CD04D9"/>
    <w:rsid w:val="00CD0969"/>
    <w:rsid w:val="00CD0D7A"/>
    <w:rsid w:val="00CD0EB1"/>
    <w:rsid w:val="00CD116A"/>
    <w:rsid w:val="00CD1269"/>
    <w:rsid w:val="00CD1748"/>
    <w:rsid w:val="00CD17A7"/>
    <w:rsid w:val="00CD1C1C"/>
    <w:rsid w:val="00CD1C93"/>
    <w:rsid w:val="00CD1F00"/>
    <w:rsid w:val="00CD21A4"/>
    <w:rsid w:val="00CD243A"/>
    <w:rsid w:val="00CD262C"/>
    <w:rsid w:val="00CD2B4D"/>
    <w:rsid w:val="00CD2E02"/>
    <w:rsid w:val="00CD2E87"/>
    <w:rsid w:val="00CD36BC"/>
    <w:rsid w:val="00CD3702"/>
    <w:rsid w:val="00CD428E"/>
    <w:rsid w:val="00CD4573"/>
    <w:rsid w:val="00CD46F0"/>
    <w:rsid w:val="00CD47D2"/>
    <w:rsid w:val="00CD48F3"/>
    <w:rsid w:val="00CD4F00"/>
    <w:rsid w:val="00CD5008"/>
    <w:rsid w:val="00CD50A3"/>
    <w:rsid w:val="00CD539E"/>
    <w:rsid w:val="00CD5545"/>
    <w:rsid w:val="00CD5813"/>
    <w:rsid w:val="00CD5EF2"/>
    <w:rsid w:val="00CD6362"/>
    <w:rsid w:val="00CD637C"/>
    <w:rsid w:val="00CD6872"/>
    <w:rsid w:val="00CD6BE3"/>
    <w:rsid w:val="00CD766A"/>
    <w:rsid w:val="00CD7832"/>
    <w:rsid w:val="00CD7BA3"/>
    <w:rsid w:val="00CE0281"/>
    <w:rsid w:val="00CE02A7"/>
    <w:rsid w:val="00CE02D3"/>
    <w:rsid w:val="00CE062A"/>
    <w:rsid w:val="00CE07B2"/>
    <w:rsid w:val="00CE09D2"/>
    <w:rsid w:val="00CE0E12"/>
    <w:rsid w:val="00CE101C"/>
    <w:rsid w:val="00CE1867"/>
    <w:rsid w:val="00CE1869"/>
    <w:rsid w:val="00CE1DCB"/>
    <w:rsid w:val="00CE208F"/>
    <w:rsid w:val="00CE228B"/>
    <w:rsid w:val="00CE25F7"/>
    <w:rsid w:val="00CE2887"/>
    <w:rsid w:val="00CE2A7B"/>
    <w:rsid w:val="00CE2BDA"/>
    <w:rsid w:val="00CE2D85"/>
    <w:rsid w:val="00CE338D"/>
    <w:rsid w:val="00CE35C8"/>
    <w:rsid w:val="00CE3A3C"/>
    <w:rsid w:val="00CE3AF4"/>
    <w:rsid w:val="00CE3E58"/>
    <w:rsid w:val="00CE3EB3"/>
    <w:rsid w:val="00CE440C"/>
    <w:rsid w:val="00CE44CD"/>
    <w:rsid w:val="00CE4555"/>
    <w:rsid w:val="00CE4869"/>
    <w:rsid w:val="00CE492B"/>
    <w:rsid w:val="00CE4C6C"/>
    <w:rsid w:val="00CE4D9E"/>
    <w:rsid w:val="00CE4F59"/>
    <w:rsid w:val="00CE50E0"/>
    <w:rsid w:val="00CE542D"/>
    <w:rsid w:val="00CE54AF"/>
    <w:rsid w:val="00CE56BA"/>
    <w:rsid w:val="00CE5B98"/>
    <w:rsid w:val="00CE5CDE"/>
    <w:rsid w:val="00CE5D46"/>
    <w:rsid w:val="00CE67C0"/>
    <w:rsid w:val="00CE680C"/>
    <w:rsid w:val="00CE716B"/>
    <w:rsid w:val="00CE736A"/>
    <w:rsid w:val="00CE778E"/>
    <w:rsid w:val="00CE78A8"/>
    <w:rsid w:val="00CE7BCA"/>
    <w:rsid w:val="00CE7CAE"/>
    <w:rsid w:val="00CE7D1B"/>
    <w:rsid w:val="00CE7DD3"/>
    <w:rsid w:val="00CE7FC8"/>
    <w:rsid w:val="00CF014F"/>
    <w:rsid w:val="00CF020A"/>
    <w:rsid w:val="00CF05EB"/>
    <w:rsid w:val="00CF082C"/>
    <w:rsid w:val="00CF0A4A"/>
    <w:rsid w:val="00CF0C1C"/>
    <w:rsid w:val="00CF0DBF"/>
    <w:rsid w:val="00CF0E07"/>
    <w:rsid w:val="00CF13DF"/>
    <w:rsid w:val="00CF17B2"/>
    <w:rsid w:val="00CF180F"/>
    <w:rsid w:val="00CF1971"/>
    <w:rsid w:val="00CF1AFB"/>
    <w:rsid w:val="00CF1B62"/>
    <w:rsid w:val="00CF1BF0"/>
    <w:rsid w:val="00CF1C17"/>
    <w:rsid w:val="00CF1F1A"/>
    <w:rsid w:val="00CF2481"/>
    <w:rsid w:val="00CF2587"/>
    <w:rsid w:val="00CF279D"/>
    <w:rsid w:val="00CF2A56"/>
    <w:rsid w:val="00CF2E79"/>
    <w:rsid w:val="00CF33E9"/>
    <w:rsid w:val="00CF3511"/>
    <w:rsid w:val="00CF3583"/>
    <w:rsid w:val="00CF35B6"/>
    <w:rsid w:val="00CF3BFF"/>
    <w:rsid w:val="00CF3CC6"/>
    <w:rsid w:val="00CF4138"/>
    <w:rsid w:val="00CF43EF"/>
    <w:rsid w:val="00CF43FB"/>
    <w:rsid w:val="00CF4700"/>
    <w:rsid w:val="00CF4989"/>
    <w:rsid w:val="00CF4D52"/>
    <w:rsid w:val="00CF4D5A"/>
    <w:rsid w:val="00CF57D9"/>
    <w:rsid w:val="00CF5833"/>
    <w:rsid w:val="00CF5863"/>
    <w:rsid w:val="00CF5F42"/>
    <w:rsid w:val="00CF60C8"/>
    <w:rsid w:val="00CF6301"/>
    <w:rsid w:val="00CF6A09"/>
    <w:rsid w:val="00CF6F1D"/>
    <w:rsid w:val="00CF7D53"/>
    <w:rsid w:val="00CF7ED0"/>
    <w:rsid w:val="00CF7FC0"/>
    <w:rsid w:val="00D0048F"/>
    <w:rsid w:val="00D00711"/>
    <w:rsid w:val="00D009C8"/>
    <w:rsid w:val="00D00B16"/>
    <w:rsid w:val="00D00BC3"/>
    <w:rsid w:val="00D00F20"/>
    <w:rsid w:val="00D0107D"/>
    <w:rsid w:val="00D01151"/>
    <w:rsid w:val="00D0135F"/>
    <w:rsid w:val="00D01AA7"/>
    <w:rsid w:val="00D0218E"/>
    <w:rsid w:val="00D0228A"/>
    <w:rsid w:val="00D02356"/>
    <w:rsid w:val="00D0248B"/>
    <w:rsid w:val="00D025B4"/>
    <w:rsid w:val="00D02807"/>
    <w:rsid w:val="00D02AE4"/>
    <w:rsid w:val="00D030C1"/>
    <w:rsid w:val="00D03105"/>
    <w:rsid w:val="00D0315F"/>
    <w:rsid w:val="00D035FA"/>
    <w:rsid w:val="00D03773"/>
    <w:rsid w:val="00D037F9"/>
    <w:rsid w:val="00D03892"/>
    <w:rsid w:val="00D03D71"/>
    <w:rsid w:val="00D043B1"/>
    <w:rsid w:val="00D043D5"/>
    <w:rsid w:val="00D04508"/>
    <w:rsid w:val="00D047B3"/>
    <w:rsid w:val="00D048C0"/>
    <w:rsid w:val="00D049AE"/>
    <w:rsid w:val="00D04A8E"/>
    <w:rsid w:val="00D04E6F"/>
    <w:rsid w:val="00D04F26"/>
    <w:rsid w:val="00D0506A"/>
    <w:rsid w:val="00D054DB"/>
    <w:rsid w:val="00D05522"/>
    <w:rsid w:val="00D055C4"/>
    <w:rsid w:val="00D05761"/>
    <w:rsid w:val="00D05D90"/>
    <w:rsid w:val="00D0610B"/>
    <w:rsid w:val="00D0682B"/>
    <w:rsid w:val="00D068B0"/>
    <w:rsid w:val="00D06A29"/>
    <w:rsid w:val="00D06C74"/>
    <w:rsid w:val="00D07468"/>
    <w:rsid w:val="00D077A3"/>
    <w:rsid w:val="00D0799C"/>
    <w:rsid w:val="00D07C58"/>
    <w:rsid w:val="00D103BC"/>
    <w:rsid w:val="00D1072C"/>
    <w:rsid w:val="00D108B1"/>
    <w:rsid w:val="00D10A27"/>
    <w:rsid w:val="00D10D8D"/>
    <w:rsid w:val="00D1168C"/>
    <w:rsid w:val="00D11CC9"/>
    <w:rsid w:val="00D11FB3"/>
    <w:rsid w:val="00D12515"/>
    <w:rsid w:val="00D1281C"/>
    <w:rsid w:val="00D12950"/>
    <w:rsid w:val="00D12AED"/>
    <w:rsid w:val="00D1312C"/>
    <w:rsid w:val="00D1314C"/>
    <w:rsid w:val="00D134F3"/>
    <w:rsid w:val="00D134F4"/>
    <w:rsid w:val="00D13804"/>
    <w:rsid w:val="00D14342"/>
    <w:rsid w:val="00D145A4"/>
    <w:rsid w:val="00D14628"/>
    <w:rsid w:val="00D1478B"/>
    <w:rsid w:val="00D148C2"/>
    <w:rsid w:val="00D14A3F"/>
    <w:rsid w:val="00D14F0F"/>
    <w:rsid w:val="00D15391"/>
    <w:rsid w:val="00D15557"/>
    <w:rsid w:val="00D159BA"/>
    <w:rsid w:val="00D15A3C"/>
    <w:rsid w:val="00D15D54"/>
    <w:rsid w:val="00D1603D"/>
    <w:rsid w:val="00D160A4"/>
    <w:rsid w:val="00D16563"/>
    <w:rsid w:val="00D1664C"/>
    <w:rsid w:val="00D16822"/>
    <w:rsid w:val="00D169D7"/>
    <w:rsid w:val="00D16B58"/>
    <w:rsid w:val="00D16BED"/>
    <w:rsid w:val="00D17237"/>
    <w:rsid w:val="00D17775"/>
    <w:rsid w:val="00D17A5C"/>
    <w:rsid w:val="00D17B9C"/>
    <w:rsid w:val="00D20015"/>
    <w:rsid w:val="00D20814"/>
    <w:rsid w:val="00D20C67"/>
    <w:rsid w:val="00D20ECF"/>
    <w:rsid w:val="00D210F0"/>
    <w:rsid w:val="00D21555"/>
    <w:rsid w:val="00D2167C"/>
    <w:rsid w:val="00D217CB"/>
    <w:rsid w:val="00D21E32"/>
    <w:rsid w:val="00D22271"/>
    <w:rsid w:val="00D2230E"/>
    <w:rsid w:val="00D2237E"/>
    <w:rsid w:val="00D225AB"/>
    <w:rsid w:val="00D2288A"/>
    <w:rsid w:val="00D22BD8"/>
    <w:rsid w:val="00D22C54"/>
    <w:rsid w:val="00D22DB0"/>
    <w:rsid w:val="00D22DB3"/>
    <w:rsid w:val="00D235E3"/>
    <w:rsid w:val="00D23662"/>
    <w:rsid w:val="00D23712"/>
    <w:rsid w:val="00D23E3A"/>
    <w:rsid w:val="00D24472"/>
    <w:rsid w:val="00D24498"/>
    <w:rsid w:val="00D24699"/>
    <w:rsid w:val="00D24858"/>
    <w:rsid w:val="00D24FE4"/>
    <w:rsid w:val="00D253C1"/>
    <w:rsid w:val="00D2557F"/>
    <w:rsid w:val="00D257A0"/>
    <w:rsid w:val="00D25A76"/>
    <w:rsid w:val="00D25ED9"/>
    <w:rsid w:val="00D2602D"/>
    <w:rsid w:val="00D261D4"/>
    <w:rsid w:val="00D262D8"/>
    <w:rsid w:val="00D26B23"/>
    <w:rsid w:val="00D26B86"/>
    <w:rsid w:val="00D26CBE"/>
    <w:rsid w:val="00D271A8"/>
    <w:rsid w:val="00D2734F"/>
    <w:rsid w:val="00D274A2"/>
    <w:rsid w:val="00D27D66"/>
    <w:rsid w:val="00D27DA4"/>
    <w:rsid w:val="00D30403"/>
    <w:rsid w:val="00D30787"/>
    <w:rsid w:val="00D308A8"/>
    <w:rsid w:val="00D310DD"/>
    <w:rsid w:val="00D31353"/>
    <w:rsid w:val="00D3145E"/>
    <w:rsid w:val="00D316FA"/>
    <w:rsid w:val="00D31AB4"/>
    <w:rsid w:val="00D31C78"/>
    <w:rsid w:val="00D320D8"/>
    <w:rsid w:val="00D3218B"/>
    <w:rsid w:val="00D32528"/>
    <w:rsid w:val="00D325A0"/>
    <w:rsid w:val="00D325BD"/>
    <w:rsid w:val="00D329FB"/>
    <w:rsid w:val="00D32AE9"/>
    <w:rsid w:val="00D32C8D"/>
    <w:rsid w:val="00D32DC9"/>
    <w:rsid w:val="00D32E94"/>
    <w:rsid w:val="00D331AE"/>
    <w:rsid w:val="00D335F3"/>
    <w:rsid w:val="00D33BFD"/>
    <w:rsid w:val="00D33EB6"/>
    <w:rsid w:val="00D33F4F"/>
    <w:rsid w:val="00D345CD"/>
    <w:rsid w:val="00D34643"/>
    <w:rsid w:val="00D34685"/>
    <w:rsid w:val="00D34712"/>
    <w:rsid w:val="00D3486A"/>
    <w:rsid w:val="00D349B5"/>
    <w:rsid w:val="00D34B6E"/>
    <w:rsid w:val="00D34BBE"/>
    <w:rsid w:val="00D34CD4"/>
    <w:rsid w:val="00D34DF6"/>
    <w:rsid w:val="00D35080"/>
    <w:rsid w:val="00D35165"/>
    <w:rsid w:val="00D35307"/>
    <w:rsid w:val="00D35335"/>
    <w:rsid w:val="00D3572B"/>
    <w:rsid w:val="00D35748"/>
    <w:rsid w:val="00D35C3B"/>
    <w:rsid w:val="00D35E12"/>
    <w:rsid w:val="00D35E27"/>
    <w:rsid w:val="00D3606C"/>
    <w:rsid w:val="00D365A5"/>
    <w:rsid w:val="00D365F3"/>
    <w:rsid w:val="00D36AA2"/>
    <w:rsid w:val="00D36ECB"/>
    <w:rsid w:val="00D37233"/>
    <w:rsid w:val="00D3768E"/>
    <w:rsid w:val="00D37753"/>
    <w:rsid w:val="00D378E7"/>
    <w:rsid w:val="00D378FE"/>
    <w:rsid w:val="00D37B7E"/>
    <w:rsid w:val="00D37DF9"/>
    <w:rsid w:val="00D40056"/>
    <w:rsid w:val="00D40326"/>
    <w:rsid w:val="00D404BA"/>
    <w:rsid w:val="00D408CC"/>
    <w:rsid w:val="00D40CE1"/>
    <w:rsid w:val="00D40D6F"/>
    <w:rsid w:val="00D40EB9"/>
    <w:rsid w:val="00D412C9"/>
    <w:rsid w:val="00D4193C"/>
    <w:rsid w:val="00D41951"/>
    <w:rsid w:val="00D41BD7"/>
    <w:rsid w:val="00D42272"/>
    <w:rsid w:val="00D4241E"/>
    <w:rsid w:val="00D42744"/>
    <w:rsid w:val="00D4278B"/>
    <w:rsid w:val="00D428B7"/>
    <w:rsid w:val="00D42DD9"/>
    <w:rsid w:val="00D42F2F"/>
    <w:rsid w:val="00D4307C"/>
    <w:rsid w:val="00D43DA4"/>
    <w:rsid w:val="00D440EA"/>
    <w:rsid w:val="00D44503"/>
    <w:rsid w:val="00D4453A"/>
    <w:rsid w:val="00D44EA0"/>
    <w:rsid w:val="00D44F95"/>
    <w:rsid w:val="00D45330"/>
    <w:rsid w:val="00D45424"/>
    <w:rsid w:val="00D45832"/>
    <w:rsid w:val="00D45B23"/>
    <w:rsid w:val="00D45BDD"/>
    <w:rsid w:val="00D45CE3"/>
    <w:rsid w:val="00D45DAE"/>
    <w:rsid w:val="00D460CF"/>
    <w:rsid w:val="00D46167"/>
    <w:rsid w:val="00D46533"/>
    <w:rsid w:val="00D465F9"/>
    <w:rsid w:val="00D468D3"/>
    <w:rsid w:val="00D46AF5"/>
    <w:rsid w:val="00D46DD5"/>
    <w:rsid w:val="00D46DD8"/>
    <w:rsid w:val="00D4713C"/>
    <w:rsid w:val="00D471B3"/>
    <w:rsid w:val="00D471FD"/>
    <w:rsid w:val="00D4737D"/>
    <w:rsid w:val="00D47433"/>
    <w:rsid w:val="00D4753C"/>
    <w:rsid w:val="00D4763E"/>
    <w:rsid w:val="00D477C3"/>
    <w:rsid w:val="00D47BCC"/>
    <w:rsid w:val="00D47C41"/>
    <w:rsid w:val="00D47D3B"/>
    <w:rsid w:val="00D50005"/>
    <w:rsid w:val="00D501C0"/>
    <w:rsid w:val="00D501C8"/>
    <w:rsid w:val="00D507DB"/>
    <w:rsid w:val="00D508E4"/>
    <w:rsid w:val="00D50AB2"/>
    <w:rsid w:val="00D50CE8"/>
    <w:rsid w:val="00D50F17"/>
    <w:rsid w:val="00D50F1C"/>
    <w:rsid w:val="00D5106F"/>
    <w:rsid w:val="00D516BD"/>
    <w:rsid w:val="00D516D9"/>
    <w:rsid w:val="00D516ED"/>
    <w:rsid w:val="00D51A6D"/>
    <w:rsid w:val="00D52770"/>
    <w:rsid w:val="00D52864"/>
    <w:rsid w:val="00D52968"/>
    <w:rsid w:val="00D52E9F"/>
    <w:rsid w:val="00D530A0"/>
    <w:rsid w:val="00D535ED"/>
    <w:rsid w:val="00D53640"/>
    <w:rsid w:val="00D536E6"/>
    <w:rsid w:val="00D53821"/>
    <w:rsid w:val="00D53A01"/>
    <w:rsid w:val="00D53EFE"/>
    <w:rsid w:val="00D53F33"/>
    <w:rsid w:val="00D5465C"/>
    <w:rsid w:val="00D546CA"/>
    <w:rsid w:val="00D546EA"/>
    <w:rsid w:val="00D5498E"/>
    <w:rsid w:val="00D54B7F"/>
    <w:rsid w:val="00D54BC2"/>
    <w:rsid w:val="00D54F7F"/>
    <w:rsid w:val="00D54FFE"/>
    <w:rsid w:val="00D55193"/>
    <w:rsid w:val="00D55381"/>
    <w:rsid w:val="00D55B17"/>
    <w:rsid w:val="00D55BAF"/>
    <w:rsid w:val="00D55D6D"/>
    <w:rsid w:val="00D560FE"/>
    <w:rsid w:val="00D56251"/>
    <w:rsid w:val="00D56537"/>
    <w:rsid w:val="00D5662F"/>
    <w:rsid w:val="00D568A7"/>
    <w:rsid w:val="00D568F6"/>
    <w:rsid w:val="00D572C6"/>
    <w:rsid w:val="00D5742C"/>
    <w:rsid w:val="00D5754F"/>
    <w:rsid w:val="00D57793"/>
    <w:rsid w:val="00D579BE"/>
    <w:rsid w:val="00D57A2D"/>
    <w:rsid w:val="00D57A44"/>
    <w:rsid w:val="00D57CB8"/>
    <w:rsid w:val="00D6045F"/>
    <w:rsid w:val="00D6052B"/>
    <w:rsid w:val="00D605A2"/>
    <w:rsid w:val="00D60632"/>
    <w:rsid w:val="00D608C1"/>
    <w:rsid w:val="00D6098B"/>
    <w:rsid w:val="00D60AE3"/>
    <w:rsid w:val="00D61C24"/>
    <w:rsid w:val="00D61CDB"/>
    <w:rsid w:val="00D61EAA"/>
    <w:rsid w:val="00D6200D"/>
    <w:rsid w:val="00D622AE"/>
    <w:rsid w:val="00D6236F"/>
    <w:rsid w:val="00D62AF4"/>
    <w:rsid w:val="00D62BB2"/>
    <w:rsid w:val="00D62BDD"/>
    <w:rsid w:val="00D6310E"/>
    <w:rsid w:val="00D63551"/>
    <w:rsid w:val="00D636EC"/>
    <w:rsid w:val="00D63A71"/>
    <w:rsid w:val="00D63D80"/>
    <w:rsid w:val="00D63DD2"/>
    <w:rsid w:val="00D63E91"/>
    <w:rsid w:val="00D64043"/>
    <w:rsid w:val="00D642A4"/>
    <w:rsid w:val="00D64324"/>
    <w:rsid w:val="00D64492"/>
    <w:rsid w:val="00D64572"/>
    <w:rsid w:val="00D645BD"/>
    <w:rsid w:val="00D645ED"/>
    <w:rsid w:val="00D64719"/>
    <w:rsid w:val="00D64AA6"/>
    <w:rsid w:val="00D64C3D"/>
    <w:rsid w:val="00D64D93"/>
    <w:rsid w:val="00D650CF"/>
    <w:rsid w:val="00D65179"/>
    <w:rsid w:val="00D654E8"/>
    <w:rsid w:val="00D655B0"/>
    <w:rsid w:val="00D6564B"/>
    <w:rsid w:val="00D657FA"/>
    <w:rsid w:val="00D65B36"/>
    <w:rsid w:val="00D65C90"/>
    <w:rsid w:val="00D65CE3"/>
    <w:rsid w:val="00D65E0C"/>
    <w:rsid w:val="00D664CD"/>
    <w:rsid w:val="00D66725"/>
    <w:rsid w:val="00D66843"/>
    <w:rsid w:val="00D668DD"/>
    <w:rsid w:val="00D66A7C"/>
    <w:rsid w:val="00D66C4D"/>
    <w:rsid w:val="00D677EC"/>
    <w:rsid w:val="00D67C7D"/>
    <w:rsid w:val="00D70062"/>
    <w:rsid w:val="00D7041E"/>
    <w:rsid w:val="00D704E9"/>
    <w:rsid w:val="00D70608"/>
    <w:rsid w:val="00D7064B"/>
    <w:rsid w:val="00D706E2"/>
    <w:rsid w:val="00D7070B"/>
    <w:rsid w:val="00D70A68"/>
    <w:rsid w:val="00D70B70"/>
    <w:rsid w:val="00D71B2C"/>
    <w:rsid w:val="00D71D19"/>
    <w:rsid w:val="00D7203A"/>
    <w:rsid w:val="00D72309"/>
    <w:rsid w:val="00D72782"/>
    <w:rsid w:val="00D72B3A"/>
    <w:rsid w:val="00D72BD5"/>
    <w:rsid w:val="00D72CF9"/>
    <w:rsid w:val="00D72DFD"/>
    <w:rsid w:val="00D73044"/>
    <w:rsid w:val="00D730F3"/>
    <w:rsid w:val="00D73151"/>
    <w:rsid w:val="00D7318E"/>
    <w:rsid w:val="00D731D5"/>
    <w:rsid w:val="00D73287"/>
    <w:rsid w:val="00D734F3"/>
    <w:rsid w:val="00D7373A"/>
    <w:rsid w:val="00D739D0"/>
    <w:rsid w:val="00D74257"/>
    <w:rsid w:val="00D74581"/>
    <w:rsid w:val="00D74651"/>
    <w:rsid w:val="00D746CC"/>
    <w:rsid w:val="00D747E9"/>
    <w:rsid w:val="00D74A56"/>
    <w:rsid w:val="00D74C94"/>
    <w:rsid w:val="00D7503F"/>
    <w:rsid w:val="00D751FA"/>
    <w:rsid w:val="00D755E1"/>
    <w:rsid w:val="00D758A3"/>
    <w:rsid w:val="00D758CD"/>
    <w:rsid w:val="00D75BEE"/>
    <w:rsid w:val="00D7630D"/>
    <w:rsid w:val="00D76489"/>
    <w:rsid w:val="00D7655B"/>
    <w:rsid w:val="00D768B9"/>
    <w:rsid w:val="00D76D83"/>
    <w:rsid w:val="00D76DA5"/>
    <w:rsid w:val="00D76EFF"/>
    <w:rsid w:val="00D76F85"/>
    <w:rsid w:val="00D779BB"/>
    <w:rsid w:val="00D77DC9"/>
    <w:rsid w:val="00D77F0E"/>
    <w:rsid w:val="00D800B7"/>
    <w:rsid w:val="00D80120"/>
    <w:rsid w:val="00D801BA"/>
    <w:rsid w:val="00D8028D"/>
    <w:rsid w:val="00D804C8"/>
    <w:rsid w:val="00D8092A"/>
    <w:rsid w:val="00D8098D"/>
    <w:rsid w:val="00D80D63"/>
    <w:rsid w:val="00D81085"/>
    <w:rsid w:val="00D81340"/>
    <w:rsid w:val="00D8141F"/>
    <w:rsid w:val="00D816CC"/>
    <w:rsid w:val="00D8171A"/>
    <w:rsid w:val="00D81B21"/>
    <w:rsid w:val="00D81CE8"/>
    <w:rsid w:val="00D8205B"/>
    <w:rsid w:val="00D82118"/>
    <w:rsid w:val="00D822C8"/>
    <w:rsid w:val="00D826F7"/>
    <w:rsid w:val="00D82830"/>
    <w:rsid w:val="00D82995"/>
    <w:rsid w:val="00D82A32"/>
    <w:rsid w:val="00D82F7C"/>
    <w:rsid w:val="00D837F9"/>
    <w:rsid w:val="00D83D75"/>
    <w:rsid w:val="00D83EDA"/>
    <w:rsid w:val="00D83F03"/>
    <w:rsid w:val="00D83FF3"/>
    <w:rsid w:val="00D84234"/>
    <w:rsid w:val="00D84240"/>
    <w:rsid w:val="00D844AE"/>
    <w:rsid w:val="00D847F2"/>
    <w:rsid w:val="00D84AD0"/>
    <w:rsid w:val="00D84BCA"/>
    <w:rsid w:val="00D84C1B"/>
    <w:rsid w:val="00D84C1C"/>
    <w:rsid w:val="00D84D0F"/>
    <w:rsid w:val="00D84DF1"/>
    <w:rsid w:val="00D84F6F"/>
    <w:rsid w:val="00D84FDA"/>
    <w:rsid w:val="00D85635"/>
    <w:rsid w:val="00D8593C"/>
    <w:rsid w:val="00D85A99"/>
    <w:rsid w:val="00D86016"/>
    <w:rsid w:val="00D86848"/>
    <w:rsid w:val="00D869D7"/>
    <w:rsid w:val="00D869D9"/>
    <w:rsid w:val="00D86C1C"/>
    <w:rsid w:val="00D86D1B"/>
    <w:rsid w:val="00D870A7"/>
    <w:rsid w:val="00D870F2"/>
    <w:rsid w:val="00D87237"/>
    <w:rsid w:val="00D877F3"/>
    <w:rsid w:val="00D87A3E"/>
    <w:rsid w:val="00D87D66"/>
    <w:rsid w:val="00D90316"/>
    <w:rsid w:val="00D905E6"/>
    <w:rsid w:val="00D9067F"/>
    <w:rsid w:val="00D9077A"/>
    <w:rsid w:val="00D90A18"/>
    <w:rsid w:val="00D90ABC"/>
    <w:rsid w:val="00D90F96"/>
    <w:rsid w:val="00D9157E"/>
    <w:rsid w:val="00D915A2"/>
    <w:rsid w:val="00D91822"/>
    <w:rsid w:val="00D91B01"/>
    <w:rsid w:val="00D91DD7"/>
    <w:rsid w:val="00D91EF4"/>
    <w:rsid w:val="00D91F3C"/>
    <w:rsid w:val="00D92257"/>
    <w:rsid w:val="00D922B9"/>
    <w:rsid w:val="00D92577"/>
    <w:rsid w:val="00D93936"/>
    <w:rsid w:val="00D93C4E"/>
    <w:rsid w:val="00D93D28"/>
    <w:rsid w:val="00D9423D"/>
    <w:rsid w:val="00D945B3"/>
    <w:rsid w:val="00D946B9"/>
    <w:rsid w:val="00D949BB"/>
    <w:rsid w:val="00D94E45"/>
    <w:rsid w:val="00D9548B"/>
    <w:rsid w:val="00D9555D"/>
    <w:rsid w:val="00D955F1"/>
    <w:rsid w:val="00D95699"/>
    <w:rsid w:val="00D956C0"/>
    <w:rsid w:val="00D957E3"/>
    <w:rsid w:val="00D95C39"/>
    <w:rsid w:val="00D95C40"/>
    <w:rsid w:val="00D95D00"/>
    <w:rsid w:val="00D95E60"/>
    <w:rsid w:val="00D96125"/>
    <w:rsid w:val="00D96149"/>
    <w:rsid w:val="00D9634D"/>
    <w:rsid w:val="00D96A74"/>
    <w:rsid w:val="00D96C84"/>
    <w:rsid w:val="00D96C9B"/>
    <w:rsid w:val="00D9722B"/>
    <w:rsid w:val="00D97362"/>
    <w:rsid w:val="00D97527"/>
    <w:rsid w:val="00D979DD"/>
    <w:rsid w:val="00D97F5C"/>
    <w:rsid w:val="00DA0094"/>
    <w:rsid w:val="00DA0147"/>
    <w:rsid w:val="00DA0482"/>
    <w:rsid w:val="00DA0CA3"/>
    <w:rsid w:val="00DA0CD7"/>
    <w:rsid w:val="00DA0D96"/>
    <w:rsid w:val="00DA0F6D"/>
    <w:rsid w:val="00DA1733"/>
    <w:rsid w:val="00DA1874"/>
    <w:rsid w:val="00DA18F2"/>
    <w:rsid w:val="00DA1B14"/>
    <w:rsid w:val="00DA1BAD"/>
    <w:rsid w:val="00DA1D61"/>
    <w:rsid w:val="00DA21CE"/>
    <w:rsid w:val="00DA2819"/>
    <w:rsid w:val="00DA2B82"/>
    <w:rsid w:val="00DA2B94"/>
    <w:rsid w:val="00DA2E9E"/>
    <w:rsid w:val="00DA33BA"/>
    <w:rsid w:val="00DA3503"/>
    <w:rsid w:val="00DA39C2"/>
    <w:rsid w:val="00DA3DB1"/>
    <w:rsid w:val="00DA419E"/>
    <w:rsid w:val="00DA42A1"/>
    <w:rsid w:val="00DA455B"/>
    <w:rsid w:val="00DA48E2"/>
    <w:rsid w:val="00DA49CA"/>
    <w:rsid w:val="00DA4D08"/>
    <w:rsid w:val="00DA504C"/>
    <w:rsid w:val="00DA5151"/>
    <w:rsid w:val="00DA53A3"/>
    <w:rsid w:val="00DA53FB"/>
    <w:rsid w:val="00DA568B"/>
    <w:rsid w:val="00DA56F9"/>
    <w:rsid w:val="00DA57B5"/>
    <w:rsid w:val="00DA5898"/>
    <w:rsid w:val="00DA611B"/>
    <w:rsid w:val="00DA624E"/>
    <w:rsid w:val="00DA66B4"/>
    <w:rsid w:val="00DA66CF"/>
    <w:rsid w:val="00DA67F8"/>
    <w:rsid w:val="00DA6CB2"/>
    <w:rsid w:val="00DA6CDC"/>
    <w:rsid w:val="00DA6DD8"/>
    <w:rsid w:val="00DA6E3D"/>
    <w:rsid w:val="00DA718E"/>
    <w:rsid w:val="00DA73F5"/>
    <w:rsid w:val="00DA7524"/>
    <w:rsid w:val="00DA757A"/>
    <w:rsid w:val="00DA7A5A"/>
    <w:rsid w:val="00DA7BEE"/>
    <w:rsid w:val="00DA7C2E"/>
    <w:rsid w:val="00DA7D25"/>
    <w:rsid w:val="00DA7E62"/>
    <w:rsid w:val="00DB0384"/>
    <w:rsid w:val="00DB0473"/>
    <w:rsid w:val="00DB0C4B"/>
    <w:rsid w:val="00DB0E15"/>
    <w:rsid w:val="00DB0E9C"/>
    <w:rsid w:val="00DB0EB3"/>
    <w:rsid w:val="00DB0EE3"/>
    <w:rsid w:val="00DB0F6D"/>
    <w:rsid w:val="00DB16DF"/>
    <w:rsid w:val="00DB181A"/>
    <w:rsid w:val="00DB19B9"/>
    <w:rsid w:val="00DB1BB5"/>
    <w:rsid w:val="00DB25BD"/>
    <w:rsid w:val="00DB2925"/>
    <w:rsid w:val="00DB2956"/>
    <w:rsid w:val="00DB2BE4"/>
    <w:rsid w:val="00DB2DFC"/>
    <w:rsid w:val="00DB2EED"/>
    <w:rsid w:val="00DB301F"/>
    <w:rsid w:val="00DB3105"/>
    <w:rsid w:val="00DB39D4"/>
    <w:rsid w:val="00DB3A9C"/>
    <w:rsid w:val="00DB3B0C"/>
    <w:rsid w:val="00DB3C6D"/>
    <w:rsid w:val="00DB4040"/>
    <w:rsid w:val="00DB4570"/>
    <w:rsid w:val="00DB4755"/>
    <w:rsid w:val="00DB4875"/>
    <w:rsid w:val="00DB4931"/>
    <w:rsid w:val="00DB4BF9"/>
    <w:rsid w:val="00DB4CA8"/>
    <w:rsid w:val="00DB5147"/>
    <w:rsid w:val="00DB5244"/>
    <w:rsid w:val="00DB56CE"/>
    <w:rsid w:val="00DB5A57"/>
    <w:rsid w:val="00DB5C0C"/>
    <w:rsid w:val="00DB5C14"/>
    <w:rsid w:val="00DB5DE5"/>
    <w:rsid w:val="00DB5EE2"/>
    <w:rsid w:val="00DB5FFC"/>
    <w:rsid w:val="00DB61D2"/>
    <w:rsid w:val="00DB667C"/>
    <w:rsid w:val="00DB6714"/>
    <w:rsid w:val="00DB6809"/>
    <w:rsid w:val="00DB6976"/>
    <w:rsid w:val="00DB7185"/>
    <w:rsid w:val="00DB7393"/>
    <w:rsid w:val="00DB7C6C"/>
    <w:rsid w:val="00DC041D"/>
    <w:rsid w:val="00DC0B2D"/>
    <w:rsid w:val="00DC1006"/>
    <w:rsid w:val="00DC1013"/>
    <w:rsid w:val="00DC10DC"/>
    <w:rsid w:val="00DC1131"/>
    <w:rsid w:val="00DC145B"/>
    <w:rsid w:val="00DC15F3"/>
    <w:rsid w:val="00DC19EB"/>
    <w:rsid w:val="00DC1A29"/>
    <w:rsid w:val="00DC1EF4"/>
    <w:rsid w:val="00DC21F0"/>
    <w:rsid w:val="00DC22B2"/>
    <w:rsid w:val="00DC2637"/>
    <w:rsid w:val="00DC2B95"/>
    <w:rsid w:val="00DC2FA2"/>
    <w:rsid w:val="00DC358B"/>
    <w:rsid w:val="00DC368B"/>
    <w:rsid w:val="00DC3856"/>
    <w:rsid w:val="00DC3BEC"/>
    <w:rsid w:val="00DC460F"/>
    <w:rsid w:val="00DC4A82"/>
    <w:rsid w:val="00DC4D04"/>
    <w:rsid w:val="00DC522D"/>
    <w:rsid w:val="00DC52CB"/>
    <w:rsid w:val="00DC547A"/>
    <w:rsid w:val="00DC6158"/>
    <w:rsid w:val="00DC6211"/>
    <w:rsid w:val="00DC634E"/>
    <w:rsid w:val="00DC64A6"/>
    <w:rsid w:val="00DC6802"/>
    <w:rsid w:val="00DC68F6"/>
    <w:rsid w:val="00DC69C7"/>
    <w:rsid w:val="00DC69F5"/>
    <w:rsid w:val="00DC7040"/>
    <w:rsid w:val="00DC71D9"/>
    <w:rsid w:val="00DC7288"/>
    <w:rsid w:val="00DC7301"/>
    <w:rsid w:val="00DC74C2"/>
    <w:rsid w:val="00DC7853"/>
    <w:rsid w:val="00DC7C28"/>
    <w:rsid w:val="00DC7D7F"/>
    <w:rsid w:val="00DD00EC"/>
    <w:rsid w:val="00DD02D3"/>
    <w:rsid w:val="00DD06C4"/>
    <w:rsid w:val="00DD0C84"/>
    <w:rsid w:val="00DD0F76"/>
    <w:rsid w:val="00DD10B7"/>
    <w:rsid w:val="00DD189D"/>
    <w:rsid w:val="00DD1C57"/>
    <w:rsid w:val="00DD1D56"/>
    <w:rsid w:val="00DD1E20"/>
    <w:rsid w:val="00DD2984"/>
    <w:rsid w:val="00DD29B4"/>
    <w:rsid w:val="00DD2A29"/>
    <w:rsid w:val="00DD2E65"/>
    <w:rsid w:val="00DD36A9"/>
    <w:rsid w:val="00DD3CD0"/>
    <w:rsid w:val="00DD3D7B"/>
    <w:rsid w:val="00DD41C6"/>
    <w:rsid w:val="00DD4D0D"/>
    <w:rsid w:val="00DD4D70"/>
    <w:rsid w:val="00DD53F6"/>
    <w:rsid w:val="00DD543D"/>
    <w:rsid w:val="00DD552C"/>
    <w:rsid w:val="00DD576D"/>
    <w:rsid w:val="00DD59D8"/>
    <w:rsid w:val="00DD5C1B"/>
    <w:rsid w:val="00DD5DBC"/>
    <w:rsid w:val="00DD6043"/>
    <w:rsid w:val="00DD6D03"/>
    <w:rsid w:val="00DD6E09"/>
    <w:rsid w:val="00DD7461"/>
    <w:rsid w:val="00DD7477"/>
    <w:rsid w:val="00DD782D"/>
    <w:rsid w:val="00DD7AED"/>
    <w:rsid w:val="00DE0045"/>
    <w:rsid w:val="00DE0354"/>
    <w:rsid w:val="00DE0592"/>
    <w:rsid w:val="00DE06DC"/>
    <w:rsid w:val="00DE0852"/>
    <w:rsid w:val="00DE096C"/>
    <w:rsid w:val="00DE0B86"/>
    <w:rsid w:val="00DE0FCB"/>
    <w:rsid w:val="00DE11E4"/>
    <w:rsid w:val="00DE14C9"/>
    <w:rsid w:val="00DE17CB"/>
    <w:rsid w:val="00DE181C"/>
    <w:rsid w:val="00DE191F"/>
    <w:rsid w:val="00DE1F7F"/>
    <w:rsid w:val="00DE26B0"/>
    <w:rsid w:val="00DE2733"/>
    <w:rsid w:val="00DE27C7"/>
    <w:rsid w:val="00DE2849"/>
    <w:rsid w:val="00DE2A5D"/>
    <w:rsid w:val="00DE2E02"/>
    <w:rsid w:val="00DE2E33"/>
    <w:rsid w:val="00DE3324"/>
    <w:rsid w:val="00DE344C"/>
    <w:rsid w:val="00DE34B7"/>
    <w:rsid w:val="00DE3A27"/>
    <w:rsid w:val="00DE3C99"/>
    <w:rsid w:val="00DE3D14"/>
    <w:rsid w:val="00DE3DC4"/>
    <w:rsid w:val="00DE4073"/>
    <w:rsid w:val="00DE429B"/>
    <w:rsid w:val="00DE443B"/>
    <w:rsid w:val="00DE4902"/>
    <w:rsid w:val="00DE4A06"/>
    <w:rsid w:val="00DE4A44"/>
    <w:rsid w:val="00DE5203"/>
    <w:rsid w:val="00DE53C8"/>
    <w:rsid w:val="00DE543E"/>
    <w:rsid w:val="00DE5999"/>
    <w:rsid w:val="00DE60E3"/>
    <w:rsid w:val="00DE67F0"/>
    <w:rsid w:val="00DE6B67"/>
    <w:rsid w:val="00DE6B73"/>
    <w:rsid w:val="00DE6BDC"/>
    <w:rsid w:val="00DE6D08"/>
    <w:rsid w:val="00DE6DE0"/>
    <w:rsid w:val="00DE723C"/>
    <w:rsid w:val="00DE75B9"/>
    <w:rsid w:val="00DE7752"/>
    <w:rsid w:val="00DE775E"/>
    <w:rsid w:val="00DE7BD6"/>
    <w:rsid w:val="00DE7C11"/>
    <w:rsid w:val="00DE7CCE"/>
    <w:rsid w:val="00DF0BD4"/>
    <w:rsid w:val="00DF0D03"/>
    <w:rsid w:val="00DF0D0B"/>
    <w:rsid w:val="00DF1008"/>
    <w:rsid w:val="00DF18EF"/>
    <w:rsid w:val="00DF1A11"/>
    <w:rsid w:val="00DF1CE2"/>
    <w:rsid w:val="00DF2205"/>
    <w:rsid w:val="00DF2385"/>
    <w:rsid w:val="00DF271D"/>
    <w:rsid w:val="00DF2868"/>
    <w:rsid w:val="00DF2D3D"/>
    <w:rsid w:val="00DF2FDF"/>
    <w:rsid w:val="00DF35D6"/>
    <w:rsid w:val="00DF37C5"/>
    <w:rsid w:val="00DF3B9E"/>
    <w:rsid w:val="00DF407E"/>
    <w:rsid w:val="00DF422D"/>
    <w:rsid w:val="00DF48AF"/>
    <w:rsid w:val="00DF498C"/>
    <w:rsid w:val="00DF4D08"/>
    <w:rsid w:val="00DF4EEC"/>
    <w:rsid w:val="00DF5062"/>
    <w:rsid w:val="00DF5069"/>
    <w:rsid w:val="00DF5359"/>
    <w:rsid w:val="00DF5B1F"/>
    <w:rsid w:val="00DF5E1B"/>
    <w:rsid w:val="00DF5EB4"/>
    <w:rsid w:val="00DF5EDA"/>
    <w:rsid w:val="00DF62FD"/>
    <w:rsid w:val="00DF6396"/>
    <w:rsid w:val="00DF6C1F"/>
    <w:rsid w:val="00DF6E68"/>
    <w:rsid w:val="00DF6EB2"/>
    <w:rsid w:val="00DF6F97"/>
    <w:rsid w:val="00DF7300"/>
    <w:rsid w:val="00DF77E1"/>
    <w:rsid w:val="00DF7930"/>
    <w:rsid w:val="00DF79B3"/>
    <w:rsid w:val="00DF7B52"/>
    <w:rsid w:val="00DF7BB2"/>
    <w:rsid w:val="00DF7F40"/>
    <w:rsid w:val="00E00558"/>
    <w:rsid w:val="00E00575"/>
    <w:rsid w:val="00E005D3"/>
    <w:rsid w:val="00E0079F"/>
    <w:rsid w:val="00E00802"/>
    <w:rsid w:val="00E00835"/>
    <w:rsid w:val="00E00B13"/>
    <w:rsid w:val="00E0107A"/>
    <w:rsid w:val="00E011ED"/>
    <w:rsid w:val="00E0134F"/>
    <w:rsid w:val="00E015AC"/>
    <w:rsid w:val="00E01972"/>
    <w:rsid w:val="00E01A0B"/>
    <w:rsid w:val="00E01AE9"/>
    <w:rsid w:val="00E01B38"/>
    <w:rsid w:val="00E01D0A"/>
    <w:rsid w:val="00E01D86"/>
    <w:rsid w:val="00E01FD5"/>
    <w:rsid w:val="00E0263A"/>
    <w:rsid w:val="00E02892"/>
    <w:rsid w:val="00E029C0"/>
    <w:rsid w:val="00E02A6C"/>
    <w:rsid w:val="00E02C47"/>
    <w:rsid w:val="00E02CE9"/>
    <w:rsid w:val="00E02D7A"/>
    <w:rsid w:val="00E02E10"/>
    <w:rsid w:val="00E02FF2"/>
    <w:rsid w:val="00E03962"/>
    <w:rsid w:val="00E039DA"/>
    <w:rsid w:val="00E039E8"/>
    <w:rsid w:val="00E039F7"/>
    <w:rsid w:val="00E042E3"/>
    <w:rsid w:val="00E045E3"/>
    <w:rsid w:val="00E04609"/>
    <w:rsid w:val="00E049CD"/>
    <w:rsid w:val="00E04CA4"/>
    <w:rsid w:val="00E04DA5"/>
    <w:rsid w:val="00E053A7"/>
    <w:rsid w:val="00E05520"/>
    <w:rsid w:val="00E05D4B"/>
    <w:rsid w:val="00E05D61"/>
    <w:rsid w:val="00E0635E"/>
    <w:rsid w:val="00E06480"/>
    <w:rsid w:val="00E064DF"/>
    <w:rsid w:val="00E069E5"/>
    <w:rsid w:val="00E06C04"/>
    <w:rsid w:val="00E06FD1"/>
    <w:rsid w:val="00E071AC"/>
    <w:rsid w:val="00E07530"/>
    <w:rsid w:val="00E07734"/>
    <w:rsid w:val="00E077BA"/>
    <w:rsid w:val="00E07F72"/>
    <w:rsid w:val="00E108E0"/>
    <w:rsid w:val="00E109AA"/>
    <w:rsid w:val="00E10A50"/>
    <w:rsid w:val="00E10AD9"/>
    <w:rsid w:val="00E11322"/>
    <w:rsid w:val="00E1140F"/>
    <w:rsid w:val="00E11F6B"/>
    <w:rsid w:val="00E12215"/>
    <w:rsid w:val="00E130CA"/>
    <w:rsid w:val="00E1310B"/>
    <w:rsid w:val="00E13349"/>
    <w:rsid w:val="00E134B4"/>
    <w:rsid w:val="00E135B8"/>
    <w:rsid w:val="00E13841"/>
    <w:rsid w:val="00E13B6B"/>
    <w:rsid w:val="00E13DC4"/>
    <w:rsid w:val="00E14188"/>
    <w:rsid w:val="00E14417"/>
    <w:rsid w:val="00E1468E"/>
    <w:rsid w:val="00E14FC4"/>
    <w:rsid w:val="00E15658"/>
    <w:rsid w:val="00E158C5"/>
    <w:rsid w:val="00E1593A"/>
    <w:rsid w:val="00E15C80"/>
    <w:rsid w:val="00E16134"/>
    <w:rsid w:val="00E16405"/>
    <w:rsid w:val="00E1648D"/>
    <w:rsid w:val="00E164CB"/>
    <w:rsid w:val="00E16567"/>
    <w:rsid w:val="00E1658B"/>
    <w:rsid w:val="00E16E75"/>
    <w:rsid w:val="00E17393"/>
    <w:rsid w:val="00E17787"/>
    <w:rsid w:val="00E20753"/>
    <w:rsid w:val="00E209EB"/>
    <w:rsid w:val="00E20B21"/>
    <w:rsid w:val="00E20B37"/>
    <w:rsid w:val="00E20CF4"/>
    <w:rsid w:val="00E20D9C"/>
    <w:rsid w:val="00E20E64"/>
    <w:rsid w:val="00E218AF"/>
    <w:rsid w:val="00E21DA1"/>
    <w:rsid w:val="00E225AA"/>
    <w:rsid w:val="00E2267D"/>
    <w:rsid w:val="00E228FF"/>
    <w:rsid w:val="00E22AAF"/>
    <w:rsid w:val="00E231D7"/>
    <w:rsid w:val="00E2352F"/>
    <w:rsid w:val="00E236CF"/>
    <w:rsid w:val="00E23A0A"/>
    <w:rsid w:val="00E23A12"/>
    <w:rsid w:val="00E23ACC"/>
    <w:rsid w:val="00E23F57"/>
    <w:rsid w:val="00E24441"/>
    <w:rsid w:val="00E24759"/>
    <w:rsid w:val="00E24D70"/>
    <w:rsid w:val="00E24F48"/>
    <w:rsid w:val="00E25603"/>
    <w:rsid w:val="00E25681"/>
    <w:rsid w:val="00E256BB"/>
    <w:rsid w:val="00E2570A"/>
    <w:rsid w:val="00E2578D"/>
    <w:rsid w:val="00E259F4"/>
    <w:rsid w:val="00E25C09"/>
    <w:rsid w:val="00E261B7"/>
    <w:rsid w:val="00E261F7"/>
    <w:rsid w:val="00E26C77"/>
    <w:rsid w:val="00E27AB9"/>
    <w:rsid w:val="00E27C42"/>
    <w:rsid w:val="00E27CDA"/>
    <w:rsid w:val="00E27E33"/>
    <w:rsid w:val="00E27FD8"/>
    <w:rsid w:val="00E300AA"/>
    <w:rsid w:val="00E3034A"/>
    <w:rsid w:val="00E30E88"/>
    <w:rsid w:val="00E30EC3"/>
    <w:rsid w:val="00E30F2F"/>
    <w:rsid w:val="00E3119B"/>
    <w:rsid w:val="00E312F0"/>
    <w:rsid w:val="00E31452"/>
    <w:rsid w:val="00E31E42"/>
    <w:rsid w:val="00E31E49"/>
    <w:rsid w:val="00E31ED3"/>
    <w:rsid w:val="00E32074"/>
    <w:rsid w:val="00E323CB"/>
    <w:rsid w:val="00E32B5A"/>
    <w:rsid w:val="00E32BC8"/>
    <w:rsid w:val="00E32DA3"/>
    <w:rsid w:val="00E33085"/>
    <w:rsid w:val="00E33702"/>
    <w:rsid w:val="00E338DD"/>
    <w:rsid w:val="00E33F4D"/>
    <w:rsid w:val="00E33FE0"/>
    <w:rsid w:val="00E34062"/>
    <w:rsid w:val="00E345F8"/>
    <w:rsid w:val="00E34717"/>
    <w:rsid w:val="00E34909"/>
    <w:rsid w:val="00E349F6"/>
    <w:rsid w:val="00E34D16"/>
    <w:rsid w:val="00E34F19"/>
    <w:rsid w:val="00E355CB"/>
    <w:rsid w:val="00E35643"/>
    <w:rsid w:val="00E35A90"/>
    <w:rsid w:val="00E35B26"/>
    <w:rsid w:val="00E35FBF"/>
    <w:rsid w:val="00E361EC"/>
    <w:rsid w:val="00E36439"/>
    <w:rsid w:val="00E365F8"/>
    <w:rsid w:val="00E366A1"/>
    <w:rsid w:val="00E36F35"/>
    <w:rsid w:val="00E371A2"/>
    <w:rsid w:val="00E37B84"/>
    <w:rsid w:val="00E37CDC"/>
    <w:rsid w:val="00E37D88"/>
    <w:rsid w:val="00E37D98"/>
    <w:rsid w:val="00E37FC8"/>
    <w:rsid w:val="00E401CB"/>
    <w:rsid w:val="00E4022B"/>
    <w:rsid w:val="00E4074B"/>
    <w:rsid w:val="00E409EE"/>
    <w:rsid w:val="00E40ADD"/>
    <w:rsid w:val="00E40E46"/>
    <w:rsid w:val="00E40E4A"/>
    <w:rsid w:val="00E41073"/>
    <w:rsid w:val="00E41176"/>
    <w:rsid w:val="00E41585"/>
    <w:rsid w:val="00E41A93"/>
    <w:rsid w:val="00E4210A"/>
    <w:rsid w:val="00E4228E"/>
    <w:rsid w:val="00E42315"/>
    <w:rsid w:val="00E42A94"/>
    <w:rsid w:val="00E42B2A"/>
    <w:rsid w:val="00E42EF1"/>
    <w:rsid w:val="00E430A1"/>
    <w:rsid w:val="00E432A8"/>
    <w:rsid w:val="00E43844"/>
    <w:rsid w:val="00E43AF2"/>
    <w:rsid w:val="00E43D23"/>
    <w:rsid w:val="00E43FF4"/>
    <w:rsid w:val="00E4416C"/>
    <w:rsid w:val="00E44213"/>
    <w:rsid w:val="00E44294"/>
    <w:rsid w:val="00E4468F"/>
    <w:rsid w:val="00E44B7C"/>
    <w:rsid w:val="00E44BC4"/>
    <w:rsid w:val="00E4526F"/>
    <w:rsid w:val="00E45662"/>
    <w:rsid w:val="00E4580B"/>
    <w:rsid w:val="00E45EF5"/>
    <w:rsid w:val="00E45F62"/>
    <w:rsid w:val="00E4612B"/>
    <w:rsid w:val="00E46171"/>
    <w:rsid w:val="00E464A3"/>
    <w:rsid w:val="00E46646"/>
    <w:rsid w:val="00E46776"/>
    <w:rsid w:val="00E46860"/>
    <w:rsid w:val="00E46912"/>
    <w:rsid w:val="00E46FDB"/>
    <w:rsid w:val="00E474D1"/>
    <w:rsid w:val="00E47505"/>
    <w:rsid w:val="00E47C51"/>
    <w:rsid w:val="00E47E0D"/>
    <w:rsid w:val="00E47F2D"/>
    <w:rsid w:val="00E47F7B"/>
    <w:rsid w:val="00E5094B"/>
    <w:rsid w:val="00E50AC6"/>
    <w:rsid w:val="00E50B57"/>
    <w:rsid w:val="00E50C71"/>
    <w:rsid w:val="00E50FC2"/>
    <w:rsid w:val="00E5106E"/>
    <w:rsid w:val="00E5127E"/>
    <w:rsid w:val="00E514CA"/>
    <w:rsid w:val="00E514F6"/>
    <w:rsid w:val="00E5198E"/>
    <w:rsid w:val="00E51E55"/>
    <w:rsid w:val="00E522FA"/>
    <w:rsid w:val="00E5265F"/>
    <w:rsid w:val="00E52FA7"/>
    <w:rsid w:val="00E53853"/>
    <w:rsid w:val="00E53A88"/>
    <w:rsid w:val="00E53F25"/>
    <w:rsid w:val="00E53F89"/>
    <w:rsid w:val="00E5442E"/>
    <w:rsid w:val="00E54696"/>
    <w:rsid w:val="00E54A69"/>
    <w:rsid w:val="00E54C8D"/>
    <w:rsid w:val="00E554A4"/>
    <w:rsid w:val="00E556A1"/>
    <w:rsid w:val="00E5575F"/>
    <w:rsid w:val="00E55904"/>
    <w:rsid w:val="00E55FFF"/>
    <w:rsid w:val="00E56124"/>
    <w:rsid w:val="00E5619C"/>
    <w:rsid w:val="00E5675F"/>
    <w:rsid w:val="00E56E20"/>
    <w:rsid w:val="00E56EB1"/>
    <w:rsid w:val="00E570BF"/>
    <w:rsid w:val="00E5713B"/>
    <w:rsid w:val="00E572C6"/>
    <w:rsid w:val="00E57375"/>
    <w:rsid w:val="00E575EE"/>
    <w:rsid w:val="00E57963"/>
    <w:rsid w:val="00E57AB8"/>
    <w:rsid w:val="00E57C0C"/>
    <w:rsid w:val="00E57CDA"/>
    <w:rsid w:val="00E57E31"/>
    <w:rsid w:val="00E60062"/>
    <w:rsid w:val="00E600FD"/>
    <w:rsid w:val="00E60588"/>
    <w:rsid w:val="00E605E4"/>
    <w:rsid w:val="00E60744"/>
    <w:rsid w:val="00E61096"/>
    <w:rsid w:val="00E6116C"/>
    <w:rsid w:val="00E6187A"/>
    <w:rsid w:val="00E6190F"/>
    <w:rsid w:val="00E61BD2"/>
    <w:rsid w:val="00E61C83"/>
    <w:rsid w:val="00E61E51"/>
    <w:rsid w:val="00E62368"/>
    <w:rsid w:val="00E62596"/>
    <w:rsid w:val="00E628DF"/>
    <w:rsid w:val="00E62A25"/>
    <w:rsid w:val="00E62FA5"/>
    <w:rsid w:val="00E630C1"/>
    <w:rsid w:val="00E6316B"/>
    <w:rsid w:val="00E63EF1"/>
    <w:rsid w:val="00E6408D"/>
    <w:rsid w:val="00E640F4"/>
    <w:rsid w:val="00E6420D"/>
    <w:rsid w:val="00E64382"/>
    <w:rsid w:val="00E64714"/>
    <w:rsid w:val="00E647E6"/>
    <w:rsid w:val="00E64BE7"/>
    <w:rsid w:val="00E651E6"/>
    <w:rsid w:val="00E655B6"/>
    <w:rsid w:val="00E656A9"/>
    <w:rsid w:val="00E657C7"/>
    <w:rsid w:val="00E65A41"/>
    <w:rsid w:val="00E65A5E"/>
    <w:rsid w:val="00E65DEF"/>
    <w:rsid w:val="00E65FCA"/>
    <w:rsid w:val="00E6603E"/>
    <w:rsid w:val="00E66ED6"/>
    <w:rsid w:val="00E672D6"/>
    <w:rsid w:val="00E67627"/>
    <w:rsid w:val="00E676C2"/>
    <w:rsid w:val="00E679D3"/>
    <w:rsid w:val="00E67E3B"/>
    <w:rsid w:val="00E70265"/>
    <w:rsid w:val="00E702C3"/>
    <w:rsid w:val="00E7099C"/>
    <w:rsid w:val="00E70A0B"/>
    <w:rsid w:val="00E70AF0"/>
    <w:rsid w:val="00E70C1A"/>
    <w:rsid w:val="00E70DC8"/>
    <w:rsid w:val="00E70F39"/>
    <w:rsid w:val="00E7111F"/>
    <w:rsid w:val="00E7115C"/>
    <w:rsid w:val="00E711BD"/>
    <w:rsid w:val="00E71393"/>
    <w:rsid w:val="00E71501"/>
    <w:rsid w:val="00E71724"/>
    <w:rsid w:val="00E71810"/>
    <w:rsid w:val="00E71B2B"/>
    <w:rsid w:val="00E72557"/>
    <w:rsid w:val="00E7264E"/>
    <w:rsid w:val="00E728B5"/>
    <w:rsid w:val="00E72A77"/>
    <w:rsid w:val="00E72D9C"/>
    <w:rsid w:val="00E72F4E"/>
    <w:rsid w:val="00E73361"/>
    <w:rsid w:val="00E737F9"/>
    <w:rsid w:val="00E739F3"/>
    <w:rsid w:val="00E73CC0"/>
    <w:rsid w:val="00E741A4"/>
    <w:rsid w:val="00E747D7"/>
    <w:rsid w:val="00E7493C"/>
    <w:rsid w:val="00E74A22"/>
    <w:rsid w:val="00E74ED3"/>
    <w:rsid w:val="00E752B6"/>
    <w:rsid w:val="00E7540C"/>
    <w:rsid w:val="00E75ABA"/>
    <w:rsid w:val="00E75B76"/>
    <w:rsid w:val="00E75BAA"/>
    <w:rsid w:val="00E75C26"/>
    <w:rsid w:val="00E75D23"/>
    <w:rsid w:val="00E75F03"/>
    <w:rsid w:val="00E760DD"/>
    <w:rsid w:val="00E76134"/>
    <w:rsid w:val="00E766F9"/>
    <w:rsid w:val="00E76957"/>
    <w:rsid w:val="00E76FC0"/>
    <w:rsid w:val="00E77362"/>
    <w:rsid w:val="00E77543"/>
    <w:rsid w:val="00E77AD4"/>
    <w:rsid w:val="00E77B94"/>
    <w:rsid w:val="00E80029"/>
    <w:rsid w:val="00E800E0"/>
    <w:rsid w:val="00E8038D"/>
    <w:rsid w:val="00E8052E"/>
    <w:rsid w:val="00E80627"/>
    <w:rsid w:val="00E807A4"/>
    <w:rsid w:val="00E8090A"/>
    <w:rsid w:val="00E8094E"/>
    <w:rsid w:val="00E80B2B"/>
    <w:rsid w:val="00E80D74"/>
    <w:rsid w:val="00E81139"/>
    <w:rsid w:val="00E813F7"/>
    <w:rsid w:val="00E814A8"/>
    <w:rsid w:val="00E8156E"/>
    <w:rsid w:val="00E81C54"/>
    <w:rsid w:val="00E81D61"/>
    <w:rsid w:val="00E8227A"/>
    <w:rsid w:val="00E8279D"/>
    <w:rsid w:val="00E82854"/>
    <w:rsid w:val="00E82A43"/>
    <w:rsid w:val="00E82B97"/>
    <w:rsid w:val="00E83188"/>
    <w:rsid w:val="00E836C6"/>
    <w:rsid w:val="00E8414A"/>
    <w:rsid w:val="00E84D10"/>
    <w:rsid w:val="00E84D55"/>
    <w:rsid w:val="00E84DA1"/>
    <w:rsid w:val="00E84E26"/>
    <w:rsid w:val="00E85214"/>
    <w:rsid w:val="00E85422"/>
    <w:rsid w:val="00E854E2"/>
    <w:rsid w:val="00E85710"/>
    <w:rsid w:val="00E85C6D"/>
    <w:rsid w:val="00E85D27"/>
    <w:rsid w:val="00E85D51"/>
    <w:rsid w:val="00E85F49"/>
    <w:rsid w:val="00E86072"/>
    <w:rsid w:val="00E862ED"/>
    <w:rsid w:val="00E866B9"/>
    <w:rsid w:val="00E8670C"/>
    <w:rsid w:val="00E86E9E"/>
    <w:rsid w:val="00E87019"/>
    <w:rsid w:val="00E87B87"/>
    <w:rsid w:val="00E90083"/>
    <w:rsid w:val="00E900C0"/>
    <w:rsid w:val="00E90137"/>
    <w:rsid w:val="00E90167"/>
    <w:rsid w:val="00E906DA"/>
    <w:rsid w:val="00E906ED"/>
    <w:rsid w:val="00E90EB1"/>
    <w:rsid w:val="00E91605"/>
    <w:rsid w:val="00E9171F"/>
    <w:rsid w:val="00E9196B"/>
    <w:rsid w:val="00E91DE5"/>
    <w:rsid w:val="00E927CB"/>
    <w:rsid w:val="00E92A01"/>
    <w:rsid w:val="00E92E45"/>
    <w:rsid w:val="00E92E8F"/>
    <w:rsid w:val="00E93169"/>
    <w:rsid w:val="00E9360F"/>
    <w:rsid w:val="00E93806"/>
    <w:rsid w:val="00E9385A"/>
    <w:rsid w:val="00E93B3A"/>
    <w:rsid w:val="00E93E3C"/>
    <w:rsid w:val="00E947A1"/>
    <w:rsid w:val="00E950C6"/>
    <w:rsid w:val="00E950E0"/>
    <w:rsid w:val="00E952AF"/>
    <w:rsid w:val="00E95A24"/>
    <w:rsid w:val="00E95AD7"/>
    <w:rsid w:val="00E95D92"/>
    <w:rsid w:val="00E95FAC"/>
    <w:rsid w:val="00E960B9"/>
    <w:rsid w:val="00E962A9"/>
    <w:rsid w:val="00E963F0"/>
    <w:rsid w:val="00E9650C"/>
    <w:rsid w:val="00E96545"/>
    <w:rsid w:val="00E96648"/>
    <w:rsid w:val="00E966B2"/>
    <w:rsid w:val="00E96A41"/>
    <w:rsid w:val="00E96F75"/>
    <w:rsid w:val="00E97071"/>
    <w:rsid w:val="00E97465"/>
    <w:rsid w:val="00E976C8"/>
    <w:rsid w:val="00E977E6"/>
    <w:rsid w:val="00E97C09"/>
    <w:rsid w:val="00E97E62"/>
    <w:rsid w:val="00EA07D1"/>
    <w:rsid w:val="00EA0897"/>
    <w:rsid w:val="00EA0A0F"/>
    <w:rsid w:val="00EA0A16"/>
    <w:rsid w:val="00EA0BB0"/>
    <w:rsid w:val="00EA0DF8"/>
    <w:rsid w:val="00EA0EC8"/>
    <w:rsid w:val="00EA0F22"/>
    <w:rsid w:val="00EA157F"/>
    <w:rsid w:val="00EA15F5"/>
    <w:rsid w:val="00EA19B3"/>
    <w:rsid w:val="00EA1AB6"/>
    <w:rsid w:val="00EA1CEA"/>
    <w:rsid w:val="00EA1E3E"/>
    <w:rsid w:val="00EA1E6C"/>
    <w:rsid w:val="00EA20BC"/>
    <w:rsid w:val="00EA2446"/>
    <w:rsid w:val="00EA28EB"/>
    <w:rsid w:val="00EA2AEB"/>
    <w:rsid w:val="00EA2BF3"/>
    <w:rsid w:val="00EA2CA1"/>
    <w:rsid w:val="00EA2D6E"/>
    <w:rsid w:val="00EA2EB1"/>
    <w:rsid w:val="00EA31DE"/>
    <w:rsid w:val="00EA32C3"/>
    <w:rsid w:val="00EA35E4"/>
    <w:rsid w:val="00EA3757"/>
    <w:rsid w:val="00EA38FA"/>
    <w:rsid w:val="00EA3A2E"/>
    <w:rsid w:val="00EA3D44"/>
    <w:rsid w:val="00EA3E97"/>
    <w:rsid w:val="00EA439B"/>
    <w:rsid w:val="00EA4801"/>
    <w:rsid w:val="00EA4B52"/>
    <w:rsid w:val="00EA4BB1"/>
    <w:rsid w:val="00EA55AA"/>
    <w:rsid w:val="00EA5730"/>
    <w:rsid w:val="00EA5736"/>
    <w:rsid w:val="00EA58AD"/>
    <w:rsid w:val="00EA5A9B"/>
    <w:rsid w:val="00EA5B3C"/>
    <w:rsid w:val="00EA5D8F"/>
    <w:rsid w:val="00EA5DDF"/>
    <w:rsid w:val="00EA5EFB"/>
    <w:rsid w:val="00EA5F3F"/>
    <w:rsid w:val="00EA5F8E"/>
    <w:rsid w:val="00EA6186"/>
    <w:rsid w:val="00EA627B"/>
    <w:rsid w:val="00EA643B"/>
    <w:rsid w:val="00EA64B5"/>
    <w:rsid w:val="00EA69CD"/>
    <w:rsid w:val="00EA69F4"/>
    <w:rsid w:val="00EA719F"/>
    <w:rsid w:val="00EA77C6"/>
    <w:rsid w:val="00EA78DD"/>
    <w:rsid w:val="00EA7AC7"/>
    <w:rsid w:val="00EA7AF1"/>
    <w:rsid w:val="00EA7C69"/>
    <w:rsid w:val="00EA7CAF"/>
    <w:rsid w:val="00EA7CDB"/>
    <w:rsid w:val="00EB0540"/>
    <w:rsid w:val="00EB06D8"/>
    <w:rsid w:val="00EB0717"/>
    <w:rsid w:val="00EB0971"/>
    <w:rsid w:val="00EB0FBD"/>
    <w:rsid w:val="00EB1B43"/>
    <w:rsid w:val="00EB232E"/>
    <w:rsid w:val="00EB2577"/>
    <w:rsid w:val="00EB293A"/>
    <w:rsid w:val="00EB2ABC"/>
    <w:rsid w:val="00EB2CDB"/>
    <w:rsid w:val="00EB2D3C"/>
    <w:rsid w:val="00EB321F"/>
    <w:rsid w:val="00EB3345"/>
    <w:rsid w:val="00EB3667"/>
    <w:rsid w:val="00EB373D"/>
    <w:rsid w:val="00EB39BF"/>
    <w:rsid w:val="00EB3D76"/>
    <w:rsid w:val="00EB3E67"/>
    <w:rsid w:val="00EB489A"/>
    <w:rsid w:val="00EB4C8D"/>
    <w:rsid w:val="00EB52DB"/>
    <w:rsid w:val="00EB52DD"/>
    <w:rsid w:val="00EB54B1"/>
    <w:rsid w:val="00EB56BF"/>
    <w:rsid w:val="00EB5C60"/>
    <w:rsid w:val="00EB5CE5"/>
    <w:rsid w:val="00EB62C6"/>
    <w:rsid w:val="00EB63C3"/>
    <w:rsid w:val="00EB63F5"/>
    <w:rsid w:val="00EB6442"/>
    <w:rsid w:val="00EB68BB"/>
    <w:rsid w:val="00EB6A97"/>
    <w:rsid w:val="00EB6EF1"/>
    <w:rsid w:val="00EB6F11"/>
    <w:rsid w:val="00EB709D"/>
    <w:rsid w:val="00EB7175"/>
    <w:rsid w:val="00EB7331"/>
    <w:rsid w:val="00EB76FD"/>
    <w:rsid w:val="00EB7AD5"/>
    <w:rsid w:val="00EB7C53"/>
    <w:rsid w:val="00EB7DB4"/>
    <w:rsid w:val="00EB7E18"/>
    <w:rsid w:val="00EC00FA"/>
    <w:rsid w:val="00EC0314"/>
    <w:rsid w:val="00EC0815"/>
    <w:rsid w:val="00EC0A15"/>
    <w:rsid w:val="00EC0D40"/>
    <w:rsid w:val="00EC0F77"/>
    <w:rsid w:val="00EC1011"/>
    <w:rsid w:val="00EC1398"/>
    <w:rsid w:val="00EC1DC1"/>
    <w:rsid w:val="00EC1EC0"/>
    <w:rsid w:val="00EC2070"/>
    <w:rsid w:val="00EC265F"/>
    <w:rsid w:val="00EC2BAB"/>
    <w:rsid w:val="00EC2CB8"/>
    <w:rsid w:val="00EC2EDF"/>
    <w:rsid w:val="00EC2F38"/>
    <w:rsid w:val="00EC306F"/>
    <w:rsid w:val="00EC3226"/>
    <w:rsid w:val="00EC3305"/>
    <w:rsid w:val="00EC3399"/>
    <w:rsid w:val="00EC3DB6"/>
    <w:rsid w:val="00EC3E79"/>
    <w:rsid w:val="00EC3FF4"/>
    <w:rsid w:val="00EC4AA5"/>
    <w:rsid w:val="00EC4D22"/>
    <w:rsid w:val="00EC4E05"/>
    <w:rsid w:val="00EC5507"/>
    <w:rsid w:val="00EC59FC"/>
    <w:rsid w:val="00EC5A3D"/>
    <w:rsid w:val="00EC627C"/>
    <w:rsid w:val="00EC65C1"/>
    <w:rsid w:val="00EC69CF"/>
    <w:rsid w:val="00EC69D1"/>
    <w:rsid w:val="00EC6B0F"/>
    <w:rsid w:val="00EC6FD2"/>
    <w:rsid w:val="00EC721F"/>
    <w:rsid w:val="00EC759A"/>
    <w:rsid w:val="00EC767A"/>
    <w:rsid w:val="00EC7753"/>
    <w:rsid w:val="00EC7870"/>
    <w:rsid w:val="00EC799D"/>
    <w:rsid w:val="00EC7AAA"/>
    <w:rsid w:val="00EC7DB0"/>
    <w:rsid w:val="00EC7EDE"/>
    <w:rsid w:val="00EC7F82"/>
    <w:rsid w:val="00EC7F9F"/>
    <w:rsid w:val="00ED0180"/>
    <w:rsid w:val="00ED057B"/>
    <w:rsid w:val="00ED06E0"/>
    <w:rsid w:val="00ED0CF8"/>
    <w:rsid w:val="00ED0E1E"/>
    <w:rsid w:val="00ED0ECA"/>
    <w:rsid w:val="00ED0F64"/>
    <w:rsid w:val="00ED1106"/>
    <w:rsid w:val="00ED154E"/>
    <w:rsid w:val="00ED1682"/>
    <w:rsid w:val="00ED17B7"/>
    <w:rsid w:val="00ED1B96"/>
    <w:rsid w:val="00ED1C29"/>
    <w:rsid w:val="00ED2010"/>
    <w:rsid w:val="00ED21DD"/>
    <w:rsid w:val="00ED2307"/>
    <w:rsid w:val="00ED2486"/>
    <w:rsid w:val="00ED2712"/>
    <w:rsid w:val="00ED2A43"/>
    <w:rsid w:val="00ED2CEE"/>
    <w:rsid w:val="00ED30FF"/>
    <w:rsid w:val="00ED3373"/>
    <w:rsid w:val="00ED3839"/>
    <w:rsid w:val="00ED39D9"/>
    <w:rsid w:val="00ED3CE1"/>
    <w:rsid w:val="00ED4275"/>
    <w:rsid w:val="00ED4579"/>
    <w:rsid w:val="00ED468C"/>
    <w:rsid w:val="00ED4A59"/>
    <w:rsid w:val="00ED4AD6"/>
    <w:rsid w:val="00ED5B56"/>
    <w:rsid w:val="00ED5BF9"/>
    <w:rsid w:val="00ED5CF0"/>
    <w:rsid w:val="00ED5E8F"/>
    <w:rsid w:val="00ED5E98"/>
    <w:rsid w:val="00ED64EB"/>
    <w:rsid w:val="00ED6985"/>
    <w:rsid w:val="00ED6CB1"/>
    <w:rsid w:val="00ED6D54"/>
    <w:rsid w:val="00ED70DF"/>
    <w:rsid w:val="00ED71F4"/>
    <w:rsid w:val="00ED74F6"/>
    <w:rsid w:val="00ED75DC"/>
    <w:rsid w:val="00ED78B3"/>
    <w:rsid w:val="00ED7AD8"/>
    <w:rsid w:val="00ED7BFA"/>
    <w:rsid w:val="00ED7D6D"/>
    <w:rsid w:val="00ED7E0F"/>
    <w:rsid w:val="00ED7F24"/>
    <w:rsid w:val="00EE013E"/>
    <w:rsid w:val="00EE0191"/>
    <w:rsid w:val="00EE02A2"/>
    <w:rsid w:val="00EE0309"/>
    <w:rsid w:val="00EE0354"/>
    <w:rsid w:val="00EE0854"/>
    <w:rsid w:val="00EE1C4F"/>
    <w:rsid w:val="00EE1C60"/>
    <w:rsid w:val="00EE1EA8"/>
    <w:rsid w:val="00EE2075"/>
    <w:rsid w:val="00EE241F"/>
    <w:rsid w:val="00EE25D4"/>
    <w:rsid w:val="00EE282D"/>
    <w:rsid w:val="00EE2ABC"/>
    <w:rsid w:val="00EE2F70"/>
    <w:rsid w:val="00EE306D"/>
    <w:rsid w:val="00EE36A1"/>
    <w:rsid w:val="00EE373B"/>
    <w:rsid w:val="00EE3A39"/>
    <w:rsid w:val="00EE3AD1"/>
    <w:rsid w:val="00EE44E1"/>
    <w:rsid w:val="00EE4555"/>
    <w:rsid w:val="00EE4B86"/>
    <w:rsid w:val="00EE4C90"/>
    <w:rsid w:val="00EE4D7A"/>
    <w:rsid w:val="00EE4E0E"/>
    <w:rsid w:val="00EE4F7F"/>
    <w:rsid w:val="00EE4FA8"/>
    <w:rsid w:val="00EE5105"/>
    <w:rsid w:val="00EE5144"/>
    <w:rsid w:val="00EE53B8"/>
    <w:rsid w:val="00EE5EF3"/>
    <w:rsid w:val="00EE5EF6"/>
    <w:rsid w:val="00EE5FF3"/>
    <w:rsid w:val="00EE6269"/>
    <w:rsid w:val="00EE6381"/>
    <w:rsid w:val="00EE65D0"/>
    <w:rsid w:val="00EE67C0"/>
    <w:rsid w:val="00EE6E52"/>
    <w:rsid w:val="00EE72BF"/>
    <w:rsid w:val="00EE730A"/>
    <w:rsid w:val="00EE7A0E"/>
    <w:rsid w:val="00EE7DE7"/>
    <w:rsid w:val="00EE7E1F"/>
    <w:rsid w:val="00EE7FA9"/>
    <w:rsid w:val="00EF01C5"/>
    <w:rsid w:val="00EF0300"/>
    <w:rsid w:val="00EF031F"/>
    <w:rsid w:val="00EF09CE"/>
    <w:rsid w:val="00EF0B05"/>
    <w:rsid w:val="00EF0B26"/>
    <w:rsid w:val="00EF0C78"/>
    <w:rsid w:val="00EF0E5E"/>
    <w:rsid w:val="00EF0FFB"/>
    <w:rsid w:val="00EF11A7"/>
    <w:rsid w:val="00EF13DB"/>
    <w:rsid w:val="00EF141A"/>
    <w:rsid w:val="00EF15FB"/>
    <w:rsid w:val="00EF160E"/>
    <w:rsid w:val="00EF1766"/>
    <w:rsid w:val="00EF1A8E"/>
    <w:rsid w:val="00EF1BC4"/>
    <w:rsid w:val="00EF1CEF"/>
    <w:rsid w:val="00EF1D50"/>
    <w:rsid w:val="00EF1DFA"/>
    <w:rsid w:val="00EF2002"/>
    <w:rsid w:val="00EF2518"/>
    <w:rsid w:val="00EF251A"/>
    <w:rsid w:val="00EF2527"/>
    <w:rsid w:val="00EF263D"/>
    <w:rsid w:val="00EF267D"/>
    <w:rsid w:val="00EF2EAE"/>
    <w:rsid w:val="00EF3213"/>
    <w:rsid w:val="00EF36D5"/>
    <w:rsid w:val="00EF4074"/>
    <w:rsid w:val="00EF42ED"/>
    <w:rsid w:val="00EF4452"/>
    <w:rsid w:val="00EF487C"/>
    <w:rsid w:val="00EF4936"/>
    <w:rsid w:val="00EF4A31"/>
    <w:rsid w:val="00EF4CE3"/>
    <w:rsid w:val="00EF539F"/>
    <w:rsid w:val="00EF56C3"/>
    <w:rsid w:val="00EF599A"/>
    <w:rsid w:val="00EF6568"/>
    <w:rsid w:val="00EF6E39"/>
    <w:rsid w:val="00EF735B"/>
    <w:rsid w:val="00EF76FC"/>
    <w:rsid w:val="00EF790F"/>
    <w:rsid w:val="00EF7AB8"/>
    <w:rsid w:val="00F00064"/>
    <w:rsid w:val="00F0079C"/>
    <w:rsid w:val="00F007B6"/>
    <w:rsid w:val="00F00A17"/>
    <w:rsid w:val="00F01621"/>
    <w:rsid w:val="00F021D4"/>
    <w:rsid w:val="00F02314"/>
    <w:rsid w:val="00F023C1"/>
    <w:rsid w:val="00F02830"/>
    <w:rsid w:val="00F0295B"/>
    <w:rsid w:val="00F02A4D"/>
    <w:rsid w:val="00F02FC5"/>
    <w:rsid w:val="00F0313D"/>
    <w:rsid w:val="00F034EF"/>
    <w:rsid w:val="00F0360A"/>
    <w:rsid w:val="00F037EA"/>
    <w:rsid w:val="00F03879"/>
    <w:rsid w:val="00F0461E"/>
    <w:rsid w:val="00F04814"/>
    <w:rsid w:val="00F04DA6"/>
    <w:rsid w:val="00F053C5"/>
    <w:rsid w:val="00F0559A"/>
    <w:rsid w:val="00F05E7B"/>
    <w:rsid w:val="00F05FF9"/>
    <w:rsid w:val="00F0636E"/>
    <w:rsid w:val="00F0687C"/>
    <w:rsid w:val="00F06926"/>
    <w:rsid w:val="00F0715B"/>
    <w:rsid w:val="00F07274"/>
    <w:rsid w:val="00F07781"/>
    <w:rsid w:val="00F07A0F"/>
    <w:rsid w:val="00F100F0"/>
    <w:rsid w:val="00F104FD"/>
    <w:rsid w:val="00F10901"/>
    <w:rsid w:val="00F10A55"/>
    <w:rsid w:val="00F10CCD"/>
    <w:rsid w:val="00F10CFC"/>
    <w:rsid w:val="00F11087"/>
    <w:rsid w:val="00F110D8"/>
    <w:rsid w:val="00F114A5"/>
    <w:rsid w:val="00F114EF"/>
    <w:rsid w:val="00F11671"/>
    <w:rsid w:val="00F1184F"/>
    <w:rsid w:val="00F11950"/>
    <w:rsid w:val="00F11ACD"/>
    <w:rsid w:val="00F11F0F"/>
    <w:rsid w:val="00F127F2"/>
    <w:rsid w:val="00F128AC"/>
    <w:rsid w:val="00F129DF"/>
    <w:rsid w:val="00F12ED3"/>
    <w:rsid w:val="00F12EE1"/>
    <w:rsid w:val="00F1354A"/>
    <w:rsid w:val="00F138E3"/>
    <w:rsid w:val="00F13A42"/>
    <w:rsid w:val="00F13B65"/>
    <w:rsid w:val="00F13DCD"/>
    <w:rsid w:val="00F13F3C"/>
    <w:rsid w:val="00F14704"/>
    <w:rsid w:val="00F14D72"/>
    <w:rsid w:val="00F14E55"/>
    <w:rsid w:val="00F156A2"/>
    <w:rsid w:val="00F156EC"/>
    <w:rsid w:val="00F15A60"/>
    <w:rsid w:val="00F15BEF"/>
    <w:rsid w:val="00F15EFC"/>
    <w:rsid w:val="00F15FFA"/>
    <w:rsid w:val="00F1651D"/>
    <w:rsid w:val="00F166B2"/>
    <w:rsid w:val="00F16856"/>
    <w:rsid w:val="00F16B72"/>
    <w:rsid w:val="00F16E27"/>
    <w:rsid w:val="00F16F7C"/>
    <w:rsid w:val="00F1726D"/>
    <w:rsid w:val="00F1766B"/>
    <w:rsid w:val="00F2000E"/>
    <w:rsid w:val="00F20161"/>
    <w:rsid w:val="00F207CD"/>
    <w:rsid w:val="00F20A7C"/>
    <w:rsid w:val="00F20C41"/>
    <w:rsid w:val="00F20EEA"/>
    <w:rsid w:val="00F211F2"/>
    <w:rsid w:val="00F212C1"/>
    <w:rsid w:val="00F212FF"/>
    <w:rsid w:val="00F216BA"/>
    <w:rsid w:val="00F21B25"/>
    <w:rsid w:val="00F21D43"/>
    <w:rsid w:val="00F22578"/>
    <w:rsid w:val="00F226A6"/>
    <w:rsid w:val="00F22B93"/>
    <w:rsid w:val="00F22E63"/>
    <w:rsid w:val="00F22F37"/>
    <w:rsid w:val="00F22F4B"/>
    <w:rsid w:val="00F23030"/>
    <w:rsid w:val="00F236A9"/>
    <w:rsid w:val="00F23977"/>
    <w:rsid w:val="00F23C60"/>
    <w:rsid w:val="00F24033"/>
    <w:rsid w:val="00F241FD"/>
    <w:rsid w:val="00F247FA"/>
    <w:rsid w:val="00F24AF0"/>
    <w:rsid w:val="00F24BDD"/>
    <w:rsid w:val="00F24DD1"/>
    <w:rsid w:val="00F24E8D"/>
    <w:rsid w:val="00F24EB7"/>
    <w:rsid w:val="00F24F41"/>
    <w:rsid w:val="00F25580"/>
    <w:rsid w:val="00F2559A"/>
    <w:rsid w:val="00F257C9"/>
    <w:rsid w:val="00F26349"/>
    <w:rsid w:val="00F263B1"/>
    <w:rsid w:val="00F26503"/>
    <w:rsid w:val="00F269BD"/>
    <w:rsid w:val="00F26AF6"/>
    <w:rsid w:val="00F26C7A"/>
    <w:rsid w:val="00F26D3C"/>
    <w:rsid w:val="00F2705C"/>
    <w:rsid w:val="00F274A0"/>
    <w:rsid w:val="00F27650"/>
    <w:rsid w:val="00F278BE"/>
    <w:rsid w:val="00F2799F"/>
    <w:rsid w:val="00F27AA4"/>
    <w:rsid w:val="00F27BBF"/>
    <w:rsid w:val="00F27CFE"/>
    <w:rsid w:val="00F27E73"/>
    <w:rsid w:val="00F27E7E"/>
    <w:rsid w:val="00F30245"/>
    <w:rsid w:val="00F304A0"/>
    <w:rsid w:val="00F3083A"/>
    <w:rsid w:val="00F30929"/>
    <w:rsid w:val="00F30AF2"/>
    <w:rsid w:val="00F31206"/>
    <w:rsid w:val="00F31947"/>
    <w:rsid w:val="00F31D4C"/>
    <w:rsid w:val="00F32150"/>
    <w:rsid w:val="00F32429"/>
    <w:rsid w:val="00F326C0"/>
    <w:rsid w:val="00F32A28"/>
    <w:rsid w:val="00F32DEF"/>
    <w:rsid w:val="00F32EE6"/>
    <w:rsid w:val="00F33047"/>
    <w:rsid w:val="00F33092"/>
    <w:rsid w:val="00F335F0"/>
    <w:rsid w:val="00F33696"/>
    <w:rsid w:val="00F33C43"/>
    <w:rsid w:val="00F33ECB"/>
    <w:rsid w:val="00F3408A"/>
    <w:rsid w:val="00F34221"/>
    <w:rsid w:val="00F343A3"/>
    <w:rsid w:val="00F34DE0"/>
    <w:rsid w:val="00F34E23"/>
    <w:rsid w:val="00F351B3"/>
    <w:rsid w:val="00F355D3"/>
    <w:rsid w:val="00F3636D"/>
    <w:rsid w:val="00F36420"/>
    <w:rsid w:val="00F3651D"/>
    <w:rsid w:val="00F36553"/>
    <w:rsid w:val="00F36793"/>
    <w:rsid w:val="00F3691D"/>
    <w:rsid w:val="00F370FE"/>
    <w:rsid w:val="00F37634"/>
    <w:rsid w:val="00F3765D"/>
    <w:rsid w:val="00F37974"/>
    <w:rsid w:val="00F3799D"/>
    <w:rsid w:val="00F37B9D"/>
    <w:rsid w:val="00F37C4F"/>
    <w:rsid w:val="00F37C79"/>
    <w:rsid w:val="00F37E24"/>
    <w:rsid w:val="00F4044C"/>
    <w:rsid w:val="00F40639"/>
    <w:rsid w:val="00F409B3"/>
    <w:rsid w:val="00F40F6F"/>
    <w:rsid w:val="00F4154C"/>
    <w:rsid w:val="00F41B95"/>
    <w:rsid w:val="00F42CC8"/>
    <w:rsid w:val="00F432C8"/>
    <w:rsid w:val="00F4354C"/>
    <w:rsid w:val="00F43741"/>
    <w:rsid w:val="00F43AE9"/>
    <w:rsid w:val="00F44A54"/>
    <w:rsid w:val="00F44B47"/>
    <w:rsid w:val="00F44D52"/>
    <w:rsid w:val="00F45171"/>
    <w:rsid w:val="00F452FC"/>
    <w:rsid w:val="00F4540C"/>
    <w:rsid w:val="00F454A4"/>
    <w:rsid w:val="00F455B9"/>
    <w:rsid w:val="00F45F9F"/>
    <w:rsid w:val="00F460F9"/>
    <w:rsid w:val="00F46615"/>
    <w:rsid w:val="00F46662"/>
    <w:rsid w:val="00F4675B"/>
    <w:rsid w:val="00F46F6D"/>
    <w:rsid w:val="00F47207"/>
    <w:rsid w:val="00F47576"/>
    <w:rsid w:val="00F475BB"/>
    <w:rsid w:val="00F476BF"/>
    <w:rsid w:val="00F476DF"/>
    <w:rsid w:val="00F47877"/>
    <w:rsid w:val="00F47ACC"/>
    <w:rsid w:val="00F50284"/>
    <w:rsid w:val="00F503FD"/>
    <w:rsid w:val="00F50B69"/>
    <w:rsid w:val="00F50F3C"/>
    <w:rsid w:val="00F51049"/>
    <w:rsid w:val="00F5106F"/>
    <w:rsid w:val="00F5185A"/>
    <w:rsid w:val="00F51AFF"/>
    <w:rsid w:val="00F521D6"/>
    <w:rsid w:val="00F52425"/>
    <w:rsid w:val="00F52938"/>
    <w:rsid w:val="00F52A34"/>
    <w:rsid w:val="00F52B1D"/>
    <w:rsid w:val="00F52ED1"/>
    <w:rsid w:val="00F530B7"/>
    <w:rsid w:val="00F532FF"/>
    <w:rsid w:val="00F53395"/>
    <w:rsid w:val="00F535E1"/>
    <w:rsid w:val="00F539BD"/>
    <w:rsid w:val="00F53EFE"/>
    <w:rsid w:val="00F53FD3"/>
    <w:rsid w:val="00F54069"/>
    <w:rsid w:val="00F5439B"/>
    <w:rsid w:val="00F54758"/>
    <w:rsid w:val="00F54826"/>
    <w:rsid w:val="00F54848"/>
    <w:rsid w:val="00F5488B"/>
    <w:rsid w:val="00F548D4"/>
    <w:rsid w:val="00F548F0"/>
    <w:rsid w:val="00F549B0"/>
    <w:rsid w:val="00F54AF7"/>
    <w:rsid w:val="00F54C65"/>
    <w:rsid w:val="00F550EF"/>
    <w:rsid w:val="00F55154"/>
    <w:rsid w:val="00F5524F"/>
    <w:rsid w:val="00F55355"/>
    <w:rsid w:val="00F553C8"/>
    <w:rsid w:val="00F55511"/>
    <w:rsid w:val="00F5576B"/>
    <w:rsid w:val="00F55F76"/>
    <w:rsid w:val="00F5649B"/>
    <w:rsid w:val="00F5668C"/>
    <w:rsid w:val="00F56739"/>
    <w:rsid w:val="00F567E9"/>
    <w:rsid w:val="00F56A1C"/>
    <w:rsid w:val="00F56B4B"/>
    <w:rsid w:val="00F574C0"/>
    <w:rsid w:val="00F57627"/>
    <w:rsid w:val="00F5770E"/>
    <w:rsid w:val="00F57992"/>
    <w:rsid w:val="00F57AFD"/>
    <w:rsid w:val="00F600F9"/>
    <w:rsid w:val="00F60190"/>
    <w:rsid w:val="00F603F1"/>
    <w:rsid w:val="00F60615"/>
    <w:rsid w:val="00F60683"/>
    <w:rsid w:val="00F6098C"/>
    <w:rsid w:val="00F60D68"/>
    <w:rsid w:val="00F61520"/>
    <w:rsid w:val="00F61AFB"/>
    <w:rsid w:val="00F61C83"/>
    <w:rsid w:val="00F61D02"/>
    <w:rsid w:val="00F61DB5"/>
    <w:rsid w:val="00F621E7"/>
    <w:rsid w:val="00F62272"/>
    <w:rsid w:val="00F6294A"/>
    <w:rsid w:val="00F629EF"/>
    <w:rsid w:val="00F62A1B"/>
    <w:rsid w:val="00F62ADB"/>
    <w:rsid w:val="00F62B7A"/>
    <w:rsid w:val="00F63025"/>
    <w:rsid w:val="00F635AC"/>
    <w:rsid w:val="00F63A59"/>
    <w:rsid w:val="00F63D61"/>
    <w:rsid w:val="00F642E6"/>
    <w:rsid w:val="00F64588"/>
    <w:rsid w:val="00F64977"/>
    <w:rsid w:val="00F64A0D"/>
    <w:rsid w:val="00F64B9D"/>
    <w:rsid w:val="00F64BDC"/>
    <w:rsid w:val="00F656EC"/>
    <w:rsid w:val="00F65723"/>
    <w:rsid w:val="00F659B0"/>
    <w:rsid w:val="00F659E6"/>
    <w:rsid w:val="00F65A06"/>
    <w:rsid w:val="00F65AD1"/>
    <w:rsid w:val="00F65C2A"/>
    <w:rsid w:val="00F65CCF"/>
    <w:rsid w:val="00F65E67"/>
    <w:rsid w:val="00F65E95"/>
    <w:rsid w:val="00F669B7"/>
    <w:rsid w:val="00F669F6"/>
    <w:rsid w:val="00F66BB6"/>
    <w:rsid w:val="00F66E32"/>
    <w:rsid w:val="00F66E38"/>
    <w:rsid w:val="00F67301"/>
    <w:rsid w:val="00F673EA"/>
    <w:rsid w:val="00F67434"/>
    <w:rsid w:val="00F6773E"/>
    <w:rsid w:val="00F678BF"/>
    <w:rsid w:val="00F67BA0"/>
    <w:rsid w:val="00F67C26"/>
    <w:rsid w:val="00F67FF2"/>
    <w:rsid w:val="00F706C9"/>
    <w:rsid w:val="00F70E1F"/>
    <w:rsid w:val="00F70EA2"/>
    <w:rsid w:val="00F70F87"/>
    <w:rsid w:val="00F71084"/>
    <w:rsid w:val="00F71455"/>
    <w:rsid w:val="00F71949"/>
    <w:rsid w:val="00F71BE0"/>
    <w:rsid w:val="00F7209D"/>
    <w:rsid w:val="00F721FE"/>
    <w:rsid w:val="00F72240"/>
    <w:rsid w:val="00F723BA"/>
    <w:rsid w:val="00F72687"/>
    <w:rsid w:val="00F72697"/>
    <w:rsid w:val="00F7289D"/>
    <w:rsid w:val="00F72D1F"/>
    <w:rsid w:val="00F72EF0"/>
    <w:rsid w:val="00F731B3"/>
    <w:rsid w:val="00F73489"/>
    <w:rsid w:val="00F739C2"/>
    <w:rsid w:val="00F73D15"/>
    <w:rsid w:val="00F74175"/>
    <w:rsid w:val="00F74276"/>
    <w:rsid w:val="00F748EB"/>
    <w:rsid w:val="00F74B4E"/>
    <w:rsid w:val="00F74BF3"/>
    <w:rsid w:val="00F74F23"/>
    <w:rsid w:val="00F75097"/>
    <w:rsid w:val="00F75214"/>
    <w:rsid w:val="00F7561F"/>
    <w:rsid w:val="00F756DE"/>
    <w:rsid w:val="00F75707"/>
    <w:rsid w:val="00F757A4"/>
    <w:rsid w:val="00F75D6A"/>
    <w:rsid w:val="00F75ED5"/>
    <w:rsid w:val="00F75F37"/>
    <w:rsid w:val="00F762DF"/>
    <w:rsid w:val="00F763EA"/>
    <w:rsid w:val="00F76792"/>
    <w:rsid w:val="00F768B8"/>
    <w:rsid w:val="00F769D4"/>
    <w:rsid w:val="00F76B4A"/>
    <w:rsid w:val="00F76C93"/>
    <w:rsid w:val="00F76CD5"/>
    <w:rsid w:val="00F76CE8"/>
    <w:rsid w:val="00F77293"/>
    <w:rsid w:val="00F773BB"/>
    <w:rsid w:val="00F77584"/>
    <w:rsid w:val="00F777A6"/>
    <w:rsid w:val="00F7781C"/>
    <w:rsid w:val="00F778C6"/>
    <w:rsid w:val="00F77C5B"/>
    <w:rsid w:val="00F77EC4"/>
    <w:rsid w:val="00F77EDF"/>
    <w:rsid w:val="00F77EE0"/>
    <w:rsid w:val="00F801C5"/>
    <w:rsid w:val="00F80555"/>
    <w:rsid w:val="00F81002"/>
    <w:rsid w:val="00F8125B"/>
    <w:rsid w:val="00F813E2"/>
    <w:rsid w:val="00F81781"/>
    <w:rsid w:val="00F818D7"/>
    <w:rsid w:val="00F81BCE"/>
    <w:rsid w:val="00F81EC2"/>
    <w:rsid w:val="00F82325"/>
    <w:rsid w:val="00F8253F"/>
    <w:rsid w:val="00F82628"/>
    <w:rsid w:val="00F829D9"/>
    <w:rsid w:val="00F82BE9"/>
    <w:rsid w:val="00F82DB8"/>
    <w:rsid w:val="00F82ED3"/>
    <w:rsid w:val="00F82FE6"/>
    <w:rsid w:val="00F83550"/>
    <w:rsid w:val="00F836DE"/>
    <w:rsid w:val="00F839B5"/>
    <w:rsid w:val="00F83BBF"/>
    <w:rsid w:val="00F83C68"/>
    <w:rsid w:val="00F83F28"/>
    <w:rsid w:val="00F83FC0"/>
    <w:rsid w:val="00F84169"/>
    <w:rsid w:val="00F843CA"/>
    <w:rsid w:val="00F84413"/>
    <w:rsid w:val="00F84A05"/>
    <w:rsid w:val="00F84B8B"/>
    <w:rsid w:val="00F85041"/>
    <w:rsid w:val="00F85277"/>
    <w:rsid w:val="00F8527B"/>
    <w:rsid w:val="00F85286"/>
    <w:rsid w:val="00F8554D"/>
    <w:rsid w:val="00F856CA"/>
    <w:rsid w:val="00F85DAB"/>
    <w:rsid w:val="00F86253"/>
    <w:rsid w:val="00F8661C"/>
    <w:rsid w:val="00F86C03"/>
    <w:rsid w:val="00F86D8B"/>
    <w:rsid w:val="00F87100"/>
    <w:rsid w:val="00F8710B"/>
    <w:rsid w:val="00F877BD"/>
    <w:rsid w:val="00F87D1C"/>
    <w:rsid w:val="00F90A72"/>
    <w:rsid w:val="00F90C71"/>
    <w:rsid w:val="00F90E0E"/>
    <w:rsid w:val="00F91533"/>
    <w:rsid w:val="00F91BB1"/>
    <w:rsid w:val="00F91C5C"/>
    <w:rsid w:val="00F91C63"/>
    <w:rsid w:val="00F91C8A"/>
    <w:rsid w:val="00F9233A"/>
    <w:rsid w:val="00F92AAE"/>
    <w:rsid w:val="00F92D80"/>
    <w:rsid w:val="00F93221"/>
    <w:rsid w:val="00F93598"/>
    <w:rsid w:val="00F935CE"/>
    <w:rsid w:val="00F93C89"/>
    <w:rsid w:val="00F93F3D"/>
    <w:rsid w:val="00F93F56"/>
    <w:rsid w:val="00F94318"/>
    <w:rsid w:val="00F944C5"/>
    <w:rsid w:val="00F944E1"/>
    <w:rsid w:val="00F949B1"/>
    <w:rsid w:val="00F94D20"/>
    <w:rsid w:val="00F9502D"/>
    <w:rsid w:val="00F95357"/>
    <w:rsid w:val="00F953BE"/>
    <w:rsid w:val="00F95509"/>
    <w:rsid w:val="00F958B2"/>
    <w:rsid w:val="00F95CEC"/>
    <w:rsid w:val="00F96399"/>
    <w:rsid w:val="00F9682F"/>
    <w:rsid w:val="00F968BD"/>
    <w:rsid w:val="00F96BB4"/>
    <w:rsid w:val="00F96BFB"/>
    <w:rsid w:val="00F96EFB"/>
    <w:rsid w:val="00F9715B"/>
    <w:rsid w:val="00F97374"/>
    <w:rsid w:val="00F9783B"/>
    <w:rsid w:val="00F97C60"/>
    <w:rsid w:val="00FA0267"/>
    <w:rsid w:val="00FA0506"/>
    <w:rsid w:val="00FA0599"/>
    <w:rsid w:val="00FA06E5"/>
    <w:rsid w:val="00FA09CA"/>
    <w:rsid w:val="00FA0D0D"/>
    <w:rsid w:val="00FA0F64"/>
    <w:rsid w:val="00FA0FFF"/>
    <w:rsid w:val="00FA13AC"/>
    <w:rsid w:val="00FA155A"/>
    <w:rsid w:val="00FA19BD"/>
    <w:rsid w:val="00FA1C77"/>
    <w:rsid w:val="00FA1D0E"/>
    <w:rsid w:val="00FA2172"/>
    <w:rsid w:val="00FA2917"/>
    <w:rsid w:val="00FA2A49"/>
    <w:rsid w:val="00FA2E15"/>
    <w:rsid w:val="00FA2E75"/>
    <w:rsid w:val="00FA34A4"/>
    <w:rsid w:val="00FA3514"/>
    <w:rsid w:val="00FA45F5"/>
    <w:rsid w:val="00FA4A5D"/>
    <w:rsid w:val="00FA4CFA"/>
    <w:rsid w:val="00FA4E37"/>
    <w:rsid w:val="00FA51BE"/>
    <w:rsid w:val="00FA5581"/>
    <w:rsid w:val="00FA6050"/>
    <w:rsid w:val="00FA63D2"/>
    <w:rsid w:val="00FA682A"/>
    <w:rsid w:val="00FA6D62"/>
    <w:rsid w:val="00FA7590"/>
    <w:rsid w:val="00FA77F1"/>
    <w:rsid w:val="00FA78F7"/>
    <w:rsid w:val="00FA7AB5"/>
    <w:rsid w:val="00FB026F"/>
    <w:rsid w:val="00FB02EB"/>
    <w:rsid w:val="00FB04E0"/>
    <w:rsid w:val="00FB0984"/>
    <w:rsid w:val="00FB14F4"/>
    <w:rsid w:val="00FB1780"/>
    <w:rsid w:val="00FB18B4"/>
    <w:rsid w:val="00FB19E1"/>
    <w:rsid w:val="00FB1B73"/>
    <w:rsid w:val="00FB1D4B"/>
    <w:rsid w:val="00FB1D74"/>
    <w:rsid w:val="00FB1DFF"/>
    <w:rsid w:val="00FB2110"/>
    <w:rsid w:val="00FB26BA"/>
    <w:rsid w:val="00FB28D4"/>
    <w:rsid w:val="00FB28E8"/>
    <w:rsid w:val="00FB2EE4"/>
    <w:rsid w:val="00FB331C"/>
    <w:rsid w:val="00FB34F4"/>
    <w:rsid w:val="00FB3681"/>
    <w:rsid w:val="00FB3A30"/>
    <w:rsid w:val="00FB3A79"/>
    <w:rsid w:val="00FB3F45"/>
    <w:rsid w:val="00FB428C"/>
    <w:rsid w:val="00FB44DE"/>
    <w:rsid w:val="00FB45D6"/>
    <w:rsid w:val="00FB47A1"/>
    <w:rsid w:val="00FB4F35"/>
    <w:rsid w:val="00FB4F61"/>
    <w:rsid w:val="00FB5031"/>
    <w:rsid w:val="00FB52A8"/>
    <w:rsid w:val="00FB52E8"/>
    <w:rsid w:val="00FB5604"/>
    <w:rsid w:val="00FB5950"/>
    <w:rsid w:val="00FB5ACC"/>
    <w:rsid w:val="00FB5BA6"/>
    <w:rsid w:val="00FB5BC5"/>
    <w:rsid w:val="00FB66D9"/>
    <w:rsid w:val="00FB6905"/>
    <w:rsid w:val="00FB69F5"/>
    <w:rsid w:val="00FB6BA7"/>
    <w:rsid w:val="00FB6C34"/>
    <w:rsid w:val="00FB73DB"/>
    <w:rsid w:val="00FB7520"/>
    <w:rsid w:val="00FB757F"/>
    <w:rsid w:val="00FB7604"/>
    <w:rsid w:val="00FB763C"/>
    <w:rsid w:val="00FB76DD"/>
    <w:rsid w:val="00FC0031"/>
    <w:rsid w:val="00FC009D"/>
    <w:rsid w:val="00FC01EE"/>
    <w:rsid w:val="00FC02FD"/>
    <w:rsid w:val="00FC03B8"/>
    <w:rsid w:val="00FC07EC"/>
    <w:rsid w:val="00FC08DC"/>
    <w:rsid w:val="00FC0F57"/>
    <w:rsid w:val="00FC0F59"/>
    <w:rsid w:val="00FC121D"/>
    <w:rsid w:val="00FC13BA"/>
    <w:rsid w:val="00FC1FC8"/>
    <w:rsid w:val="00FC2146"/>
    <w:rsid w:val="00FC2C0A"/>
    <w:rsid w:val="00FC2CC4"/>
    <w:rsid w:val="00FC2F67"/>
    <w:rsid w:val="00FC3112"/>
    <w:rsid w:val="00FC3160"/>
    <w:rsid w:val="00FC33E5"/>
    <w:rsid w:val="00FC346C"/>
    <w:rsid w:val="00FC3707"/>
    <w:rsid w:val="00FC393C"/>
    <w:rsid w:val="00FC3A53"/>
    <w:rsid w:val="00FC3A58"/>
    <w:rsid w:val="00FC3DC5"/>
    <w:rsid w:val="00FC42CB"/>
    <w:rsid w:val="00FC435B"/>
    <w:rsid w:val="00FC4392"/>
    <w:rsid w:val="00FC45D1"/>
    <w:rsid w:val="00FC46CE"/>
    <w:rsid w:val="00FC46F8"/>
    <w:rsid w:val="00FC4925"/>
    <w:rsid w:val="00FC498E"/>
    <w:rsid w:val="00FC49EC"/>
    <w:rsid w:val="00FC4CBD"/>
    <w:rsid w:val="00FC4D0E"/>
    <w:rsid w:val="00FC50F3"/>
    <w:rsid w:val="00FC52B4"/>
    <w:rsid w:val="00FC5538"/>
    <w:rsid w:val="00FC575F"/>
    <w:rsid w:val="00FC5774"/>
    <w:rsid w:val="00FC5D80"/>
    <w:rsid w:val="00FC5E4A"/>
    <w:rsid w:val="00FC6180"/>
    <w:rsid w:val="00FC61DA"/>
    <w:rsid w:val="00FC62B1"/>
    <w:rsid w:val="00FC637F"/>
    <w:rsid w:val="00FC6516"/>
    <w:rsid w:val="00FC6535"/>
    <w:rsid w:val="00FC65E2"/>
    <w:rsid w:val="00FC6641"/>
    <w:rsid w:val="00FC68C7"/>
    <w:rsid w:val="00FC6A1F"/>
    <w:rsid w:val="00FC6CAA"/>
    <w:rsid w:val="00FD013D"/>
    <w:rsid w:val="00FD022F"/>
    <w:rsid w:val="00FD02A1"/>
    <w:rsid w:val="00FD0A27"/>
    <w:rsid w:val="00FD0BDF"/>
    <w:rsid w:val="00FD0C97"/>
    <w:rsid w:val="00FD0DE2"/>
    <w:rsid w:val="00FD1367"/>
    <w:rsid w:val="00FD1544"/>
    <w:rsid w:val="00FD173F"/>
    <w:rsid w:val="00FD1806"/>
    <w:rsid w:val="00FD1C5D"/>
    <w:rsid w:val="00FD2200"/>
    <w:rsid w:val="00FD25F9"/>
    <w:rsid w:val="00FD26BC"/>
    <w:rsid w:val="00FD294A"/>
    <w:rsid w:val="00FD3D16"/>
    <w:rsid w:val="00FD3D4D"/>
    <w:rsid w:val="00FD43FC"/>
    <w:rsid w:val="00FD4571"/>
    <w:rsid w:val="00FD4B72"/>
    <w:rsid w:val="00FD5515"/>
    <w:rsid w:val="00FD58CC"/>
    <w:rsid w:val="00FD5A67"/>
    <w:rsid w:val="00FD5BD1"/>
    <w:rsid w:val="00FD5CBC"/>
    <w:rsid w:val="00FD5E9B"/>
    <w:rsid w:val="00FD6346"/>
    <w:rsid w:val="00FD637D"/>
    <w:rsid w:val="00FD6D6B"/>
    <w:rsid w:val="00FD7052"/>
    <w:rsid w:val="00FD7166"/>
    <w:rsid w:val="00FD72EC"/>
    <w:rsid w:val="00FD74DA"/>
    <w:rsid w:val="00FD75A1"/>
    <w:rsid w:val="00FD7FB0"/>
    <w:rsid w:val="00FD7FC6"/>
    <w:rsid w:val="00FE02CF"/>
    <w:rsid w:val="00FE06A5"/>
    <w:rsid w:val="00FE088A"/>
    <w:rsid w:val="00FE1012"/>
    <w:rsid w:val="00FE105B"/>
    <w:rsid w:val="00FE129E"/>
    <w:rsid w:val="00FE15D7"/>
    <w:rsid w:val="00FE1AF4"/>
    <w:rsid w:val="00FE1F2C"/>
    <w:rsid w:val="00FE1FC4"/>
    <w:rsid w:val="00FE2192"/>
    <w:rsid w:val="00FE265E"/>
    <w:rsid w:val="00FE26EE"/>
    <w:rsid w:val="00FE2CA9"/>
    <w:rsid w:val="00FE30C0"/>
    <w:rsid w:val="00FE32B9"/>
    <w:rsid w:val="00FE37CE"/>
    <w:rsid w:val="00FE37F7"/>
    <w:rsid w:val="00FE38D0"/>
    <w:rsid w:val="00FE41CC"/>
    <w:rsid w:val="00FE41F4"/>
    <w:rsid w:val="00FE421D"/>
    <w:rsid w:val="00FE430D"/>
    <w:rsid w:val="00FE4313"/>
    <w:rsid w:val="00FE459D"/>
    <w:rsid w:val="00FE4654"/>
    <w:rsid w:val="00FE47BC"/>
    <w:rsid w:val="00FE4ADE"/>
    <w:rsid w:val="00FE4B26"/>
    <w:rsid w:val="00FE4BD0"/>
    <w:rsid w:val="00FE4DC2"/>
    <w:rsid w:val="00FE51E6"/>
    <w:rsid w:val="00FE552B"/>
    <w:rsid w:val="00FE571D"/>
    <w:rsid w:val="00FE5ABF"/>
    <w:rsid w:val="00FE5FB2"/>
    <w:rsid w:val="00FE6098"/>
    <w:rsid w:val="00FE60ED"/>
    <w:rsid w:val="00FE65DB"/>
    <w:rsid w:val="00FE6601"/>
    <w:rsid w:val="00FE6878"/>
    <w:rsid w:val="00FE6DEA"/>
    <w:rsid w:val="00FE74AF"/>
    <w:rsid w:val="00FE7F1F"/>
    <w:rsid w:val="00FF0054"/>
    <w:rsid w:val="00FF052B"/>
    <w:rsid w:val="00FF05AC"/>
    <w:rsid w:val="00FF068B"/>
    <w:rsid w:val="00FF0696"/>
    <w:rsid w:val="00FF06EA"/>
    <w:rsid w:val="00FF0A8D"/>
    <w:rsid w:val="00FF1107"/>
    <w:rsid w:val="00FF1B8F"/>
    <w:rsid w:val="00FF1EAC"/>
    <w:rsid w:val="00FF1F66"/>
    <w:rsid w:val="00FF2778"/>
    <w:rsid w:val="00FF2FCB"/>
    <w:rsid w:val="00FF302F"/>
    <w:rsid w:val="00FF30F1"/>
    <w:rsid w:val="00FF3116"/>
    <w:rsid w:val="00FF36F9"/>
    <w:rsid w:val="00FF37EC"/>
    <w:rsid w:val="00FF396C"/>
    <w:rsid w:val="00FF39CB"/>
    <w:rsid w:val="00FF3F52"/>
    <w:rsid w:val="00FF4173"/>
    <w:rsid w:val="00FF42AF"/>
    <w:rsid w:val="00FF44DE"/>
    <w:rsid w:val="00FF4902"/>
    <w:rsid w:val="00FF4B8B"/>
    <w:rsid w:val="00FF4C94"/>
    <w:rsid w:val="00FF5676"/>
    <w:rsid w:val="00FF5959"/>
    <w:rsid w:val="00FF5A51"/>
    <w:rsid w:val="00FF5BE0"/>
    <w:rsid w:val="00FF5C50"/>
    <w:rsid w:val="00FF5DF9"/>
    <w:rsid w:val="00FF648F"/>
    <w:rsid w:val="00FF695D"/>
    <w:rsid w:val="00FF6D98"/>
    <w:rsid w:val="00FF6F9E"/>
    <w:rsid w:val="00FF714F"/>
    <w:rsid w:val="00FF7500"/>
    <w:rsid w:val="00FF751A"/>
    <w:rsid w:val="00FF7537"/>
    <w:rsid w:val="00FF794B"/>
    <w:rsid w:val="00FF7C70"/>
    <w:rsid w:val="00FF7D28"/>
    <w:rsid w:val="00FF7F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3321"/>
  <w15:docId w15:val="{1E23FF46-E4EC-43B1-84C1-03FC6376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00FA"/>
    <w:pPr>
      <w:spacing w:after="240" w:line="360" w:lineRule="auto"/>
    </w:pPr>
  </w:style>
  <w:style w:type="paragraph" w:styleId="Heading1">
    <w:name w:val="heading 1"/>
    <w:basedOn w:val="Normal"/>
    <w:next w:val="Normal"/>
    <w:link w:val="Heading1Char"/>
    <w:uiPriority w:val="9"/>
    <w:qFormat/>
    <w:rsid w:val="00D55BAF"/>
    <w:pPr>
      <w:tabs>
        <w:tab w:val="center" w:pos="4680"/>
        <w:tab w:val="right" w:pos="9360"/>
      </w:tabs>
      <w:spacing w:before="480" w:after="0"/>
      <w:contextualSpacing/>
      <w:jc w:val="center"/>
      <w:outlineLvl w:val="0"/>
    </w:pPr>
    <w:rPr>
      <w:rFonts w:eastAsiaTheme="majorEastAsia" w:cstheme="minorHAnsi"/>
      <w:b/>
      <w:bCs/>
      <w:sz w:val="28"/>
      <w:szCs w:val="28"/>
    </w:rPr>
  </w:style>
  <w:style w:type="paragraph" w:styleId="Heading2">
    <w:name w:val="heading 2"/>
    <w:basedOn w:val="Normal"/>
    <w:next w:val="Normal"/>
    <w:link w:val="Heading2Char"/>
    <w:uiPriority w:val="9"/>
    <w:unhideWhenUsed/>
    <w:qFormat/>
    <w:rsid w:val="00D55BAF"/>
    <w:pPr>
      <w:tabs>
        <w:tab w:val="right" w:pos="9360"/>
      </w:tabs>
      <w:spacing w:before="200" w:after="120" w:line="480" w:lineRule="auto"/>
      <w:outlineLvl w:val="1"/>
    </w:pPr>
    <w:rPr>
      <w:rFonts w:eastAsiaTheme="majorEastAsia" w:cstheme="minorHAnsi"/>
      <w:b/>
      <w:bCs/>
      <w:sz w:val="26"/>
      <w:szCs w:val="26"/>
    </w:rPr>
  </w:style>
  <w:style w:type="paragraph" w:styleId="Heading3">
    <w:name w:val="heading 3"/>
    <w:basedOn w:val="Normal"/>
    <w:next w:val="Normal"/>
    <w:link w:val="Heading3Char"/>
    <w:uiPriority w:val="9"/>
    <w:unhideWhenUsed/>
    <w:qFormat/>
    <w:rsid w:val="00D55BAF"/>
    <w:pPr>
      <w:spacing w:before="120" w:after="120" w:line="480" w:lineRule="auto"/>
      <w:outlineLvl w:val="2"/>
    </w:pPr>
    <w:rPr>
      <w:rFonts w:eastAsiaTheme="majorEastAsia" w:cstheme="minorHAnsi"/>
      <w:b/>
      <w:bCs/>
    </w:rPr>
  </w:style>
  <w:style w:type="paragraph" w:styleId="Heading4">
    <w:name w:val="heading 4"/>
    <w:basedOn w:val="Normal"/>
    <w:next w:val="Normal"/>
    <w:link w:val="Heading4Char"/>
    <w:uiPriority w:val="9"/>
    <w:unhideWhenUsed/>
    <w:qFormat/>
    <w:rsid w:val="007C0309"/>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00F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00F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00F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00F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00F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0FA"/>
    <w:pPr>
      <w:ind w:left="720"/>
      <w:contextualSpacing/>
    </w:pPr>
  </w:style>
  <w:style w:type="paragraph" w:styleId="BalloonText">
    <w:name w:val="Balloon Text"/>
    <w:basedOn w:val="Normal"/>
    <w:link w:val="BalloonTextChar"/>
    <w:uiPriority w:val="99"/>
    <w:semiHidden/>
    <w:unhideWhenUsed/>
    <w:rsid w:val="00AB0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7F7"/>
    <w:rPr>
      <w:rFonts w:ascii="Tahoma" w:hAnsi="Tahoma" w:cs="Tahoma"/>
      <w:sz w:val="16"/>
      <w:szCs w:val="16"/>
    </w:rPr>
  </w:style>
  <w:style w:type="table" w:styleId="TableGrid">
    <w:name w:val="Table Grid"/>
    <w:basedOn w:val="TableNormal"/>
    <w:uiPriority w:val="59"/>
    <w:rsid w:val="00367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677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A179D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Heading1Char">
    <w:name w:val="Heading 1 Char"/>
    <w:basedOn w:val="DefaultParagraphFont"/>
    <w:link w:val="Heading1"/>
    <w:uiPriority w:val="9"/>
    <w:rsid w:val="00D55BAF"/>
    <w:rPr>
      <w:rFonts w:eastAsiaTheme="majorEastAsia" w:cstheme="minorHAnsi"/>
      <w:b/>
      <w:bCs/>
      <w:sz w:val="28"/>
      <w:szCs w:val="28"/>
    </w:rPr>
  </w:style>
  <w:style w:type="character" w:customStyle="1" w:styleId="Heading2Char">
    <w:name w:val="Heading 2 Char"/>
    <w:basedOn w:val="DefaultParagraphFont"/>
    <w:link w:val="Heading2"/>
    <w:uiPriority w:val="9"/>
    <w:rsid w:val="00D55BAF"/>
    <w:rPr>
      <w:rFonts w:eastAsiaTheme="majorEastAsia" w:cstheme="minorHAnsi"/>
      <w:b/>
      <w:bCs/>
      <w:sz w:val="26"/>
      <w:szCs w:val="26"/>
    </w:rPr>
  </w:style>
  <w:style w:type="character" w:customStyle="1" w:styleId="Heading3Char">
    <w:name w:val="Heading 3 Char"/>
    <w:basedOn w:val="DefaultParagraphFont"/>
    <w:link w:val="Heading3"/>
    <w:uiPriority w:val="9"/>
    <w:rsid w:val="00D55BAF"/>
    <w:rPr>
      <w:rFonts w:eastAsiaTheme="majorEastAsia" w:cstheme="minorHAnsi"/>
      <w:b/>
      <w:bCs/>
    </w:rPr>
  </w:style>
  <w:style w:type="character" w:customStyle="1" w:styleId="Heading4Char">
    <w:name w:val="Heading 4 Char"/>
    <w:basedOn w:val="DefaultParagraphFont"/>
    <w:link w:val="Heading4"/>
    <w:uiPriority w:val="9"/>
    <w:rsid w:val="007C030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00F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00F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00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00F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00F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700F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00F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00F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00FA"/>
    <w:rPr>
      <w:rFonts w:asciiTheme="majorHAnsi" w:eastAsiaTheme="majorEastAsia" w:hAnsiTheme="majorHAnsi" w:cstheme="majorBidi"/>
      <w:i/>
      <w:iCs/>
      <w:spacing w:val="13"/>
      <w:sz w:val="24"/>
      <w:szCs w:val="24"/>
    </w:rPr>
  </w:style>
  <w:style w:type="character" w:styleId="Strong">
    <w:name w:val="Strong"/>
    <w:uiPriority w:val="22"/>
    <w:qFormat/>
    <w:rsid w:val="001700FA"/>
    <w:rPr>
      <w:b/>
      <w:bCs/>
    </w:rPr>
  </w:style>
  <w:style w:type="character" w:styleId="Emphasis">
    <w:name w:val="Emphasis"/>
    <w:uiPriority w:val="20"/>
    <w:qFormat/>
    <w:rsid w:val="001700FA"/>
    <w:rPr>
      <w:b/>
      <w:bCs/>
      <w:i/>
      <w:iCs/>
      <w:spacing w:val="10"/>
      <w:bdr w:val="none" w:sz="0" w:space="0" w:color="auto"/>
      <w:shd w:val="clear" w:color="auto" w:fill="auto"/>
    </w:rPr>
  </w:style>
  <w:style w:type="paragraph" w:styleId="NoSpacing">
    <w:name w:val="No Spacing"/>
    <w:basedOn w:val="Normal"/>
    <w:uiPriority w:val="1"/>
    <w:qFormat/>
    <w:rsid w:val="001700FA"/>
    <w:pPr>
      <w:spacing w:after="0" w:line="240" w:lineRule="auto"/>
    </w:pPr>
  </w:style>
  <w:style w:type="paragraph" w:styleId="Quote">
    <w:name w:val="Quote"/>
    <w:basedOn w:val="Normal"/>
    <w:next w:val="Normal"/>
    <w:link w:val="QuoteChar"/>
    <w:uiPriority w:val="29"/>
    <w:qFormat/>
    <w:rsid w:val="001700FA"/>
    <w:pPr>
      <w:spacing w:before="200" w:after="0"/>
      <w:ind w:left="360" w:right="360"/>
    </w:pPr>
    <w:rPr>
      <w:i/>
      <w:iCs/>
    </w:rPr>
  </w:style>
  <w:style w:type="character" w:customStyle="1" w:styleId="QuoteChar">
    <w:name w:val="Quote Char"/>
    <w:basedOn w:val="DefaultParagraphFont"/>
    <w:link w:val="Quote"/>
    <w:uiPriority w:val="29"/>
    <w:rsid w:val="001700FA"/>
    <w:rPr>
      <w:i/>
      <w:iCs/>
    </w:rPr>
  </w:style>
  <w:style w:type="paragraph" w:styleId="IntenseQuote">
    <w:name w:val="Intense Quote"/>
    <w:basedOn w:val="Normal"/>
    <w:next w:val="Normal"/>
    <w:link w:val="IntenseQuoteChar"/>
    <w:uiPriority w:val="30"/>
    <w:qFormat/>
    <w:rsid w:val="001700F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700FA"/>
    <w:rPr>
      <w:b/>
      <w:bCs/>
      <w:i/>
      <w:iCs/>
    </w:rPr>
  </w:style>
  <w:style w:type="character" w:styleId="SubtleEmphasis">
    <w:name w:val="Subtle Emphasis"/>
    <w:uiPriority w:val="19"/>
    <w:qFormat/>
    <w:rsid w:val="001700FA"/>
    <w:rPr>
      <w:i/>
      <w:iCs/>
    </w:rPr>
  </w:style>
  <w:style w:type="character" w:styleId="IntenseEmphasis">
    <w:name w:val="Intense Emphasis"/>
    <w:uiPriority w:val="21"/>
    <w:qFormat/>
    <w:rsid w:val="001700FA"/>
    <w:rPr>
      <w:b/>
      <w:bCs/>
    </w:rPr>
  </w:style>
  <w:style w:type="character" w:styleId="SubtleReference">
    <w:name w:val="Subtle Reference"/>
    <w:uiPriority w:val="31"/>
    <w:qFormat/>
    <w:rsid w:val="001700FA"/>
    <w:rPr>
      <w:smallCaps/>
    </w:rPr>
  </w:style>
  <w:style w:type="character" w:styleId="IntenseReference">
    <w:name w:val="Intense Reference"/>
    <w:uiPriority w:val="32"/>
    <w:qFormat/>
    <w:rsid w:val="001700FA"/>
    <w:rPr>
      <w:smallCaps/>
      <w:spacing w:val="5"/>
      <w:u w:val="single"/>
    </w:rPr>
  </w:style>
  <w:style w:type="character" w:styleId="BookTitle">
    <w:name w:val="Book Title"/>
    <w:uiPriority w:val="33"/>
    <w:qFormat/>
    <w:rsid w:val="001700FA"/>
    <w:rPr>
      <w:i/>
      <w:iCs/>
      <w:smallCaps/>
      <w:spacing w:val="5"/>
    </w:rPr>
  </w:style>
  <w:style w:type="paragraph" w:styleId="TOCHeading">
    <w:name w:val="TOC Heading"/>
    <w:basedOn w:val="Heading1"/>
    <w:next w:val="Normal"/>
    <w:uiPriority w:val="39"/>
    <w:semiHidden/>
    <w:unhideWhenUsed/>
    <w:qFormat/>
    <w:rsid w:val="001700FA"/>
    <w:pPr>
      <w:outlineLvl w:val="9"/>
    </w:pPr>
    <w:rPr>
      <w:lang w:bidi="en-US"/>
    </w:rPr>
  </w:style>
  <w:style w:type="paragraph" w:styleId="Header">
    <w:name w:val="header"/>
    <w:basedOn w:val="Normal"/>
    <w:link w:val="HeaderChar"/>
    <w:uiPriority w:val="99"/>
    <w:unhideWhenUsed/>
    <w:rsid w:val="007C03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309"/>
  </w:style>
  <w:style w:type="paragraph" w:styleId="Footer">
    <w:name w:val="footer"/>
    <w:basedOn w:val="Normal"/>
    <w:link w:val="FooterChar"/>
    <w:uiPriority w:val="99"/>
    <w:unhideWhenUsed/>
    <w:rsid w:val="007C03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309"/>
  </w:style>
  <w:style w:type="paragraph" w:customStyle="1" w:styleId="Tableleft">
    <w:name w:val="Table left"/>
    <w:link w:val="TableleftChar"/>
    <w:qFormat/>
    <w:rsid w:val="000A3E7E"/>
    <w:pPr>
      <w:spacing w:before="20" w:after="20" w:line="240" w:lineRule="auto"/>
    </w:pPr>
    <w:rPr>
      <w:rFonts w:ascii="Calibri" w:eastAsia="Calibri" w:hAnsi="Calibri" w:cstheme="minorHAnsi"/>
      <w:szCs w:val="20"/>
      <w:lang w:eastAsia="en-GB"/>
    </w:rPr>
  </w:style>
  <w:style w:type="paragraph" w:customStyle="1" w:styleId="Tablecentre">
    <w:name w:val="Table centre"/>
    <w:link w:val="TablecentreChar"/>
    <w:qFormat/>
    <w:rsid w:val="000A3E7E"/>
    <w:pPr>
      <w:spacing w:before="20" w:after="20" w:line="240" w:lineRule="auto"/>
      <w:jc w:val="center"/>
    </w:pPr>
    <w:rPr>
      <w:rFonts w:ascii="Calibri" w:eastAsia="Calibri" w:hAnsi="Calibri" w:cstheme="minorHAnsi"/>
      <w:szCs w:val="20"/>
      <w:lang w:eastAsia="en-GB"/>
    </w:rPr>
  </w:style>
  <w:style w:type="character" w:customStyle="1" w:styleId="TableleftChar">
    <w:name w:val="Table left Char"/>
    <w:basedOn w:val="DefaultParagraphFont"/>
    <w:link w:val="Tableleft"/>
    <w:rsid w:val="000A3E7E"/>
    <w:rPr>
      <w:rFonts w:ascii="Calibri" w:eastAsia="Calibri" w:hAnsi="Calibri" w:cstheme="minorHAnsi"/>
      <w:szCs w:val="20"/>
      <w:lang w:eastAsia="en-GB"/>
    </w:rPr>
  </w:style>
  <w:style w:type="paragraph" w:customStyle="1" w:styleId="Tableheading">
    <w:name w:val="Table heading"/>
    <w:basedOn w:val="Tablecentre"/>
    <w:link w:val="TableheadingChar"/>
    <w:qFormat/>
    <w:rsid w:val="000A3E7E"/>
    <w:rPr>
      <w:b/>
    </w:rPr>
  </w:style>
  <w:style w:type="character" w:customStyle="1" w:styleId="TablecentreChar">
    <w:name w:val="Table centre Char"/>
    <w:basedOn w:val="TableleftChar"/>
    <w:link w:val="Tablecentre"/>
    <w:rsid w:val="000A3E7E"/>
    <w:rPr>
      <w:rFonts w:ascii="Calibri" w:eastAsia="Calibri" w:hAnsi="Calibri" w:cstheme="minorHAnsi"/>
      <w:szCs w:val="20"/>
      <w:lang w:eastAsia="en-GB"/>
    </w:rPr>
  </w:style>
  <w:style w:type="character" w:customStyle="1" w:styleId="TableheadingChar">
    <w:name w:val="Table heading Char"/>
    <w:basedOn w:val="TablecentreChar"/>
    <w:link w:val="Tableheading"/>
    <w:rsid w:val="000A3E7E"/>
    <w:rPr>
      <w:rFonts w:ascii="Calibri" w:eastAsia="Calibri" w:hAnsi="Calibri" w:cstheme="minorHAnsi"/>
      <w:b/>
      <w:szCs w:val="20"/>
      <w:lang w:eastAsia="en-GB"/>
    </w:rPr>
  </w:style>
  <w:style w:type="paragraph" w:styleId="DocumentMap">
    <w:name w:val="Document Map"/>
    <w:basedOn w:val="Normal"/>
    <w:link w:val="DocumentMapChar"/>
    <w:uiPriority w:val="99"/>
    <w:semiHidden/>
    <w:unhideWhenUsed/>
    <w:rsid w:val="00F15BE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15BEF"/>
    <w:rPr>
      <w:rFonts w:ascii="Tahoma" w:hAnsi="Tahoma" w:cs="Tahoma"/>
      <w:sz w:val="16"/>
      <w:szCs w:val="16"/>
    </w:rPr>
  </w:style>
  <w:style w:type="character" w:customStyle="1" w:styleId="apple-converted-space">
    <w:name w:val="apple-converted-space"/>
    <w:basedOn w:val="DefaultParagraphFont"/>
    <w:rsid w:val="003F7BE5"/>
  </w:style>
  <w:style w:type="character" w:styleId="CommentReference">
    <w:name w:val="annotation reference"/>
    <w:basedOn w:val="DefaultParagraphFont"/>
    <w:uiPriority w:val="99"/>
    <w:semiHidden/>
    <w:unhideWhenUsed/>
    <w:rsid w:val="008D030E"/>
    <w:rPr>
      <w:sz w:val="16"/>
      <w:szCs w:val="16"/>
    </w:rPr>
  </w:style>
  <w:style w:type="paragraph" w:styleId="CommentText">
    <w:name w:val="annotation text"/>
    <w:basedOn w:val="Normal"/>
    <w:link w:val="CommentTextChar"/>
    <w:uiPriority w:val="99"/>
    <w:unhideWhenUsed/>
    <w:rsid w:val="008D030E"/>
    <w:pPr>
      <w:spacing w:line="240" w:lineRule="auto"/>
    </w:pPr>
    <w:rPr>
      <w:sz w:val="20"/>
      <w:szCs w:val="20"/>
    </w:rPr>
  </w:style>
  <w:style w:type="character" w:customStyle="1" w:styleId="CommentTextChar">
    <w:name w:val="Comment Text Char"/>
    <w:basedOn w:val="DefaultParagraphFont"/>
    <w:link w:val="CommentText"/>
    <w:uiPriority w:val="99"/>
    <w:rsid w:val="008D030E"/>
    <w:rPr>
      <w:sz w:val="20"/>
      <w:szCs w:val="20"/>
    </w:rPr>
  </w:style>
  <w:style w:type="paragraph" w:styleId="CommentSubject">
    <w:name w:val="annotation subject"/>
    <w:basedOn w:val="CommentText"/>
    <w:next w:val="CommentText"/>
    <w:link w:val="CommentSubjectChar"/>
    <w:uiPriority w:val="99"/>
    <w:semiHidden/>
    <w:unhideWhenUsed/>
    <w:rsid w:val="008D030E"/>
    <w:rPr>
      <w:b/>
      <w:bCs/>
    </w:rPr>
  </w:style>
  <w:style w:type="character" w:customStyle="1" w:styleId="CommentSubjectChar">
    <w:name w:val="Comment Subject Char"/>
    <w:basedOn w:val="CommentTextChar"/>
    <w:link w:val="CommentSubject"/>
    <w:uiPriority w:val="99"/>
    <w:semiHidden/>
    <w:rsid w:val="008D030E"/>
    <w:rPr>
      <w:b/>
      <w:bCs/>
      <w:sz w:val="20"/>
      <w:szCs w:val="20"/>
    </w:rPr>
  </w:style>
  <w:style w:type="character" w:styleId="Hyperlink">
    <w:name w:val="Hyperlink"/>
    <w:basedOn w:val="DefaultParagraphFont"/>
    <w:uiPriority w:val="99"/>
    <w:unhideWhenUsed/>
    <w:rsid w:val="000D4374"/>
    <w:rPr>
      <w:color w:val="0000FF"/>
      <w:u w:val="single"/>
    </w:rPr>
  </w:style>
  <w:style w:type="character" w:customStyle="1" w:styleId="interref">
    <w:name w:val="interref"/>
    <w:basedOn w:val="DefaultParagraphFont"/>
    <w:rsid w:val="000D4374"/>
  </w:style>
  <w:style w:type="paragraph" w:styleId="Bibliography">
    <w:name w:val="Bibliography"/>
    <w:basedOn w:val="Normal"/>
    <w:next w:val="Normal"/>
    <w:uiPriority w:val="37"/>
    <w:unhideWhenUsed/>
    <w:rsid w:val="00C64A2B"/>
    <w:pPr>
      <w:tabs>
        <w:tab w:val="left" w:pos="504"/>
      </w:tabs>
      <w:spacing w:line="240" w:lineRule="auto"/>
      <w:ind w:left="504" w:hanging="504"/>
    </w:pPr>
  </w:style>
  <w:style w:type="paragraph" w:styleId="FootnoteText">
    <w:name w:val="footnote text"/>
    <w:basedOn w:val="Normal"/>
    <w:link w:val="FootnoteTextChar"/>
    <w:uiPriority w:val="99"/>
    <w:semiHidden/>
    <w:unhideWhenUsed/>
    <w:rsid w:val="003F2E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2E"/>
    <w:rPr>
      <w:sz w:val="20"/>
      <w:szCs w:val="20"/>
    </w:rPr>
  </w:style>
  <w:style w:type="character" w:styleId="FootnoteReference">
    <w:name w:val="footnote reference"/>
    <w:basedOn w:val="DefaultParagraphFont"/>
    <w:uiPriority w:val="99"/>
    <w:semiHidden/>
    <w:unhideWhenUsed/>
    <w:rsid w:val="003F2E2E"/>
    <w:rPr>
      <w:vertAlign w:val="superscript"/>
    </w:rPr>
  </w:style>
  <w:style w:type="character" w:styleId="PlaceholderText">
    <w:name w:val="Placeholder Text"/>
    <w:basedOn w:val="DefaultParagraphFont"/>
    <w:uiPriority w:val="99"/>
    <w:semiHidden/>
    <w:rsid w:val="00ED1C29"/>
    <w:rPr>
      <w:color w:val="808080"/>
    </w:rPr>
  </w:style>
  <w:style w:type="paragraph" w:styleId="NormalWeb">
    <w:name w:val="Normal (Web)"/>
    <w:basedOn w:val="Normal"/>
    <w:uiPriority w:val="99"/>
    <w:unhideWhenUsed/>
    <w:rsid w:val="00DA51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DA5151"/>
    <w:pPr>
      <w:spacing w:after="0" w:line="240" w:lineRule="auto"/>
    </w:pPr>
  </w:style>
  <w:style w:type="paragraph" w:customStyle="1" w:styleId="last">
    <w:name w:val="last"/>
    <w:basedOn w:val="Normal"/>
    <w:rsid w:val="00712D0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6E14B5"/>
    <w:rPr>
      <w:i/>
      <w:iCs/>
    </w:rPr>
  </w:style>
  <w:style w:type="character" w:customStyle="1" w:styleId="paragraph">
    <w:name w:val="paragraph"/>
    <w:basedOn w:val="DefaultParagraphFont"/>
    <w:rsid w:val="00B43A21"/>
  </w:style>
  <w:style w:type="character" w:customStyle="1" w:styleId="abstract">
    <w:name w:val="abstract"/>
    <w:basedOn w:val="DefaultParagraphFont"/>
    <w:rsid w:val="00B43A21"/>
  </w:style>
  <w:style w:type="character" w:customStyle="1" w:styleId="mb">
    <w:name w:val="mb"/>
    <w:basedOn w:val="DefaultParagraphFont"/>
    <w:rsid w:val="00B43A21"/>
  </w:style>
  <w:style w:type="paragraph" w:customStyle="1" w:styleId="Beforetables">
    <w:name w:val="Before tables"/>
    <w:basedOn w:val="Normal"/>
    <w:link w:val="BeforetablesChar"/>
    <w:qFormat/>
    <w:rsid w:val="00B92662"/>
    <w:pPr>
      <w:spacing w:after="0"/>
    </w:pPr>
    <w:rPr>
      <w:sz w:val="8"/>
      <w:szCs w:val="8"/>
    </w:rPr>
  </w:style>
  <w:style w:type="paragraph" w:customStyle="1" w:styleId="Aftertables">
    <w:name w:val="After tables"/>
    <w:basedOn w:val="Normal"/>
    <w:link w:val="AftertablesChar"/>
    <w:qFormat/>
    <w:rsid w:val="007B3B22"/>
    <w:pPr>
      <w:spacing w:after="0"/>
    </w:pPr>
  </w:style>
  <w:style w:type="character" w:customStyle="1" w:styleId="BeforetablesChar">
    <w:name w:val="Before tables Char"/>
    <w:basedOn w:val="DefaultParagraphFont"/>
    <w:link w:val="Beforetables"/>
    <w:rsid w:val="00B92662"/>
    <w:rPr>
      <w:sz w:val="8"/>
      <w:szCs w:val="8"/>
    </w:rPr>
  </w:style>
  <w:style w:type="character" w:customStyle="1" w:styleId="AftertablesChar">
    <w:name w:val="After tables Char"/>
    <w:basedOn w:val="DefaultParagraphFont"/>
    <w:link w:val="Aftertables"/>
    <w:rsid w:val="007B3B22"/>
  </w:style>
  <w:style w:type="character" w:customStyle="1" w:styleId="scp">
    <w:name w:val="scp"/>
    <w:basedOn w:val="DefaultParagraphFont"/>
    <w:rsid w:val="00C574AA"/>
  </w:style>
  <w:style w:type="paragraph" w:customStyle="1" w:styleId="follows-h4">
    <w:name w:val="follows-h4"/>
    <w:basedOn w:val="Normal"/>
    <w:rsid w:val="00C574A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
    <w:name w:val="p"/>
    <w:basedOn w:val="Normal"/>
    <w:rsid w:val="0063487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
    <w:name w:val="norm"/>
    <w:basedOn w:val="Normal"/>
    <w:rsid w:val="00D620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71925"/>
    <w:rPr>
      <w:color w:val="800080" w:themeColor="followedHyperlink"/>
      <w:u w:val="single"/>
    </w:rPr>
  </w:style>
  <w:style w:type="character" w:styleId="LineNumber">
    <w:name w:val="line number"/>
    <w:basedOn w:val="DefaultParagraphFont"/>
    <w:uiPriority w:val="99"/>
    <w:semiHidden/>
    <w:unhideWhenUsed/>
    <w:rsid w:val="00AC0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7113">
      <w:bodyDiv w:val="1"/>
      <w:marLeft w:val="0"/>
      <w:marRight w:val="0"/>
      <w:marTop w:val="0"/>
      <w:marBottom w:val="0"/>
      <w:divBdr>
        <w:top w:val="none" w:sz="0" w:space="0" w:color="auto"/>
        <w:left w:val="none" w:sz="0" w:space="0" w:color="auto"/>
        <w:bottom w:val="none" w:sz="0" w:space="0" w:color="auto"/>
        <w:right w:val="none" w:sz="0" w:space="0" w:color="auto"/>
      </w:divBdr>
    </w:div>
    <w:div w:id="184562450">
      <w:bodyDiv w:val="1"/>
      <w:marLeft w:val="0"/>
      <w:marRight w:val="0"/>
      <w:marTop w:val="0"/>
      <w:marBottom w:val="0"/>
      <w:divBdr>
        <w:top w:val="none" w:sz="0" w:space="0" w:color="auto"/>
        <w:left w:val="none" w:sz="0" w:space="0" w:color="auto"/>
        <w:bottom w:val="none" w:sz="0" w:space="0" w:color="auto"/>
        <w:right w:val="none" w:sz="0" w:space="0" w:color="auto"/>
      </w:divBdr>
      <w:divsChild>
        <w:div w:id="172036291">
          <w:marLeft w:val="0"/>
          <w:marRight w:val="0"/>
          <w:marTop w:val="0"/>
          <w:marBottom w:val="0"/>
          <w:divBdr>
            <w:top w:val="none" w:sz="0" w:space="0" w:color="auto"/>
            <w:left w:val="none" w:sz="0" w:space="0" w:color="auto"/>
            <w:bottom w:val="none" w:sz="0" w:space="0" w:color="auto"/>
            <w:right w:val="none" w:sz="0" w:space="0" w:color="auto"/>
          </w:divBdr>
          <w:divsChild>
            <w:div w:id="163984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2210">
      <w:bodyDiv w:val="1"/>
      <w:marLeft w:val="0"/>
      <w:marRight w:val="0"/>
      <w:marTop w:val="0"/>
      <w:marBottom w:val="0"/>
      <w:divBdr>
        <w:top w:val="none" w:sz="0" w:space="0" w:color="auto"/>
        <w:left w:val="none" w:sz="0" w:space="0" w:color="auto"/>
        <w:bottom w:val="none" w:sz="0" w:space="0" w:color="auto"/>
        <w:right w:val="none" w:sz="0" w:space="0" w:color="auto"/>
      </w:divBdr>
      <w:divsChild>
        <w:div w:id="1533568332">
          <w:marLeft w:val="0"/>
          <w:marRight w:val="0"/>
          <w:marTop w:val="0"/>
          <w:marBottom w:val="0"/>
          <w:divBdr>
            <w:top w:val="none" w:sz="0" w:space="0" w:color="auto"/>
            <w:left w:val="none" w:sz="0" w:space="0" w:color="auto"/>
            <w:bottom w:val="none" w:sz="0" w:space="0" w:color="auto"/>
            <w:right w:val="none" w:sz="0" w:space="0" w:color="auto"/>
          </w:divBdr>
        </w:div>
        <w:div w:id="688916467">
          <w:marLeft w:val="0"/>
          <w:marRight w:val="0"/>
          <w:marTop w:val="0"/>
          <w:marBottom w:val="0"/>
          <w:divBdr>
            <w:top w:val="none" w:sz="0" w:space="0" w:color="auto"/>
            <w:left w:val="none" w:sz="0" w:space="0" w:color="auto"/>
            <w:bottom w:val="none" w:sz="0" w:space="0" w:color="auto"/>
            <w:right w:val="none" w:sz="0" w:space="0" w:color="auto"/>
          </w:divBdr>
        </w:div>
      </w:divsChild>
    </w:div>
    <w:div w:id="261035681">
      <w:bodyDiv w:val="1"/>
      <w:marLeft w:val="0"/>
      <w:marRight w:val="0"/>
      <w:marTop w:val="0"/>
      <w:marBottom w:val="0"/>
      <w:divBdr>
        <w:top w:val="none" w:sz="0" w:space="0" w:color="auto"/>
        <w:left w:val="none" w:sz="0" w:space="0" w:color="auto"/>
        <w:bottom w:val="none" w:sz="0" w:space="0" w:color="auto"/>
        <w:right w:val="none" w:sz="0" w:space="0" w:color="auto"/>
      </w:divBdr>
      <w:divsChild>
        <w:div w:id="601036047">
          <w:marLeft w:val="0"/>
          <w:marRight w:val="0"/>
          <w:marTop w:val="240"/>
          <w:marBottom w:val="0"/>
          <w:divBdr>
            <w:top w:val="none" w:sz="0" w:space="0" w:color="auto"/>
            <w:left w:val="none" w:sz="0" w:space="0" w:color="auto"/>
            <w:bottom w:val="none" w:sz="0" w:space="0" w:color="auto"/>
            <w:right w:val="none" w:sz="0" w:space="0" w:color="auto"/>
          </w:divBdr>
        </w:div>
        <w:div w:id="1812940100">
          <w:marLeft w:val="0"/>
          <w:marRight w:val="0"/>
          <w:marTop w:val="240"/>
          <w:marBottom w:val="0"/>
          <w:divBdr>
            <w:top w:val="none" w:sz="0" w:space="0" w:color="auto"/>
            <w:left w:val="none" w:sz="0" w:space="0" w:color="auto"/>
            <w:bottom w:val="none" w:sz="0" w:space="0" w:color="auto"/>
            <w:right w:val="none" w:sz="0" w:space="0" w:color="auto"/>
          </w:divBdr>
        </w:div>
        <w:div w:id="1390955878">
          <w:marLeft w:val="0"/>
          <w:marRight w:val="0"/>
          <w:marTop w:val="240"/>
          <w:marBottom w:val="0"/>
          <w:divBdr>
            <w:top w:val="none" w:sz="0" w:space="0" w:color="auto"/>
            <w:left w:val="none" w:sz="0" w:space="0" w:color="auto"/>
            <w:bottom w:val="none" w:sz="0" w:space="0" w:color="auto"/>
            <w:right w:val="none" w:sz="0" w:space="0" w:color="auto"/>
          </w:divBdr>
        </w:div>
        <w:div w:id="1706372710">
          <w:marLeft w:val="0"/>
          <w:marRight w:val="0"/>
          <w:marTop w:val="240"/>
          <w:marBottom w:val="0"/>
          <w:divBdr>
            <w:top w:val="none" w:sz="0" w:space="0" w:color="auto"/>
            <w:left w:val="none" w:sz="0" w:space="0" w:color="auto"/>
            <w:bottom w:val="none" w:sz="0" w:space="0" w:color="auto"/>
            <w:right w:val="none" w:sz="0" w:space="0" w:color="auto"/>
          </w:divBdr>
        </w:div>
      </w:divsChild>
    </w:div>
    <w:div w:id="310522309">
      <w:bodyDiv w:val="1"/>
      <w:marLeft w:val="0"/>
      <w:marRight w:val="0"/>
      <w:marTop w:val="0"/>
      <w:marBottom w:val="0"/>
      <w:divBdr>
        <w:top w:val="none" w:sz="0" w:space="0" w:color="auto"/>
        <w:left w:val="none" w:sz="0" w:space="0" w:color="auto"/>
        <w:bottom w:val="none" w:sz="0" w:space="0" w:color="auto"/>
        <w:right w:val="none" w:sz="0" w:space="0" w:color="auto"/>
      </w:divBdr>
    </w:div>
    <w:div w:id="321545172">
      <w:bodyDiv w:val="1"/>
      <w:marLeft w:val="0"/>
      <w:marRight w:val="0"/>
      <w:marTop w:val="0"/>
      <w:marBottom w:val="0"/>
      <w:divBdr>
        <w:top w:val="none" w:sz="0" w:space="0" w:color="auto"/>
        <w:left w:val="none" w:sz="0" w:space="0" w:color="auto"/>
        <w:bottom w:val="none" w:sz="0" w:space="0" w:color="auto"/>
        <w:right w:val="none" w:sz="0" w:space="0" w:color="auto"/>
      </w:divBdr>
      <w:divsChild>
        <w:div w:id="1202132517">
          <w:marLeft w:val="0"/>
          <w:marRight w:val="0"/>
          <w:marTop w:val="0"/>
          <w:marBottom w:val="0"/>
          <w:divBdr>
            <w:top w:val="none" w:sz="0" w:space="0" w:color="auto"/>
            <w:left w:val="none" w:sz="0" w:space="0" w:color="auto"/>
            <w:bottom w:val="none" w:sz="0" w:space="0" w:color="auto"/>
            <w:right w:val="none" w:sz="0" w:space="0" w:color="auto"/>
          </w:divBdr>
          <w:divsChild>
            <w:div w:id="721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4398">
      <w:bodyDiv w:val="1"/>
      <w:marLeft w:val="0"/>
      <w:marRight w:val="0"/>
      <w:marTop w:val="0"/>
      <w:marBottom w:val="0"/>
      <w:divBdr>
        <w:top w:val="none" w:sz="0" w:space="0" w:color="auto"/>
        <w:left w:val="none" w:sz="0" w:space="0" w:color="auto"/>
        <w:bottom w:val="none" w:sz="0" w:space="0" w:color="auto"/>
        <w:right w:val="none" w:sz="0" w:space="0" w:color="auto"/>
      </w:divBdr>
    </w:div>
    <w:div w:id="411392673">
      <w:bodyDiv w:val="1"/>
      <w:marLeft w:val="0"/>
      <w:marRight w:val="0"/>
      <w:marTop w:val="0"/>
      <w:marBottom w:val="0"/>
      <w:divBdr>
        <w:top w:val="none" w:sz="0" w:space="0" w:color="auto"/>
        <w:left w:val="none" w:sz="0" w:space="0" w:color="auto"/>
        <w:bottom w:val="none" w:sz="0" w:space="0" w:color="auto"/>
        <w:right w:val="none" w:sz="0" w:space="0" w:color="auto"/>
      </w:divBdr>
    </w:div>
    <w:div w:id="531965485">
      <w:bodyDiv w:val="1"/>
      <w:marLeft w:val="0"/>
      <w:marRight w:val="0"/>
      <w:marTop w:val="0"/>
      <w:marBottom w:val="0"/>
      <w:divBdr>
        <w:top w:val="none" w:sz="0" w:space="0" w:color="auto"/>
        <w:left w:val="none" w:sz="0" w:space="0" w:color="auto"/>
        <w:bottom w:val="none" w:sz="0" w:space="0" w:color="auto"/>
        <w:right w:val="none" w:sz="0" w:space="0" w:color="auto"/>
      </w:divBdr>
    </w:div>
    <w:div w:id="586427571">
      <w:bodyDiv w:val="1"/>
      <w:marLeft w:val="0"/>
      <w:marRight w:val="0"/>
      <w:marTop w:val="0"/>
      <w:marBottom w:val="0"/>
      <w:divBdr>
        <w:top w:val="none" w:sz="0" w:space="0" w:color="auto"/>
        <w:left w:val="none" w:sz="0" w:space="0" w:color="auto"/>
        <w:bottom w:val="none" w:sz="0" w:space="0" w:color="auto"/>
        <w:right w:val="none" w:sz="0" w:space="0" w:color="auto"/>
      </w:divBdr>
      <w:divsChild>
        <w:div w:id="1822190006">
          <w:marLeft w:val="0"/>
          <w:marRight w:val="0"/>
          <w:marTop w:val="0"/>
          <w:marBottom w:val="0"/>
          <w:divBdr>
            <w:top w:val="none" w:sz="0" w:space="0" w:color="auto"/>
            <w:left w:val="none" w:sz="0" w:space="0" w:color="auto"/>
            <w:bottom w:val="none" w:sz="0" w:space="0" w:color="auto"/>
            <w:right w:val="none" w:sz="0" w:space="0" w:color="auto"/>
          </w:divBdr>
        </w:div>
        <w:div w:id="535043269">
          <w:marLeft w:val="0"/>
          <w:marRight w:val="0"/>
          <w:marTop w:val="0"/>
          <w:marBottom w:val="0"/>
          <w:divBdr>
            <w:top w:val="none" w:sz="0" w:space="0" w:color="auto"/>
            <w:left w:val="none" w:sz="0" w:space="0" w:color="auto"/>
            <w:bottom w:val="none" w:sz="0" w:space="0" w:color="auto"/>
            <w:right w:val="none" w:sz="0" w:space="0" w:color="auto"/>
          </w:divBdr>
        </w:div>
        <w:div w:id="1149513066">
          <w:marLeft w:val="0"/>
          <w:marRight w:val="0"/>
          <w:marTop w:val="0"/>
          <w:marBottom w:val="0"/>
          <w:divBdr>
            <w:top w:val="none" w:sz="0" w:space="0" w:color="auto"/>
            <w:left w:val="none" w:sz="0" w:space="0" w:color="auto"/>
            <w:bottom w:val="none" w:sz="0" w:space="0" w:color="auto"/>
            <w:right w:val="none" w:sz="0" w:space="0" w:color="auto"/>
          </w:divBdr>
        </w:div>
        <w:div w:id="1335645611">
          <w:marLeft w:val="0"/>
          <w:marRight w:val="0"/>
          <w:marTop w:val="0"/>
          <w:marBottom w:val="0"/>
          <w:divBdr>
            <w:top w:val="none" w:sz="0" w:space="0" w:color="auto"/>
            <w:left w:val="none" w:sz="0" w:space="0" w:color="auto"/>
            <w:bottom w:val="none" w:sz="0" w:space="0" w:color="auto"/>
            <w:right w:val="none" w:sz="0" w:space="0" w:color="auto"/>
          </w:divBdr>
        </w:div>
        <w:div w:id="894974300">
          <w:marLeft w:val="0"/>
          <w:marRight w:val="0"/>
          <w:marTop w:val="0"/>
          <w:marBottom w:val="0"/>
          <w:divBdr>
            <w:top w:val="none" w:sz="0" w:space="0" w:color="auto"/>
            <w:left w:val="none" w:sz="0" w:space="0" w:color="auto"/>
            <w:bottom w:val="none" w:sz="0" w:space="0" w:color="auto"/>
            <w:right w:val="none" w:sz="0" w:space="0" w:color="auto"/>
          </w:divBdr>
        </w:div>
        <w:div w:id="594098895">
          <w:marLeft w:val="0"/>
          <w:marRight w:val="0"/>
          <w:marTop w:val="0"/>
          <w:marBottom w:val="0"/>
          <w:divBdr>
            <w:top w:val="none" w:sz="0" w:space="0" w:color="auto"/>
            <w:left w:val="none" w:sz="0" w:space="0" w:color="auto"/>
            <w:bottom w:val="none" w:sz="0" w:space="0" w:color="auto"/>
            <w:right w:val="none" w:sz="0" w:space="0" w:color="auto"/>
          </w:divBdr>
        </w:div>
        <w:div w:id="1115633325">
          <w:marLeft w:val="0"/>
          <w:marRight w:val="0"/>
          <w:marTop w:val="0"/>
          <w:marBottom w:val="0"/>
          <w:divBdr>
            <w:top w:val="none" w:sz="0" w:space="0" w:color="auto"/>
            <w:left w:val="none" w:sz="0" w:space="0" w:color="auto"/>
            <w:bottom w:val="none" w:sz="0" w:space="0" w:color="auto"/>
            <w:right w:val="none" w:sz="0" w:space="0" w:color="auto"/>
          </w:divBdr>
        </w:div>
        <w:div w:id="347291936">
          <w:marLeft w:val="0"/>
          <w:marRight w:val="0"/>
          <w:marTop w:val="0"/>
          <w:marBottom w:val="0"/>
          <w:divBdr>
            <w:top w:val="none" w:sz="0" w:space="0" w:color="auto"/>
            <w:left w:val="none" w:sz="0" w:space="0" w:color="auto"/>
            <w:bottom w:val="none" w:sz="0" w:space="0" w:color="auto"/>
            <w:right w:val="none" w:sz="0" w:space="0" w:color="auto"/>
          </w:divBdr>
        </w:div>
        <w:div w:id="2043896907">
          <w:marLeft w:val="0"/>
          <w:marRight w:val="0"/>
          <w:marTop w:val="0"/>
          <w:marBottom w:val="0"/>
          <w:divBdr>
            <w:top w:val="none" w:sz="0" w:space="0" w:color="auto"/>
            <w:left w:val="none" w:sz="0" w:space="0" w:color="auto"/>
            <w:bottom w:val="none" w:sz="0" w:space="0" w:color="auto"/>
            <w:right w:val="none" w:sz="0" w:space="0" w:color="auto"/>
          </w:divBdr>
        </w:div>
        <w:div w:id="847407036">
          <w:marLeft w:val="0"/>
          <w:marRight w:val="0"/>
          <w:marTop w:val="0"/>
          <w:marBottom w:val="0"/>
          <w:divBdr>
            <w:top w:val="none" w:sz="0" w:space="0" w:color="auto"/>
            <w:left w:val="none" w:sz="0" w:space="0" w:color="auto"/>
            <w:bottom w:val="none" w:sz="0" w:space="0" w:color="auto"/>
            <w:right w:val="none" w:sz="0" w:space="0" w:color="auto"/>
          </w:divBdr>
        </w:div>
        <w:div w:id="1008798136">
          <w:marLeft w:val="0"/>
          <w:marRight w:val="0"/>
          <w:marTop w:val="0"/>
          <w:marBottom w:val="0"/>
          <w:divBdr>
            <w:top w:val="none" w:sz="0" w:space="0" w:color="auto"/>
            <w:left w:val="none" w:sz="0" w:space="0" w:color="auto"/>
            <w:bottom w:val="none" w:sz="0" w:space="0" w:color="auto"/>
            <w:right w:val="none" w:sz="0" w:space="0" w:color="auto"/>
          </w:divBdr>
        </w:div>
        <w:div w:id="1947152790">
          <w:marLeft w:val="0"/>
          <w:marRight w:val="0"/>
          <w:marTop w:val="0"/>
          <w:marBottom w:val="0"/>
          <w:divBdr>
            <w:top w:val="none" w:sz="0" w:space="0" w:color="auto"/>
            <w:left w:val="none" w:sz="0" w:space="0" w:color="auto"/>
            <w:bottom w:val="none" w:sz="0" w:space="0" w:color="auto"/>
            <w:right w:val="none" w:sz="0" w:space="0" w:color="auto"/>
          </w:divBdr>
        </w:div>
        <w:div w:id="1793403269">
          <w:marLeft w:val="0"/>
          <w:marRight w:val="0"/>
          <w:marTop w:val="0"/>
          <w:marBottom w:val="0"/>
          <w:divBdr>
            <w:top w:val="none" w:sz="0" w:space="0" w:color="auto"/>
            <w:left w:val="none" w:sz="0" w:space="0" w:color="auto"/>
            <w:bottom w:val="none" w:sz="0" w:space="0" w:color="auto"/>
            <w:right w:val="none" w:sz="0" w:space="0" w:color="auto"/>
          </w:divBdr>
        </w:div>
        <w:div w:id="1702247060">
          <w:marLeft w:val="0"/>
          <w:marRight w:val="0"/>
          <w:marTop w:val="0"/>
          <w:marBottom w:val="0"/>
          <w:divBdr>
            <w:top w:val="none" w:sz="0" w:space="0" w:color="auto"/>
            <w:left w:val="none" w:sz="0" w:space="0" w:color="auto"/>
            <w:bottom w:val="none" w:sz="0" w:space="0" w:color="auto"/>
            <w:right w:val="none" w:sz="0" w:space="0" w:color="auto"/>
          </w:divBdr>
        </w:div>
        <w:div w:id="1374379965">
          <w:marLeft w:val="0"/>
          <w:marRight w:val="0"/>
          <w:marTop w:val="0"/>
          <w:marBottom w:val="0"/>
          <w:divBdr>
            <w:top w:val="none" w:sz="0" w:space="0" w:color="auto"/>
            <w:left w:val="none" w:sz="0" w:space="0" w:color="auto"/>
            <w:bottom w:val="none" w:sz="0" w:space="0" w:color="auto"/>
            <w:right w:val="none" w:sz="0" w:space="0" w:color="auto"/>
          </w:divBdr>
        </w:div>
        <w:div w:id="49965286">
          <w:marLeft w:val="0"/>
          <w:marRight w:val="0"/>
          <w:marTop w:val="0"/>
          <w:marBottom w:val="0"/>
          <w:divBdr>
            <w:top w:val="none" w:sz="0" w:space="0" w:color="auto"/>
            <w:left w:val="none" w:sz="0" w:space="0" w:color="auto"/>
            <w:bottom w:val="none" w:sz="0" w:space="0" w:color="auto"/>
            <w:right w:val="none" w:sz="0" w:space="0" w:color="auto"/>
          </w:divBdr>
        </w:div>
        <w:div w:id="2036687354">
          <w:marLeft w:val="0"/>
          <w:marRight w:val="0"/>
          <w:marTop w:val="0"/>
          <w:marBottom w:val="0"/>
          <w:divBdr>
            <w:top w:val="none" w:sz="0" w:space="0" w:color="auto"/>
            <w:left w:val="none" w:sz="0" w:space="0" w:color="auto"/>
            <w:bottom w:val="none" w:sz="0" w:space="0" w:color="auto"/>
            <w:right w:val="none" w:sz="0" w:space="0" w:color="auto"/>
          </w:divBdr>
        </w:div>
        <w:div w:id="1504979038">
          <w:marLeft w:val="0"/>
          <w:marRight w:val="0"/>
          <w:marTop w:val="0"/>
          <w:marBottom w:val="0"/>
          <w:divBdr>
            <w:top w:val="none" w:sz="0" w:space="0" w:color="auto"/>
            <w:left w:val="none" w:sz="0" w:space="0" w:color="auto"/>
            <w:bottom w:val="none" w:sz="0" w:space="0" w:color="auto"/>
            <w:right w:val="none" w:sz="0" w:space="0" w:color="auto"/>
          </w:divBdr>
        </w:div>
        <w:div w:id="539248809">
          <w:marLeft w:val="0"/>
          <w:marRight w:val="0"/>
          <w:marTop w:val="0"/>
          <w:marBottom w:val="0"/>
          <w:divBdr>
            <w:top w:val="none" w:sz="0" w:space="0" w:color="auto"/>
            <w:left w:val="none" w:sz="0" w:space="0" w:color="auto"/>
            <w:bottom w:val="none" w:sz="0" w:space="0" w:color="auto"/>
            <w:right w:val="none" w:sz="0" w:space="0" w:color="auto"/>
          </w:divBdr>
        </w:div>
        <w:div w:id="730037435">
          <w:marLeft w:val="0"/>
          <w:marRight w:val="0"/>
          <w:marTop w:val="0"/>
          <w:marBottom w:val="0"/>
          <w:divBdr>
            <w:top w:val="none" w:sz="0" w:space="0" w:color="auto"/>
            <w:left w:val="none" w:sz="0" w:space="0" w:color="auto"/>
            <w:bottom w:val="none" w:sz="0" w:space="0" w:color="auto"/>
            <w:right w:val="none" w:sz="0" w:space="0" w:color="auto"/>
          </w:divBdr>
        </w:div>
        <w:div w:id="807086024">
          <w:marLeft w:val="0"/>
          <w:marRight w:val="0"/>
          <w:marTop w:val="0"/>
          <w:marBottom w:val="0"/>
          <w:divBdr>
            <w:top w:val="none" w:sz="0" w:space="0" w:color="auto"/>
            <w:left w:val="none" w:sz="0" w:space="0" w:color="auto"/>
            <w:bottom w:val="none" w:sz="0" w:space="0" w:color="auto"/>
            <w:right w:val="none" w:sz="0" w:space="0" w:color="auto"/>
          </w:divBdr>
        </w:div>
        <w:div w:id="911499752">
          <w:marLeft w:val="0"/>
          <w:marRight w:val="0"/>
          <w:marTop w:val="0"/>
          <w:marBottom w:val="0"/>
          <w:divBdr>
            <w:top w:val="none" w:sz="0" w:space="0" w:color="auto"/>
            <w:left w:val="none" w:sz="0" w:space="0" w:color="auto"/>
            <w:bottom w:val="none" w:sz="0" w:space="0" w:color="auto"/>
            <w:right w:val="none" w:sz="0" w:space="0" w:color="auto"/>
          </w:divBdr>
        </w:div>
      </w:divsChild>
    </w:div>
    <w:div w:id="629242253">
      <w:bodyDiv w:val="1"/>
      <w:marLeft w:val="0"/>
      <w:marRight w:val="0"/>
      <w:marTop w:val="0"/>
      <w:marBottom w:val="0"/>
      <w:divBdr>
        <w:top w:val="none" w:sz="0" w:space="0" w:color="auto"/>
        <w:left w:val="none" w:sz="0" w:space="0" w:color="auto"/>
        <w:bottom w:val="none" w:sz="0" w:space="0" w:color="auto"/>
        <w:right w:val="none" w:sz="0" w:space="0" w:color="auto"/>
      </w:divBdr>
      <w:divsChild>
        <w:div w:id="1914774244">
          <w:marLeft w:val="0"/>
          <w:marRight w:val="0"/>
          <w:marTop w:val="0"/>
          <w:marBottom w:val="0"/>
          <w:divBdr>
            <w:top w:val="none" w:sz="0" w:space="0" w:color="auto"/>
            <w:left w:val="none" w:sz="0" w:space="0" w:color="auto"/>
            <w:bottom w:val="none" w:sz="0" w:space="0" w:color="auto"/>
            <w:right w:val="none" w:sz="0" w:space="0" w:color="auto"/>
          </w:divBdr>
          <w:divsChild>
            <w:div w:id="6375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5318">
      <w:bodyDiv w:val="1"/>
      <w:marLeft w:val="0"/>
      <w:marRight w:val="0"/>
      <w:marTop w:val="0"/>
      <w:marBottom w:val="0"/>
      <w:divBdr>
        <w:top w:val="none" w:sz="0" w:space="0" w:color="auto"/>
        <w:left w:val="none" w:sz="0" w:space="0" w:color="auto"/>
        <w:bottom w:val="none" w:sz="0" w:space="0" w:color="auto"/>
        <w:right w:val="none" w:sz="0" w:space="0" w:color="auto"/>
      </w:divBdr>
      <w:divsChild>
        <w:div w:id="386537868">
          <w:marLeft w:val="0"/>
          <w:marRight w:val="0"/>
          <w:marTop w:val="0"/>
          <w:marBottom w:val="0"/>
          <w:divBdr>
            <w:top w:val="none" w:sz="0" w:space="0" w:color="auto"/>
            <w:left w:val="none" w:sz="0" w:space="0" w:color="auto"/>
            <w:bottom w:val="none" w:sz="0" w:space="0" w:color="auto"/>
            <w:right w:val="none" w:sz="0" w:space="0" w:color="auto"/>
          </w:divBdr>
          <w:divsChild>
            <w:div w:id="49912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0496">
      <w:bodyDiv w:val="1"/>
      <w:marLeft w:val="0"/>
      <w:marRight w:val="0"/>
      <w:marTop w:val="0"/>
      <w:marBottom w:val="0"/>
      <w:divBdr>
        <w:top w:val="none" w:sz="0" w:space="0" w:color="auto"/>
        <w:left w:val="none" w:sz="0" w:space="0" w:color="auto"/>
        <w:bottom w:val="none" w:sz="0" w:space="0" w:color="auto"/>
        <w:right w:val="none" w:sz="0" w:space="0" w:color="auto"/>
      </w:divBdr>
    </w:div>
    <w:div w:id="1045258360">
      <w:bodyDiv w:val="1"/>
      <w:marLeft w:val="0"/>
      <w:marRight w:val="0"/>
      <w:marTop w:val="0"/>
      <w:marBottom w:val="0"/>
      <w:divBdr>
        <w:top w:val="none" w:sz="0" w:space="0" w:color="auto"/>
        <w:left w:val="none" w:sz="0" w:space="0" w:color="auto"/>
        <w:bottom w:val="none" w:sz="0" w:space="0" w:color="auto"/>
        <w:right w:val="none" w:sz="0" w:space="0" w:color="auto"/>
      </w:divBdr>
    </w:div>
    <w:div w:id="1119031460">
      <w:bodyDiv w:val="1"/>
      <w:marLeft w:val="0"/>
      <w:marRight w:val="0"/>
      <w:marTop w:val="0"/>
      <w:marBottom w:val="0"/>
      <w:divBdr>
        <w:top w:val="none" w:sz="0" w:space="0" w:color="auto"/>
        <w:left w:val="none" w:sz="0" w:space="0" w:color="auto"/>
        <w:bottom w:val="none" w:sz="0" w:space="0" w:color="auto"/>
        <w:right w:val="none" w:sz="0" w:space="0" w:color="auto"/>
      </w:divBdr>
    </w:div>
    <w:div w:id="1128282702">
      <w:bodyDiv w:val="1"/>
      <w:marLeft w:val="0"/>
      <w:marRight w:val="0"/>
      <w:marTop w:val="0"/>
      <w:marBottom w:val="0"/>
      <w:divBdr>
        <w:top w:val="none" w:sz="0" w:space="0" w:color="auto"/>
        <w:left w:val="none" w:sz="0" w:space="0" w:color="auto"/>
        <w:bottom w:val="none" w:sz="0" w:space="0" w:color="auto"/>
        <w:right w:val="none" w:sz="0" w:space="0" w:color="auto"/>
      </w:divBdr>
      <w:divsChild>
        <w:div w:id="1565139375">
          <w:marLeft w:val="0"/>
          <w:marRight w:val="0"/>
          <w:marTop w:val="0"/>
          <w:marBottom w:val="0"/>
          <w:divBdr>
            <w:top w:val="none" w:sz="0" w:space="0" w:color="auto"/>
            <w:left w:val="none" w:sz="0" w:space="0" w:color="auto"/>
            <w:bottom w:val="none" w:sz="0" w:space="0" w:color="auto"/>
            <w:right w:val="none" w:sz="0" w:space="0" w:color="auto"/>
          </w:divBdr>
          <w:divsChild>
            <w:div w:id="1673988773">
              <w:marLeft w:val="0"/>
              <w:marRight w:val="0"/>
              <w:marTop w:val="0"/>
              <w:marBottom w:val="0"/>
              <w:divBdr>
                <w:top w:val="none" w:sz="0" w:space="0" w:color="auto"/>
                <w:left w:val="none" w:sz="0" w:space="0" w:color="auto"/>
                <w:bottom w:val="none" w:sz="0" w:space="0" w:color="auto"/>
                <w:right w:val="none" w:sz="0" w:space="0" w:color="auto"/>
              </w:divBdr>
              <w:divsChild>
                <w:div w:id="1984773776">
                  <w:marLeft w:val="0"/>
                  <w:marRight w:val="0"/>
                  <w:marTop w:val="0"/>
                  <w:marBottom w:val="0"/>
                  <w:divBdr>
                    <w:top w:val="none" w:sz="0" w:space="0" w:color="auto"/>
                    <w:left w:val="none" w:sz="0" w:space="0" w:color="auto"/>
                    <w:bottom w:val="none" w:sz="0" w:space="0" w:color="auto"/>
                    <w:right w:val="none" w:sz="0" w:space="0" w:color="auto"/>
                  </w:divBdr>
                </w:div>
                <w:div w:id="1000356918">
                  <w:marLeft w:val="0"/>
                  <w:marRight w:val="0"/>
                  <w:marTop w:val="0"/>
                  <w:marBottom w:val="0"/>
                  <w:divBdr>
                    <w:top w:val="none" w:sz="0" w:space="0" w:color="auto"/>
                    <w:left w:val="none" w:sz="0" w:space="0" w:color="auto"/>
                    <w:bottom w:val="none" w:sz="0" w:space="0" w:color="auto"/>
                    <w:right w:val="none" w:sz="0" w:space="0" w:color="auto"/>
                  </w:divBdr>
                </w:div>
                <w:div w:id="1849178983">
                  <w:marLeft w:val="0"/>
                  <w:marRight w:val="0"/>
                  <w:marTop w:val="0"/>
                  <w:marBottom w:val="0"/>
                  <w:divBdr>
                    <w:top w:val="none" w:sz="0" w:space="0" w:color="auto"/>
                    <w:left w:val="none" w:sz="0" w:space="0" w:color="auto"/>
                    <w:bottom w:val="none" w:sz="0" w:space="0" w:color="auto"/>
                    <w:right w:val="none" w:sz="0" w:space="0" w:color="auto"/>
                  </w:divBdr>
                </w:div>
                <w:div w:id="1799376453">
                  <w:marLeft w:val="0"/>
                  <w:marRight w:val="0"/>
                  <w:marTop w:val="0"/>
                  <w:marBottom w:val="0"/>
                  <w:divBdr>
                    <w:top w:val="none" w:sz="0" w:space="0" w:color="auto"/>
                    <w:left w:val="none" w:sz="0" w:space="0" w:color="auto"/>
                    <w:bottom w:val="none" w:sz="0" w:space="0" w:color="auto"/>
                    <w:right w:val="none" w:sz="0" w:space="0" w:color="auto"/>
                  </w:divBdr>
                </w:div>
                <w:div w:id="1366101245">
                  <w:marLeft w:val="0"/>
                  <w:marRight w:val="0"/>
                  <w:marTop w:val="0"/>
                  <w:marBottom w:val="0"/>
                  <w:divBdr>
                    <w:top w:val="none" w:sz="0" w:space="0" w:color="auto"/>
                    <w:left w:val="none" w:sz="0" w:space="0" w:color="auto"/>
                    <w:bottom w:val="none" w:sz="0" w:space="0" w:color="auto"/>
                    <w:right w:val="none" w:sz="0" w:space="0" w:color="auto"/>
                  </w:divBdr>
                </w:div>
                <w:div w:id="1585608252">
                  <w:marLeft w:val="0"/>
                  <w:marRight w:val="0"/>
                  <w:marTop w:val="0"/>
                  <w:marBottom w:val="0"/>
                  <w:divBdr>
                    <w:top w:val="none" w:sz="0" w:space="0" w:color="auto"/>
                    <w:left w:val="none" w:sz="0" w:space="0" w:color="auto"/>
                    <w:bottom w:val="none" w:sz="0" w:space="0" w:color="auto"/>
                    <w:right w:val="none" w:sz="0" w:space="0" w:color="auto"/>
                  </w:divBdr>
                </w:div>
                <w:div w:id="2109962664">
                  <w:marLeft w:val="0"/>
                  <w:marRight w:val="0"/>
                  <w:marTop w:val="0"/>
                  <w:marBottom w:val="0"/>
                  <w:divBdr>
                    <w:top w:val="none" w:sz="0" w:space="0" w:color="auto"/>
                    <w:left w:val="none" w:sz="0" w:space="0" w:color="auto"/>
                    <w:bottom w:val="none" w:sz="0" w:space="0" w:color="auto"/>
                    <w:right w:val="none" w:sz="0" w:space="0" w:color="auto"/>
                  </w:divBdr>
                </w:div>
                <w:div w:id="1583025084">
                  <w:marLeft w:val="0"/>
                  <w:marRight w:val="0"/>
                  <w:marTop w:val="0"/>
                  <w:marBottom w:val="0"/>
                  <w:divBdr>
                    <w:top w:val="none" w:sz="0" w:space="0" w:color="auto"/>
                    <w:left w:val="none" w:sz="0" w:space="0" w:color="auto"/>
                    <w:bottom w:val="none" w:sz="0" w:space="0" w:color="auto"/>
                    <w:right w:val="none" w:sz="0" w:space="0" w:color="auto"/>
                  </w:divBdr>
                </w:div>
                <w:div w:id="1052999327">
                  <w:marLeft w:val="0"/>
                  <w:marRight w:val="0"/>
                  <w:marTop w:val="0"/>
                  <w:marBottom w:val="0"/>
                  <w:divBdr>
                    <w:top w:val="none" w:sz="0" w:space="0" w:color="auto"/>
                    <w:left w:val="none" w:sz="0" w:space="0" w:color="auto"/>
                    <w:bottom w:val="none" w:sz="0" w:space="0" w:color="auto"/>
                    <w:right w:val="none" w:sz="0" w:space="0" w:color="auto"/>
                  </w:divBdr>
                </w:div>
                <w:div w:id="1509061522">
                  <w:marLeft w:val="0"/>
                  <w:marRight w:val="0"/>
                  <w:marTop w:val="0"/>
                  <w:marBottom w:val="0"/>
                  <w:divBdr>
                    <w:top w:val="none" w:sz="0" w:space="0" w:color="auto"/>
                    <w:left w:val="none" w:sz="0" w:space="0" w:color="auto"/>
                    <w:bottom w:val="none" w:sz="0" w:space="0" w:color="auto"/>
                    <w:right w:val="none" w:sz="0" w:space="0" w:color="auto"/>
                  </w:divBdr>
                </w:div>
                <w:div w:id="1328090455">
                  <w:marLeft w:val="0"/>
                  <w:marRight w:val="0"/>
                  <w:marTop w:val="0"/>
                  <w:marBottom w:val="0"/>
                  <w:divBdr>
                    <w:top w:val="none" w:sz="0" w:space="0" w:color="auto"/>
                    <w:left w:val="none" w:sz="0" w:space="0" w:color="auto"/>
                    <w:bottom w:val="none" w:sz="0" w:space="0" w:color="auto"/>
                    <w:right w:val="none" w:sz="0" w:space="0" w:color="auto"/>
                  </w:divBdr>
                </w:div>
                <w:div w:id="1394160261">
                  <w:marLeft w:val="0"/>
                  <w:marRight w:val="0"/>
                  <w:marTop w:val="0"/>
                  <w:marBottom w:val="0"/>
                  <w:divBdr>
                    <w:top w:val="none" w:sz="0" w:space="0" w:color="auto"/>
                    <w:left w:val="none" w:sz="0" w:space="0" w:color="auto"/>
                    <w:bottom w:val="none" w:sz="0" w:space="0" w:color="auto"/>
                    <w:right w:val="none" w:sz="0" w:space="0" w:color="auto"/>
                  </w:divBdr>
                </w:div>
                <w:div w:id="946235228">
                  <w:marLeft w:val="0"/>
                  <w:marRight w:val="0"/>
                  <w:marTop w:val="0"/>
                  <w:marBottom w:val="0"/>
                  <w:divBdr>
                    <w:top w:val="none" w:sz="0" w:space="0" w:color="auto"/>
                    <w:left w:val="none" w:sz="0" w:space="0" w:color="auto"/>
                    <w:bottom w:val="none" w:sz="0" w:space="0" w:color="auto"/>
                    <w:right w:val="none" w:sz="0" w:space="0" w:color="auto"/>
                  </w:divBdr>
                </w:div>
                <w:div w:id="1790053022">
                  <w:marLeft w:val="0"/>
                  <w:marRight w:val="0"/>
                  <w:marTop w:val="0"/>
                  <w:marBottom w:val="0"/>
                  <w:divBdr>
                    <w:top w:val="none" w:sz="0" w:space="0" w:color="auto"/>
                    <w:left w:val="none" w:sz="0" w:space="0" w:color="auto"/>
                    <w:bottom w:val="none" w:sz="0" w:space="0" w:color="auto"/>
                    <w:right w:val="none" w:sz="0" w:space="0" w:color="auto"/>
                  </w:divBdr>
                </w:div>
                <w:div w:id="1210916323">
                  <w:marLeft w:val="0"/>
                  <w:marRight w:val="0"/>
                  <w:marTop w:val="0"/>
                  <w:marBottom w:val="0"/>
                  <w:divBdr>
                    <w:top w:val="none" w:sz="0" w:space="0" w:color="auto"/>
                    <w:left w:val="none" w:sz="0" w:space="0" w:color="auto"/>
                    <w:bottom w:val="none" w:sz="0" w:space="0" w:color="auto"/>
                    <w:right w:val="none" w:sz="0" w:space="0" w:color="auto"/>
                  </w:divBdr>
                </w:div>
                <w:div w:id="576136028">
                  <w:marLeft w:val="0"/>
                  <w:marRight w:val="0"/>
                  <w:marTop w:val="0"/>
                  <w:marBottom w:val="0"/>
                  <w:divBdr>
                    <w:top w:val="none" w:sz="0" w:space="0" w:color="auto"/>
                    <w:left w:val="none" w:sz="0" w:space="0" w:color="auto"/>
                    <w:bottom w:val="none" w:sz="0" w:space="0" w:color="auto"/>
                    <w:right w:val="none" w:sz="0" w:space="0" w:color="auto"/>
                  </w:divBdr>
                </w:div>
                <w:div w:id="547911804">
                  <w:marLeft w:val="0"/>
                  <w:marRight w:val="0"/>
                  <w:marTop w:val="0"/>
                  <w:marBottom w:val="0"/>
                  <w:divBdr>
                    <w:top w:val="none" w:sz="0" w:space="0" w:color="auto"/>
                    <w:left w:val="none" w:sz="0" w:space="0" w:color="auto"/>
                    <w:bottom w:val="none" w:sz="0" w:space="0" w:color="auto"/>
                    <w:right w:val="none" w:sz="0" w:space="0" w:color="auto"/>
                  </w:divBdr>
                </w:div>
                <w:div w:id="1598292777">
                  <w:marLeft w:val="0"/>
                  <w:marRight w:val="0"/>
                  <w:marTop w:val="0"/>
                  <w:marBottom w:val="0"/>
                  <w:divBdr>
                    <w:top w:val="none" w:sz="0" w:space="0" w:color="auto"/>
                    <w:left w:val="none" w:sz="0" w:space="0" w:color="auto"/>
                    <w:bottom w:val="none" w:sz="0" w:space="0" w:color="auto"/>
                    <w:right w:val="none" w:sz="0" w:space="0" w:color="auto"/>
                  </w:divBdr>
                </w:div>
                <w:div w:id="9772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6471">
          <w:marLeft w:val="0"/>
          <w:marRight w:val="0"/>
          <w:marTop w:val="0"/>
          <w:marBottom w:val="0"/>
          <w:divBdr>
            <w:top w:val="none" w:sz="0" w:space="0" w:color="auto"/>
            <w:left w:val="none" w:sz="0" w:space="0" w:color="auto"/>
            <w:bottom w:val="none" w:sz="0" w:space="0" w:color="auto"/>
            <w:right w:val="none" w:sz="0" w:space="0" w:color="auto"/>
          </w:divBdr>
          <w:divsChild>
            <w:div w:id="1178882433">
              <w:marLeft w:val="0"/>
              <w:marRight w:val="0"/>
              <w:marTop w:val="0"/>
              <w:marBottom w:val="0"/>
              <w:divBdr>
                <w:top w:val="none" w:sz="0" w:space="0" w:color="auto"/>
                <w:left w:val="none" w:sz="0" w:space="0" w:color="auto"/>
                <w:bottom w:val="none" w:sz="0" w:space="0" w:color="auto"/>
                <w:right w:val="none" w:sz="0" w:space="0" w:color="auto"/>
              </w:divBdr>
              <w:divsChild>
                <w:div w:id="1156217441">
                  <w:marLeft w:val="0"/>
                  <w:marRight w:val="0"/>
                  <w:marTop w:val="0"/>
                  <w:marBottom w:val="0"/>
                  <w:divBdr>
                    <w:top w:val="none" w:sz="0" w:space="0" w:color="auto"/>
                    <w:left w:val="none" w:sz="0" w:space="0" w:color="auto"/>
                    <w:bottom w:val="none" w:sz="0" w:space="0" w:color="auto"/>
                    <w:right w:val="none" w:sz="0" w:space="0" w:color="auto"/>
                  </w:divBdr>
                </w:div>
                <w:div w:id="41368298">
                  <w:marLeft w:val="0"/>
                  <w:marRight w:val="0"/>
                  <w:marTop w:val="0"/>
                  <w:marBottom w:val="0"/>
                  <w:divBdr>
                    <w:top w:val="none" w:sz="0" w:space="0" w:color="auto"/>
                    <w:left w:val="none" w:sz="0" w:space="0" w:color="auto"/>
                    <w:bottom w:val="none" w:sz="0" w:space="0" w:color="auto"/>
                    <w:right w:val="none" w:sz="0" w:space="0" w:color="auto"/>
                  </w:divBdr>
                </w:div>
                <w:div w:id="1161771459">
                  <w:marLeft w:val="0"/>
                  <w:marRight w:val="0"/>
                  <w:marTop w:val="0"/>
                  <w:marBottom w:val="0"/>
                  <w:divBdr>
                    <w:top w:val="none" w:sz="0" w:space="0" w:color="auto"/>
                    <w:left w:val="none" w:sz="0" w:space="0" w:color="auto"/>
                    <w:bottom w:val="none" w:sz="0" w:space="0" w:color="auto"/>
                    <w:right w:val="none" w:sz="0" w:space="0" w:color="auto"/>
                  </w:divBdr>
                </w:div>
                <w:div w:id="116683969">
                  <w:marLeft w:val="0"/>
                  <w:marRight w:val="0"/>
                  <w:marTop w:val="0"/>
                  <w:marBottom w:val="0"/>
                  <w:divBdr>
                    <w:top w:val="none" w:sz="0" w:space="0" w:color="auto"/>
                    <w:left w:val="none" w:sz="0" w:space="0" w:color="auto"/>
                    <w:bottom w:val="none" w:sz="0" w:space="0" w:color="auto"/>
                    <w:right w:val="none" w:sz="0" w:space="0" w:color="auto"/>
                  </w:divBdr>
                </w:div>
                <w:div w:id="1199666460">
                  <w:marLeft w:val="0"/>
                  <w:marRight w:val="0"/>
                  <w:marTop w:val="0"/>
                  <w:marBottom w:val="0"/>
                  <w:divBdr>
                    <w:top w:val="none" w:sz="0" w:space="0" w:color="auto"/>
                    <w:left w:val="none" w:sz="0" w:space="0" w:color="auto"/>
                    <w:bottom w:val="none" w:sz="0" w:space="0" w:color="auto"/>
                    <w:right w:val="none" w:sz="0" w:space="0" w:color="auto"/>
                  </w:divBdr>
                </w:div>
                <w:div w:id="1890728012">
                  <w:marLeft w:val="0"/>
                  <w:marRight w:val="0"/>
                  <w:marTop w:val="0"/>
                  <w:marBottom w:val="0"/>
                  <w:divBdr>
                    <w:top w:val="none" w:sz="0" w:space="0" w:color="auto"/>
                    <w:left w:val="none" w:sz="0" w:space="0" w:color="auto"/>
                    <w:bottom w:val="none" w:sz="0" w:space="0" w:color="auto"/>
                    <w:right w:val="none" w:sz="0" w:space="0" w:color="auto"/>
                  </w:divBdr>
                </w:div>
                <w:div w:id="1404718176">
                  <w:marLeft w:val="0"/>
                  <w:marRight w:val="0"/>
                  <w:marTop w:val="0"/>
                  <w:marBottom w:val="0"/>
                  <w:divBdr>
                    <w:top w:val="none" w:sz="0" w:space="0" w:color="auto"/>
                    <w:left w:val="none" w:sz="0" w:space="0" w:color="auto"/>
                    <w:bottom w:val="none" w:sz="0" w:space="0" w:color="auto"/>
                    <w:right w:val="none" w:sz="0" w:space="0" w:color="auto"/>
                  </w:divBdr>
                </w:div>
                <w:div w:id="217324773">
                  <w:marLeft w:val="0"/>
                  <w:marRight w:val="0"/>
                  <w:marTop w:val="0"/>
                  <w:marBottom w:val="0"/>
                  <w:divBdr>
                    <w:top w:val="none" w:sz="0" w:space="0" w:color="auto"/>
                    <w:left w:val="none" w:sz="0" w:space="0" w:color="auto"/>
                    <w:bottom w:val="none" w:sz="0" w:space="0" w:color="auto"/>
                    <w:right w:val="none" w:sz="0" w:space="0" w:color="auto"/>
                  </w:divBdr>
                </w:div>
                <w:div w:id="528567832">
                  <w:marLeft w:val="0"/>
                  <w:marRight w:val="0"/>
                  <w:marTop w:val="0"/>
                  <w:marBottom w:val="0"/>
                  <w:divBdr>
                    <w:top w:val="none" w:sz="0" w:space="0" w:color="auto"/>
                    <w:left w:val="none" w:sz="0" w:space="0" w:color="auto"/>
                    <w:bottom w:val="none" w:sz="0" w:space="0" w:color="auto"/>
                    <w:right w:val="none" w:sz="0" w:space="0" w:color="auto"/>
                  </w:divBdr>
                </w:div>
                <w:div w:id="173350860">
                  <w:marLeft w:val="0"/>
                  <w:marRight w:val="0"/>
                  <w:marTop w:val="0"/>
                  <w:marBottom w:val="0"/>
                  <w:divBdr>
                    <w:top w:val="none" w:sz="0" w:space="0" w:color="auto"/>
                    <w:left w:val="none" w:sz="0" w:space="0" w:color="auto"/>
                    <w:bottom w:val="none" w:sz="0" w:space="0" w:color="auto"/>
                    <w:right w:val="none" w:sz="0" w:space="0" w:color="auto"/>
                  </w:divBdr>
                </w:div>
                <w:div w:id="1473600579">
                  <w:marLeft w:val="0"/>
                  <w:marRight w:val="0"/>
                  <w:marTop w:val="0"/>
                  <w:marBottom w:val="0"/>
                  <w:divBdr>
                    <w:top w:val="none" w:sz="0" w:space="0" w:color="auto"/>
                    <w:left w:val="none" w:sz="0" w:space="0" w:color="auto"/>
                    <w:bottom w:val="none" w:sz="0" w:space="0" w:color="auto"/>
                    <w:right w:val="none" w:sz="0" w:space="0" w:color="auto"/>
                  </w:divBdr>
                </w:div>
                <w:div w:id="430006259">
                  <w:marLeft w:val="0"/>
                  <w:marRight w:val="0"/>
                  <w:marTop w:val="0"/>
                  <w:marBottom w:val="0"/>
                  <w:divBdr>
                    <w:top w:val="none" w:sz="0" w:space="0" w:color="auto"/>
                    <w:left w:val="none" w:sz="0" w:space="0" w:color="auto"/>
                    <w:bottom w:val="none" w:sz="0" w:space="0" w:color="auto"/>
                    <w:right w:val="none" w:sz="0" w:space="0" w:color="auto"/>
                  </w:divBdr>
                </w:div>
                <w:div w:id="329866295">
                  <w:marLeft w:val="0"/>
                  <w:marRight w:val="0"/>
                  <w:marTop w:val="0"/>
                  <w:marBottom w:val="0"/>
                  <w:divBdr>
                    <w:top w:val="none" w:sz="0" w:space="0" w:color="auto"/>
                    <w:left w:val="none" w:sz="0" w:space="0" w:color="auto"/>
                    <w:bottom w:val="none" w:sz="0" w:space="0" w:color="auto"/>
                    <w:right w:val="none" w:sz="0" w:space="0" w:color="auto"/>
                  </w:divBdr>
                </w:div>
                <w:div w:id="14450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1254">
      <w:bodyDiv w:val="1"/>
      <w:marLeft w:val="0"/>
      <w:marRight w:val="0"/>
      <w:marTop w:val="0"/>
      <w:marBottom w:val="0"/>
      <w:divBdr>
        <w:top w:val="none" w:sz="0" w:space="0" w:color="auto"/>
        <w:left w:val="none" w:sz="0" w:space="0" w:color="auto"/>
        <w:bottom w:val="none" w:sz="0" w:space="0" w:color="auto"/>
        <w:right w:val="none" w:sz="0" w:space="0" w:color="auto"/>
      </w:divBdr>
      <w:divsChild>
        <w:div w:id="763232991">
          <w:marLeft w:val="0"/>
          <w:marRight w:val="0"/>
          <w:marTop w:val="0"/>
          <w:marBottom w:val="0"/>
          <w:divBdr>
            <w:top w:val="none" w:sz="0" w:space="0" w:color="auto"/>
            <w:left w:val="none" w:sz="0" w:space="0" w:color="auto"/>
            <w:bottom w:val="none" w:sz="0" w:space="0" w:color="auto"/>
            <w:right w:val="none" w:sz="0" w:space="0" w:color="auto"/>
          </w:divBdr>
        </w:div>
        <w:div w:id="459223383">
          <w:marLeft w:val="0"/>
          <w:marRight w:val="0"/>
          <w:marTop w:val="0"/>
          <w:marBottom w:val="0"/>
          <w:divBdr>
            <w:top w:val="none" w:sz="0" w:space="0" w:color="auto"/>
            <w:left w:val="none" w:sz="0" w:space="0" w:color="auto"/>
            <w:bottom w:val="none" w:sz="0" w:space="0" w:color="auto"/>
            <w:right w:val="none" w:sz="0" w:space="0" w:color="auto"/>
          </w:divBdr>
        </w:div>
        <w:div w:id="1682852808">
          <w:marLeft w:val="0"/>
          <w:marRight w:val="0"/>
          <w:marTop w:val="0"/>
          <w:marBottom w:val="0"/>
          <w:divBdr>
            <w:top w:val="none" w:sz="0" w:space="0" w:color="auto"/>
            <w:left w:val="none" w:sz="0" w:space="0" w:color="auto"/>
            <w:bottom w:val="none" w:sz="0" w:space="0" w:color="auto"/>
            <w:right w:val="none" w:sz="0" w:space="0" w:color="auto"/>
          </w:divBdr>
        </w:div>
      </w:divsChild>
    </w:div>
    <w:div w:id="1218513408">
      <w:bodyDiv w:val="1"/>
      <w:marLeft w:val="0"/>
      <w:marRight w:val="0"/>
      <w:marTop w:val="0"/>
      <w:marBottom w:val="0"/>
      <w:divBdr>
        <w:top w:val="none" w:sz="0" w:space="0" w:color="auto"/>
        <w:left w:val="none" w:sz="0" w:space="0" w:color="auto"/>
        <w:bottom w:val="none" w:sz="0" w:space="0" w:color="auto"/>
        <w:right w:val="none" w:sz="0" w:space="0" w:color="auto"/>
      </w:divBdr>
    </w:div>
    <w:div w:id="1397167325">
      <w:bodyDiv w:val="1"/>
      <w:marLeft w:val="0"/>
      <w:marRight w:val="0"/>
      <w:marTop w:val="0"/>
      <w:marBottom w:val="0"/>
      <w:divBdr>
        <w:top w:val="none" w:sz="0" w:space="0" w:color="auto"/>
        <w:left w:val="none" w:sz="0" w:space="0" w:color="auto"/>
        <w:bottom w:val="none" w:sz="0" w:space="0" w:color="auto"/>
        <w:right w:val="none" w:sz="0" w:space="0" w:color="auto"/>
      </w:divBdr>
    </w:div>
    <w:div w:id="1610551040">
      <w:bodyDiv w:val="1"/>
      <w:marLeft w:val="0"/>
      <w:marRight w:val="0"/>
      <w:marTop w:val="0"/>
      <w:marBottom w:val="0"/>
      <w:divBdr>
        <w:top w:val="none" w:sz="0" w:space="0" w:color="auto"/>
        <w:left w:val="none" w:sz="0" w:space="0" w:color="auto"/>
        <w:bottom w:val="none" w:sz="0" w:space="0" w:color="auto"/>
        <w:right w:val="none" w:sz="0" w:space="0" w:color="auto"/>
      </w:divBdr>
    </w:div>
    <w:div w:id="1652909889">
      <w:bodyDiv w:val="1"/>
      <w:marLeft w:val="0"/>
      <w:marRight w:val="0"/>
      <w:marTop w:val="0"/>
      <w:marBottom w:val="0"/>
      <w:divBdr>
        <w:top w:val="none" w:sz="0" w:space="0" w:color="auto"/>
        <w:left w:val="none" w:sz="0" w:space="0" w:color="auto"/>
        <w:bottom w:val="none" w:sz="0" w:space="0" w:color="auto"/>
        <w:right w:val="none" w:sz="0" w:space="0" w:color="auto"/>
      </w:divBdr>
    </w:div>
    <w:div w:id="1894660896">
      <w:bodyDiv w:val="1"/>
      <w:marLeft w:val="0"/>
      <w:marRight w:val="0"/>
      <w:marTop w:val="0"/>
      <w:marBottom w:val="0"/>
      <w:divBdr>
        <w:top w:val="none" w:sz="0" w:space="0" w:color="auto"/>
        <w:left w:val="none" w:sz="0" w:space="0" w:color="auto"/>
        <w:bottom w:val="none" w:sz="0" w:space="0" w:color="auto"/>
        <w:right w:val="none" w:sz="0" w:space="0" w:color="auto"/>
      </w:divBdr>
      <w:divsChild>
        <w:div w:id="131599727">
          <w:marLeft w:val="0"/>
          <w:marRight w:val="0"/>
          <w:marTop w:val="0"/>
          <w:marBottom w:val="0"/>
          <w:divBdr>
            <w:top w:val="none" w:sz="0" w:space="0" w:color="auto"/>
            <w:left w:val="none" w:sz="0" w:space="0" w:color="auto"/>
            <w:bottom w:val="none" w:sz="0" w:space="0" w:color="auto"/>
            <w:right w:val="none" w:sz="0" w:space="0" w:color="auto"/>
          </w:divBdr>
          <w:divsChild>
            <w:div w:id="16017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7448">
      <w:bodyDiv w:val="1"/>
      <w:marLeft w:val="0"/>
      <w:marRight w:val="0"/>
      <w:marTop w:val="0"/>
      <w:marBottom w:val="0"/>
      <w:divBdr>
        <w:top w:val="none" w:sz="0" w:space="0" w:color="auto"/>
        <w:left w:val="none" w:sz="0" w:space="0" w:color="auto"/>
        <w:bottom w:val="none" w:sz="0" w:space="0" w:color="auto"/>
        <w:right w:val="none" w:sz="0" w:space="0" w:color="auto"/>
      </w:divBdr>
      <w:divsChild>
        <w:div w:id="1097824915">
          <w:marLeft w:val="0"/>
          <w:marRight w:val="0"/>
          <w:marTop w:val="0"/>
          <w:marBottom w:val="0"/>
          <w:divBdr>
            <w:top w:val="none" w:sz="0" w:space="0" w:color="auto"/>
            <w:left w:val="none" w:sz="0" w:space="0" w:color="auto"/>
            <w:bottom w:val="none" w:sz="0" w:space="0" w:color="auto"/>
            <w:right w:val="none" w:sz="0" w:space="0" w:color="auto"/>
          </w:divBdr>
          <w:divsChild>
            <w:div w:id="171030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jackson@ucl.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20052</Words>
  <Characters>114302</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134086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Jackson</dc:creator>
  <cp:lastModifiedBy>Lee Smith</cp:lastModifiedBy>
  <cp:revision>2</cp:revision>
  <cp:lastPrinted>2019-03-26T19:31:00Z</cp:lastPrinted>
  <dcterms:created xsi:type="dcterms:W3CDTF">2020-01-14T18:33:00Z</dcterms:created>
  <dcterms:modified xsi:type="dcterms:W3CDTF">2020-01-14T18:33:00Z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zotero-version="5.0.45"&gt;&lt;session id="Gpmhm9Fe"/&gt;&lt;style id="http://www.zotero.org/styles/american-medical-association" hasBibliography="1" bibliographyStyleHasBeenSet="1"/&gt;&lt;prefs&gt;&lt;pref name="fieldType" value="Field"/&gt;&lt;pref name="stor</vt:lpwstr>
  </property>
  <property fmtid="{D5CDD505-2E9C-101B-9397-08002B2CF9AE}" pid="3" name="ZOTERO_PREF_2">
    <vt:lpwstr>eReferences" value="true"/&gt;&lt;pref name="automaticJournalAbbreviations" value="true"/&gt;&lt;/prefs&gt;&lt;/data&gt;</vt:lpwstr>
  </property>
</Properties>
</file>