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FED8F8" w14:textId="730053E5" w:rsidR="005A5709" w:rsidRPr="00041FEB" w:rsidRDefault="00E073FB" w:rsidP="00B44AE2">
      <w:pPr>
        <w:spacing w:line="480" w:lineRule="auto"/>
        <w:rPr>
          <w:bCs/>
        </w:rPr>
      </w:pPr>
      <w:r w:rsidRPr="00041FEB">
        <w:rPr>
          <w:b/>
        </w:rPr>
        <w:t xml:space="preserve">Title: </w:t>
      </w:r>
      <w:r w:rsidR="005A5709" w:rsidRPr="00041FEB">
        <w:rPr>
          <w:bCs/>
        </w:rPr>
        <w:t>Informal caregiving</w:t>
      </w:r>
      <w:r w:rsidR="00E002CD" w:rsidRPr="00041FEB">
        <w:rPr>
          <w:bCs/>
        </w:rPr>
        <w:t>, chronic physical conditions</w:t>
      </w:r>
      <w:r w:rsidR="009D3F45" w:rsidRPr="00041FEB">
        <w:rPr>
          <w:bCs/>
        </w:rPr>
        <w:t>,</w:t>
      </w:r>
      <w:r w:rsidR="00E002CD" w:rsidRPr="00041FEB">
        <w:rPr>
          <w:bCs/>
        </w:rPr>
        <w:t xml:space="preserve"> and physical multimorbidity in 48 low- and middle-income countries</w:t>
      </w:r>
    </w:p>
    <w:p w14:paraId="3C91388A" w14:textId="613ABAC2" w:rsidR="00DC58F7" w:rsidRPr="00041FEB" w:rsidRDefault="00DC58F7" w:rsidP="00B44AE2">
      <w:pPr>
        <w:spacing w:line="480" w:lineRule="auto"/>
        <w:rPr>
          <w:b/>
        </w:rPr>
      </w:pPr>
    </w:p>
    <w:p w14:paraId="251B7E9E" w14:textId="453A5C57" w:rsidR="00E002CD" w:rsidRPr="00041FEB" w:rsidRDefault="00E002CD" w:rsidP="00B44AE2">
      <w:pPr>
        <w:spacing w:line="480" w:lineRule="auto"/>
        <w:rPr>
          <w:bCs/>
        </w:rPr>
      </w:pPr>
      <w:r w:rsidRPr="00041FEB">
        <w:rPr>
          <w:b/>
        </w:rPr>
        <w:t xml:space="preserve">Running title: </w:t>
      </w:r>
      <w:r w:rsidRPr="00041FEB">
        <w:rPr>
          <w:bCs/>
        </w:rPr>
        <w:t>Informal caregiving and multimorbidity in LMICs</w:t>
      </w:r>
    </w:p>
    <w:p w14:paraId="6AF5439B" w14:textId="5E2F6E85" w:rsidR="00E002CD" w:rsidRPr="00041FEB" w:rsidRDefault="00E002CD" w:rsidP="00B44AE2">
      <w:pPr>
        <w:spacing w:line="480" w:lineRule="auto"/>
        <w:rPr>
          <w:bCs/>
        </w:rPr>
      </w:pPr>
    </w:p>
    <w:p w14:paraId="5219C2AD" w14:textId="52EE3CA6" w:rsidR="002E2AC9" w:rsidRPr="00041FEB" w:rsidRDefault="002E2AC9" w:rsidP="00B44AE2">
      <w:pPr>
        <w:spacing w:line="480" w:lineRule="auto"/>
      </w:pPr>
      <w:r w:rsidRPr="00041FEB">
        <w:t xml:space="preserve">Louis Jacob, </w:t>
      </w:r>
      <w:proofErr w:type="spellStart"/>
      <w:r w:rsidRPr="00041FEB">
        <w:t>PhD</w:t>
      </w:r>
      <w:r w:rsidRPr="00041FEB">
        <w:rPr>
          <w:vertAlign w:val="superscript"/>
        </w:rPr>
        <w:t>a,b</w:t>
      </w:r>
      <w:proofErr w:type="spellEnd"/>
      <w:r w:rsidRPr="00041FEB">
        <w:t xml:space="preserve">; </w:t>
      </w:r>
      <w:r w:rsidR="009845CC" w:rsidRPr="00041FEB">
        <w:t xml:space="preserve">Hans Oh, </w:t>
      </w:r>
      <w:proofErr w:type="spellStart"/>
      <w:r w:rsidR="009845CC" w:rsidRPr="00041FEB">
        <w:t>PhD</w:t>
      </w:r>
      <w:r w:rsidR="009845CC" w:rsidRPr="00041FEB">
        <w:rPr>
          <w:vertAlign w:val="superscript"/>
        </w:rPr>
        <w:t>c</w:t>
      </w:r>
      <w:proofErr w:type="spellEnd"/>
      <w:r w:rsidR="009845CC" w:rsidRPr="00041FEB">
        <w:t>; Jae Il Shin, MD-</w:t>
      </w:r>
      <w:proofErr w:type="spellStart"/>
      <w:r w:rsidR="009845CC" w:rsidRPr="00041FEB">
        <w:t>PhD</w:t>
      </w:r>
      <w:r w:rsidR="009845CC" w:rsidRPr="00041FEB">
        <w:rPr>
          <w:vertAlign w:val="superscript"/>
        </w:rPr>
        <w:t>d</w:t>
      </w:r>
      <w:proofErr w:type="spellEnd"/>
      <w:r w:rsidR="009845CC" w:rsidRPr="00041FEB">
        <w:t xml:space="preserve">; </w:t>
      </w:r>
      <w:proofErr w:type="spellStart"/>
      <w:r w:rsidR="0084555C" w:rsidRPr="00041FEB">
        <w:t>Josep</w:t>
      </w:r>
      <w:proofErr w:type="spellEnd"/>
      <w:r w:rsidR="0084555C" w:rsidRPr="00041FEB">
        <w:t xml:space="preserve"> Maria </w:t>
      </w:r>
      <w:proofErr w:type="spellStart"/>
      <w:r w:rsidR="0084555C" w:rsidRPr="00041FEB">
        <w:t>Haro</w:t>
      </w:r>
      <w:proofErr w:type="spellEnd"/>
      <w:r w:rsidR="0084555C" w:rsidRPr="00041FEB">
        <w:t>, MD-</w:t>
      </w:r>
      <w:proofErr w:type="spellStart"/>
      <w:r w:rsidR="0084555C" w:rsidRPr="00041FEB">
        <w:t>PhD</w:t>
      </w:r>
      <w:r w:rsidR="0084555C" w:rsidRPr="00041FEB">
        <w:rPr>
          <w:vertAlign w:val="superscript"/>
        </w:rPr>
        <w:t>b</w:t>
      </w:r>
      <w:proofErr w:type="spellEnd"/>
      <w:r w:rsidR="0084555C" w:rsidRPr="00041FEB">
        <w:t xml:space="preserve">; </w:t>
      </w:r>
      <w:r w:rsidR="009845CC" w:rsidRPr="00041FEB">
        <w:t xml:space="preserve">Davy </w:t>
      </w:r>
      <w:proofErr w:type="spellStart"/>
      <w:r w:rsidR="009845CC" w:rsidRPr="00041FEB">
        <w:t>Vancampfort</w:t>
      </w:r>
      <w:proofErr w:type="spellEnd"/>
      <w:r w:rsidR="009845CC" w:rsidRPr="00041FEB">
        <w:t xml:space="preserve">, </w:t>
      </w:r>
      <w:proofErr w:type="spellStart"/>
      <w:r w:rsidR="009845CC" w:rsidRPr="00041FEB">
        <w:t>PhD</w:t>
      </w:r>
      <w:r w:rsidR="009845CC" w:rsidRPr="00041FEB">
        <w:rPr>
          <w:vertAlign w:val="superscript"/>
        </w:rPr>
        <w:t>e,f</w:t>
      </w:r>
      <w:proofErr w:type="spellEnd"/>
      <w:r w:rsidR="009845CC" w:rsidRPr="00041FEB">
        <w:t>;</w:t>
      </w:r>
      <w:r w:rsidR="003732A5" w:rsidRPr="00041FEB">
        <w:t xml:space="preserve"> Brendon Stubbs, </w:t>
      </w:r>
      <w:proofErr w:type="spellStart"/>
      <w:r w:rsidR="003732A5" w:rsidRPr="00041FEB">
        <w:t>PhD</w:t>
      </w:r>
      <w:r w:rsidR="003732A5" w:rsidRPr="00041FEB">
        <w:rPr>
          <w:vertAlign w:val="superscript"/>
        </w:rPr>
        <w:t>g,h</w:t>
      </w:r>
      <w:proofErr w:type="spellEnd"/>
      <w:r w:rsidR="003732A5" w:rsidRPr="00041FEB">
        <w:t>;</w:t>
      </w:r>
      <w:r w:rsidR="00235B01" w:rsidRPr="00041FEB">
        <w:t xml:space="preserve"> Sarah E. Jackson, </w:t>
      </w:r>
      <w:proofErr w:type="spellStart"/>
      <w:r w:rsidR="00235B01" w:rsidRPr="00041FEB">
        <w:t>PhD</w:t>
      </w:r>
      <w:r w:rsidR="00235B01" w:rsidRPr="00041FEB">
        <w:rPr>
          <w:vertAlign w:val="superscript"/>
        </w:rPr>
        <w:t>i</w:t>
      </w:r>
      <w:proofErr w:type="spellEnd"/>
      <w:r w:rsidR="00235B01" w:rsidRPr="00041FEB">
        <w:t xml:space="preserve">; Lee Smith, </w:t>
      </w:r>
      <w:proofErr w:type="spellStart"/>
      <w:r w:rsidR="00235B01" w:rsidRPr="00041FEB">
        <w:t>PhD</w:t>
      </w:r>
      <w:r w:rsidR="00396288" w:rsidRPr="00041FEB">
        <w:rPr>
          <w:vertAlign w:val="superscript"/>
        </w:rPr>
        <w:t>j</w:t>
      </w:r>
      <w:proofErr w:type="spellEnd"/>
      <w:r w:rsidR="00235B01" w:rsidRPr="00041FEB">
        <w:t>;</w:t>
      </w:r>
      <w:r w:rsidR="00396288" w:rsidRPr="00041FEB">
        <w:t xml:space="preserve"> </w:t>
      </w:r>
      <w:r w:rsidRPr="00041FEB">
        <w:t xml:space="preserve">Ai </w:t>
      </w:r>
      <w:proofErr w:type="spellStart"/>
      <w:r w:rsidRPr="00041FEB">
        <w:t>Koyanagi</w:t>
      </w:r>
      <w:proofErr w:type="spellEnd"/>
      <w:r w:rsidRPr="00041FEB">
        <w:t>, MD-</w:t>
      </w:r>
      <w:proofErr w:type="spellStart"/>
      <w:r w:rsidRPr="00041FEB">
        <w:t>PhD</w:t>
      </w:r>
      <w:r w:rsidRPr="00041FEB">
        <w:rPr>
          <w:vertAlign w:val="superscript"/>
        </w:rPr>
        <w:t>b,</w:t>
      </w:r>
      <w:r w:rsidR="00396288" w:rsidRPr="00041FEB">
        <w:rPr>
          <w:vertAlign w:val="superscript"/>
        </w:rPr>
        <w:t>k</w:t>
      </w:r>
      <w:proofErr w:type="spellEnd"/>
    </w:p>
    <w:p w14:paraId="414E4B7A" w14:textId="77777777" w:rsidR="002E2AC9" w:rsidRPr="00041FEB" w:rsidRDefault="002E2AC9" w:rsidP="00B44AE2">
      <w:pPr>
        <w:spacing w:line="480" w:lineRule="auto"/>
      </w:pPr>
    </w:p>
    <w:p w14:paraId="73B25EFC" w14:textId="77777777" w:rsidR="002E2AC9" w:rsidRPr="00041FEB" w:rsidRDefault="002E2AC9" w:rsidP="00B44AE2">
      <w:pPr>
        <w:spacing w:line="480" w:lineRule="auto"/>
        <w:rPr>
          <w:rFonts w:cs="Times New Roman"/>
        </w:rPr>
      </w:pPr>
      <w:r w:rsidRPr="00041FEB">
        <w:rPr>
          <w:rFonts w:cs="Times New Roman"/>
          <w:vertAlign w:val="superscript"/>
        </w:rPr>
        <w:t>a</w:t>
      </w:r>
      <w:r w:rsidRPr="00041FEB">
        <w:rPr>
          <w:rFonts w:cs="Times New Roman"/>
        </w:rPr>
        <w:t xml:space="preserve"> Faculty of Medicine, University of Versailles Saint-Quentin-</w:t>
      </w:r>
      <w:proofErr w:type="spellStart"/>
      <w:r w:rsidRPr="00041FEB">
        <w:rPr>
          <w:rFonts w:cs="Times New Roman"/>
        </w:rPr>
        <w:t>en</w:t>
      </w:r>
      <w:proofErr w:type="spellEnd"/>
      <w:r w:rsidRPr="00041FEB">
        <w:rPr>
          <w:rFonts w:cs="Times New Roman"/>
        </w:rPr>
        <w:t xml:space="preserve">-Yvelines, </w:t>
      </w:r>
      <w:proofErr w:type="spellStart"/>
      <w:r w:rsidRPr="00041FEB">
        <w:rPr>
          <w:rFonts w:cs="Times New Roman"/>
        </w:rPr>
        <w:t>Montigny</w:t>
      </w:r>
      <w:proofErr w:type="spellEnd"/>
      <w:r w:rsidRPr="00041FEB">
        <w:rPr>
          <w:rFonts w:cs="Times New Roman"/>
        </w:rPr>
        <w:t>-le-Bretonneux 78180, France</w:t>
      </w:r>
    </w:p>
    <w:p w14:paraId="1CF2D752" w14:textId="4174E1EB" w:rsidR="002E2AC9" w:rsidRPr="00041FEB" w:rsidRDefault="002E2AC9" w:rsidP="00B44AE2">
      <w:pPr>
        <w:spacing w:line="480" w:lineRule="auto"/>
        <w:rPr>
          <w:rFonts w:cs="Times New Roman"/>
        </w:rPr>
      </w:pPr>
      <w:r w:rsidRPr="00041FEB">
        <w:rPr>
          <w:rFonts w:cs="Times New Roman"/>
          <w:vertAlign w:val="superscript"/>
        </w:rPr>
        <w:t>b</w:t>
      </w:r>
      <w:r w:rsidRPr="00041FEB">
        <w:rPr>
          <w:rFonts w:cs="Times New Roman"/>
        </w:rPr>
        <w:t xml:space="preserve"> Research and Development Unit, Parc </w:t>
      </w:r>
      <w:proofErr w:type="spellStart"/>
      <w:r w:rsidRPr="00041FEB">
        <w:rPr>
          <w:rFonts w:cs="Times New Roman"/>
        </w:rPr>
        <w:t>Sanitari</w:t>
      </w:r>
      <w:proofErr w:type="spellEnd"/>
      <w:r w:rsidRPr="00041FEB">
        <w:rPr>
          <w:rFonts w:cs="Times New Roman"/>
        </w:rPr>
        <w:t xml:space="preserve"> Sant Joan de </w:t>
      </w:r>
      <w:proofErr w:type="spellStart"/>
      <w:r w:rsidRPr="00041FEB">
        <w:rPr>
          <w:rFonts w:cs="Times New Roman"/>
        </w:rPr>
        <w:t>Déu</w:t>
      </w:r>
      <w:proofErr w:type="spellEnd"/>
      <w:r w:rsidRPr="00041FEB">
        <w:rPr>
          <w:rFonts w:cs="Times New Roman"/>
        </w:rPr>
        <w:t xml:space="preserve">, CIBERSAM, Dr. Antoni Pujadas, 42, Sant </w:t>
      </w:r>
      <w:proofErr w:type="spellStart"/>
      <w:r w:rsidRPr="00041FEB">
        <w:rPr>
          <w:rFonts w:cs="Times New Roman"/>
        </w:rPr>
        <w:t>Boi</w:t>
      </w:r>
      <w:proofErr w:type="spellEnd"/>
      <w:r w:rsidRPr="00041FEB">
        <w:rPr>
          <w:rFonts w:cs="Times New Roman"/>
        </w:rPr>
        <w:t xml:space="preserve"> de </w:t>
      </w:r>
      <w:proofErr w:type="spellStart"/>
      <w:r w:rsidRPr="00041FEB">
        <w:rPr>
          <w:rFonts w:cs="Times New Roman"/>
        </w:rPr>
        <w:t>Llobregat</w:t>
      </w:r>
      <w:proofErr w:type="spellEnd"/>
      <w:r w:rsidRPr="00041FEB">
        <w:rPr>
          <w:rFonts w:cs="Times New Roman"/>
        </w:rPr>
        <w:t>, Barcelona 08830, Spain</w:t>
      </w:r>
    </w:p>
    <w:p w14:paraId="3C0BD840" w14:textId="62F33143" w:rsidR="009845CC" w:rsidRPr="00041FEB" w:rsidRDefault="009845CC" w:rsidP="00B44AE2">
      <w:pPr>
        <w:spacing w:line="480" w:lineRule="auto"/>
        <w:rPr>
          <w:rFonts w:cs="Times New Roman"/>
        </w:rPr>
      </w:pPr>
      <w:r w:rsidRPr="00041FEB">
        <w:rPr>
          <w:rFonts w:cs="Times New Roman"/>
          <w:vertAlign w:val="superscript"/>
        </w:rPr>
        <w:t>c</w:t>
      </w:r>
      <w:r w:rsidR="004C1D68" w:rsidRPr="00041FEB">
        <w:rPr>
          <w:rFonts w:cs="Times New Roman"/>
        </w:rPr>
        <w:t xml:space="preserve"> </w:t>
      </w:r>
      <w:r w:rsidRPr="00041FEB">
        <w:rPr>
          <w:rFonts w:cs="Times New Roman"/>
        </w:rPr>
        <w:t xml:space="preserve">University of Southern California, Suzanne </w:t>
      </w:r>
      <w:proofErr w:type="spellStart"/>
      <w:r w:rsidRPr="00041FEB">
        <w:rPr>
          <w:rFonts w:cs="Times New Roman"/>
        </w:rPr>
        <w:t>Dworak</w:t>
      </w:r>
      <w:proofErr w:type="spellEnd"/>
      <w:r w:rsidRPr="00041FEB">
        <w:rPr>
          <w:rFonts w:cs="Times New Roman"/>
        </w:rPr>
        <w:t xml:space="preserve"> Peck School of Social Work, 1149 South Hill Street suite 1422, Los Angeles, CA 90015, USA</w:t>
      </w:r>
    </w:p>
    <w:p w14:paraId="3DAA797C" w14:textId="6DF16C3E" w:rsidR="009845CC" w:rsidRPr="00041FEB" w:rsidRDefault="009845CC" w:rsidP="00B44AE2">
      <w:pPr>
        <w:spacing w:line="480" w:lineRule="auto"/>
        <w:rPr>
          <w:rFonts w:eastAsia="Gulim" w:cs="Times New Roman"/>
        </w:rPr>
      </w:pPr>
      <w:r w:rsidRPr="00041FEB">
        <w:rPr>
          <w:rFonts w:eastAsia="Gulim" w:cs="Times New Roman"/>
          <w:vertAlign w:val="superscript"/>
        </w:rPr>
        <w:t>d</w:t>
      </w:r>
      <w:r w:rsidRPr="00041FEB">
        <w:rPr>
          <w:rFonts w:eastAsia="Gulim" w:cs="Times New Roman"/>
        </w:rPr>
        <w:t xml:space="preserve"> Department of Pediatrics, Yonsei University College of Medicine, Yonsei-</w:t>
      </w:r>
      <w:proofErr w:type="spellStart"/>
      <w:r w:rsidRPr="00041FEB">
        <w:rPr>
          <w:rFonts w:eastAsia="Gulim" w:cs="Times New Roman"/>
        </w:rPr>
        <w:t>ro</w:t>
      </w:r>
      <w:proofErr w:type="spellEnd"/>
      <w:r w:rsidRPr="00041FEB">
        <w:rPr>
          <w:rFonts w:eastAsia="Gulim" w:cs="Times New Roman"/>
        </w:rPr>
        <w:t xml:space="preserve"> 50, </w:t>
      </w:r>
      <w:proofErr w:type="spellStart"/>
      <w:r w:rsidRPr="00041FEB">
        <w:rPr>
          <w:rFonts w:eastAsia="Gulim" w:cs="Times New Roman"/>
        </w:rPr>
        <w:t>Seodaemun-gu</w:t>
      </w:r>
      <w:proofErr w:type="spellEnd"/>
      <w:r w:rsidRPr="00041FEB">
        <w:rPr>
          <w:rFonts w:eastAsia="Gulim" w:cs="Times New Roman"/>
        </w:rPr>
        <w:t>, Seoul 03722, Republic of Korea</w:t>
      </w:r>
    </w:p>
    <w:p w14:paraId="7D474F9B" w14:textId="60D21407" w:rsidR="009845CC" w:rsidRPr="00041FEB" w:rsidRDefault="009845CC" w:rsidP="00B44AE2">
      <w:pPr>
        <w:spacing w:line="480" w:lineRule="auto"/>
        <w:rPr>
          <w:rFonts w:eastAsia="Gulim" w:cs="Times New Roman"/>
        </w:rPr>
      </w:pPr>
      <w:r w:rsidRPr="00041FEB">
        <w:rPr>
          <w:rFonts w:eastAsia="Gulim" w:cs="Times New Roman"/>
          <w:vertAlign w:val="superscript"/>
        </w:rPr>
        <w:t>e</w:t>
      </w:r>
      <w:r w:rsidRPr="00041FEB">
        <w:rPr>
          <w:rFonts w:eastAsia="Gulim" w:cs="Times New Roman"/>
        </w:rPr>
        <w:t xml:space="preserve"> KU Leuven Department of Rehabilitation Sciences, Leuven, Belgium</w:t>
      </w:r>
    </w:p>
    <w:p w14:paraId="33C5DA08" w14:textId="76F395E7" w:rsidR="009845CC" w:rsidRPr="00041FEB" w:rsidRDefault="009845CC" w:rsidP="00B44AE2">
      <w:pPr>
        <w:spacing w:line="480" w:lineRule="auto"/>
        <w:rPr>
          <w:rFonts w:eastAsia="Gulim" w:cs="Times New Roman"/>
          <w:lang w:val="nl-BE"/>
        </w:rPr>
      </w:pPr>
      <w:r w:rsidRPr="00041FEB">
        <w:rPr>
          <w:rFonts w:eastAsia="Gulim" w:cs="Times New Roman"/>
          <w:vertAlign w:val="superscript"/>
          <w:lang w:val="nl-BE"/>
        </w:rPr>
        <w:t>f</w:t>
      </w:r>
      <w:r w:rsidRPr="00041FEB">
        <w:rPr>
          <w:rFonts w:eastAsia="Gulim" w:cs="Times New Roman"/>
          <w:lang w:val="nl-BE"/>
        </w:rPr>
        <w:t xml:space="preserve"> KU Leuven, University Psychiatric Center KU Leuven, Leuven-Kortenberg, Belgium</w:t>
      </w:r>
    </w:p>
    <w:p w14:paraId="7382C974" w14:textId="3F211947" w:rsidR="003732A5" w:rsidRPr="00041FEB" w:rsidRDefault="003732A5" w:rsidP="00B44AE2">
      <w:pPr>
        <w:spacing w:line="480" w:lineRule="auto"/>
        <w:rPr>
          <w:rFonts w:eastAsia="Gulim" w:cs="Times New Roman"/>
        </w:rPr>
      </w:pPr>
      <w:r w:rsidRPr="00041FEB">
        <w:rPr>
          <w:rFonts w:eastAsia="Gulim" w:cs="Times New Roman"/>
          <w:vertAlign w:val="superscript"/>
        </w:rPr>
        <w:t>g</w:t>
      </w:r>
      <w:r w:rsidRPr="00041FEB">
        <w:rPr>
          <w:rFonts w:eastAsia="Gulim" w:cs="Times New Roman"/>
        </w:rPr>
        <w:t xml:space="preserve"> Institute of Psychiatry, Psychology and Neuroscience, King's College London, London, United Kingdom</w:t>
      </w:r>
    </w:p>
    <w:p w14:paraId="7B775129" w14:textId="325548EA" w:rsidR="003732A5" w:rsidRPr="00041FEB" w:rsidRDefault="003732A5" w:rsidP="00B44AE2">
      <w:pPr>
        <w:spacing w:line="480" w:lineRule="auto"/>
        <w:rPr>
          <w:rFonts w:eastAsia="Gulim" w:cs="Times New Roman"/>
        </w:rPr>
      </w:pPr>
      <w:r w:rsidRPr="00041FEB">
        <w:rPr>
          <w:rFonts w:eastAsia="Gulim" w:cs="Times New Roman"/>
          <w:vertAlign w:val="superscript"/>
        </w:rPr>
        <w:t>h</w:t>
      </w:r>
      <w:r w:rsidRPr="00041FEB">
        <w:rPr>
          <w:rFonts w:eastAsia="Gulim" w:cs="Times New Roman"/>
        </w:rPr>
        <w:t xml:space="preserve"> South London and Maudsley NHS Foundation Trust, Denmark Hill, London SE5 8AZ, United Kingdom</w:t>
      </w:r>
    </w:p>
    <w:p w14:paraId="480227F3" w14:textId="4CAC0D6F" w:rsidR="00235B01" w:rsidRPr="00041FEB" w:rsidRDefault="00235B01" w:rsidP="00B44AE2">
      <w:pPr>
        <w:spacing w:line="480" w:lineRule="auto"/>
        <w:rPr>
          <w:rFonts w:cs="Times New Roman"/>
        </w:rPr>
      </w:pPr>
      <w:proofErr w:type="spellStart"/>
      <w:r w:rsidRPr="00041FEB">
        <w:rPr>
          <w:rFonts w:cs="Times New Roman"/>
          <w:vertAlign w:val="superscript"/>
        </w:rPr>
        <w:t>i</w:t>
      </w:r>
      <w:proofErr w:type="spellEnd"/>
      <w:r w:rsidRPr="00041FEB">
        <w:rPr>
          <w:rFonts w:cs="Times New Roman"/>
        </w:rPr>
        <w:t xml:space="preserve"> Department of </w:t>
      </w:r>
      <w:proofErr w:type="spellStart"/>
      <w:r w:rsidRPr="00041FEB">
        <w:rPr>
          <w:rFonts w:cs="Times New Roman"/>
        </w:rPr>
        <w:t>Behavioural</w:t>
      </w:r>
      <w:proofErr w:type="spellEnd"/>
      <w:r w:rsidRPr="00041FEB">
        <w:rPr>
          <w:rFonts w:cs="Times New Roman"/>
        </w:rPr>
        <w:t xml:space="preserve"> Science and Health, University College London, United Kingdom</w:t>
      </w:r>
    </w:p>
    <w:p w14:paraId="2B3B1C50" w14:textId="21AB38DB" w:rsidR="002E2AC9" w:rsidRPr="00041FEB" w:rsidRDefault="00235B01" w:rsidP="00B44AE2">
      <w:pPr>
        <w:spacing w:line="480" w:lineRule="auto"/>
        <w:rPr>
          <w:rFonts w:cs="Times New Roman"/>
        </w:rPr>
      </w:pPr>
      <w:r w:rsidRPr="00041FEB">
        <w:rPr>
          <w:rFonts w:cs="Times New Roman"/>
          <w:vertAlign w:val="superscript"/>
        </w:rPr>
        <w:lastRenderedPageBreak/>
        <w:t>j</w:t>
      </w:r>
      <w:r w:rsidR="002E2AC9" w:rsidRPr="00041FEB">
        <w:rPr>
          <w:rFonts w:cs="Times New Roman"/>
        </w:rPr>
        <w:t xml:space="preserve"> The Cambridge Centre for Sport and Exercise Sciences, Anglia Ruskin University, Cambridge, United Kingdom</w:t>
      </w:r>
    </w:p>
    <w:p w14:paraId="7D94A0D4" w14:textId="5F07D251" w:rsidR="002E2AC9" w:rsidRPr="00041FEB" w:rsidRDefault="00235B01" w:rsidP="00B44AE2">
      <w:pPr>
        <w:widowControl w:val="0"/>
        <w:spacing w:line="480" w:lineRule="auto"/>
        <w:rPr>
          <w:rFonts w:cs="Times New Roman"/>
        </w:rPr>
      </w:pPr>
      <w:r w:rsidRPr="00041FEB">
        <w:rPr>
          <w:rFonts w:cs="Times New Roman"/>
          <w:vertAlign w:val="superscript"/>
        </w:rPr>
        <w:t>k</w:t>
      </w:r>
      <w:r w:rsidR="002E2AC9" w:rsidRPr="00041FEB">
        <w:rPr>
          <w:rFonts w:cs="Times New Roman"/>
        </w:rPr>
        <w:t xml:space="preserve"> ICREA, Pg. </w:t>
      </w:r>
      <w:proofErr w:type="spellStart"/>
      <w:r w:rsidR="002E2AC9" w:rsidRPr="00041FEB">
        <w:rPr>
          <w:rFonts w:cs="Times New Roman"/>
        </w:rPr>
        <w:t>Lluis</w:t>
      </w:r>
      <w:proofErr w:type="spellEnd"/>
      <w:r w:rsidR="002E2AC9" w:rsidRPr="00041FEB">
        <w:rPr>
          <w:rFonts w:cs="Times New Roman"/>
        </w:rPr>
        <w:t xml:space="preserve"> </w:t>
      </w:r>
      <w:proofErr w:type="spellStart"/>
      <w:r w:rsidR="002E2AC9" w:rsidRPr="00041FEB">
        <w:rPr>
          <w:rFonts w:cs="Times New Roman"/>
        </w:rPr>
        <w:t>Companys</w:t>
      </w:r>
      <w:proofErr w:type="spellEnd"/>
      <w:r w:rsidR="002E2AC9" w:rsidRPr="00041FEB">
        <w:rPr>
          <w:rFonts w:cs="Times New Roman"/>
        </w:rPr>
        <w:t xml:space="preserve"> 23, Barcelona, Spain</w:t>
      </w:r>
    </w:p>
    <w:p w14:paraId="49EAE046" w14:textId="77777777" w:rsidR="002E2AC9" w:rsidRPr="00041FEB" w:rsidRDefault="002E2AC9" w:rsidP="00B44AE2">
      <w:pPr>
        <w:widowControl w:val="0"/>
        <w:spacing w:line="480" w:lineRule="auto"/>
        <w:rPr>
          <w:rFonts w:cs="Times New Roman"/>
        </w:rPr>
      </w:pPr>
    </w:p>
    <w:p w14:paraId="52AAAFA0" w14:textId="77777777" w:rsidR="002E2AC9" w:rsidRPr="00041FEB" w:rsidRDefault="002E2AC9" w:rsidP="00B44AE2">
      <w:pPr>
        <w:widowControl w:val="0"/>
        <w:spacing w:line="480" w:lineRule="auto"/>
        <w:rPr>
          <w:rFonts w:cs="Times New Roman"/>
          <w:b/>
          <w:bCs/>
        </w:rPr>
      </w:pPr>
      <w:r w:rsidRPr="00041FEB">
        <w:rPr>
          <w:rFonts w:cs="Times New Roman"/>
          <w:b/>
          <w:bCs/>
        </w:rPr>
        <w:t>Corresponding author:</w:t>
      </w:r>
    </w:p>
    <w:p w14:paraId="792070ED" w14:textId="77777777" w:rsidR="002E2AC9" w:rsidRPr="00041FEB" w:rsidRDefault="002E2AC9" w:rsidP="00B44AE2">
      <w:pPr>
        <w:spacing w:line="480" w:lineRule="auto"/>
      </w:pPr>
      <w:r w:rsidRPr="00041FEB">
        <w:t>Dr. Louis Jacob</w:t>
      </w:r>
    </w:p>
    <w:p w14:paraId="6C993233" w14:textId="77777777" w:rsidR="002E2AC9" w:rsidRPr="00041FEB" w:rsidRDefault="002E2AC9" w:rsidP="00B44AE2">
      <w:pPr>
        <w:spacing w:line="480" w:lineRule="auto"/>
      </w:pPr>
      <w:r w:rsidRPr="00041FEB">
        <w:t>Faculty of Medicine, University of Versailles Saint-Quentin-</w:t>
      </w:r>
      <w:proofErr w:type="spellStart"/>
      <w:r w:rsidRPr="00041FEB">
        <w:t>en</w:t>
      </w:r>
      <w:proofErr w:type="spellEnd"/>
      <w:r w:rsidRPr="00041FEB">
        <w:t>-Yvelines</w:t>
      </w:r>
    </w:p>
    <w:p w14:paraId="4C27C357" w14:textId="77777777" w:rsidR="002E2AC9" w:rsidRPr="00041FEB" w:rsidRDefault="002E2AC9" w:rsidP="00B44AE2">
      <w:pPr>
        <w:spacing w:line="480" w:lineRule="auto"/>
        <w:rPr>
          <w:lang w:val="fr-FR"/>
        </w:rPr>
      </w:pPr>
      <w:r w:rsidRPr="00041FEB">
        <w:rPr>
          <w:lang w:val="fr-FR"/>
        </w:rPr>
        <w:t>2 avenue de la Source de la Bièvre, Montigny-le-Bretonneux 78180</w:t>
      </w:r>
    </w:p>
    <w:p w14:paraId="2C7DC157" w14:textId="77777777" w:rsidR="002E2AC9" w:rsidRPr="00041FEB" w:rsidRDefault="002E2AC9" w:rsidP="00B44AE2">
      <w:pPr>
        <w:spacing w:line="480" w:lineRule="auto"/>
        <w:rPr>
          <w:lang w:val="fr-FR"/>
        </w:rPr>
      </w:pPr>
      <w:r w:rsidRPr="00041FEB">
        <w:rPr>
          <w:lang w:val="fr-FR"/>
        </w:rPr>
        <w:t>France</w:t>
      </w:r>
    </w:p>
    <w:p w14:paraId="6F6EED2F" w14:textId="77777777" w:rsidR="002E2AC9" w:rsidRPr="00041FEB" w:rsidRDefault="002E2AC9" w:rsidP="00B44AE2">
      <w:pPr>
        <w:spacing w:line="480" w:lineRule="auto"/>
        <w:rPr>
          <w:lang w:val="fr-FR"/>
        </w:rPr>
      </w:pPr>
      <w:r w:rsidRPr="00041FEB">
        <w:rPr>
          <w:lang w:val="fr-FR"/>
        </w:rPr>
        <w:t>Tel</w:t>
      </w:r>
      <w:proofErr w:type="gramStart"/>
      <w:r w:rsidRPr="00041FEB">
        <w:rPr>
          <w:lang w:val="fr-FR"/>
        </w:rPr>
        <w:t>.:</w:t>
      </w:r>
      <w:proofErr w:type="gramEnd"/>
      <w:r w:rsidRPr="00041FEB">
        <w:rPr>
          <w:lang w:val="fr-FR"/>
        </w:rPr>
        <w:t xml:space="preserve"> +33-(0)6-27-88-37-06</w:t>
      </w:r>
    </w:p>
    <w:p w14:paraId="0D8E2853" w14:textId="77777777" w:rsidR="002E2AC9" w:rsidRPr="00041FEB" w:rsidRDefault="002E2AC9" w:rsidP="00B44AE2">
      <w:pPr>
        <w:spacing w:line="480" w:lineRule="auto"/>
        <w:rPr>
          <w:lang w:val="fr-FR"/>
        </w:rPr>
      </w:pPr>
      <w:r w:rsidRPr="00041FEB">
        <w:rPr>
          <w:lang w:val="fr-FR"/>
        </w:rPr>
        <w:t>louis.jacob.contacts@gmail.com</w:t>
      </w:r>
    </w:p>
    <w:p w14:paraId="21ADC28F" w14:textId="77777777" w:rsidR="002E2AC9" w:rsidRPr="00041FEB" w:rsidRDefault="002E2AC9" w:rsidP="00B44AE2">
      <w:pPr>
        <w:widowControl w:val="0"/>
        <w:spacing w:line="480" w:lineRule="auto"/>
        <w:rPr>
          <w:rFonts w:cs="Times New Roman"/>
          <w:lang w:val="fr-FR"/>
        </w:rPr>
      </w:pPr>
    </w:p>
    <w:p w14:paraId="220DA997" w14:textId="61D27C62" w:rsidR="002E2AC9" w:rsidRPr="00041FEB" w:rsidRDefault="002E2AC9" w:rsidP="00B44AE2">
      <w:pPr>
        <w:spacing w:line="480" w:lineRule="auto"/>
        <w:rPr>
          <w:b/>
        </w:rPr>
      </w:pPr>
      <w:r w:rsidRPr="00041FEB">
        <w:rPr>
          <w:b/>
        </w:rPr>
        <w:t xml:space="preserve">Number of characters in the title (spaces included): </w:t>
      </w:r>
      <w:r w:rsidR="00B26E89" w:rsidRPr="00041FEB">
        <w:rPr>
          <w:bCs/>
        </w:rPr>
        <w:t>11</w:t>
      </w:r>
      <w:r w:rsidR="00EC1776" w:rsidRPr="00041FEB">
        <w:rPr>
          <w:bCs/>
        </w:rPr>
        <w:t>6</w:t>
      </w:r>
    </w:p>
    <w:p w14:paraId="012FBDD5" w14:textId="1BCC304D" w:rsidR="002E2AC9" w:rsidRPr="00041FEB" w:rsidRDefault="002E2AC9" w:rsidP="00B44AE2">
      <w:pPr>
        <w:spacing w:line="480" w:lineRule="auto"/>
        <w:rPr>
          <w:bCs/>
        </w:rPr>
      </w:pPr>
      <w:r w:rsidRPr="00041FEB">
        <w:rPr>
          <w:b/>
        </w:rPr>
        <w:t xml:space="preserve">Number of characters in the running title (spaces included): </w:t>
      </w:r>
      <w:r w:rsidR="00B26E89" w:rsidRPr="00041FEB">
        <w:rPr>
          <w:bCs/>
        </w:rPr>
        <w:t>47</w:t>
      </w:r>
    </w:p>
    <w:p w14:paraId="1F923BCB" w14:textId="500486CC" w:rsidR="002E2AC9" w:rsidRPr="00041FEB" w:rsidRDefault="002E2AC9" w:rsidP="00B44AE2">
      <w:pPr>
        <w:spacing w:line="480" w:lineRule="auto"/>
        <w:rPr>
          <w:bCs/>
        </w:rPr>
      </w:pPr>
      <w:r w:rsidRPr="00041FEB">
        <w:rPr>
          <w:b/>
        </w:rPr>
        <w:t xml:space="preserve">Number of words in the abstract: </w:t>
      </w:r>
      <w:r w:rsidR="00321DF5" w:rsidRPr="00041FEB">
        <w:rPr>
          <w:bCs/>
        </w:rPr>
        <w:t>245</w:t>
      </w:r>
    </w:p>
    <w:p w14:paraId="480CA30E" w14:textId="5E37BC6F" w:rsidR="002E2AC9" w:rsidRPr="00041FEB" w:rsidRDefault="002E2AC9" w:rsidP="00B44AE2">
      <w:pPr>
        <w:spacing w:line="480" w:lineRule="auto"/>
        <w:rPr>
          <w:bCs/>
        </w:rPr>
      </w:pPr>
      <w:r w:rsidRPr="00041FEB">
        <w:rPr>
          <w:b/>
        </w:rPr>
        <w:t xml:space="preserve">Number of words in the main body of the article: </w:t>
      </w:r>
      <w:r w:rsidR="005D0048" w:rsidRPr="00041FEB">
        <w:rPr>
          <w:bCs/>
        </w:rPr>
        <w:t>3,</w:t>
      </w:r>
      <w:r w:rsidR="00321DF5" w:rsidRPr="00041FEB">
        <w:rPr>
          <w:bCs/>
        </w:rPr>
        <w:t>6</w:t>
      </w:r>
      <w:r w:rsidR="00B82172" w:rsidRPr="00041FEB">
        <w:rPr>
          <w:bCs/>
        </w:rPr>
        <w:t>09</w:t>
      </w:r>
    </w:p>
    <w:p w14:paraId="27D819EE" w14:textId="0B8DF952" w:rsidR="002E2AC9" w:rsidRPr="00041FEB" w:rsidRDefault="002E2AC9" w:rsidP="00B44AE2">
      <w:pPr>
        <w:spacing w:line="480" w:lineRule="auto"/>
        <w:rPr>
          <w:bCs/>
        </w:rPr>
      </w:pPr>
      <w:r w:rsidRPr="00041FEB">
        <w:rPr>
          <w:b/>
        </w:rPr>
        <w:t xml:space="preserve">Number of references: </w:t>
      </w:r>
      <w:r w:rsidR="00737D6F" w:rsidRPr="00041FEB">
        <w:rPr>
          <w:bCs/>
        </w:rPr>
        <w:t>5</w:t>
      </w:r>
      <w:r w:rsidR="00B82172" w:rsidRPr="00041FEB">
        <w:rPr>
          <w:bCs/>
        </w:rPr>
        <w:t>0</w:t>
      </w:r>
    </w:p>
    <w:p w14:paraId="28678658" w14:textId="1C1C8E12" w:rsidR="002E2AC9" w:rsidRPr="00041FEB" w:rsidRDefault="002E2AC9" w:rsidP="00B44AE2">
      <w:pPr>
        <w:spacing w:line="480" w:lineRule="auto"/>
      </w:pPr>
      <w:r w:rsidRPr="00041FEB">
        <w:rPr>
          <w:b/>
        </w:rPr>
        <w:t xml:space="preserve">Number of figures: </w:t>
      </w:r>
      <w:r w:rsidR="006A6499" w:rsidRPr="00041FEB">
        <w:rPr>
          <w:bCs/>
        </w:rPr>
        <w:t>4</w:t>
      </w:r>
    </w:p>
    <w:p w14:paraId="2699B15E" w14:textId="54D996CB" w:rsidR="002E2AC9" w:rsidRPr="00041FEB" w:rsidRDefault="002E2AC9" w:rsidP="00B44AE2">
      <w:pPr>
        <w:spacing w:line="480" w:lineRule="auto"/>
        <w:rPr>
          <w:bCs/>
        </w:rPr>
      </w:pPr>
      <w:r w:rsidRPr="00041FEB">
        <w:rPr>
          <w:b/>
        </w:rPr>
        <w:t xml:space="preserve">Number of tables: </w:t>
      </w:r>
      <w:r w:rsidR="006A6499" w:rsidRPr="00041FEB">
        <w:rPr>
          <w:bCs/>
        </w:rPr>
        <w:t>1</w:t>
      </w:r>
    </w:p>
    <w:p w14:paraId="71361CFE" w14:textId="05B1F06A" w:rsidR="002E2AC9" w:rsidRPr="00041FEB" w:rsidRDefault="002E2AC9" w:rsidP="00B44AE2">
      <w:pPr>
        <w:spacing w:line="480" w:lineRule="auto"/>
        <w:rPr>
          <w:bCs/>
        </w:rPr>
      </w:pPr>
      <w:r w:rsidRPr="00041FEB">
        <w:rPr>
          <w:b/>
        </w:rPr>
        <w:t xml:space="preserve">Number of </w:t>
      </w:r>
      <w:r w:rsidR="006A6499" w:rsidRPr="00041FEB">
        <w:rPr>
          <w:b/>
        </w:rPr>
        <w:t>appendixes</w:t>
      </w:r>
      <w:r w:rsidRPr="00041FEB">
        <w:rPr>
          <w:b/>
        </w:rPr>
        <w:t>:</w:t>
      </w:r>
      <w:r w:rsidRPr="00041FEB">
        <w:rPr>
          <w:bCs/>
        </w:rPr>
        <w:t xml:space="preserve"> </w:t>
      </w:r>
      <w:r w:rsidR="006A6499" w:rsidRPr="00041FEB">
        <w:rPr>
          <w:bCs/>
        </w:rPr>
        <w:t>1</w:t>
      </w:r>
    </w:p>
    <w:p w14:paraId="66BE472A" w14:textId="77777777" w:rsidR="00EC510D" w:rsidRPr="00041FEB" w:rsidRDefault="00EC510D" w:rsidP="00B44AE2">
      <w:pPr>
        <w:widowControl w:val="0"/>
        <w:spacing w:line="480" w:lineRule="auto"/>
        <w:rPr>
          <w:rFonts w:cs="Times New Roman"/>
        </w:rPr>
        <w:sectPr w:rsidR="00EC510D" w:rsidRPr="00041FEB" w:rsidSect="00BD54A8">
          <w:footerReference w:type="even" r:id="rId7"/>
          <w:footerReference w:type="default" r:id="rId8"/>
          <w:pgSz w:w="11900" w:h="16840"/>
          <w:pgMar w:top="1440" w:right="1440" w:bottom="1440" w:left="1440" w:header="720" w:footer="720" w:gutter="0"/>
          <w:lnNumType w:countBy="1" w:restart="continuous"/>
          <w:cols w:space="720"/>
          <w:docGrid w:linePitch="360"/>
        </w:sectPr>
      </w:pPr>
    </w:p>
    <w:p w14:paraId="284D61FF" w14:textId="2C645AF1" w:rsidR="00952C96" w:rsidRPr="00041FEB" w:rsidRDefault="00952C96" w:rsidP="00B44AE2">
      <w:pPr>
        <w:widowControl w:val="0"/>
        <w:spacing w:line="480" w:lineRule="auto"/>
        <w:rPr>
          <w:rFonts w:cs="Times New Roman"/>
          <w:b/>
          <w:bCs/>
        </w:rPr>
      </w:pPr>
      <w:r w:rsidRPr="00041FEB">
        <w:rPr>
          <w:rFonts w:cs="Times New Roman"/>
          <w:b/>
          <w:bCs/>
        </w:rPr>
        <w:lastRenderedPageBreak/>
        <w:t xml:space="preserve">Abstract </w:t>
      </w:r>
    </w:p>
    <w:p w14:paraId="2A217964" w14:textId="0EDB20CB" w:rsidR="00E002CD" w:rsidRPr="00041FEB" w:rsidRDefault="00E002CD" w:rsidP="00B44AE2">
      <w:pPr>
        <w:spacing w:line="480" w:lineRule="auto"/>
      </w:pPr>
    </w:p>
    <w:p w14:paraId="1D08ECDC" w14:textId="70D57024" w:rsidR="00CE7405" w:rsidRPr="00041FEB" w:rsidRDefault="00CE7405" w:rsidP="00B44AE2">
      <w:pPr>
        <w:spacing w:line="480" w:lineRule="auto"/>
        <w:rPr>
          <w:bCs/>
        </w:rPr>
      </w:pPr>
      <w:r w:rsidRPr="00041FEB">
        <w:rPr>
          <w:i/>
          <w:iCs/>
        </w:rPr>
        <w:t>Background</w:t>
      </w:r>
      <w:r w:rsidR="003370DF" w:rsidRPr="00041FEB">
        <w:rPr>
          <w:i/>
          <w:iCs/>
        </w:rPr>
        <w:t>:</w:t>
      </w:r>
      <w:r w:rsidR="003370DF" w:rsidRPr="00041FEB">
        <w:t xml:space="preserve"> </w:t>
      </w:r>
      <w:r w:rsidR="00E07D74" w:rsidRPr="00041FEB">
        <w:rPr>
          <w:bCs/>
        </w:rPr>
        <w:t xml:space="preserve">The health of the caregivers is crucial to sustain informal care provision, while multimorbidity is an important health risk concept. </w:t>
      </w:r>
      <w:r w:rsidR="00334276" w:rsidRPr="00041FEB">
        <w:rPr>
          <w:bCs/>
        </w:rPr>
        <w:t xml:space="preserve">However, studies on the association between informal caregiving and physical multimorbidity are currently lacking. </w:t>
      </w:r>
      <w:r w:rsidRPr="00041FEB">
        <w:rPr>
          <w:bCs/>
        </w:rPr>
        <w:t xml:space="preserve">Therefore, </w:t>
      </w:r>
      <w:r w:rsidR="00334276" w:rsidRPr="00041FEB">
        <w:rPr>
          <w:bCs/>
        </w:rPr>
        <w:t xml:space="preserve">we </w:t>
      </w:r>
      <w:r w:rsidRPr="00041FEB">
        <w:rPr>
          <w:bCs/>
        </w:rPr>
        <w:t>investigate</w:t>
      </w:r>
      <w:r w:rsidR="00334276" w:rsidRPr="00041FEB">
        <w:rPr>
          <w:bCs/>
        </w:rPr>
        <w:t xml:space="preserve">d this association </w:t>
      </w:r>
      <w:r w:rsidRPr="00041FEB">
        <w:rPr>
          <w:bCs/>
        </w:rPr>
        <w:t>in adults from 48 low- and middle-income countries</w:t>
      </w:r>
      <w:r w:rsidRPr="00041FEB">
        <w:t xml:space="preserve"> (</w:t>
      </w:r>
      <w:r w:rsidRPr="00041FEB">
        <w:rPr>
          <w:bCs/>
        </w:rPr>
        <w:t>LMICs).</w:t>
      </w:r>
    </w:p>
    <w:p w14:paraId="7B66C949" w14:textId="7EF003B8" w:rsidR="003370DF" w:rsidRPr="00041FEB" w:rsidRDefault="003370DF" w:rsidP="00B44AE2">
      <w:pPr>
        <w:spacing w:line="480" w:lineRule="auto"/>
        <w:rPr>
          <w:bCs/>
        </w:rPr>
      </w:pPr>
      <w:r w:rsidRPr="00041FEB">
        <w:rPr>
          <w:bCs/>
          <w:i/>
          <w:iCs/>
        </w:rPr>
        <w:t>Methods:</w:t>
      </w:r>
      <w:r w:rsidRPr="00041FEB">
        <w:rPr>
          <w:bCs/>
        </w:rPr>
        <w:t xml:space="preserve"> Cross-sectional data from 242,952 adults </w:t>
      </w:r>
      <w:r w:rsidR="008D482D" w:rsidRPr="00041FEB">
        <w:rPr>
          <w:bCs/>
        </w:rPr>
        <w:t xml:space="preserve">(mean age 38.4 years) </w:t>
      </w:r>
      <w:r w:rsidRPr="00041FEB">
        <w:rPr>
          <w:bCs/>
        </w:rPr>
        <w:t xml:space="preserve">participating in the World Health Survey 2002-2004 were analyzed. Informal caregivers were considered those who provided help in the past year to a relative or friend (adult or child) who has a long-term physical or mental illness or </w:t>
      </w:r>
      <w:proofErr w:type="gramStart"/>
      <w:r w:rsidRPr="00041FEB">
        <w:rPr>
          <w:bCs/>
        </w:rPr>
        <w:t>disability, or</w:t>
      </w:r>
      <w:proofErr w:type="gramEnd"/>
      <w:r w:rsidRPr="00041FEB">
        <w:rPr>
          <w:bCs/>
        </w:rPr>
        <w:t xml:space="preserve"> is getting old and weak. </w:t>
      </w:r>
      <w:r w:rsidR="00334276" w:rsidRPr="00041FEB">
        <w:rPr>
          <w:bCs/>
        </w:rPr>
        <w:t>N</w:t>
      </w:r>
      <w:r w:rsidRPr="00041FEB">
        <w:rPr>
          <w:bCs/>
        </w:rPr>
        <w:t>ine physical conditions were assessed</w:t>
      </w:r>
      <w:r w:rsidR="008D482D" w:rsidRPr="00041FEB">
        <w:rPr>
          <w:bCs/>
        </w:rPr>
        <w:t xml:space="preserve">. </w:t>
      </w:r>
      <w:r w:rsidRPr="00041FEB">
        <w:rPr>
          <w:bCs/>
        </w:rPr>
        <w:t xml:space="preserve">Multivariable logistic regression analyses were conducted to assess associations between informal caregiving and physical multimorbidity, while the between-country heterogeneity in </w:t>
      </w:r>
      <w:r w:rsidR="00334276" w:rsidRPr="00041FEB">
        <w:rPr>
          <w:bCs/>
        </w:rPr>
        <w:t xml:space="preserve">this </w:t>
      </w:r>
      <w:r w:rsidRPr="00041FEB">
        <w:rPr>
          <w:bCs/>
        </w:rPr>
        <w:t>relationship was studied with country-wise analyses.</w:t>
      </w:r>
    </w:p>
    <w:p w14:paraId="3144DF18" w14:textId="6B583416" w:rsidR="003370DF" w:rsidRPr="00041FEB" w:rsidRDefault="003370DF" w:rsidP="00B44AE2">
      <w:pPr>
        <w:spacing w:line="480" w:lineRule="auto"/>
        <w:rPr>
          <w:rFonts w:eastAsia="MS Mincho" w:cs="Times New Roman"/>
          <w:lang w:eastAsia="ja-JP"/>
        </w:rPr>
      </w:pPr>
      <w:r w:rsidRPr="00041FEB">
        <w:rPr>
          <w:bCs/>
          <w:i/>
          <w:iCs/>
        </w:rPr>
        <w:t>Results:</w:t>
      </w:r>
      <w:r w:rsidRPr="00041FEB">
        <w:rPr>
          <w:bCs/>
        </w:rPr>
        <w:t xml:space="preserve"> The overall prevalence of informal caregiving and physical multimorbidity </w:t>
      </w:r>
      <w:r w:rsidR="008D482D" w:rsidRPr="00041FEB">
        <w:rPr>
          <w:bCs/>
        </w:rPr>
        <w:t>(</w:t>
      </w:r>
      <w:proofErr w:type="spellStart"/>
      <w:r w:rsidR="008D482D" w:rsidRPr="00041FEB">
        <w:rPr>
          <w:bCs/>
        </w:rPr>
        <w:t>i.e</w:t>
      </w:r>
      <w:proofErr w:type="spellEnd"/>
      <w:r w:rsidR="008D482D" w:rsidRPr="00041FEB">
        <w:rPr>
          <w:bCs/>
        </w:rPr>
        <w:t xml:space="preserve">, </w:t>
      </w:r>
      <w:r w:rsidR="008D482D" w:rsidRPr="00041FEB">
        <w:rPr>
          <w:rFonts w:cs="Times New Roman"/>
          <w:bCs/>
        </w:rPr>
        <w:t>≥</w:t>
      </w:r>
      <w:r w:rsidR="008D482D" w:rsidRPr="00041FEB">
        <w:rPr>
          <w:bCs/>
        </w:rPr>
        <w:t xml:space="preserve">2 physical conditions) </w:t>
      </w:r>
      <w:r w:rsidRPr="00041FEB">
        <w:rPr>
          <w:bCs/>
        </w:rPr>
        <w:t>was 19.2% and 13.2%, respectively.</w:t>
      </w:r>
      <w:r w:rsidRPr="00041FEB">
        <w:rPr>
          <w:rFonts w:eastAsia="MS Mincho" w:cs="Times New Roman"/>
          <w:lang w:eastAsia="ja-JP"/>
        </w:rPr>
        <w:t xml:space="preserve"> Overall, caregivers had 1.</w:t>
      </w:r>
      <w:r w:rsidR="008421C2" w:rsidRPr="00041FEB">
        <w:rPr>
          <w:rFonts w:eastAsia="MS Mincho" w:cs="Times New Roman"/>
          <w:lang w:eastAsia="ja-JP"/>
        </w:rPr>
        <w:t>40</w:t>
      </w:r>
      <w:r w:rsidRPr="00041FEB">
        <w:rPr>
          <w:rFonts w:eastAsia="MS Mincho" w:cs="Times New Roman"/>
          <w:lang w:eastAsia="ja-JP"/>
        </w:rPr>
        <w:t xml:space="preserve"> [95% confidence interval (CI)=1.2</w:t>
      </w:r>
      <w:r w:rsidR="008421C2" w:rsidRPr="00041FEB">
        <w:rPr>
          <w:rFonts w:eastAsia="MS Mincho" w:cs="Times New Roman"/>
          <w:lang w:eastAsia="ja-JP"/>
        </w:rPr>
        <w:t>9</w:t>
      </w:r>
      <w:r w:rsidRPr="00041FEB">
        <w:rPr>
          <w:rFonts w:eastAsia="MS Mincho" w:cs="Times New Roman"/>
          <w:lang w:eastAsia="ja-JP"/>
        </w:rPr>
        <w:t>-1.5</w:t>
      </w:r>
      <w:r w:rsidR="008421C2" w:rsidRPr="00041FEB">
        <w:rPr>
          <w:rFonts w:eastAsia="MS Mincho" w:cs="Times New Roman"/>
          <w:lang w:eastAsia="ja-JP"/>
        </w:rPr>
        <w:t>2</w:t>
      </w:r>
      <w:r w:rsidRPr="00041FEB">
        <w:rPr>
          <w:rFonts w:eastAsia="MS Mincho" w:cs="Times New Roman"/>
          <w:lang w:eastAsia="ja-JP"/>
        </w:rPr>
        <w:t xml:space="preserve">] times higher odds for </w:t>
      </w:r>
      <w:r w:rsidRPr="00041FEB">
        <w:rPr>
          <w:bCs/>
        </w:rPr>
        <w:t xml:space="preserve">physical </w:t>
      </w:r>
      <w:r w:rsidRPr="00041FEB">
        <w:rPr>
          <w:rFonts w:eastAsia="MS Mincho" w:cs="Times New Roman"/>
          <w:lang w:eastAsia="ja-JP"/>
        </w:rPr>
        <w:t>multimorbidity. This association was particularly pronounced in younger caregivers [e.g., 18-44 years: odds ratio (OR)=1.54; 95%CI=1.3</w:t>
      </w:r>
      <w:r w:rsidR="008421C2" w:rsidRPr="00041FEB">
        <w:rPr>
          <w:rFonts w:eastAsia="MS Mincho" w:cs="Times New Roman"/>
          <w:lang w:eastAsia="ja-JP"/>
        </w:rPr>
        <w:t>7</w:t>
      </w:r>
      <w:r w:rsidRPr="00041FEB">
        <w:rPr>
          <w:rFonts w:eastAsia="MS Mincho" w:cs="Times New Roman"/>
          <w:lang w:eastAsia="ja-JP"/>
        </w:rPr>
        <w:t>-1.72], while this association was not statistically significant among those aged ≥65 years (OR=1.1</w:t>
      </w:r>
      <w:r w:rsidR="008421C2" w:rsidRPr="00041FEB">
        <w:rPr>
          <w:rFonts w:eastAsia="MS Mincho" w:cs="Times New Roman"/>
          <w:lang w:eastAsia="ja-JP"/>
        </w:rPr>
        <w:t>9</w:t>
      </w:r>
      <w:r w:rsidRPr="00041FEB">
        <w:rPr>
          <w:rFonts w:eastAsia="MS Mincho" w:cs="Times New Roman"/>
          <w:lang w:eastAsia="ja-JP"/>
        </w:rPr>
        <w:t>; 95%CI=0.9</w:t>
      </w:r>
      <w:r w:rsidR="008421C2" w:rsidRPr="00041FEB">
        <w:rPr>
          <w:rFonts w:eastAsia="MS Mincho" w:cs="Times New Roman"/>
          <w:lang w:eastAsia="ja-JP"/>
        </w:rPr>
        <w:t>8</w:t>
      </w:r>
      <w:r w:rsidRPr="00041FEB">
        <w:rPr>
          <w:rFonts w:eastAsia="MS Mincho" w:cs="Times New Roman"/>
          <w:lang w:eastAsia="ja-JP"/>
        </w:rPr>
        <w:t>-1.4</w:t>
      </w:r>
      <w:r w:rsidR="008421C2" w:rsidRPr="00041FEB">
        <w:rPr>
          <w:rFonts w:eastAsia="MS Mincho" w:cs="Times New Roman"/>
          <w:lang w:eastAsia="ja-JP"/>
        </w:rPr>
        <w:t>4</w:t>
      </w:r>
      <w:r w:rsidRPr="00041FEB">
        <w:rPr>
          <w:rFonts w:eastAsia="MS Mincho" w:cs="Times New Roman"/>
          <w:lang w:eastAsia="ja-JP"/>
        </w:rPr>
        <w:t>). Country-wise analyses corroborated these findings and there was a negligible level of between-country heterogeneity (</w:t>
      </w:r>
      <w:r w:rsidRPr="00041FEB">
        <w:rPr>
          <w:rFonts w:eastAsia="MS Mincho" w:cs="Times New Roman"/>
          <w:i/>
          <w:lang w:eastAsia="ja-JP"/>
        </w:rPr>
        <w:t>I</w:t>
      </w:r>
      <w:r w:rsidRPr="00041FEB">
        <w:rPr>
          <w:rFonts w:eastAsia="MS Mincho" w:cs="Times New Roman"/>
          <w:i/>
          <w:vertAlign w:val="superscript"/>
          <w:lang w:eastAsia="ja-JP"/>
        </w:rPr>
        <w:t>2</w:t>
      </w:r>
      <w:r w:rsidRPr="00041FEB">
        <w:rPr>
          <w:rFonts w:eastAsia="MS Mincho" w:cs="Times New Roman"/>
          <w:lang w:eastAsia="ja-JP"/>
        </w:rPr>
        <w:t>=2</w:t>
      </w:r>
      <w:r w:rsidR="008421C2" w:rsidRPr="00041FEB">
        <w:rPr>
          <w:rFonts w:eastAsia="MS Mincho" w:cs="Times New Roman"/>
          <w:lang w:eastAsia="ja-JP"/>
        </w:rPr>
        <w:t>4</w:t>
      </w:r>
      <w:r w:rsidRPr="00041FEB">
        <w:rPr>
          <w:rFonts w:eastAsia="MS Mincho" w:cs="Times New Roman"/>
          <w:lang w:eastAsia="ja-JP"/>
        </w:rPr>
        <w:t>.0%).</w:t>
      </w:r>
    </w:p>
    <w:p w14:paraId="3A2F7303" w14:textId="77777777" w:rsidR="003370DF" w:rsidRPr="00041FEB" w:rsidRDefault="003370DF" w:rsidP="00B44AE2">
      <w:pPr>
        <w:spacing w:line="480" w:lineRule="auto"/>
      </w:pPr>
      <w:r w:rsidRPr="00041FEB">
        <w:rPr>
          <w:i/>
          <w:iCs/>
        </w:rPr>
        <w:t>Conclusions:</w:t>
      </w:r>
      <w:r w:rsidRPr="00041FEB">
        <w:t xml:space="preserve"> In LMICs, informal caregivers (especially young caregivers) were more likely to have physical multimorbidity. This should be </w:t>
      </w:r>
      <w:proofErr w:type="gramStart"/>
      <w:r w:rsidRPr="00041FEB">
        <w:t>taken into account</w:t>
      </w:r>
      <w:proofErr w:type="gramEnd"/>
      <w:r w:rsidRPr="00041FEB">
        <w:t xml:space="preserve"> in policies that address the health and wellbeing of informal caregivers.</w:t>
      </w:r>
    </w:p>
    <w:p w14:paraId="489B8A46" w14:textId="62761A09" w:rsidR="009B34D6" w:rsidRPr="00041FEB" w:rsidRDefault="001E3E88" w:rsidP="00B44AE2">
      <w:pPr>
        <w:spacing w:line="480" w:lineRule="auto"/>
        <w:jc w:val="both"/>
      </w:pPr>
      <w:r w:rsidRPr="00041FEB">
        <w:rPr>
          <w:b/>
          <w:bCs/>
        </w:rPr>
        <w:lastRenderedPageBreak/>
        <w:t>Key</w:t>
      </w:r>
      <w:r w:rsidR="00153303" w:rsidRPr="00041FEB">
        <w:rPr>
          <w:b/>
          <w:bCs/>
        </w:rPr>
        <w:t>words:</w:t>
      </w:r>
      <w:r w:rsidR="00153303" w:rsidRPr="00041FEB">
        <w:t xml:space="preserve"> informal caregiving</w:t>
      </w:r>
      <w:r w:rsidR="009B34D6" w:rsidRPr="00041FEB">
        <w:t xml:space="preserve">; </w:t>
      </w:r>
      <w:r w:rsidR="009B34D6" w:rsidRPr="00041FEB">
        <w:rPr>
          <w:bCs/>
        </w:rPr>
        <w:t>chronic physical conditions</w:t>
      </w:r>
      <w:r w:rsidR="009B34D6" w:rsidRPr="00041FEB">
        <w:t xml:space="preserve">; physical multimorbidity; low- and middle-income countries; </w:t>
      </w:r>
      <w:r w:rsidR="00B44A2B" w:rsidRPr="00041FEB">
        <w:t xml:space="preserve">cross-sectional </w:t>
      </w:r>
      <w:r w:rsidR="009B34D6" w:rsidRPr="00041FEB">
        <w:t>multi-country study</w:t>
      </w:r>
    </w:p>
    <w:p w14:paraId="7EB90253" w14:textId="77777777" w:rsidR="00BA103F" w:rsidRPr="00041FEB" w:rsidRDefault="00BA103F" w:rsidP="00B44AE2">
      <w:pPr>
        <w:spacing w:line="480" w:lineRule="auto"/>
      </w:pPr>
    </w:p>
    <w:p w14:paraId="2A32CDD7" w14:textId="54520D74" w:rsidR="00DC58F7" w:rsidRPr="00041FEB" w:rsidRDefault="00536D3D" w:rsidP="00B44AE2">
      <w:pPr>
        <w:spacing w:line="480" w:lineRule="auto"/>
        <w:rPr>
          <w:b/>
        </w:rPr>
      </w:pPr>
      <w:r w:rsidRPr="00041FEB">
        <w:rPr>
          <w:b/>
        </w:rPr>
        <w:t>Background</w:t>
      </w:r>
    </w:p>
    <w:p w14:paraId="2C23024B" w14:textId="561BCDDD" w:rsidR="00C064BF" w:rsidRPr="00041FEB" w:rsidRDefault="00C064BF" w:rsidP="00B44AE2">
      <w:pPr>
        <w:spacing w:line="480" w:lineRule="auto"/>
        <w:rPr>
          <w:b/>
        </w:rPr>
      </w:pPr>
    </w:p>
    <w:p w14:paraId="77D76EA3" w14:textId="36EEEA98" w:rsidR="00257138" w:rsidRPr="00041FEB" w:rsidRDefault="00257138" w:rsidP="00B44AE2">
      <w:pPr>
        <w:spacing w:line="480" w:lineRule="auto"/>
        <w:rPr>
          <w:bCs/>
        </w:rPr>
      </w:pPr>
      <w:r w:rsidRPr="00041FEB">
        <w:rPr>
          <w:bCs/>
        </w:rPr>
        <w:t>Population aging is a major challenge for modern societies</w:t>
      </w:r>
      <w:r w:rsidR="000F4120" w:rsidRPr="00041FEB">
        <w:rPr>
          <w:bCs/>
        </w:rPr>
        <w:t xml:space="preserve"> </w:t>
      </w:r>
      <w:r w:rsidR="000F4120" w:rsidRPr="00041FEB">
        <w:rPr>
          <w:bCs/>
        </w:rPr>
        <w:fldChar w:fldCharType="begin"/>
      </w:r>
      <w:r w:rsidR="000F4120" w:rsidRPr="00041FEB">
        <w:rPr>
          <w:bCs/>
        </w:rPr>
        <w:instrText xml:space="preserve"> ADDIN ZOTERO_ITEM CSL_CITATION {"citationID":"uqbbTXx5","properties":{"formattedCitation":"(1)","plainCitation":"(1)","noteIndex":0},"citationItems":[{"id":3469,"uris":["http://zotero.org/users/local/hhPVnw6l/items/LEQUL4X4"],"uri":["http://zotero.org/users/local/hhPVnw6l/items/LEQUL4X4"],"itemData":{"id":3469,"type":"article-journal","abstract":"We are all aging, every day—and, in fact, so is the global population. With life expectancies increasing and fertility rates declining in most of the world, the","container-title":"The Journals of Gerontology: Series A","DOI":"10.1093/gerona/glz226","ISSN":"1079-5006","issue":"Supplement_1","journalAbbreviation":"J Gerontol A Biol Sci Med Sci","language":"en","page":"S4-S6","source":"academic.oup.com","title":"Creating a Global Roadmap for Healthy Longevity","volume":"74","author":[{"family":"Dzau","given":"Victor J."},{"family":"Jenkins","given":"Jo Ann C."}],"issued":{"date-parts":[["2019",11,13]]}}}],"schema":"https://github.com/citation-style-language/schema/raw/master/csl-citation.json"} </w:instrText>
      </w:r>
      <w:r w:rsidR="000F4120" w:rsidRPr="00041FEB">
        <w:rPr>
          <w:bCs/>
        </w:rPr>
        <w:fldChar w:fldCharType="separate"/>
      </w:r>
      <w:r w:rsidR="000F4120" w:rsidRPr="00041FEB">
        <w:rPr>
          <w:bCs/>
          <w:noProof/>
        </w:rPr>
        <w:t>(1)</w:t>
      </w:r>
      <w:r w:rsidR="000F4120" w:rsidRPr="00041FEB">
        <w:rPr>
          <w:bCs/>
        </w:rPr>
        <w:fldChar w:fldCharType="end"/>
      </w:r>
      <w:r w:rsidRPr="00041FEB">
        <w:rPr>
          <w:bCs/>
        </w:rPr>
        <w:t xml:space="preserve">. The </w:t>
      </w:r>
      <w:r w:rsidR="009D3A8C" w:rsidRPr="00041FEB">
        <w:rPr>
          <w:bCs/>
        </w:rPr>
        <w:t xml:space="preserve">global </w:t>
      </w:r>
      <w:r w:rsidRPr="00041FEB">
        <w:rPr>
          <w:bCs/>
        </w:rPr>
        <w:t xml:space="preserve">proportion of people aged over 60 years is estimated to increase </w:t>
      </w:r>
      <w:r w:rsidR="002C52EC" w:rsidRPr="00041FEB">
        <w:rPr>
          <w:bCs/>
        </w:rPr>
        <w:t xml:space="preserve">from 12% in 2015 </w:t>
      </w:r>
      <w:r w:rsidRPr="00041FEB">
        <w:rPr>
          <w:bCs/>
        </w:rPr>
        <w:t xml:space="preserve">to 22% in 2050, with 80% of the elderly living in low- and middle income countries (LMICs) </w:t>
      </w:r>
      <w:r w:rsidR="00AF5733" w:rsidRPr="00041FEB">
        <w:rPr>
          <w:bCs/>
        </w:rPr>
        <w:fldChar w:fldCharType="begin"/>
      </w:r>
      <w:r w:rsidR="000F4120" w:rsidRPr="00041FEB">
        <w:rPr>
          <w:bCs/>
        </w:rPr>
        <w:instrText xml:space="preserve"> ADDIN ZOTERO_ITEM CSL_CITATION {"citationID":"CEZSFcR1","properties":{"formattedCitation":"(2)","plainCitation":"(2)","noteIndex":0},"citationItems":[{"id":2587,"uris":["http://zotero.org/users/local/hhPVnw6l/items/XD28BMM2"],"uri":["http://zotero.org/users/local/hhPVnw6l/items/XD28BMM2"],"itemData":{"id":2587,"type":"webpage","language":"eng","title":"Aging and health","URL":"https://www.who.int/news-room/fact-sheets/detail/ageing-and-health","author":[{"family":"World Health Organization","given":""}],"issued":{"date-parts":[["2018"]]}}}],"schema":"https://github.com/citation-style-language/schema/raw/master/csl-citation.json"} </w:instrText>
      </w:r>
      <w:r w:rsidR="00AF5733" w:rsidRPr="00041FEB">
        <w:rPr>
          <w:bCs/>
        </w:rPr>
        <w:fldChar w:fldCharType="separate"/>
      </w:r>
      <w:r w:rsidR="000F4120" w:rsidRPr="00041FEB">
        <w:rPr>
          <w:bCs/>
          <w:noProof/>
        </w:rPr>
        <w:t>(2)</w:t>
      </w:r>
      <w:r w:rsidR="00AF5733" w:rsidRPr="00041FEB">
        <w:rPr>
          <w:bCs/>
        </w:rPr>
        <w:fldChar w:fldCharType="end"/>
      </w:r>
      <w:r w:rsidRPr="00041FEB">
        <w:rPr>
          <w:bCs/>
        </w:rPr>
        <w:t xml:space="preserve">. One consequence of population aging is </w:t>
      </w:r>
      <w:r w:rsidR="009D3A8C" w:rsidRPr="00041FEB">
        <w:rPr>
          <w:bCs/>
        </w:rPr>
        <w:t xml:space="preserve">an </w:t>
      </w:r>
      <w:r w:rsidRPr="00041FEB">
        <w:rPr>
          <w:bCs/>
        </w:rPr>
        <w:t>increas</w:t>
      </w:r>
      <w:r w:rsidR="009D3A8C" w:rsidRPr="00041FEB">
        <w:rPr>
          <w:bCs/>
        </w:rPr>
        <w:t>ing</w:t>
      </w:r>
      <w:r w:rsidRPr="00041FEB">
        <w:rPr>
          <w:bCs/>
        </w:rPr>
        <w:t xml:space="preserve"> number of individuals in need of care </w:t>
      </w:r>
      <w:r w:rsidR="00AF5733" w:rsidRPr="00041FEB">
        <w:rPr>
          <w:bCs/>
        </w:rPr>
        <w:fldChar w:fldCharType="begin"/>
      </w:r>
      <w:r w:rsidR="00FA3C9F" w:rsidRPr="00041FEB">
        <w:rPr>
          <w:bCs/>
        </w:rPr>
        <w:instrText xml:space="preserve"> ADDIN ZOTERO_ITEM CSL_CITATION {"citationID":"jvMwMlNs","properties":{"formattedCitation":"(3,4)","plainCitation":"(3,4)","noteIndex":0},"citationItems":[{"id":2322,"uris":["http://zotero.org/users/local/hhPVnw6l/items/23FTNT37"],"uri":["http://zotero.org/users/local/hhPVnw6l/items/23FTNT37"],"itemData":{"id":2322,"type":"article-journal","abstract":"BACKGROUND: The Global Burden of Diseases, Injuries, and Risk Factors Study 2017 (GBD 2017) includes a comprehensive assessment of incidence, prevalence, and years lived with disability (YLDs) for 354 causes in 195 countries and territories from 1990 to 2017. Previous GBD studies have shown how the decline of mortality rates from 1990 to 2016 has led to an increase in life expectancy, an ageing global population, and an expansion of the non-fatal burden of disease and injury. These studies have also shown how a substantial portion of the world's population experiences non-fatal health loss with considerable heterogeneity among different causes, locations, ages, and sexes. Ongoing objectives of the GBD study include increasing the level of estimation detail, improving analytical strategies, and increasing the amount of high-quality data.\nMETHODS: We estimated incidence and prevalence for 354 diseases and injuries and 3484 sequelae. We used an updated and extensive body of literature studies, survey data, surveillance data, inpatient admission records, outpatient visit records, and health insurance claims, and additionally used results from cause of death models to inform estimates using a total of 68 781 data sources. Newly available clinical data from India, Iran, Japan, Jordan, Nepal, China, Brazil, Norway, and Italy were incorporated, as well as updated claims data from the USA and new claims data from Taiwan (province of China) and Singapore. We used DisMod-MR 2.1, a Bayesian meta-regression tool, as the main method of estimation, ensuring consistency between rates of incidence, prevalence, remission, and cause of death for each condition. YLDs were estimated as the product of a prevalence estimate and a disability weight for health states of each mutually exclusive sequela, adjusted for comorbidity. We updated the Socio-demographic Index (SDI), a summary development indicator of income per capita, years of schooling, and total fertility rate. Additionally, we calculated differences between male and female YLDs to identify divergent trends across sexes. GBD 2017 complies with the Guidelines for Accurate and Transparent Health Estimates Reporting.\nFINDINGS: Globally, for females, the causes with the greatest age-standardised prevalence were oral disorders, headache disorders, and haemoglobinopathies and haemolytic anaemias in both 1990 and 2017. For males, the causes with the greatest age-standardised prevalence were oral disorders, headache disorders, and tuberculosis including latent tuberculosis infection in both 1990 and 2017. In terms of YLDs, low back pain, headache disorders, and dietary iron deficiency were the leading Level 3 causes of YLD counts in 1990, whereas low back pain, headache disorders, and depressive disorders were the leading causes in 2017 for both sexes combined. All-cause age-standardised YLD rates decreased by 3·9% (95% uncertainty interval [UI] 3·1-4·6) from 1990 to 2017; however, the all-age YLD rate increased by 7·2% (6·0-8·4) while the total sum of global YLDs increased from 562 million (421-723) to 853 million (642-1100). The increases for males and females were similar, with increases in all-age YLD rates of 7·9% (6·6-9·2) for males and 6·5% (5·4-7·7) for females. We found significant differences between males and females in terms of age-standardised prevalence estimates for multiple causes. The causes with the greatest relative differences between sexes in 2017 included substance use disorders (3018 cases [95% UI 2782-3252] per 100 000 in males vs s1400 [1279-1524] per 100 000 in females), transport injuries (3322 [3082-3583] vs 2336 [2154-2535]), and self-harm and interpersonal violence (3265 [2943-3630] vs 5643 [5057-6302]).\nINTERPRETATION: Global all-cause age-standardised YLD rates have improved only slightly over a period spanning nearly three decades. However, the magnitude of the non-fatal disease burden has expanded globally, with increasing numbers of people who have a wide spectrum of conditions. A subset of conditions has remained globally pervasive since 1990, whereas other conditions have displayed more dynamic trends, with different ages, sexes, and geographies across the globe experiencing varying burdens and trends of health loss. This study emphasises how global improvements in premature mortality for select conditions have led to older populations with complex and potentially expensive diseases, yet also highlights global achievements in certain domains of disease and injury.\nFUNDING: Bill &amp; Melinda Gates Foundation.","container-title":"Lancet (London, England)","DOI":"10.1016/S0140-6736(18)32279-7","ISSN":"1474-547X","issue":"10159","journalAbbreviation":"Lancet","language":"eng","note":"PMID: 30496104\nPMCID: PMC6227754","page":"1789-1858","source":"PubMed","title":"Global, regional, and national incidence, prevalence, and years lived with disability for 354 diseases and injuries for 195 countries and territories, 1990-2017: a systematic analysis for the Global Burden of Disease Study 2017","title-short":"Global, regional, and national incidence, prevalence, and years lived with disability for 354 diseases and injuries for 195 countries and territories, 1990-2017","volume":"392","author":[{"literal":"GBD 2017 Disease and Injury Incidence and Prevalence Collaborators"}],"issued":{"date-parts":[["2018"]],"season":"10"}}},{"id":3476,"uris":["http://zotero.org/users/local/hhPVnw6l/items/J43I7SYU"],"uri":["http://zotero.org/users/local/hhPVnw6l/items/J43I7SYU"],"itemData":{"id":3476,"type":"article-journal","abstract":"BACKGROUND: Multimorbidity has become a prominent problem worldwide; however, few population-based studies have been conducted among older Chinese with multimorbidity. This study aimed to examine the prevalence of multimorbidity and explore its common patterns among a nationally representative sample of older Chinese.\nMETHODS: This study utilized data from the China Health and Retirement Longitudinal Study (CHARLS) and included 19,841 participants aged ≥50 years. The prevalence of individual chronic diseases and multimorbidity during 2011-2015 were evaluated among the entire cohort and according to residential regions and gender. The relationships between participants' demographic characteristics and multimorbidity were examined using logistic regression model. Patterns of multimorbidity were explored using hierarchical cluster analysis (HCA) and association rule mining (ARM).\nRESULTS: Multimorbidity occurred in 42.4% of the participants. The prevalence of multimorbidity was higher among women (OR=1.31, 95%CI: 1.13-1.51) and urban residents (OR=1.14, 95% CI: 1.02-1.27) than their respective counterparts after accounting for potential confounders of age, education, smoking and alcohol consumption. HCA revealed four common multimorbidity patterns: the vascular-metabolic cluster; the stomach-arthritis cluster; the cognitive-emotional cluster; and the hepatorenal cluster. Regional differences were found in the distributions of stroke and memory-related disease. Most combinations of conditions and urban-rural difference in multimorbidity patterns from HCA were also observed in ARM.\nCONCLUSION: The prevalence and patterns of multimorbidity vary by gender and residential regions among older Chinese. Women and urban residents are more vulnerable to multimorbidity. Future studies are needed to understand the mechanisms underlying the identified multimorbidity patterns and their policy and interventional implications.","container-title":"The Journals of Gerontology. Series A, Biological Sciences and Medical Sciences","DOI":"10.1093/gerona/glz185","ISSN":"1758-535X","journalAbbreviation":"J. Gerontol. A Biol. Sci. Med. Sci.","language":"eng","note":"PMID: 31406983","source":"PubMed","title":"Prevalence and patterns of multimorbidity in a nationally representative sample of older Chinese: results from CHARLS","title-short":"Prevalence and patterns of multimorbidity in a nationally representative sample of older Chinese","author":[{"family":"Yao","given":"Shan-Shan"},{"family":"Cao","given":"Gui-Ying"},{"family":"Han","given":"Ling"},{"family":"Chen","given":"Zi-Shuo"},{"family":"Huang","given":"Zi-Ting"},{"family":"Gong","given":"Ping"},{"family":"Hu","given":"Yonghua"},{"family":"Xu","given":"Beibei"}],"issued":{"date-parts":[["2019",8,13]]}}}],"schema":"https://github.com/citation-style-language/schema/raw/master/csl-citation.json"} </w:instrText>
      </w:r>
      <w:r w:rsidR="00AF5733" w:rsidRPr="00041FEB">
        <w:rPr>
          <w:bCs/>
        </w:rPr>
        <w:fldChar w:fldCharType="separate"/>
      </w:r>
      <w:r w:rsidR="00FA3C9F" w:rsidRPr="00041FEB">
        <w:rPr>
          <w:bCs/>
          <w:noProof/>
        </w:rPr>
        <w:t>(3,4)</w:t>
      </w:r>
      <w:r w:rsidR="00AF5733" w:rsidRPr="00041FEB">
        <w:rPr>
          <w:bCs/>
        </w:rPr>
        <w:fldChar w:fldCharType="end"/>
      </w:r>
      <w:r w:rsidRPr="00041FEB">
        <w:rPr>
          <w:bCs/>
        </w:rPr>
        <w:t xml:space="preserve">. </w:t>
      </w:r>
      <w:r w:rsidR="0094381D" w:rsidRPr="00041FEB">
        <w:rPr>
          <w:bCs/>
        </w:rPr>
        <w:t>The vast majority of these individuals are provided unpaid care from relatives or friends (informal care)</w:t>
      </w:r>
      <w:r w:rsidR="00DD6C61" w:rsidRPr="00041FEB">
        <w:rPr>
          <w:bCs/>
        </w:rPr>
        <w:t xml:space="preserve"> </w:t>
      </w:r>
      <w:r w:rsidR="00DD6C61" w:rsidRPr="00041FEB">
        <w:rPr>
          <w:bCs/>
        </w:rPr>
        <w:fldChar w:fldCharType="begin"/>
      </w:r>
      <w:r w:rsidR="00FA3C9F" w:rsidRPr="00041FEB">
        <w:rPr>
          <w:bCs/>
        </w:rPr>
        <w:instrText xml:space="preserve"> ADDIN ZOTERO_ITEM CSL_CITATION {"citationID":"vnuN77ap","properties":{"formattedCitation":"(5)","plainCitation":"(5)","noteIndex":0},"citationItems":[{"id":2660,"uris":["http://zotero.org/users/local/hhPVnw6l/items/YH9EXEFQ"],"uri":["http://zotero.org/users/local/hhPVnw6l/items/YH9EXEFQ"],"itemData":{"id":2660,"type":"article-journal","abstract":"The ageing of society is leading to significant reforms in long-term care policy and systems in many European countries. The cutbacks in professional care are increasing demand for informal care considerably, from both kin and non-kin. At the same time, demographic and societal developments such as changing family structures and later retirement may limit the supply of informal care. This raises the question as to whether the volume of informal care (in people) will increase in the years ahead. This paper aims to provide a theoretical answer to this question in two steps. First, based on different care models and empirical literature, we develop a behavioural model on individual caregiving, the Informal Care Model. The model states that, in response to the care recipient’s need for care, the intention to provide care is based on general attitudes, quality of the relationship, normative beliefs, and perceived barriers. Whether one actually provides care also depends on the care potential of the social context, being the family, the social network, and the community. Second, we discuss how current policy and societal developments may negatively or positively impact on these mechanisms underlying the provision of informal care. Given the increased need for care among home-dwelling individuals, the model suggests that more people will take up the caregiver role in the years ahead contributing to larger and more diverse care networks. It is concluded that long-term informal care provision is a complex phenomenon including multiple actors in various contexts. More research is needed to test the Informal Care Model empirically, preferably using information on care recipients, informal caregivers and community care in a dynamic design and in different countries. Such information will increase insight in the developments in informal care provision in retrenching welfare states.","container-title":"European Journal of Ageing","DOI":"10.1007/s10433-016-0370-7","ISSN":"1613-9372","issue":"3","journalAbbreviation":"Eur J Ageing","note":"PMID: 27610055\nPMCID: PMC4992501","page":"271-279","source":"PubMed Central","title":"Providing informal care in a changing society","volume":"13","author":[{"family":"Broese van Groenou","given":"Marjolein I."},{"family":"De Boer","given":"Alice"}],"issued":{"date-parts":[["2016",4,15]]}}}],"schema":"https://github.com/citation-style-language/schema/raw/master/csl-citation.json"} </w:instrText>
      </w:r>
      <w:r w:rsidR="00DD6C61" w:rsidRPr="00041FEB">
        <w:rPr>
          <w:bCs/>
        </w:rPr>
        <w:fldChar w:fldCharType="separate"/>
      </w:r>
      <w:r w:rsidR="00FA3C9F" w:rsidRPr="00041FEB">
        <w:rPr>
          <w:bCs/>
          <w:noProof/>
        </w:rPr>
        <w:t>(5)</w:t>
      </w:r>
      <w:r w:rsidR="00DD6C61" w:rsidRPr="00041FEB">
        <w:rPr>
          <w:bCs/>
        </w:rPr>
        <w:fldChar w:fldCharType="end"/>
      </w:r>
      <w:r w:rsidR="0094381D" w:rsidRPr="00041FEB">
        <w:rPr>
          <w:bCs/>
        </w:rPr>
        <w:t>. Informal care is a</w:t>
      </w:r>
      <w:r w:rsidR="00777819" w:rsidRPr="00041FEB">
        <w:rPr>
          <w:bCs/>
        </w:rPr>
        <w:t>n</w:t>
      </w:r>
      <w:r w:rsidR="00E939F0" w:rsidRPr="00041FEB">
        <w:rPr>
          <w:bCs/>
        </w:rPr>
        <w:t xml:space="preserve"> important</w:t>
      </w:r>
      <w:r w:rsidR="0094381D" w:rsidRPr="00041FEB">
        <w:rPr>
          <w:bCs/>
        </w:rPr>
        <w:t xml:space="preserve"> alternative to expensive health care services and institutional care. </w:t>
      </w:r>
      <w:r w:rsidRPr="00041FEB">
        <w:rPr>
          <w:bCs/>
        </w:rPr>
        <w:t>In LMICs, access to health</w:t>
      </w:r>
      <w:r w:rsidR="00C27678" w:rsidRPr="00041FEB">
        <w:rPr>
          <w:bCs/>
        </w:rPr>
        <w:t xml:space="preserve"> and welfare service</w:t>
      </w:r>
      <w:r w:rsidRPr="00041FEB">
        <w:rPr>
          <w:bCs/>
        </w:rPr>
        <w:t xml:space="preserve"> is limited, </w:t>
      </w:r>
      <w:r w:rsidR="002D1866" w:rsidRPr="00041FEB">
        <w:rPr>
          <w:bCs/>
        </w:rPr>
        <w:t xml:space="preserve">and there </w:t>
      </w:r>
      <w:r w:rsidR="0035628D" w:rsidRPr="00041FEB">
        <w:rPr>
          <w:bCs/>
        </w:rPr>
        <w:t>is</w:t>
      </w:r>
      <w:r w:rsidR="002D1866" w:rsidRPr="00041FEB">
        <w:rPr>
          <w:bCs/>
        </w:rPr>
        <w:t xml:space="preserve"> a particularly heavy reliance on </w:t>
      </w:r>
      <w:r w:rsidRPr="00041FEB">
        <w:rPr>
          <w:bCs/>
        </w:rPr>
        <w:t>informal caregivers</w:t>
      </w:r>
      <w:r w:rsidR="00A66F98" w:rsidRPr="00041FEB">
        <w:rPr>
          <w:bCs/>
        </w:rPr>
        <w:t xml:space="preserve"> </w:t>
      </w:r>
      <w:r w:rsidR="00A66F98" w:rsidRPr="00041FEB">
        <w:rPr>
          <w:bCs/>
        </w:rPr>
        <w:fldChar w:fldCharType="begin"/>
      </w:r>
      <w:r w:rsidR="002D42FA" w:rsidRPr="00041FEB">
        <w:rPr>
          <w:bCs/>
        </w:rPr>
        <w:instrText xml:space="preserve"> ADDIN ZOTERO_ITEM CSL_CITATION {"citationID":"p6lrM3x4","properties":{"formattedCitation":"(6)","plainCitation":"(6)","noteIndex":0},"citationItems":[{"id":2480,"uris":["http://zotero.org/users/local/hhPVnw6l/items/NNNT4XHH"],"uri":["http://zotero.org/users/local/hhPVnw6l/items/NNNT4XHH"],"itemData":{"id":2480,"type":"article-journal","container-title":"Disability and Health Journal","DOI":"10.1016/j.dhjo.2014.01.003","issue":"3","language":"eng","page":"262-72","title":"The neglected burden of caregiving in low- and middle-income countries","volume":"7","author":[{"family":"Thrush","given":"A"},{"family":"Hyder","given":"AA"}],"issued":{"date-parts":[["2014"]]}}}],"schema":"https://github.com/citation-style-language/schema/raw/master/csl-citation.json"} </w:instrText>
      </w:r>
      <w:r w:rsidR="00A66F98" w:rsidRPr="00041FEB">
        <w:rPr>
          <w:bCs/>
        </w:rPr>
        <w:fldChar w:fldCharType="separate"/>
      </w:r>
      <w:r w:rsidR="002D42FA" w:rsidRPr="00041FEB">
        <w:rPr>
          <w:bCs/>
          <w:noProof/>
        </w:rPr>
        <w:t>(6)</w:t>
      </w:r>
      <w:r w:rsidR="00A66F98" w:rsidRPr="00041FEB">
        <w:rPr>
          <w:bCs/>
        </w:rPr>
        <w:fldChar w:fldCharType="end"/>
      </w:r>
      <w:r w:rsidR="002D1866" w:rsidRPr="00041FEB">
        <w:rPr>
          <w:bCs/>
        </w:rPr>
        <w:t xml:space="preserve">. Thus, </w:t>
      </w:r>
      <w:r w:rsidR="00DC3433" w:rsidRPr="00041FEB">
        <w:rPr>
          <w:bCs/>
        </w:rPr>
        <w:t xml:space="preserve">the health of the caregivers is crucial to </w:t>
      </w:r>
      <w:r w:rsidR="00AC5BCC" w:rsidRPr="00041FEB">
        <w:rPr>
          <w:bCs/>
        </w:rPr>
        <w:t>sustain informal care provision, especially in LMICs.</w:t>
      </w:r>
    </w:p>
    <w:p w14:paraId="1EBC67C4" w14:textId="77777777" w:rsidR="00257138" w:rsidRPr="00041FEB" w:rsidRDefault="00257138" w:rsidP="00B44AE2">
      <w:pPr>
        <w:spacing w:line="480" w:lineRule="auto"/>
        <w:rPr>
          <w:bCs/>
        </w:rPr>
      </w:pPr>
    </w:p>
    <w:p w14:paraId="203352D7" w14:textId="633E44EA" w:rsidR="006D7081" w:rsidRPr="00041FEB" w:rsidRDefault="00827721" w:rsidP="00B44AE2">
      <w:pPr>
        <w:spacing w:line="480" w:lineRule="auto"/>
        <w:rPr>
          <w:bCs/>
        </w:rPr>
      </w:pPr>
      <w:r w:rsidRPr="00041FEB">
        <w:rPr>
          <w:bCs/>
        </w:rPr>
        <w:t xml:space="preserve">Despite this, there are only a few studies on the health status of caregivers </w:t>
      </w:r>
      <w:r w:rsidR="00954E9E" w:rsidRPr="00041FEB">
        <w:rPr>
          <w:bCs/>
        </w:rPr>
        <w:t xml:space="preserve">in </w:t>
      </w:r>
      <w:r w:rsidRPr="00041FEB">
        <w:rPr>
          <w:bCs/>
        </w:rPr>
        <w:t xml:space="preserve">LMICs. </w:t>
      </w:r>
      <w:r w:rsidR="00193AD1" w:rsidRPr="00041FEB">
        <w:rPr>
          <w:bCs/>
        </w:rPr>
        <w:t xml:space="preserve">These studies have shown that caregivers in LMICs are more likely to have mental </w:t>
      </w:r>
      <w:r w:rsidR="009D3A8C" w:rsidRPr="00041FEB">
        <w:rPr>
          <w:bCs/>
        </w:rPr>
        <w:t xml:space="preserve">or </w:t>
      </w:r>
      <w:r w:rsidR="00193AD1" w:rsidRPr="00041FEB">
        <w:rPr>
          <w:bCs/>
        </w:rPr>
        <w:t>physica</w:t>
      </w:r>
      <w:r w:rsidR="00A960B7" w:rsidRPr="00041FEB">
        <w:rPr>
          <w:bCs/>
        </w:rPr>
        <w:t>l health problems</w:t>
      </w:r>
      <w:r w:rsidR="00DA239C" w:rsidRPr="00041FEB">
        <w:rPr>
          <w:bCs/>
        </w:rPr>
        <w:t xml:space="preserve"> </w:t>
      </w:r>
      <w:r w:rsidR="00DA239C" w:rsidRPr="00041FEB">
        <w:rPr>
          <w:bCs/>
        </w:rPr>
        <w:fldChar w:fldCharType="begin"/>
      </w:r>
      <w:r w:rsidR="002D42FA" w:rsidRPr="00041FEB">
        <w:rPr>
          <w:bCs/>
        </w:rPr>
        <w:instrText xml:space="preserve"> ADDIN ZOTERO_ITEM CSL_CITATION {"citationID":"cK5E2UFo","properties":{"formattedCitation":"(7)","plainCitation":"(7)","noteIndex":0},"citationItems":[{"id":2308,"uris":["http://zotero.org/users/local/hhPVnw6l/items/U5MSPDE5"],"uri":["http://zotero.org/users/local/hhPVnw6l/items/U5MSPDE5"],"itemData":{"id":2308,"type":"article-journal","abstract":"Caregiving has been associated with adverse health outcomes. However, there is a paucity of multi-country, population-based studies on mental health outcomes of caregivers especially from low- and middle-income countries (LMICs). Thus, we assessed the association of caregiving with depression, sleep problems, and perceived stress in 10 high-, 27 middle-, and 21 low-income countries. Cross-sectional community-based data of the World Health Survey including 258,793 adults aged ≥18 years were analyzed. Multivariable logistic and linear regression analyses were conducted to explore the association of past 12-month caregiving with past 12-month DSM-IV depression, and past 30-day perceived stress [range 0 (low)-100 (high)] and severe/extreme sleep problems. Nearly 20% of the individuals were engaged in caregiving with particularly high rates observed in high-income countries (HICs) (e.g., Finland 43.3%). Across the entire sample, after adjustment for potential confounders, caregivers had a significantly higher likelihood of having depression (OR = 1.54; 95%CI = 1.37-1.73), sleep problems (OR = 1.37; 95%CI = 1.25-1.50), while their mean perceived stress score was 3.15 (95%CI = 2.46-3.84) points higher. These associations tended to be stronger in HICs. A greater number of caregiving activities was associated with a greater likelihood of depression, sleep problems, and perceived stress regardless of country income levels. In conclusion, caregiving has a negative impact on mental health worldwide with possibly greater effects in HICs. Given the growing contribution of caregivers in long-term care, interventions and policies to alleviate the mental health burden of caregivers are urgently needed to maintain sustainable and effective care practices.","container-title":"Journal of Psychiatric Research","DOI":"10.1016/j.jpsychires.2017.10.001","ISSN":"1879-1379","journalAbbreviation":"J Psychiatr Res","language":"eng","note":"PMID: 29031131","page":"115-123","source":"PubMed","title":"Depression, sleep problems, and perceived stress among informal caregivers in 58 low-, middle-, and high-income countries: A cross-sectional analysis of community-based surveys","title-short":"Depression, sleep problems, and perceived stress among informal caregivers in 58 low-, middle-, and high-income countries","volume":"96","author":[{"family":"Koyanagi","given":"Ai"},{"family":"DeVylder","given":"Jordan E."},{"family":"Stubbs","given":"Brendon"},{"family":"Carvalho","given":"André F."},{"family":"Veronese","given":"Nicola"},{"family":"Haro","given":"Josep M."},{"family":"Santini","given":"Ziggi I."}],"issued":{"date-parts":[["2018"]]}}}],"schema":"https://github.com/citation-style-language/schema/raw/master/csl-citation.json"} </w:instrText>
      </w:r>
      <w:r w:rsidR="00DA239C" w:rsidRPr="00041FEB">
        <w:rPr>
          <w:bCs/>
        </w:rPr>
        <w:fldChar w:fldCharType="separate"/>
      </w:r>
      <w:r w:rsidR="002D42FA" w:rsidRPr="00041FEB">
        <w:rPr>
          <w:rFonts w:cs="Times New Roman"/>
        </w:rPr>
        <w:t>(7)</w:t>
      </w:r>
      <w:r w:rsidR="00DA239C" w:rsidRPr="00041FEB">
        <w:rPr>
          <w:bCs/>
        </w:rPr>
        <w:fldChar w:fldCharType="end"/>
      </w:r>
      <w:r w:rsidR="00193AD1" w:rsidRPr="00041FEB">
        <w:rPr>
          <w:bCs/>
        </w:rPr>
        <w:t xml:space="preserve">, but there are currently no studies on </w:t>
      </w:r>
      <w:r w:rsidR="005C05FD" w:rsidRPr="00041FEB">
        <w:rPr>
          <w:bCs/>
        </w:rPr>
        <w:t xml:space="preserve">the association between </w:t>
      </w:r>
      <w:r w:rsidR="00193AD1" w:rsidRPr="00041FEB">
        <w:rPr>
          <w:bCs/>
        </w:rPr>
        <w:t xml:space="preserve">physical multimorbidity </w:t>
      </w:r>
      <w:r w:rsidR="0055413A" w:rsidRPr="00041FEB">
        <w:rPr>
          <w:bCs/>
        </w:rPr>
        <w:t xml:space="preserve">(i.e., two or more chronic physical conditions) </w:t>
      </w:r>
      <w:r w:rsidR="00193AD1" w:rsidRPr="00041FEB">
        <w:rPr>
          <w:bCs/>
        </w:rPr>
        <w:t xml:space="preserve">and caregiving. </w:t>
      </w:r>
      <w:r w:rsidR="00405CAF" w:rsidRPr="00041FEB">
        <w:rPr>
          <w:bCs/>
        </w:rPr>
        <w:t xml:space="preserve">Studies on multimorbidity are </w:t>
      </w:r>
      <w:r w:rsidR="00EE7921" w:rsidRPr="00041FEB">
        <w:rPr>
          <w:bCs/>
        </w:rPr>
        <w:t xml:space="preserve">crucial </w:t>
      </w:r>
      <w:r w:rsidR="00405CAF" w:rsidRPr="00041FEB">
        <w:rPr>
          <w:bCs/>
        </w:rPr>
        <w:t xml:space="preserve">as </w:t>
      </w:r>
      <w:r w:rsidR="00EE7921" w:rsidRPr="00041FEB">
        <w:t>it is an important risk concept associated with increased disability</w:t>
      </w:r>
      <w:r w:rsidR="005069A5" w:rsidRPr="00041FEB">
        <w:t xml:space="preserve"> </w:t>
      </w:r>
      <w:r w:rsidR="005069A5" w:rsidRPr="00041FEB">
        <w:fldChar w:fldCharType="begin"/>
      </w:r>
      <w:r w:rsidR="002D42FA" w:rsidRPr="00041FEB">
        <w:instrText xml:space="preserve"> ADDIN ZOTERO_ITEM CSL_CITATION {"citationID":"vfJ5oN22","properties":{"formattedCitation":"(8,9)","plainCitation":"(8,9)","noteIndex":0},"citationItems":[{"id":2665,"uris":["http://zotero.org/users/local/hhPVnw6l/items/CPRK2J25"],"uri":["http://zotero.org/users/local/hhPVnw6l/items/CPRK2J25"],"itemData":{"id":2665,"type":"article-journal","abstract":"Background\nBoth multimorbidity and activities of daily living (ADL) disability and instrument activities of daily living (IADL) disability are common among elderly individuals. ADL/IADL disability may reduce individuals’ capacities for independent living and quality of life. This study aimed to examine the association between multimorbidity and ADL/IADL disability.\n\nMethods\nA multi-stage cluster sample of 2058 residents aged 80 or older was investigated in Shanghai, China. Multimorbidity was defined as the simultaneous presence of two or more chronic diseases with ten common chronic conditions under consideration. Subjects who responded that they “need partial or full assistance” to any ADL/IADL items were defined as having ADL/IADL disability. We examined the association of multimorbidity with ADL/IADL disability, adjusted for socio-demographic characteristics by using logistic regression.\n\nResults\nOf respondents, 23.23 % had ADL disability, 37.90 % had IADL disability, and 49.17 % had multimorbidity. After adjusted socio-demographic characteristics, a graded association was showed between ADL disability and the quantity of chronic conditions: odds ratio (OR) for 1 condition, 1.53(95 % confidence interval [CI], 1.04-2.24); OR for 2 conditions, 2.06(95 % CI, 1.43-2.96); OR for 3 conditions, 3.23(95 % CI, 2.14-4.86); OR for 4 or more conditions, 5.61(95 % CI, 3.26-9.66). Similar associations were also observed between the quantity of chronic conditions and IADL disability.\n\nConclusions\nThe quantity of chronic conditions had relatively strong association with both ADL and IADL disability. Initiating prevention of additional chronic conditions and interventions on clusters of diseases may decrease the potential risk of ADL/IADL disability. Additionally, more attention should been given to the older low-income women living with relatives/non-relatives with multimorbidity.","container-title":"BMC Geriatrics","DOI":"10.1186/s12877-016-0352-9","ISSN":"1471-2318","journalAbbreviation":"BMC Geriatr","note":"PMID: 27784269\nPMCID: PMC5081877","source":"PubMed Central","title":"The association of multimorbidity and disability in a community-based sample of elderly aged 80 or older in Shanghai, China","URL":"https://www.ncbi.nlm.nih.gov/pmc/articles/PMC5081877/","volume":"16","author":[{"family":"Su","given":"Peng"},{"family":"Ding","given":"Hansheng"},{"family":"Zhang","given":"Wei"},{"family":"Duan","given":"Guangfeng"},{"family":"Yang","given":"Yitong"},{"family":"Chen","given":"Rong"},{"family":"Duan","given":"Zengjie"},{"family":"Du","given":"Lixia"},{"family":"Xie","given":"Chunyan"},{"family":"Jin","given":"Chunlin"},{"family":"Hu","given":"Chaoqun"},{"family":"Sun","given":"Zixue"},{"family":"Long","given":"Junrui"},{"family":"Gong","given":"Lingling"},{"family":"Tian","given":"Wenhua"}],"accessed":{"date-parts":[["2019",10,3]]},"issued":{"date-parts":[["2016",10,27]]}}},{"id":3474,"uris":["http://zotero.org/users/local/hhPVnw6l/items/HI8C2XG6"],"uri":["http://zotero.org/users/local/hhPVnw6l/items/HI8C2XG6"],"itemData":{"id":3474,"type":"article-journal","abstract":"BACKGROUND: Chronic medical conditions (CMCs) often emerge and accumulate during the transition from mid- to late-life, and the resulting multimorbidity can greatly impact physical function. We assessed the association of CMC presence and incidence on trajectories of physical function from mid- to early late-life in the Study of Women's Health Across the Nation.\nMETHODS: Physical function was assessed at eight clinic visits (average 14 years follow-up) using the physical function subscale of the Short Form-36. CMCs included osteoarthritis, diabetes, stroke, hypertension, heart disease, cancer, osteoporosis, and depressive symptomatology, and were considered cumulatively. Repeated-measures Poisson models estimated longitudinal change (expressed as percent difference) in physical function by chronic CMCs. Change-points assessed physical function change coincident with the development of a new condition.\nRESULTS: Women (N = 2,283) followed from age 50.0 ± 2.7 to 64.0 ± 3.7 years; 7.3% had zero CMCs through follow-up, 22.5% (N = 513) had no baseline CMCs but developed ≥1, 22.7% women had ≥1 baseline CMC but never developed another, and 47.6% had ≥1 baseline CMC and developed ≥1 more. Each additional baseline CMC was associated with 4.0% worse baseline physical function and annual decline of 0.20%/year. Women with more baseline CMCs had greater decline in physical function with a new CMC (-1.90% per condition); and annual decline when developing a new condition accelerated by -0.33%/year per condition.\nCONCLUSIONS: Self-reported physical function changes are evident from mid- to early late-life with the development of CMCs. Preventing or delaying CMCs may delay declines in physical function, and these potential pathways to disability warrant further research.","container-title":"The Journals of Gerontology. Series A, Biological Sciences and Medical Sciences","DOI":"10.1093/gerona/glz243","ISSN":"1758-535X","journalAbbreviation":"J. Gerontol. A Biol. Sci. Med. Sci.","language":"eng","note":"PMID: 31732730","source":"PubMed","title":"Impact of Chronic Medical Condition Development on Longitudinal Physical Function from Mid- to Early Late-Life: The Study of Women's Health Across the Nation","title-short":"Impact of Chronic Medical Condition Development on Longitudinal Physical Function from Mid- to Early Late-Life","author":[{"family":"Lange-Maia","given":"Brittney S."},{"family":"Karvonen-Gutierrez","given":"Carrie A."},{"family":"Kazlauskaite","given":"Rasa"},{"family":"Strotmeyer","given":"Elsa S."},{"family":"Karavolos","given":"Kelly"},{"family":"Appelhans","given":"Bradley M."},{"family":"Janssen","given":"Imke"},{"family":"Avery","given":"Elizabeth F."},{"family":"Dugan","given":"Sheila A."},{"family":"Kravitz","given":"Howard M."}],"issued":{"date-parts":[["2019",11,16]]}}}],"schema":"https://github.com/citation-style-language/schema/raw/master/csl-citation.json"} </w:instrText>
      </w:r>
      <w:r w:rsidR="005069A5" w:rsidRPr="00041FEB">
        <w:fldChar w:fldCharType="separate"/>
      </w:r>
      <w:r w:rsidR="002D42FA" w:rsidRPr="00041FEB">
        <w:rPr>
          <w:noProof/>
        </w:rPr>
        <w:t>(8,9)</w:t>
      </w:r>
      <w:r w:rsidR="005069A5" w:rsidRPr="00041FEB">
        <w:fldChar w:fldCharType="end"/>
      </w:r>
      <w:r w:rsidR="00EE7921" w:rsidRPr="00041FEB">
        <w:t>, poorer quality of life</w:t>
      </w:r>
      <w:r w:rsidR="000379F4" w:rsidRPr="00041FEB">
        <w:t xml:space="preserve"> </w:t>
      </w:r>
      <w:r w:rsidR="000379F4" w:rsidRPr="00041FEB">
        <w:fldChar w:fldCharType="begin"/>
      </w:r>
      <w:r w:rsidR="002D42FA" w:rsidRPr="00041FEB">
        <w:instrText xml:space="preserve"> ADDIN ZOTERO_ITEM CSL_CITATION {"citationID":"zBvOq7uN","properties":{"formattedCitation":"(10)","plainCitation":"(10)","noteIndex":0},"citationItems":[{"id":2668,"uris":["http://zotero.org/users/local/hhPVnw6l/items/AIVVM4XF"],"uri":["http://zotero.org/users/local/hhPVnw6l/items/AIVVM4XF"],"itemData":{"id":2668,"type":"article-journal","abstract":"INTRODUCTION: Approximately 50% of adults have multimorbidity (MM) that is associated with greater disability, poorer quality of life (QOL) and increased psychological distress. This study assessed the association between MM and QOL, health status and functional disability in U.S. adults.\nMETHODS: Cross-sectional study of 23,789 patients from 2011 Medical Expenditure Panel Survey was conducted. Mean scores were calculated for QOL (physical component score [PCS] and mental component score [MCS]) and proportions for functional limitation (activities of daily living [ADL]; instrumental ADL [IADL] and physical functioning). Health status was assessed by depression and serious psychological distress. Regression models evaluated associations between MM and QOL, functional health status and functional limitations, while adjusting for confounders.\nRESULTS: Approximately 53% of 45-64-year-olds and 84% of those ≥65-years-old had MM. In adjusted models, ≥3 conditions were significantly associated with poorer outcomes-PCS QOL (β = -9.15; 95% CI: -9.69 to -8.61), MCS QOL (β = -1.98; 95% CI: -2.43 to -1.52), ADL (odds ratio [OR] = 5.80; 95% CI: 2.27-14.8), IADL (OR = 3.99; 95% CI: 2.31-6.88) and physical functioning (OR = 16.8; 95% CI: 12.0-23.6) compared with 1-2 conditions. Depression (PCS QOL: β = -4.02; 95% CI: -4.89 to -3.15; MCS QOL: β = -12.5; 95% CI: -13.2 to -10.9; ADL: OR = 2.49; 95% CI: 1.65-3.76; IADL: OR = 2.65; 95% CI: 1.88-3.72; physical functioning: OR = 2.44; 95% CI: 1.99-2.99) and serious psychological distress (PCS QOL: β = -3.16; 95% CI: -4.30 to -2.03; MCS QOL: β = -11.8; 95% CI: -12.8 to -10.8; ADL: OR = 1.57; 95% CI: 0.95-2.60; IADL: OR = 1.13; 95% CI: 0.80-1.59 and physical functioning: OR = 1.41; 95% CI: 1.11-1.78) were significantly associated with adverse outcomes.\nCONCLUSIONS: In this nationally representative sample of U.S. adults, MM was significantly associated with poorer QOL, functional health status and physical functioning, when adjusting for relevant confounders. A holistic view of the complexities associated with MM must dictate comprehensive care.","container-title":"The American Journal of the Medical Sciences","DOI":"10.1016/j.amjms.2016.03.004","ISSN":"1538-2990","issue":"1","journalAbbreviation":"Am. J. Med. Sci.","language":"eng","note":"PMID: 27432034","page":"45-52","source":"PubMed","title":"The Association Between Multimorbidity and Quality of Life, Health Status and Functional Disability","volume":"352","author":[{"family":"Williams","given":"Joni S."},{"family":"Egede","given":"Leonard E."}],"issued":{"date-parts":[["2016"]]}}}],"schema":"https://github.com/citation-style-language/schema/raw/master/csl-citation.json"} </w:instrText>
      </w:r>
      <w:r w:rsidR="000379F4" w:rsidRPr="00041FEB">
        <w:fldChar w:fldCharType="separate"/>
      </w:r>
      <w:r w:rsidR="002D42FA" w:rsidRPr="00041FEB">
        <w:rPr>
          <w:noProof/>
        </w:rPr>
        <w:t>(10)</w:t>
      </w:r>
      <w:r w:rsidR="000379F4" w:rsidRPr="00041FEB">
        <w:fldChar w:fldCharType="end"/>
      </w:r>
      <w:r w:rsidR="00FA211E" w:rsidRPr="00041FEB">
        <w:t xml:space="preserve"> and </w:t>
      </w:r>
      <w:r w:rsidR="00EE7921" w:rsidRPr="00041FEB">
        <w:t>premature mortality</w:t>
      </w:r>
      <w:r w:rsidR="00F5627E" w:rsidRPr="00041FEB">
        <w:t xml:space="preserve"> </w:t>
      </w:r>
      <w:r w:rsidR="00F5627E" w:rsidRPr="00041FEB">
        <w:fldChar w:fldCharType="begin"/>
      </w:r>
      <w:r w:rsidR="00B84EDB" w:rsidRPr="00041FEB">
        <w:instrText xml:space="preserve"> ADDIN ZOTERO_ITEM CSL_CITATION {"citationID":"5kEMyBJN","properties":{"formattedCitation":"(11)","plainCitation":"(11)","noteIndex":0},"citationItems":[{"id":2676,"uris":["http://zotero.org/users/local/hhPVnw6l/items/CGHSJPRE"],"uri":["http://zotero.org/users/local/hhPVnw6l/items/CGHSJPRE"],"itemData":{"id":2676,"type":"article-journal","abstract":"Multimorbidity is associated with higher mortality, but the relationship with cancer and cardiovascular mortality is unclear. The influence of demographics and type of condition on the relationship of multimorbidity with mortality remains unknown. We examine the relationship between multimorbidity (number/type) and cause of mortality and the impact of demographic factors on this relationship.","container-title":"BMC Medicine","DOI":"10.1186/s12916-019-1305-x","ISSN":"1741-7015","issue":"1","journalAbbreviation":"BMC Medicine","page":"74","source":"BioMed Central","title":"Relationship between multimorbidity, demographic factors and mortality: findings from the UK Biobank cohort","title-short":"Relationship between multimorbidity, demographic factors and mortality","volume":"17","author":[{"family":"Jani","given":"Bhautesh Dinesh"},{"family":"Hanlon","given":"Peter"},{"family":"Nicholl","given":"Barbara I."},{"family":"McQueenie","given":"Ross"},{"family":"Gallacher","given":"Katie I."},{"family":"Lee","given":"Duncan"},{"family":"Mair","given":"Frances S."}],"issued":{"date-parts":[["2019",4,10]]}}}],"schema":"https://github.com/citation-style-language/schema/raw/master/csl-citation.json"} </w:instrText>
      </w:r>
      <w:r w:rsidR="00F5627E" w:rsidRPr="00041FEB">
        <w:fldChar w:fldCharType="separate"/>
      </w:r>
      <w:r w:rsidR="00B84EDB" w:rsidRPr="00041FEB">
        <w:rPr>
          <w:noProof/>
        </w:rPr>
        <w:t>(11)</w:t>
      </w:r>
      <w:r w:rsidR="00F5627E" w:rsidRPr="00041FEB">
        <w:fldChar w:fldCharType="end"/>
      </w:r>
      <w:r w:rsidR="00132FE1" w:rsidRPr="00041FEB">
        <w:t xml:space="preserve">. </w:t>
      </w:r>
      <w:r w:rsidR="00A81975" w:rsidRPr="00041FEB">
        <w:t xml:space="preserve">Caregivers are known to be at increased risk of </w:t>
      </w:r>
      <w:r w:rsidR="004C6E0D" w:rsidRPr="00041FEB">
        <w:t>stress</w:t>
      </w:r>
      <w:r w:rsidR="00A85C53" w:rsidRPr="00041FEB">
        <w:t xml:space="preserve"> </w:t>
      </w:r>
      <w:r w:rsidR="00A85C53" w:rsidRPr="00041FEB">
        <w:fldChar w:fldCharType="begin"/>
      </w:r>
      <w:r w:rsidR="00B84EDB" w:rsidRPr="00041FEB">
        <w:instrText xml:space="preserve"> ADDIN ZOTERO_ITEM CSL_CITATION {"citationID":"gmrdJfLt","properties":{"formattedCitation":"(12)","plainCitation":"(12)","noteIndex":0},"citationItems":[{"id":2606,"uris":["http://zotero.org/users/local/hhPVnw6l/items/UDATEB9Q"],"uri":["http://zotero.org/users/local/hhPVnw6l/items/UDATEB9Q"],"itemData":{"id":2606,"type":"article-journal","abstract":"This study aimed to examine the relationships between caregiving stress, depression, and self-esteem of family caregivers of an adult person with a disability and to identify their effects on their caregiving burden. The study was performed with 108 care providers of adult people with a disability who visited hospital rehabilitation centers. Caregiving stress showed a significant positive correlation with depression and with economic and psychological stress, and it showed a significant negative correlation with self-esteem. When the care provider was aged, female, and without a job and the caregiving cost and time were higher, the caregiving stress was high. When the care provider was female and had a lower income, the depression index was high. When the person with a disability was male and in the forties and the level of disability was higher, the caregiving stress was high. When the disability was related to spinal cord damage, the care provider's depression index was the highest. To reduce caregiving stress and depression in the family caregivers and to improve their self-esteem, continuous support and help from specialists are necessary. Additionally, a variety of intervention programs need to be designed to motivate them to participate regularly at the community level.","container-title":"Occupational Therapy International","DOI":"10.1155/2017/1686143","ISSN":"0966-7903","journalAbbreviation":"Occup Ther Int","note":"PMID: 29114184\nPMCID: PMC5664279","source":"PubMed Central","title":"Relationships between Caregiving Stress, Depression, and Self-Esteem in Family Caregivers of Adults with a Disability","URL":"https://www.ncbi.nlm.nih.gov/pmc/articles/PMC5664279/","volume":"2017","author":[{"family":"Kim","given":"DeokJu"}],"accessed":{"date-parts":[["2019",9,27]]},"issued":{"date-parts":[["2017",10,17]]}}}],"schema":"https://github.com/citation-style-language/schema/raw/master/csl-citation.json"} </w:instrText>
      </w:r>
      <w:r w:rsidR="00A85C53" w:rsidRPr="00041FEB">
        <w:fldChar w:fldCharType="separate"/>
      </w:r>
      <w:r w:rsidR="00B84EDB" w:rsidRPr="00041FEB">
        <w:rPr>
          <w:noProof/>
        </w:rPr>
        <w:t>(12)</w:t>
      </w:r>
      <w:r w:rsidR="00A85C53" w:rsidRPr="00041FEB">
        <w:fldChar w:fldCharType="end"/>
      </w:r>
      <w:r w:rsidR="004C6E0D" w:rsidRPr="00041FEB">
        <w:t>, sleep problems</w:t>
      </w:r>
      <w:r w:rsidR="00A85C53" w:rsidRPr="00041FEB">
        <w:t xml:space="preserve"> </w:t>
      </w:r>
      <w:r w:rsidR="00A85C53" w:rsidRPr="00041FEB">
        <w:fldChar w:fldCharType="begin"/>
      </w:r>
      <w:r w:rsidR="00B84EDB" w:rsidRPr="00041FEB">
        <w:instrText xml:space="preserve"> ADDIN ZOTERO_ITEM CSL_CITATION {"citationID":"2nv7P4TS","properties":{"formattedCitation":"(13)","plainCitation":"(13)","noteIndex":0},"citationItems":[{"id":2600,"uris":["http://zotero.org/users/local/hhPVnw6l/items/4C6QSWQM"],"uri":["http://zotero.org/users/local/hhPVnw6l/items/4C6QSWQM"],"itemData":{"id":2600,"type":"article-journal","abstract":"Study Objectives\nTo examine cross-sectionally and prospectively whether informal caregiving is related to sleep disturbance among caregivers in paid work.\n\nMethods\nParticipants (N = 21604) in paid work from the Swedish Longitudinal Occupational Survey of Health. Sleeping problems were measured with a validated scale of sleep disturbance (Karolinska Sleep Questionnaire). Random-effects modeling was used to examine the cross-sectional association between informal caregiving (self-reports: none, up to 5 hours per week, over 5 hours per week) and sleep disturbance. Potential sociodemographic and health confounders were controlled for and interactions between caregiving and gender included. Longitudinal random-effects modeling of the effects of changes in reported informal caregiving upon sleep disturbance and change in sleep disturbance was performed.\n\nResults\nIn multivariate analyses controlling for sociodemographics, health factors, and work hours, informal caregiving was associated cross-sectionally with sleep disturbance in a dose–response relationship (compared with no caregiving, up to 5 hours of caregiving: β = 0.03; 95% CI: 0.01, 0.06, and over 5 hours: β = 0.08; 95% CI: 0.02, 0.13), results which varied by gender. Cessation of caregiving was associated with reductions in sleep disturbance (β = −0.08; 95% CI: −0.13, −0.04).\n\nConclusions\nThis study provides evidence for a causal association of provision of informal care upon self-reported sleep disturbance. Even low-intensity care provision was related to sleep disturbance among this sample of carers in paid work. The results highlight the importance of addressing sleep disturbance in caregivers.","container-title":"Sleep","DOI":"10.1093/sleep/zsx198","ISSN":"0161-8105","issue":"2","journalAbbreviation":"Sleep","note":"PMID: 29228400\nPMCID: PMC6018987","source":"PubMed Central","title":"Informal Care and Sleep Disturbance Among Caregivers in Paid Work: Longitudinal Analyses From a Large Community-Based Swedish Cohort Study","title-short":"Informal Care and Sleep Disturbance Among Caregivers in Paid Work","URL":"https://www.ncbi.nlm.nih.gov/pmc/articles/PMC6018987/","volume":"41","author":[{"family":"Sacco","given":"Lawrence B"},{"family":"Leineweber","given":"Constanze"},{"family":"Platts","given":"Loretta G"}],"accessed":{"date-parts":[["2019",9,27]]},"issued":{"date-parts":[["2017",12,8]]}}}],"schema":"https://github.com/citation-style-language/schema/raw/master/csl-citation.json"} </w:instrText>
      </w:r>
      <w:r w:rsidR="00A85C53" w:rsidRPr="00041FEB">
        <w:fldChar w:fldCharType="separate"/>
      </w:r>
      <w:r w:rsidR="00B84EDB" w:rsidRPr="00041FEB">
        <w:rPr>
          <w:noProof/>
        </w:rPr>
        <w:t>(13)</w:t>
      </w:r>
      <w:r w:rsidR="00A85C53" w:rsidRPr="00041FEB">
        <w:fldChar w:fldCharType="end"/>
      </w:r>
      <w:r w:rsidR="004C6E0D" w:rsidRPr="00041FEB">
        <w:t xml:space="preserve">, and </w:t>
      </w:r>
      <w:r w:rsidR="00A81975" w:rsidRPr="00041FEB">
        <w:t xml:space="preserve">unhealthy behavior such as smoking </w:t>
      </w:r>
      <w:r w:rsidR="00A11C0C" w:rsidRPr="00041FEB">
        <w:fldChar w:fldCharType="begin"/>
      </w:r>
      <w:r w:rsidR="00B84EDB" w:rsidRPr="00041FEB">
        <w:instrText xml:space="preserve"> ADDIN ZOTERO_ITEM CSL_CITATION {"citationID":"fdJjqvC9","properties":{"formattedCitation":"(14)","plainCitation":"(14)","noteIndex":0},"citationItems":[{"id":2682,"uris":["http://zotero.org/users/local/hhPVnw6l/items/8GBPZ63L"],"uri":["http://zotero.org/users/local/hhPVnw6l/items/8GBPZ63L"],"itemData":{"id":2682,"type":"article-journal","abstract":"Purpose of the Study:\nThe relationship between stress and smoking has been established, but there is little research on the effects of stress and coping on smoking in caregivers of Alzheimer’s disease patients. This study examines how caregiver stressors and coping resources explain smoking status and recent smoking increase.\n\nDesign and Methods:\nData were obtained from the Resources for Enhancing Alzheimer’s Caregivers Health (REACH II) study. Analyses identified differences between caregiver smokers and nonsmokers and between caregiver smokers who reported a recent smoking increase and those who did not. Variables that were significantly different between the groups were examined in two logistic regression analyses to explain smoking status and smoking increase.\n\nResults:\nOf 642 caregivers, nearly 40% reported smoking and 25% of smokers reported recent increase in smoking. Younger caregivers were more likely to report smoking. Explanatory variables for smoking increase were being Caucasian or African-American, higher depression scores, and less caregiving skills.\n\nImplications:\nThis study demonstrates that smoking among caregivers is a valid public health concern. Further investigation of ways that explanatory variables affect smoking status and increase in caregivers, and incorporation of smoking cessation strategies that address depression and low caregiving skills, seem warranted in future caregiver interventions.","container-title":"The Gerontologist","DOI":"10.1093/geront/gnt149","ISSN":"0016-9013","issue":"5","journalAbbreviation":"Gerontologist","note":"PMID: 24371214\nPMCID: PMC4683364","page":"780-792","source":"PubMed Central","title":"Smoking and Smoking Increase in Caregivers of Alzheimer’s Patients","volume":"55","author":[{"family":"Salgado-García","given":"Francisco I."},{"family":"Zuber","given":"Jeffrey K."},{"family":"Graney","given":"Marshall J."},{"family":"Nichols","given":"Linda O."},{"family":"Martindale-Adams","given":"Jennifer L."},{"family":"Andrasik","given":"Frank"}],"issued":{"date-parts":[["2015",10]]}}}],"schema":"https://github.com/citation-style-language/schema/raw/master/csl-citation.json"} </w:instrText>
      </w:r>
      <w:r w:rsidR="00A11C0C" w:rsidRPr="00041FEB">
        <w:fldChar w:fldCharType="separate"/>
      </w:r>
      <w:r w:rsidR="00B84EDB" w:rsidRPr="00041FEB">
        <w:rPr>
          <w:noProof/>
        </w:rPr>
        <w:t>(14)</w:t>
      </w:r>
      <w:r w:rsidR="00A11C0C" w:rsidRPr="00041FEB">
        <w:fldChar w:fldCharType="end"/>
      </w:r>
      <w:r w:rsidR="00A11C0C" w:rsidRPr="00041FEB">
        <w:t xml:space="preserve"> </w:t>
      </w:r>
      <w:r w:rsidR="00A81975" w:rsidRPr="00041FEB">
        <w:t xml:space="preserve">and </w:t>
      </w:r>
      <w:r w:rsidR="002C7604" w:rsidRPr="00041FEB">
        <w:t>lack of physical activity</w:t>
      </w:r>
      <w:r w:rsidR="00890D10" w:rsidRPr="00041FEB">
        <w:t xml:space="preserve"> </w:t>
      </w:r>
      <w:r w:rsidR="00E427CC" w:rsidRPr="00041FEB">
        <w:fldChar w:fldCharType="begin"/>
      </w:r>
      <w:r w:rsidR="00B84EDB" w:rsidRPr="00041FEB">
        <w:instrText xml:space="preserve"> ADDIN ZOTERO_ITEM CSL_CITATION {"citationID":"xCvnCDKd","properties":{"formattedCitation":"(15)","plainCitation":"(15)","noteIndex":0},"citationItems":[{"id":2385,"uris":["http://zotero.org/users/local/hhPVnw6l/items/EF4G7Y6J"],"uri":["http://zotero.org/users/local/hhPVnw6l/items/EF4G7Y6J"],"itemData":{"id":2385,"type":"article-journal","abstract":"BACKGROUND: Elderly caregivers report less leisure-time physical activity than same-aged non-caregivers. However, through caregiving tasks, caregivers may be as physically active as non-caregivers. This study compared leisure-time exercise and overall physical activity in elderly women caregivers and non-caregivers.\nMETHODS: The sample included 179 caregivers (153 cared for spouses and 26 for other relatives or friends) and 670 non-caregivers who were participants in the Study of Osteoporotic Fractures. Leisure-time exercise was based on respondents' report of walking for exercise or other regular exercise at least once a week. High overall physical activity included leisure-time exercise or being in the top quartile of walking and climbing stairs during one's daily routine.\nRESULTS: Leisure-time exercise was lower in spouse caregivers (adjusted odds ratio (OR) and 95% confidence interval (CI) = 0.64, 0.41-1.00) and non-spouse caregivers (OR = 0.39, 95% CI = 0.16-0.95) than married non-caregivers. Differences in overall physical activity between caregivers and married non-caregivers were smaller and not statistically significant. Caregivers who climbed stairs at least 15 min/day during caregiving tasks reported more overall physical activity than non-caregivers (OR = 4.06, 95% CI = 1.23-13.36).\nCONCLUSIONS: Studies comparing physical activity in caregivers and non-caregivers should assess activities performed during routine caregiving tasks.","container-title":"Preventive Medicine","DOI":"10.1016/j.ypmed.2006.04.009","ISSN":"0091-7435","issue":"3","journalAbbreviation":"Prev Med","language":"eng","note":"PMID: 16737731","page":"226-229","source":"PubMed","title":"Leisure-time exercise and overall physical activity in older women caregivers and non-caregivers from the Caregiver-SOF Study","volume":"43","author":[{"family":"Fredman","given":"Lisa"},{"family":"Bertrand","given":"Rosanna M."},{"family":"Martire","given":"Lynn M."},{"family":"Hochberg","given":"Marc"},{"family":"Harris","given":"Emily L."}],"issued":{"date-parts":[["2006",9]]}}}],"schema":"https://github.com/citation-style-language/schema/raw/master/csl-citation.json"} </w:instrText>
      </w:r>
      <w:r w:rsidR="00E427CC" w:rsidRPr="00041FEB">
        <w:fldChar w:fldCharType="separate"/>
      </w:r>
      <w:r w:rsidR="00B84EDB" w:rsidRPr="00041FEB">
        <w:rPr>
          <w:noProof/>
        </w:rPr>
        <w:t>(15)</w:t>
      </w:r>
      <w:r w:rsidR="00E427CC" w:rsidRPr="00041FEB">
        <w:fldChar w:fldCharType="end"/>
      </w:r>
      <w:r w:rsidR="0022012F" w:rsidRPr="00041FEB">
        <w:t>,</w:t>
      </w:r>
      <w:r w:rsidR="004C6E0D" w:rsidRPr="00041FEB">
        <w:t xml:space="preserve"> and these</w:t>
      </w:r>
      <w:r w:rsidR="00A81975" w:rsidRPr="00041FEB">
        <w:t xml:space="preserve"> may increase risk for multimorbidity</w:t>
      </w:r>
      <w:r w:rsidR="00570888" w:rsidRPr="00041FEB">
        <w:t xml:space="preserve"> </w:t>
      </w:r>
      <w:r w:rsidR="00570888" w:rsidRPr="00041FEB">
        <w:fldChar w:fldCharType="begin"/>
      </w:r>
      <w:r w:rsidR="00B84EDB" w:rsidRPr="00041FEB">
        <w:instrText xml:space="preserve"> ADDIN ZOTERO_ITEM CSL_CITATION {"citationID":"ORxV7JR3","properties":{"formattedCitation":"(19\\uc0\\u8211{}22)","plainCitation":"(19–22)","dontUpdate":true,"noteIndex":0},"citationItems":[{"id":2687,"uris":["http://zotero.org/users/local/hhPVnw6l/items/8JLYMJNI"],"uri":["http://zotero.org/users/local/hhPVnw6l/items/8JLYMJNI"],"itemData":{"id":2687,"type":"article-journal","abstract":"Background\nMultimorbidity, the simultaneous occurrence of two or more chronic conditions, is usually associated with older persons. This research assessed multimorbidity across a range of ages so that planners are informed and appropriate prevention programs, management strategies and health service/health care planning can be implemented.\n\nMethods\nMultimorbidity was assessed across three age groups from data collected in a major biomedical cohort study (North West Adelaide Health Study). Using randomly selected adults, diabetes, asthma, and chronic obstructive pulmonary disease were determined clinically and cardio-vascular disease, osteoporosis, arthritis and mental health by self-report (ever been told by a doctor). A range of demographic, social, risk and protective factors including high blood pressure and high cholesterol (assessed bio-medically), health service use, quality of life and medication use (linked to government records) were included in the multivariate modelling.\n\nResults\nOverall 4.4% of the 20-39 year age group, 15.0% of the 40-59 age group and 39.2% of those aged 60 years of age or older had multimorbidity (17.1% of the total). Of those with multimorbidity, 42.1% were aged less than 60 years of age. A variety of variables were included in the final logistic regression models for the three age groups including family structure, marital status, education attainment, country of birth, smoking status, obesity measurements, medication use, health service utilisation and overall health status.\n\nConclusions\nMultimorbidity is not just associated with older persons and flexible care management support systems, appropriate guidelines and care-coordination programs are required across a broader age range. Issues such as health literacy and polypharamacy are also important considerations. Future research is required into assessing multimorbidity across the life course, prevention of complications and assessment of appropriate self-care strategies.","container-title":"BMC Public Health","DOI":"10.1186/1471-2458-10-718","ISSN":"1471-2458","journalAbbreviation":"BMC Public Health","note":"PMID: 21092218\nPMCID: PMC3001730","page":"718","source":"PubMed Central","title":"Multimorbidity - not just an older person's issue. Results from an Australian biomedical study","volume":"10","author":[{"family":"Taylor","given":"Anne W"},{"family":"Price","given":"Kay"},{"family":"Gill","given":"Tiffany K"},{"family":"Adams","given":"Robert"},{"family":"Pilkington","given":"Rhiannon"},{"family":"Carrangis","given":"Natalie"},{"family":"Shi","given":"Zumin"},{"family":"Wilson","given":"David"}],"issued":{"date-parts":[["2010",11,22]]}}},{"id":2692,"uris":["http://zotero.org/users/local/hhPVnw6l/items/DMFI6FSE"],"uri":["http://zotero.org/users/local/hhPVnw6l/items/DMFI6FSE"],"itemData":{"id":2692,"type":"article-journal","abstract":"AbstractBackground:.  Evidence on the role of lifestyle factors in relation to multimorbidity, especially in elderly populations, is scarce. We assessed the ass","container-title":"The Journals of Gerontology: Series A","DOI":"10.1093/gerona/glw146","ISSN":"1079-5006","issue":"4","journalAbbreviation":"J Gerontol A Biol Sci Med Sci","language":"en","page":"528-534","source":"academic.oup.com","title":"Association Between Lifestyle Factors and the Incidence of Multimorbidity in an Older English Population","volume":"72","author":[{"family":"Dhalwani","given":"Nafeesa N."},{"family":"Zaccardi","given":"Francesco"},{"family":"O’Donovan","given":"Gary"},{"family":"Carter","given":"Patrice"},{"family":"Hamer","given":"Mark"},{"family":"Yates","given":"Thomas"},{"family":"Davies","given":"Melanie"},{"family":"Khunti","given":"Kamlesh"}],"issued":{"date-parts":[["2017",4,1]]}}},{"id":2685,"uris":["http://zotero.org/users/local/hhPVnw6l/items/XYMN7PK6"],"uri":["http://zotero.org/users/local/hhPVnw6l/items/XYMN7PK6"],"itemData":{"id":2685,"type":"article-journal","abstract":"BACKGROUND/OBJECTIVE: Although the association of disturbed sleep with specific chronic conditions is well known, the relationship between sleep disturbances and multiple diseases is less clear. Therefore, the objectives of this study were to examine the independent relationships of various sleep disturbances with 1) multimorbidity (≥2 chronic conditions) and 2) commonly co-occurring pairs of chronic conditions.\nMETHODS: Analyses were based on data from 4127 individuals aged ≥65 years participating in the population-based cross-sectional Cooperative Health Research in the Region of Augsburg (KORA) Age Study conducted from 2008 to 2009 in Germany. Sex-specific odds ratios (OR) and 95% confidence intervals (CI) were calculated from sequential logistic regression models.\nRESULTS: Neither short nor long daily sleep duration was significantly associated with multimorbidity among men; a significant positive relationship was identified regarding short sleep duration among women (OR 2.16, 95% CI: 1.42-3.30). While insomnia and all unique symptoms of insomnia were connected to multimorbidity among women in the multivariable models, the relationship concerning trouble falling asleep no longer remained significant after adjustment for all covariables among men. Regarding commonly co-occurring pairs of conditions, the clearest associations were observed between insomnia and daytime tiredness with joint diseases/eye diseases in men and joint diseases/heart diseases in women.\nCONCLUSIONS: There seems to be sex-specific particularities in the relationship between sleep disturbances and sleep duration with multimorbidity and commonly co-occurring pairs of chronic conditions in older adults from the general population.","container-title":"Sleep Medicine","DOI":"10.1016/j.sleep.2017.01.016","ISSN":"1878-5506","journalAbbreviation":"Sleep Med.","language":"eng","note":"PMID: 28449896","page":"151-159","source":"PubMed","title":"Relationship between sleep disturbances and multimorbidity among community-dwelling men and women aged 65-93 years: results from the KORA Age Study","title-short":"Relationship between sleep disturbances and multimorbidity among community-dwelling men and women aged 65-93 years","volume":"33","author":[{"family":"Helbig","given":"A. Katharina"},{"family":"Stöckl","given":"Doris"},{"family":"Heier","given":"Margit"},{"family":"Thorand","given":"Barbara"},{"family":"Schulz","given":"Holger"},{"family":"Peters","given":"Annette"},{"family":"Ladwig","given":"Karl-Heinz"},{"family":"Meisinger","given":"Christa"}],"issued":{"date-parts":[["2017"]]}}},{"id":2642,"uris":["http://zotero.org/users/local/hhPVnw6l/items/M3E5WEW2"],"uri":["http://zotero.org/users/local/hhPVnw6l/items/M3E5WEW2"],"itemData":{"id":2642,"type":"article-journal","abstract":"In this study, we assessed the association of chronic medical conditions and multimorbidity with perceived stress among community-dwelling adults in 44 low- and middle-income countries. Data from the World Health Survey (2002-2004), including 229,293 adults, were analyzed. A perceived stress score (range, 0 (lowest stress)-100 (highest stress)) was computed on the basis of 2 questions from the Perceived Stress Scale. Eleven chronic conditions were assessed. Multivariable linear regression analyses were conducted to explore the associations. All chronic conditions were associated with significantly higher mean perceived stress scores, with the exception of edentulism. The associations were particularly strong for depression (β = 14.71, 95% confidence interval (CI): 13.68, 15.74), visual impairment (β = 10.66, 95% CI: 8.09, 13.23), and schizophrenia (β = 9.98, 95% CI: 7.71, 12.24). Compared with no chronic conditions, the β coefficients for perceived stress with the presence of 1, 2, 3, and ≥4 chronic conditions were 5.58 (95% CI: 4.94, 6.23), 9.58 (95% CI: 8.67, 10.49), 14.15 (95% CI: 12.63, 15.67), and 20.17 (95% CI: 18.29, 22.05), respectively. The associations with perceived stress were significantly stronger among the poorest individuals for arthritis, asthma, diabetes, edentulism, and ≥4 chronic conditions. Our data suggest that a range of chronic conditions and multimorbidity are associated with greatly increased perceived stress among people in low- and middle-income countries, and that the poorest persons may be a particularly vulnerable group.","container-title":"American Journal of Epidemiology","DOI":"10.1093/aje/kwx159","ISSN":"1476-6256","issue":"8","journalAbbreviation":"Am. J. Epidemiol.","language":"eng","note":"PMID: 28637230","page":"979-989","source":"PubMed","title":"Perceived Stress and Its Relationship With Chronic Medical Conditions and Multimorbidity Among 229,293 Community-Dwelling Adults in 44 Low- and Middle-Income Countries","volume":"186","author":[{"family":"Vancampfort","given":"Davy"},{"family":"Koyanagi","given":"A."},{"family":"Ward","given":"Philip B."},{"family":"Veronese","given":"Nicola"},{"family":"Carvalho","given":"André F."},{"family":"Solmi","given":"Marco"},{"family":"Mugisha","given":"James"},{"family":"Rosenbaum","given":"Simon"},{"family":"De Hert","given":"Marc"},{"family":"Stubbs","given":"Brendon"}],"issued":{"date-parts":[["2017",10,15]]}}}],"schema":"https://github.com/citation-style-language/schema/raw/master/csl-citation.json"} </w:instrText>
      </w:r>
      <w:r w:rsidR="00570888" w:rsidRPr="00041FEB">
        <w:fldChar w:fldCharType="separate"/>
      </w:r>
      <w:r w:rsidR="002D42FA" w:rsidRPr="00041FEB">
        <w:rPr>
          <w:rFonts w:cs="Times New Roman"/>
        </w:rPr>
        <w:t xml:space="preserve"> </w:t>
      </w:r>
      <w:r w:rsidR="00570888" w:rsidRPr="00041FEB">
        <w:fldChar w:fldCharType="end"/>
      </w:r>
      <w:r w:rsidR="00A81975" w:rsidRPr="00041FEB">
        <w:t xml:space="preserve">. </w:t>
      </w:r>
      <w:r w:rsidR="00C74650" w:rsidRPr="00041FEB">
        <w:rPr>
          <w:bCs/>
        </w:rPr>
        <w:t>Moreover</w:t>
      </w:r>
      <w:r w:rsidR="00701536" w:rsidRPr="00041FEB">
        <w:rPr>
          <w:bCs/>
        </w:rPr>
        <w:t xml:space="preserve">, one previous US study including 359 spousal caregivers and care recipients found that caregivers with multiple chronic conditions had greater emotional and </w:t>
      </w:r>
      <w:r w:rsidR="00701536" w:rsidRPr="00041FEB">
        <w:rPr>
          <w:bCs/>
        </w:rPr>
        <w:lastRenderedPageBreak/>
        <w:t>physical difficulties than those without multiple chronic conditions</w:t>
      </w:r>
      <w:r w:rsidR="00D7006E" w:rsidRPr="00041FEB">
        <w:rPr>
          <w:bCs/>
        </w:rPr>
        <w:t xml:space="preserve"> </w:t>
      </w:r>
      <w:r w:rsidR="00D7006E" w:rsidRPr="00041FEB">
        <w:rPr>
          <w:bCs/>
        </w:rPr>
        <w:fldChar w:fldCharType="begin"/>
      </w:r>
      <w:r w:rsidR="00B84EDB" w:rsidRPr="00041FEB">
        <w:rPr>
          <w:bCs/>
        </w:rPr>
        <w:instrText xml:space="preserve"> ADDIN ZOTERO_ITEM CSL_CITATION {"citationID":"0g8Hwphv","properties":{"formattedCitation":"(20)","plainCitation":"(20)","noteIndex":0},"citationItems":[{"id":2603,"uris":["http://zotero.org/users/local/hhPVnw6l/items/LFMIVNLB"],"uri":["http://zotero.org/users/local/hhPVnw6l/items/LFMIVNLB"],"itemData":{"id":2603,"type":"article-journal","abstract":"AbstractObjectives.  Multiple chronic conditions (MCCs) are common and have harmful consequences in later life. Along with managing their own health, many aging","container-title":"The Journals of Gerontology: Series B","DOI":"10.1093/geronb/gbx118","journalAbbreviation":"J Gerontol B Psychol Sci Soc Sci","language":"en","source":"academic.oup.com","title":"Multiple Chronic Conditions in Spousal Caregivers of Older Adults With Functional Disability: Associations With Caregiving Difficulties and Gains","title-short":"Multiple Chronic Conditions in Spousal Caregivers of Older Adults With Functional Disability","URL":"https://academic.oup.com/psychsocgerontology/advance-article/doi/10.1093/geronb/gbx118/4161652","author":[{"family":"Polenick","given":"Courtney A."},{"family":"Leggett","given":"Amanda N."},{"family":"Webster","given":"Noah J."},{"family":"Han","given":"Benjamin H."},{"family":"Zarit","given":"Steven H."},{"family":"Piette","given":"John D."}],"accessed":{"date-parts":[["2019",9,27]]},"issued":{"date-parts":[["2017"]]}}}],"schema":"https://github.com/citation-style-language/schema/raw/master/csl-citation.json"} </w:instrText>
      </w:r>
      <w:r w:rsidR="00D7006E" w:rsidRPr="00041FEB">
        <w:rPr>
          <w:bCs/>
        </w:rPr>
        <w:fldChar w:fldCharType="separate"/>
      </w:r>
      <w:r w:rsidR="00B84EDB" w:rsidRPr="00041FEB">
        <w:rPr>
          <w:bCs/>
          <w:noProof/>
        </w:rPr>
        <w:t>(20)</w:t>
      </w:r>
      <w:r w:rsidR="00D7006E" w:rsidRPr="00041FEB">
        <w:rPr>
          <w:bCs/>
        </w:rPr>
        <w:fldChar w:fldCharType="end"/>
      </w:r>
      <w:r w:rsidR="00701536" w:rsidRPr="00041FEB">
        <w:rPr>
          <w:bCs/>
        </w:rPr>
        <w:t xml:space="preserve">, underlying the </w:t>
      </w:r>
      <w:r w:rsidR="006341CF" w:rsidRPr="00041FEB">
        <w:rPr>
          <w:bCs/>
        </w:rPr>
        <w:t xml:space="preserve">point </w:t>
      </w:r>
      <w:r w:rsidR="00701536" w:rsidRPr="00041FEB">
        <w:rPr>
          <w:bCs/>
        </w:rPr>
        <w:t>that the presence of multiple chronic conditions may favor the onset of negative care-related outcomes</w:t>
      </w:r>
      <w:r w:rsidR="00D7006E" w:rsidRPr="00041FEB">
        <w:rPr>
          <w:bCs/>
        </w:rPr>
        <w:t xml:space="preserve"> (e.g., </w:t>
      </w:r>
      <w:r w:rsidR="00C96E4F" w:rsidRPr="00041FEB">
        <w:rPr>
          <w:bCs/>
        </w:rPr>
        <w:t xml:space="preserve">poor physical health, </w:t>
      </w:r>
      <w:r w:rsidR="00D7006E" w:rsidRPr="00041FEB">
        <w:rPr>
          <w:bCs/>
        </w:rPr>
        <w:t>subjective burden,</w:t>
      </w:r>
      <w:r w:rsidR="00D22B5E" w:rsidRPr="00041FEB">
        <w:rPr>
          <w:bCs/>
        </w:rPr>
        <w:t xml:space="preserve"> low</w:t>
      </w:r>
      <w:r w:rsidR="00D7006E" w:rsidRPr="00041FEB">
        <w:rPr>
          <w:bCs/>
        </w:rPr>
        <w:t xml:space="preserve"> care-related quality of life)</w:t>
      </w:r>
      <w:r w:rsidR="00701536" w:rsidRPr="00041FEB">
        <w:rPr>
          <w:bCs/>
        </w:rPr>
        <w:t xml:space="preserve">. </w:t>
      </w:r>
      <w:r w:rsidR="00E22975" w:rsidRPr="00041FEB">
        <w:rPr>
          <w:bCs/>
        </w:rPr>
        <w:t xml:space="preserve">Reverse causality </w:t>
      </w:r>
      <w:r w:rsidR="006D7081" w:rsidRPr="00041FEB">
        <w:rPr>
          <w:bCs/>
        </w:rPr>
        <w:t>is also possible</w:t>
      </w:r>
      <w:r w:rsidR="006F15F9" w:rsidRPr="00041FEB">
        <w:rPr>
          <w:bCs/>
        </w:rPr>
        <w:t>,</w:t>
      </w:r>
      <w:r w:rsidR="006D7081" w:rsidRPr="00041FEB">
        <w:rPr>
          <w:bCs/>
        </w:rPr>
        <w:t xml:space="preserve"> and</w:t>
      </w:r>
      <w:r w:rsidR="006F15F9" w:rsidRPr="00041FEB">
        <w:rPr>
          <w:bCs/>
        </w:rPr>
        <w:t xml:space="preserve"> multimorbidity may be a significant predictor of informal caregiving.</w:t>
      </w:r>
      <w:r w:rsidR="00FB64C7" w:rsidRPr="00041FEB">
        <w:rPr>
          <w:bCs/>
        </w:rPr>
        <w:t xml:space="preserve"> For example, young individuals with multimorbidity are less likely to </w:t>
      </w:r>
      <w:r w:rsidR="00FB64C7" w:rsidRPr="00041FEB">
        <w:rPr>
          <w:rFonts w:cs="Times New Roman"/>
          <w:bCs/>
        </w:rPr>
        <w:t xml:space="preserve">be employed </w:t>
      </w:r>
      <w:r w:rsidR="00C36F65" w:rsidRPr="00041FEB">
        <w:rPr>
          <w:rFonts w:cs="Times New Roman"/>
          <w:bCs/>
        </w:rPr>
        <w:fldChar w:fldCharType="begin"/>
      </w:r>
      <w:r w:rsidR="00B84EDB" w:rsidRPr="00041FEB">
        <w:rPr>
          <w:rFonts w:cs="Times New Roman"/>
          <w:bCs/>
        </w:rPr>
        <w:instrText xml:space="preserve"> ADDIN ZOTERO_ITEM CSL_CITATION {"citationID":"nVKjPr8r","properties":{"formattedCitation":"(21)","plainCitation":"(21)","noteIndex":0},"citationItems":[{"id":3466,"uris":["http://zotero.org/users/local/hhPVnw6l/items/PGIWK3WP"],"uri":["http://zotero.org/users/local/hhPVnw6l/items/PGIWK3WP"],"itemData":{"id":3466,"type":"article-journal","abstract":"Background\nThe purpose of this study was to comprehensively examine the association of a multitude of individual medical conditions, as well as multimorbidity, on work status among a national sample of U.S. adults.\n\nMethods\nThe present study included 7 cycles (1999–2012) from the National Health and Nutrition Examination Survey (N = 28,119).\n\nResults\nIn total, 26 medical conditions increased the odds of not working. Multimorbidity as well as having prevalent medical condition(s) within each of the Cumulative Index Rating Scale Morbidity Classes were associated with increased odds of not working. Few medical conditions were associated with higher odds of working part-time (vs. full-time) or unemployment (vs. working).\n\nConclusion\nThese findings underscore the importance of instating comprehensive worksite wellness health promotion policies, as well as providing individuals with resources to preserve and enhance personal health.","container-title":"Journal of Lifestyle Medicine","DOI":"10.15280/jlm.2019.9.1.15","ISSN":"2234-8549","issue":"1","journalAbbreviation":"J Lifestyle Med","note":"PMID: 30918830\nPMCID: PMC6425902","page":"15-26","source":"PubMed Central","title":"Association of Single and Multiple Medical Conditions with Work Status among Adults in the United States","volume":"9","author":[{"family":"Frith","given":"Emily"},{"family":"Ramulu","given":"Pradeep Y."},{"family":"Ashar","given":"Bimal"},{"family":"Loprinzi","given":"Paul D."}],"issued":{"date-parts":[["2019",1]]}}}],"schema":"https://github.com/citation-style-language/schema/raw/master/csl-citation.json"} </w:instrText>
      </w:r>
      <w:r w:rsidR="00C36F65" w:rsidRPr="00041FEB">
        <w:rPr>
          <w:rFonts w:cs="Times New Roman"/>
          <w:bCs/>
        </w:rPr>
        <w:fldChar w:fldCharType="separate"/>
      </w:r>
      <w:r w:rsidR="00B84EDB" w:rsidRPr="00041FEB">
        <w:rPr>
          <w:rFonts w:cs="Times New Roman"/>
          <w:bCs/>
          <w:noProof/>
        </w:rPr>
        <w:t>(21)</w:t>
      </w:r>
      <w:r w:rsidR="00C36F65" w:rsidRPr="00041FEB">
        <w:rPr>
          <w:rFonts w:cs="Times New Roman"/>
          <w:bCs/>
        </w:rPr>
        <w:fldChar w:fldCharType="end"/>
      </w:r>
      <w:r w:rsidR="00FB64C7" w:rsidRPr="00041FEB">
        <w:rPr>
          <w:rFonts w:cs="Times New Roman"/>
          <w:bCs/>
        </w:rPr>
        <w:t>,</w:t>
      </w:r>
      <w:r w:rsidR="00E22975" w:rsidRPr="00041FEB">
        <w:rPr>
          <w:rFonts w:cs="Times New Roman"/>
          <w:bCs/>
        </w:rPr>
        <w:t xml:space="preserve"> </w:t>
      </w:r>
      <w:r w:rsidR="00E22975" w:rsidRPr="00041FEB">
        <w:rPr>
          <w:rFonts w:eastAsia="Times New Roman" w:cs="Times New Roman"/>
          <w:color w:val="000000"/>
          <w:lang w:val="en-GB"/>
        </w:rPr>
        <w:t>and thus may have more time at home to provide informal caregiving for relatives</w:t>
      </w:r>
      <w:r w:rsidR="00C36F65" w:rsidRPr="00041FEB">
        <w:rPr>
          <w:rFonts w:cs="Times New Roman"/>
          <w:bCs/>
        </w:rPr>
        <w:t>.</w:t>
      </w:r>
    </w:p>
    <w:p w14:paraId="6DA2716D" w14:textId="77777777" w:rsidR="004C6E0D" w:rsidRPr="00041FEB" w:rsidRDefault="004C6E0D" w:rsidP="00B44AE2">
      <w:pPr>
        <w:spacing w:line="480" w:lineRule="auto"/>
      </w:pPr>
    </w:p>
    <w:p w14:paraId="0D7143CB" w14:textId="5158C531" w:rsidR="004666D8" w:rsidRPr="00041FEB" w:rsidRDefault="00257138" w:rsidP="00B44AE2">
      <w:pPr>
        <w:spacing w:line="480" w:lineRule="auto"/>
        <w:rPr>
          <w:bCs/>
        </w:rPr>
      </w:pPr>
      <w:r w:rsidRPr="00041FEB">
        <w:rPr>
          <w:bCs/>
        </w:rPr>
        <w:t xml:space="preserve">Therefore, the </w:t>
      </w:r>
      <w:r w:rsidR="00C37897" w:rsidRPr="00041FEB">
        <w:rPr>
          <w:bCs/>
        </w:rPr>
        <w:t>main</w:t>
      </w:r>
      <w:r w:rsidR="005015FA" w:rsidRPr="00041FEB">
        <w:rPr>
          <w:bCs/>
        </w:rPr>
        <w:t xml:space="preserve"> </w:t>
      </w:r>
      <w:r w:rsidRPr="00041FEB">
        <w:rPr>
          <w:bCs/>
        </w:rPr>
        <w:t>goal of this study was to investigate association</w:t>
      </w:r>
      <w:r w:rsidR="00C74650" w:rsidRPr="00041FEB">
        <w:rPr>
          <w:bCs/>
        </w:rPr>
        <w:t>s</w:t>
      </w:r>
      <w:r w:rsidRPr="00041FEB">
        <w:rPr>
          <w:bCs/>
        </w:rPr>
        <w:t xml:space="preserve"> of informal caregiving with </w:t>
      </w:r>
      <w:r w:rsidR="004C6E0D" w:rsidRPr="00041FEB">
        <w:rPr>
          <w:bCs/>
        </w:rPr>
        <w:t xml:space="preserve">nine </w:t>
      </w:r>
      <w:r w:rsidRPr="00041FEB">
        <w:rPr>
          <w:bCs/>
        </w:rPr>
        <w:t xml:space="preserve">chronic </w:t>
      </w:r>
      <w:r w:rsidR="004C6E0D" w:rsidRPr="00041FEB">
        <w:rPr>
          <w:bCs/>
        </w:rPr>
        <w:t xml:space="preserve">physical </w:t>
      </w:r>
      <w:r w:rsidRPr="00041FEB">
        <w:rPr>
          <w:bCs/>
        </w:rPr>
        <w:t xml:space="preserve">conditions </w:t>
      </w:r>
      <w:r w:rsidR="004C6E0D" w:rsidRPr="00041FEB">
        <w:rPr>
          <w:bCs/>
        </w:rPr>
        <w:t>(</w:t>
      </w:r>
      <w:r w:rsidR="007449EF" w:rsidRPr="00041FEB">
        <w:rPr>
          <w:bCs/>
        </w:rPr>
        <w:t xml:space="preserve">i.e., </w:t>
      </w:r>
      <w:r w:rsidR="004C6E0D" w:rsidRPr="00041FEB">
        <w:rPr>
          <w:bCs/>
        </w:rPr>
        <w:t xml:space="preserve">angina, arthritis, asthma, chronic back pain, diabetes, edentulism, hearing problem, tuberculosis, visual impairment) </w:t>
      </w:r>
      <w:r w:rsidRPr="00041FEB">
        <w:rPr>
          <w:bCs/>
        </w:rPr>
        <w:t xml:space="preserve">and </w:t>
      </w:r>
      <w:r w:rsidR="00052544" w:rsidRPr="00041FEB">
        <w:rPr>
          <w:bCs/>
        </w:rPr>
        <w:t xml:space="preserve">physical </w:t>
      </w:r>
      <w:r w:rsidRPr="00041FEB">
        <w:rPr>
          <w:bCs/>
        </w:rPr>
        <w:t xml:space="preserve">multimorbidity in adults from </w:t>
      </w:r>
      <w:r w:rsidR="00343E08" w:rsidRPr="00041FEB">
        <w:rPr>
          <w:bCs/>
        </w:rPr>
        <w:t>48</w:t>
      </w:r>
      <w:r w:rsidRPr="00041FEB">
        <w:rPr>
          <w:bCs/>
        </w:rPr>
        <w:t xml:space="preserve"> LMICs.</w:t>
      </w:r>
      <w:r w:rsidR="005015FA" w:rsidRPr="00041FEB">
        <w:rPr>
          <w:bCs/>
        </w:rPr>
        <w:t xml:space="preserve"> </w:t>
      </w:r>
      <w:r w:rsidR="00C37897" w:rsidRPr="00041FEB">
        <w:rPr>
          <w:bCs/>
        </w:rPr>
        <w:t xml:space="preserve">We also assessed whether associations differ by sex and age. In particular, </w:t>
      </w:r>
      <w:r w:rsidR="004666D8" w:rsidRPr="00041FEB">
        <w:rPr>
          <w:bCs/>
        </w:rPr>
        <w:t>working-age adults often provide financial support to their older relatives</w:t>
      </w:r>
      <w:r w:rsidR="00C37897" w:rsidRPr="00041FEB">
        <w:rPr>
          <w:bCs/>
        </w:rPr>
        <w:t xml:space="preserve"> in LMICs</w:t>
      </w:r>
      <w:r w:rsidR="004666D8" w:rsidRPr="00041FEB">
        <w:rPr>
          <w:bCs/>
        </w:rPr>
        <w:t xml:space="preserve">, and </w:t>
      </w:r>
      <w:r w:rsidR="00C37897" w:rsidRPr="00041FEB">
        <w:rPr>
          <w:bCs/>
        </w:rPr>
        <w:t xml:space="preserve">we hypothesized that </w:t>
      </w:r>
      <w:r w:rsidR="004666D8" w:rsidRPr="00041FEB">
        <w:rPr>
          <w:bCs/>
        </w:rPr>
        <w:t xml:space="preserve">this may be an additional stressor and may </w:t>
      </w:r>
      <w:r w:rsidR="00047767" w:rsidRPr="00041FEB">
        <w:rPr>
          <w:bCs/>
        </w:rPr>
        <w:t xml:space="preserve">indirectly </w:t>
      </w:r>
      <w:r w:rsidR="004666D8" w:rsidRPr="00041FEB">
        <w:rPr>
          <w:bCs/>
        </w:rPr>
        <w:t>increase the risk for chronic physical conditions</w:t>
      </w:r>
      <w:r w:rsidR="00E05CF1" w:rsidRPr="00041FEB">
        <w:rPr>
          <w:bCs/>
        </w:rPr>
        <w:t xml:space="preserve"> </w:t>
      </w:r>
      <w:r w:rsidR="00EB2B80" w:rsidRPr="00041FEB">
        <w:rPr>
          <w:bCs/>
        </w:rPr>
        <w:t xml:space="preserve">especially </w:t>
      </w:r>
      <w:r w:rsidR="00C37897" w:rsidRPr="00041FEB">
        <w:rPr>
          <w:bCs/>
        </w:rPr>
        <w:t xml:space="preserve">in this age group </w:t>
      </w:r>
      <w:r w:rsidR="00E05CF1" w:rsidRPr="00041FEB">
        <w:rPr>
          <w:bCs/>
        </w:rPr>
        <w:fldChar w:fldCharType="begin"/>
      </w:r>
      <w:r w:rsidR="00B84EDB" w:rsidRPr="00041FEB">
        <w:rPr>
          <w:bCs/>
        </w:rPr>
        <w:instrText xml:space="preserve"> ADDIN ZOTERO_ITEM CSL_CITATION {"citationID":"dG0bfBPA","properties":{"formattedCitation":"(22)","plainCitation":"(22)","noteIndex":0},"citationItems":[{"id":2800,"uris":["http://zotero.org/users/local/hhPVnw6l/items/DQ66CTMV"],"uri":["http://zotero.org/users/local/hhPVnw6l/items/DQ66CTMV"],"itemData":{"id":2800,"type":"article-journal","container-title":"Population and Development Review","DOI":"10.1111/padr.12225","ISSN":"1728-4457","issue":"1","language":"en","page":"41-80","source":"Wiley Online Library","title":"Private Intergenerational Transfers, Family Structure, and Health in a sub-Saharan African Context","volume":"45","author":[{"family":"Payne","given":"Collin F."},{"family":"Pesando","given":"Luca Maria"},{"family":"Kohler","given":"Hans-Peter"}],"issued":{"date-parts":[["2019"]]}}}],"schema":"https://github.com/citation-style-language/schema/raw/master/csl-citation.json"} </w:instrText>
      </w:r>
      <w:r w:rsidR="00E05CF1" w:rsidRPr="00041FEB">
        <w:rPr>
          <w:bCs/>
        </w:rPr>
        <w:fldChar w:fldCharType="separate"/>
      </w:r>
      <w:r w:rsidR="00B84EDB" w:rsidRPr="00041FEB">
        <w:rPr>
          <w:bCs/>
          <w:noProof/>
        </w:rPr>
        <w:t>(22)</w:t>
      </w:r>
      <w:r w:rsidR="00E05CF1" w:rsidRPr="00041FEB">
        <w:rPr>
          <w:bCs/>
        </w:rPr>
        <w:fldChar w:fldCharType="end"/>
      </w:r>
      <w:r w:rsidR="004666D8" w:rsidRPr="00041FEB">
        <w:rPr>
          <w:bCs/>
        </w:rPr>
        <w:t>.</w:t>
      </w:r>
    </w:p>
    <w:p w14:paraId="7E800CBD" w14:textId="77777777" w:rsidR="00257138" w:rsidRPr="00041FEB" w:rsidRDefault="00257138" w:rsidP="00B44AE2">
      <w:pPr>
        <w:spacing w:line="480" w:lineRule="auto"/>
        <w:rPr>
          <w:bCs/>
        </w:rPr>
      </w:pPr>
    </w:p>
    <w:p w14:paraId="5603A905" w14:textId="3A14E31C" w:rsidR="00BA3261" w:rsidRPr="00041FEB" w:rsidRDefault="00462633" w:rsidP="00B44AE2">
      <w:pPr>
        <w:spacing w:line="480" w:lineRule="auto"/>
        <w:outlineLvl w:val="0"/>
        <w:rPr>
          <w:b/>
        </w:rPr>
      </w:pPr>
      <w:r w:rsidRPr="00041FEB">
        <w:rPr>
          <w:b/>
        </w:rPr>
        <w:t>Methods</w:t>
      </w:r>
    </w:p>
    <w:p w14:paraId="4E597BAB" w14:textId="77777777" w:rsidR="00462633" w:rsidRPr="00041FEB" w:rsidRDefault="00462633" w:rsidP="00B44AE2">
      <w:pPr>
        <w:spacing w:line="480" w:lineRule="auto"/>
        <w:outlineLvl w:val="0"/>
        <w:rPr>
          <w:b/>
        </w:rPr>
      </w:pPr>
    </w:p>
    <w:p w14:paraId="6578088B" w14:textId="77777777" w:rsidR="00BA3261" w:rsidRPr="00041FEB" w:rsidRDefault="00BA3261" w:rsidP="00B44AE2">
      <w:pPr>
        <w:spacing w:line="480" w:lineRule="auto"/>
        <w:outlineLvl w:val="0"/>
        <w:rPr>
          <w:rFonts w:cs="Times New Roman"/>
          <w:b/>
          <w:i/>
        </w:rPr>
      </w:pPr>
      <w:r w:rsidRPr="00041FEB">
        <w:rPr>
          <w:rFonts w:cs="Times New Roman"/>
          <w:b/>
          <w:i/>
        </w:rPr>
        <w:t>The survey</w:t>
      </w:r>
    </w:p>
    <w:p w14:paraId="48ECB3A2" w14:textId="560B086F" w:rsidR="00BA3261" w:rsidRPr="00041FEB" w:rsidRDefault="00BA3261" w:rsidP="00B44AE2">
      <w:pPr>
        <w:spacing w:line="480" w:lineRule="auto"/>
        <w:rPr>
          <w:rFonts w:eastAsia="Times New Roman" w:cs="Times New Roman"/>
        </w:rPr>
      </w:pPr>
      <w:r w:rsidRPr="00041FEB">
        <w:rPr>
          <w:rFonts w:cs="Times New Roman"/>
        </w:rPr>
        <w:t>The World Health Survey (WHS) was a cross-sectional, community-based study undertaken in 2002-2004</w:t>
      </w:r>
      <w:r w:rsidRPr="00041FEB">
        <w:rPr>
          <w:rFonts w:eastAsia="MS Mincho" w:cs="Times New Roman"/>
        </w:rPr>
        <w:t xml:space="preserve"> in </w:t>
      </w:r>
      <w:r w:rsidRPr="00041FEB">
        <w:rPr>
          <w:rFonts w:cs="Times New Roman"/>
        </w:rPr>
        <w:t>70 countries worldwide</w:t>
      </w:r>
      <w:r w:rsidRPr="00041FEB">
        <w:rPr>
          <w:rFonts w:eastAsia="MS Mincho" w:cs="Times New Roman"/>
        </w:rPr>
        <w:t xml:space="preserve">. Details of the survey are provided in the </w:t>
      </w:r>
      <w:r w:rsidR="00D86588" w:rsidRPr="00041FEB">
        <w:rPr>
          <w:rFonts w:eastAsia="MS Mincho" w:cs="Times New Roman"/>
        </w:rPr>
        <w:t>World Health Organization (</w:t>
      </w:r>
      <w:r w:rsidRPr="00041FEB">
        <w:rPr>
          <w:rFonts w:eastAsia="MS Mincho" w:cs="Times New Roman"/>
        </w:rPr>
        <w:t>WHO</w:t>
      </w:r>
      <w:r w:rsidR="00D86588" w:rsidRPr="00041FEB">
        <w:rPr>
          <w:rFonts w:eastAsia="MS Mincho" w:cs="Times New Roman"/>
        </w:rPr>
        <w:t>)</w:t>
      </w:r>
      <w:r w:rsidRPr="00041FEB">
        <w:rPr>
          <w:rFonts w:eastAsia="MS Mincho" w:cs="Times New Roman"/>
        </w:rPr>
        <w:t xml:space="preserve"> website </w:t>
      </w:r>
      <w:r w:rsidRPr="00041FEB">
        <w:rPr>
          <w:rFonts w:cs="Times New Roman"/>
        </w:rPr>
        <w:t>(</w:t>
      </w:r>
      <w:hyperlink r:id="rId9" w:history="1">
        <w:r w:rsidRPr="00041FEB">
          <w:rPr>
            <w:rStyle w:val="Hyperlink"/>
            <w:rFonts w:cs="Times New Roman"/>
          </w:rPr>
          <w:t>http://www.who.int/healthinfo/survey/en/</w:t>
        </w:r>
      </w:hyperlink>
      <w:r w:rsidRPr="00041FEB">
        <w:rPr>
          <w:rFonts w:cs="Times New Roman"/>
        </w:rPr>
        <w:t xml:space="preserve">). Briefly, </w:t>
      </w:r>
      <w:r w:rsidRPr="00041FEB">
        <w:rPr>
          <w:rFonts w:eastAsia="MS Mincho" w:cs="Times New Roman"/>
        </w:rPr>
        <w:t xml:space="preserve">data were collected using </w:t>
      </w:r>
      <w:r w:rsidRPr="00041FEB">
        <w:rPr>
          <w:rFonts w:cs="Times New Roman"/>
        </w:rPr>
        <w:t>stratified multi-stage random cluster sampling</w:t>
      </w:r>
      <w:r w:rsidRPr="00041FEB">
        <w:rPr>
          <w:rFonts w:eastAsia="MS Mincho" w:cs="Times New Roman"/>
        </w:rPr>
        <w:t xml:space="preserve">. </w:t>
      </w:r>
      <w:r w:rsidRPr="00041FEB">
        <w:rPr>
          <w:rFonts w:cs="Times New Roman"/>
        </w:rPr>
        <w:t xml:space="preserve">Individuals aged </w:t>
      </w:r>
      <w:r w:rsidRPr="00041FEB">
        <w:rPr>
          <w:rFonts w:eastAsia="MS Mincho" w:cs="Times New Roman"/>
        </w:rPr>
        <w:t>≥</w:t>
      </w:r>
      <w:r w:rsidRPr="00041FEB">
        <w:rPr>
          <w:rFonts w:cs="Times New Roman"/>
        </w:rPr>
        <w:t xml:space="preserve">18 years with a valid home address were eligible to participate. </w:t>
      </w:r>
      <w:r w:rsidRPr="00041FEB">
        <w:rPr>
          <w:rFonts w:eastAsia="MS Mincho" w:cs="Times New Roman"/>
        </w:rPr>
        <w:t xml:space="preserve">Each member of the household had an equal probability of being selected by utilizing Kish tables. </w:t>
      </w:r>
      <w:r w:rsidRPr="00041FEB">
        <w:rPr>
          <w:rFonts w:cs="Times New Roman"/>
        </w:rPr>
        <w:t xml:space="preserve">A standardized </w:t>
      </w:r>
      <w:r w:rsidRPr="00041FEB">
        <w:rPr>
          <w:rFonts w:cs="Times New Roman"/>
        </w:rPr>
        <w:lastRenderedPageBreak/>
        <w:t>questionnaire, translated accordingly</w:t>
      </w:r>
      <w:r w:rsidR="00A2241F" w:rsidRPr="00041FEB">
        <w:rPr>
          <w:rFonts w:cs="Times New Roman"/>
        </w:rPr>
        <w:t>,</w:t>
      </w:r>
      <w:r w:rsidRPr="00041FEB">
        <w:rPr>
          <w:rFonts w:cs="Times New Roman"/>
        </w:rPr>
        <w:t xml:space="preserve"> was used across all countries. </w:t>
      </w:r>
      <w:r w:rsidRPr="00041FEB">
        <w:rPr>
          <w:rFonts w:cs="Times New Roman"/>
          <w:color w:val="000000"/>
        </w:rPr>
        <w:t>The individual response rate across all countries was 98.5%</w:t>
      </w:r>
      <w:r w:rsidR="00D92CC0" w:rsidRPr="00041FEB">
        <w:rPr>
          <w:rFonts w:cs="Times New Roman"/>
          <w:color w:val="000000"/>
        </w:rPr>
        <w:t xml:space="preserve"> </w:t>
      </w:r>
      <w:r w:rsidR="00D92CC0" w:rsidRPr="00041FEB">
        <w:rPr>
          <w:rFonts w:cs="Times New Roman"/>
          <w:color w:val="000000"/>
        </w:rPr>
        <w:fldChar w:fldCharType="begin"/>
      </w:r>
      <w:r w:rsidR="00B84EDB" w:rsidRPr="00041FEB">
        <w:rPr>
          <w:rFonts w:cs="Times New Roman"/>
          <w:color w:val="000000"/>
        </w:rPr>
        <w:instrText xml:space="preserve"> ADDIN ZOTERO_ITEM CSL_CITATION {"citationID":"yWv2b0WD","properties":{"formattedCitation":"(23)","plainCitation":"(23)","noteIndex":0},"citationItems":[{"id":2628,"uris":["http://zotero.org/users/local/hhPVnw6l/items/KTV3I4DL"],"uri":["http://zotero.org/users/local/hhPVnw6l/items/KTV3I4DL"],"itemData":{"id":2628,"type":"article-journal","abstract":"OBJECTIVE: To identify the cross-national prevalence of psychotic symptoms in the general population and to analyze their impact on health status.\nMETHOD: The sample was composed of 256,445 subjects (55.9% women), from nationally representative samples of 52 countries worldwide participating in the World Health Organization's World Health Survey. Standardized and weighted prevalence of psychotic symptoms were calculated in addition to the impact on health status as assessed by functioning in multiple domains.\nRESULTS: Overall prevalences for specific symptoms ranged from 4.80% (SE = 0.14) for delusions of control to 8.37% (SE = 0.20) for delusions of reference and persecution. Prevalence figures varied greatly across countries. All symptoms of psychosis produced a significant decline in health status after controlling for potential confounders. There was a clear change in health impact between subjects not reporting any symptom and those reporting at least one symptom (effect size of 0.55).\nCONCLUSIONS: The prevalence of the presence of at least one psychotic symptom has a wide range worldwide varying as much as from 0.8% to 31.4%. Psychotic symptoms signal a problem of potential public health concern, independent of the presence of a full diagnosis of psychosis, as they are common and are related to a significant decrement in health status. The presence of at least one psychotic symptom is related to a significant poorer health status, with a regular linear decrement in health depending on the number of symptoms.","container-title":"Schizophrenia Bulletin","DOI":"10.1093/schbul/sbq099","ISSN":"1745-1701","issue":"3","journalAbbreviation":"Schizophr Bull","language":"eng","note":"PMID: 20841326\nPMCID: PMC3329982","page":"475-485","source":"PubMed","title":"The continuum of psychotic symptoms in the general population: a cross-national study","title-short":"The continuum of psychotic symptoms in the general population","volume":"38","author":[{"family":"Nuevo","given":"Roberto"},{"family":"Chatterji","given":"Somnath"},{"family":"Verdes","given":"Emese"},{"family":"Naidoo","given":"Nirmala"},{"family":"Arango","given":"Celso"},{"family":"Ayuso-Mateos","given":"José Luis"}],"issued":{"date-parts":[["2012",5]]}}}],"schema":"https://github.com/citation-style-language/schema/raw/master/csl-citation.json"} </w:instrText>
      </w:r>
      <w:r w:rsidR="00D92CC0" w:rsidRPr="00041FEB">
        <w:rPr>
          <w:rFonts w:cs="Times New Roman"/>
          <w:color w:val="000000"/>
        </w:rPr>
        <w:fldChar w:fldCharType="separate"/>
      </w:r>
      <w:r w:rsidR="00B84EDB" w:rsidRPr="00041FEB">
        <w:rPr>
          <w:rFonts w:cs="Times New Roman"/>
          <w:noProof/>
          <w:color w:val="000000"/>
        </w:rPr>
        <w:t>(23)</w:t>
      </w:r>
      <w:r w:rsidR="00D92CC0" w:rsidRPr="00041FEB">
        <w:rPr>
          <w:rFonts w:cs="Times New Roman"/>
          <w:color w:val="000000"/>
        </w:rPr>
        <w:fldChar w:fldCharType="end"/>
      </w:r>
      <w:r w:rsidRPr="00041FEB">
        <w:rPr>
          <w:rFonts w:cs="Times New Roman"/>
          <w:color w:val="000000"/>
        </w:rPr>
        <w:t xml:space="preserve">. </w:t>
      </w:r>
      <w:r w:rsidRPr="00041FEB">
        <w:rPr>
          <w:rFonts w:cs="Times New Roman"/>
        </w:rPr>
        <w:t>Ethical approval to conduct the study was obtained from the ethical boards at each study site. Informed consent was obtained from all participants.</w:t>
      </w:r>
      <w:r w:rsidRPr="00041FEB">
        <w:rPr>
          <w:rFonts w:eastAsia="MS Mincho" w:cs="Times New Roman"/>
        </w:rPr>
        <w:t xml:space="preserve"> </w:t>
      </w:r>
      <w:r w:rsidRPr="00041FEB">
        <w:rPr>
          <w:rFonts w:cs="Times New Roman"/>
        </w:rPr>
        <w:t xml:space="preserve">Sampling weights were generated to adjust for non-response and the population distribution reported by the </w:t>
      </w:r>
      <w:r w:rsidRPr="00041FEB">
        <w:rPr>
          <w:rFonts w:cs="Times New Roman"/>
          <w:color w:val="000000" w:themeColor="text1"/>
        </w:rPr>
        <w:t xml:space="preserve">United Nations Statistical Division. </w:t>
      </w:r>
    </w:p>
    <w:p w14:paraId="663ADCE0" w14:textId="77777777" w:rsidR="00263D47" w:rsidRPr="00041FEB" w:rsidRDefault="00263D47" w:rsidP="00B44AE2">
      <w:pPr>
        <w:spacing w:line="480" w:lineRule="auto"/>
        <w:rPr>
          <w:rFonts w:cs="Times New Roman"/>
        </w:rPr>
      </w:pPr>
    </w:p>
    <w:p w14:paraId="3BB42059" w14:textId="347185CA" w:rsidR="00BA3261" w:rsidRPr="00041FEB" w:rsidRDefault="00BA3261" w:rsidP="00B44AE2">
      <w:pPr>
        <w:spacing w:line="480" w:lineRule="auto"/>
        <w:rPr>
          <w:rFonts w:cs="Times New Roman"/>
        </w:rPr>
      </w:pPr>
      <w:r w:rsidRPr="00041FEB">
        <w:rPr>
          <w:rFonts w:cs="Times New Roman"/>
        </w:rPr>
        <w:t>Data were publicly available for 69 countries. Of these, 10 countries were excluded due to a lack of sampling information. Furthermore, 10 high-income countries</w:t>
      </w:r>
      <w:r w:rsidR="004F23E7" w:rsidRPr="00041FEB">
        <w:rPr>
          <w:rFonts w:cs="Times New Roman"/>
        </w:rPr>
        <w:t xml:space="preserve"> (HICs)</w:t>
      </w:r>
      <w:r w:rsidRPr="00041FEB">
        <w:rPr>
          <w:rFonts w:cs="Times New Roman"/>
        </w:rPr>
        <w:t xml:space="preserve"> were excluded in order to focus on LMICs. Moreover, Turkey was d</w:t>
      </w:r>
      <w:r w:rsidR="001F6688" w:rsidRPr="00041FEB">
        <w:rPr>
          <w:rFonts w:cs="Times New Roman"/>
        </w:rPr>
        <w:t>eleted due to lack of data on caregiving</w:t>
      </w:r>
      <w:r w:rsidRPr="00041FEB">
        <w:rPr>
          <w:rFonts w:cs="Times New Roman"/>
        </w:rPr>
        <w:t xml:space="preserve">. Thus, the final sample consisted of 48 LMICs (n=242,952) according to the World Bank classification at the time of the survey (2003). </w:t>
      </w:r>
      <w:r w:rsidR="00E87905" w:rsidRPr="00041FEB">
        <w:rPr>
          <w:rFonts w:cs="Times New Roman"/>
        </w:rPr>
        <w:t xml:space="preserve">The list of the included countries and their sample size are provided in </w:t>
      </w:r>
      <w:proofErr w:type="spellStart"/>
      <w:r w:rsidR="00A2531D" w:rsidRPr="00041FEB">
        <w:rPr>
          <w:rFonts w:eastAsia="MS Mincho"/>
          <w:b/>
          <w:lang w:eastAsia="ja-JP"/>
        </w:rPr>
        <w:t>eTable</w:t>
      </w:r>
      <w:proofErr w:type="spellEnd"/>
      <w:r w:rsidR="00A2531D" w:rsidRPr="00041FEB">
        <w:rPr>
          <w:rFonts w:eastAsia="MS Mincho"/>
          <w:b/>
          <w:lang w:eastAsia="ja-JP"/>
        </w:rPr>
        <w:t xml:space="preserve"> 1 </w:t>
      </w:r>
      <w:r w:rsidR="00A2531D" w:rsidRPr="00041FEB">
        <w:rPr>
          <w:rFonts w:eastAsia="MS Mincho"/>
          <w:bCs/>
          <w:lang w:eastAsia="ja-JP"/>
        </w:rPr>
        <w:t>of the Appendix</w:t>
      </w:r>
      <w:r w:rsidR="00E87905" w:rsidRPr="00041FEB">
        <w:rPr>
          <w:rFonts w:cs="Times New Roman"/>
        </w:rPr>
        <w:t xml:space="preserve">. </w:t>
      </w:r>
      <w:r w:rsidRPr="00041FEB">
        <w:rPr>
          <w:rFonts w:cs="Times New Roman"/>
        </w:rPr>
        <w:t xml:space="preserve">The data were nationally representative for all countries </w:t>
      </w:r>
      <w:proofErr w:type="gramStart"/>
      <w:r w:rsidRPr="00041FEB">
        <w:rPr>
          <w:rFonts w:cs="Times New Roman"/>
        </w:rPr>
        <w:t>with the exception of</w:t>
      </w:r>
      <w:proofErr w:type="gramEnd"/>
      <w:r w:rsidRPr="00041FEB">
        <w:rPr>
          <w:rFonts w:cs="Times New Roman"/>
        </w:rPr>
        <w:t xml:space="preserve"> China, Comoros, </w:t>
      </w:r>
      <w:r w:rsidR="00263D47" w:rsidRPr="00041FEB">
        <w:rPr>
          <w:rFonts w:cs="Times New Roman"/>
        </w:rPr>
        <w:t xml:space="preserve">India, </w:t>
      </w:r>
      <w:r w:rsidRPr="00041FEB">
        <w:rPr>
          <w:rFonts w:cs="Times New Roman"/>
        </w:rPr>
        <w:t xml:space="preserve">Ivory Coast, </w:t>
      </w:r>
      <w:r w:rsidR="00853084" w:rsidRPr="00041FEB">
        <w:rPr>
          <w:rFonts w:cs="Times New Roman"/>
        </w:rPr>
        <w:t xml:space="preserve">the Republic of Congo, </w:t>
      </w:r>
      <w:r w:rsidRPr="00041FEB">
        <w:rPr>
          <w:rFonts w:cs="Times New Roman"/>
        </w:rPr>
        <w:t xml:space="preserve">and Russia. </w:t>
      </w:r>
    </w:p>
    <w:p w14:paraId="22EF9262" w14:textId="77777777" w:rsidR="009C2D57" w:rsidRPr="00041FEB" w:rsidRDefault="009C2D57" w:rsidP="00B44AE2">
      <w:pPr>
        <w:spacing w:line="480" w:lineRule="auto"/>
      </w:pPr>
    </w:p>
    <w:p w14:paraId="02083D66" w14:textId="77777777" w:rsidR="00197B80" w:rsidRPr="00041FEB" w:rsidRDefault="00197B80" w:rsidP="00B44AE2">
      <w:pPr>
        <w:spacing w:line="480" w:lineRule="auto"/>
        <w:rPr>
          <w:b/>
        </w:rPr>
      </w:pPr>
      <w:r w:rsidRPr="00041FEB">
        <w:rPr>
          <w:b/>
          <w:i/>
        </w:rPr>
        <w:t>Physical health conditions</w:t>
      </w:r>
    </w:p>
    <w:p w14:paraId="112834D2" w14:textId="20BD919D" w:rsidR="00197B80" w:rsidRPr="00041FEB" w:rsidRDefault="00197B80" w:rsidP="00B44AE2">
      <w:pPr>
        <w:spacing w:line="480" w:lineRule="auto"/>
      </w:pPr>
      <w:r w:rsidRPr="00041FEB">
        <w:t>A total of nine physical conditions were assessed</w:t>
      </w:r>
      <w:r w:rsidR="00D379B3" w:rsidRPr="00041FEB">
        <w:t xml:space="preserve"> (i.e., angina, arthritis, asthma, chronic back pain, diabetes, edentulism, hearing problem, tuberculosis, visual impairment)</w:t>
      </w:r>
      <w:r w:rsidRPr="00041FEB">
        <w:t xml:space="preserve">. We included all physical conditions available in the WHS. </w:t>
      </w:r>
      <w:r w:rsidR="00BB63E7" w:rsidRPr="00041FEB">
        <w:t>Angina was assessed using a self-reported diagnosis and a symptom-based diagnosis based on the Rose questionnaire.</w:t>
      </w:r>
      <w:r w:rsidR="003C6063" w:rsidRPr="00041FEB">
        <w:t xml:space="preserve"> </w:t>
      </w:r>
      <w:r w:rsidRPr="00041FEB">
        <w:rPr>
          <w:iCs/>
        </w:rPr>
        <w:t>Arthritis, asthma, and diabetes mellitus</w:t>
      </w:r>
      <w:r w:rsidRPr="00041FEB">
        <w:t xml:space="preserve"> were based on self-reported lifetime diagnosis. </w:t>
      </w:r>
      <w:r w:rsidRPr="00041FEB">
        <w:rPr>
          <w:iCs/>
        </w:rPr>
        <w:t>Chronic back pain</w:t>
      </w:r>
      <w:r w:rsidRPr="00041FEB">
        <w:t xml:space="preserve"> was defined as having had back pain (including disc problems) </w:t>
      </w:r>
      <w:proofErr w:type="spellStart"/>
      <w:r w:rsidRPr="00041FEB">
        <w:t>everyday</w:t>
      </w:r>
      <w:proofErr w:type="spellEnd"/>
      <w:r w:rsidRPr="00041FEB">
        <w:t xml:space="preserve"> during the last 30 days. </w:t>
      </w:r>
      <w:r w:rsidR="00C23771" w:rsidRPr="00041FEB">
        <w:rPr>
          <w:iCs/>
        </w:rPr>
        <w:t>Edentulism</w:t>
      </w:r>
      <w:r w:rsidR="00C23771" w:rsidRPr="00041FEB">
        <w:rPr>
          <w:i/>
        </w:rPr>
        <w:t xml:space="preserve"> </w:t>
      </w:r>
      <w:r w:rsidR="00C23771" w:rsidRPr="00041FEB">
        <w:t xml:space="preserve">was assessed by the question “Have you lost all your natural teeth?” Those who responded affirmatively were considered to have edentulism. </w:t>
      </w:r>
      <w:r w:rsidR="001C19FC" w:rsidRPr="00041FEB">
        <w:t xml:space="preserve">The participant was considered to have </w:t>
      </w:r>
      <w:r w:rsidR="001C19FC" w:rsidRPr="00041FEB">
        <w:rPr>
          <w:iCs/>
        </w:rPr>
        <w:t xml:space="preserve">hearing problems </w:t>
      </w:r>
      <w:r w:rsidR="001C19FC" w:rsidRPr="00041FEB">
        <w:t xml:space="preserve">if the interviewer observed that the participant had difficulty </w:t>
      </w:r>
      <w:r w:rsidR="001C19FC" w:rsidRPr="00041FEB">
        <w:lastRenderedPageBreak/>
        <w:t xml:space="preserve">hearing throughout the survey. A </w:t>
      </w:r>
      <w:r w:rsidR="001C19FC" w:rsidRPr="00041FEB">
        <w:rPr>
          <w:iCs/>
        </w:rPr>
        <w:t>tuberculosis</w:t>
      </w:r>
      <w:r w:rsidR="001C19FC" w:rsidRPr="00041FEB">
        <w:rPr>
          <w:i/>
        </w:rPr>
        <w:t xml:space="preserve"> </w:t>
      </w:r>
      <w:r w:rsidR="001C19FC" w:rsidRPr="00041FEB">
        <w:t xml:space="preserve">diagnosis was based on past 12-month symptoms and was defined as: (a) having had a cough that lasted for three weeks or longer; and (b) having had blood in phlegm or coughed up blood. Finally, </w:t>
      </w:r>
      <w:r w:rsidR="001C19FC" w:rsidRPr="00041FEB">
        <w:rPr>
          <w:iCs/>
        </w:rPr>
        <w:t>v</w:t>
      </w:r>
      <w:r w:rsidRPr="00041FEB">
        <w:rPr>
          <w:iCs/>
        </w:rPr>
        <w:t>isual impairment</w:t>
      </w:r>
      <w:r w:rsidRPr="00041FEB">
        <w:t xml:space="preserve"> was defined as having extreme difficulty in seeing and recognizing a person that the participant knows across the road (i.e., from </w:t>
      </w:r>
      <w:proofErr w:type="gramStart"/>
      <w:r w:rsidRPr="00041FEB">
        <w:t xml:space="preserve">a distance </w:t>
      </w:r>
      <w:r w:rsidR="009D3A8C" w:rsidRPr="00041FEB">
        <w:t xml:space="preserve">of </w:t>
      </w:r>
      <w:r w:rsidRPr="00041FEB">
        <w:t>about</w:t>
      </w:r>
      <w:proofErr w:type="gramEnd"/>
      <w:r w:rsidRPr="00041FEB">
        <w:t xml:space="preserve"> 20 meters). A valid</w:t>
      </w:r>
      <w:r w:rsidR="004C766F" w:rsidRPr="00041FEB">
        <w:t>ation</w:t>
      </w:r>
      <w:r w:rsidRPr="00041FEB">
        <w:t xml:space="preserve"> study showed that this response likely corresponds to WHO definitions of visual impairment (20/60 or 0.48 </w:t>
      </w:r>
      <w:proofErr w:type="spellStart"/>
      <w:r w:rsidRPr="00041FEB">
        <w:t>logMAR</w:t>
      </w:r>
      <w:proofErr w:type="spellEnd"/>
      <w:r w:rsidRPr="00041FEB">
        <w:t>)</w:t>
      </w:r>
      <w:r w:rsidR="00036D3E" w:rsidRPr="00041FEB">
        <w:t xml:space="preserve"> </w:t>
      </w:r>
      <w:r w:rsidR="00036D3E" w:rsidRPr="00041FEB">
        <w:fldChar w:fldCharType="begin"/>
      </w:r>
      <w:r w:rsidR="000402EA" w:rsidRPr="00041FEB">
        <w:instrText xml:space="preserve"> ADDIN ZOTERO_ITEM CSL_CITATION {"citationID":"BFQujTHy","properties":{"formattedCitation":"(24)","plainCitation":"(24)","noteIndex":0},"citationItems":[{"id":2633,"uris":["http://zotero.org/users/local/hhPVnw6l/items/MGAYPAWV"],"uri":["http://zotero.org/users/local/hhPVnw6l/items/MGAYPAWV"],"itemData":{"id":2633,"type":"article-journal","abstract":"PURPOSE: Using a world-wide, population-based dataset of adults, we sought to determine the frequency of far visual difficulty and its associated risk factors.\nMETHODS: The World Health Survey (WHS) was conducted in 70 countries throughout the world in 2003 using a random, multi-stage, stratified, cluster sampling design of adults ages 18 years and older. Far vision was assessed by asking \"In the last 30 days, how much difficulty did you have in seeing and recognizing a person you know across the road (i.e. from a distance of about 20 meters)?\". Responses included none, mild, moderate, severe, or extreme/unable. The income status of countries was estimated using gross national income per capita data from 2003 from the World Bank. Prevalence and regression estimates were adjusted to account for the complex sample design.\nRESULTS: 21% of adults reported any visual difficulty. The rate varied by the income status of the country with the percentage who had any visual difficulty being 24%, 23%, and 13% in low, middle, and high income countries, respectively. Five percent of people reported severe or extreme visual difficulty with rates in low, middle, and high income countries of 6%, 5%, and 2% respectively. Risk factors for visual difficulty included older age, female sex, poorer socioeconomic status, little to no formal education, and diabetes (P&lt;0.05).\nCONCLUSIONS: One out of five adults in the WHS reported some degree of far visual difficulty. Given the importance of vision to living an independent life, better access to quality eye care services and life course factors affecting vision health (e.g. repeated eye infections, diet lacking vitamin A) must receive adequate attention and resources, especially in low and middle income countries.","container-title":"PloS One","DOI":"10.1371/journal.pone.0063315","ISSN":"1932-6203","issue":"5","journalAbbreviation":"PLoS ONE","language":"eng","note":"PMID: 23675477\nPMCID: PMC3651198","page":"e63315","source":"PubMed","title":"The global burden of visual difficulty in low, middle, and high income countries","volume":"8","author":[{"family":"Freeman","given":"Ellen E."},{"family":"Roy-Gagnon","given":"Marie-Hélène"},{"family":"Samson","given":"Elodie"},{"family":"Haddad","given":"Slim"},{"family":"Aubin","given":"Marie-Josée"},{"family":"Vela","given":"Claudia"},{"family":"Zunzunegui","given":"Maria Victoria"}],"issued":{"date-parts":[["2013"]]}}}],"schema":"https://github.com/citation-style-language/schema/raw/master/csl-citation.json"} </w:instrText>
      </w:r>
      <w:r w:rsidR="00036D3E" w:rsidRPr="00041FEB">
        <w:fldChar w:fldCharType="separate"/>
      </w:r>
      <w:r w:rsidR="000402EA" w:rsidRPr="00041FEB">
        <w:rPr>
          <w:noProof/>
        </w:rPr>
        <w:t>(24)</w:t>
      </w:r>
      <w:r w:rsidR="00036D3E" w:rsidRPr="00041FEB">
        <w:fldChar w:fldCharType="end"/>
      </w:r>
      <w:r w:rsidRPr="00041FEB">
        <w:t xml:space="preserve">. We calculated the total number of these conditions while allowing for one missing variable in order to retain a larger sample size. </w:t>
      </w:r>
      <w:r w:rsidR="00052544" w:rsidRPr="00041FEB">
        <w:t>Physical m</w:t>
      </w:r>
      <w:r w:rsidRPr="00041FEB">
        <w:t>ultimorbidity was defined as having at least two conditions, in line with previously used definitions</w:t>
      </w:r>
      <w:r w:rsidR="00036D3E" w:rsidRPr="00041FEB">
        <w:t xml:space="preserve"> </w:t>
      </w:r>
      <w:r w:rsidR="00036D3E" w:rsidRPr="00041FEB">
        <w:fldChar w:fldCharType="begin"/>
      </w:r>
      <w:r w:rsidR="000402EA" w:rsidRPr="00041FEB">
        <w:instrText xml:space="preserve"> ADDIN ZOTERO_ITEM CSL_CITATION {"citationID":"lvOyL9TB","properties":{"formattedCitation":"(4)","plainCitation":"(4)","noteIndex":0},"citationItems":[{"id":3476,"uris":["http://zotero.org/users/local/hhPVnw6l/items/J43I7SYU"],"uri":["http://zotero.org/users/local/hhPVnw6l/items/J43I7SYU"],"itemData":{"id":3476,"type":"article-journal","abstract":"BACKGROUND: Multimorbidity has become a prominent problem worldwide; however, few population-based studies have been conducted among older Chinese with multimorbidity. This study aimed to examine the prevalence of multimorbidity and explore its common patterns among a nationally representative sample of older Chinese.\nMETHODS: This study utilized data from the China Health and Retirement Longitudinal Study (CHARLS) and included 19,841 participants aged ≥50 years. The prevalence of individual chronic diseases and multimorbidity during 2011-2015 were evaluated among the entire cohort and according to residential regions and gender. The relationships between participants' demographic characteristics and multimorbidity were examined using logistic regression model. Patterns of multimorbidity were explored using hierarchical cluster analysis (HCA) and association rule mining (ARM).\nRESULTS: Multimorbidity occurred in 42.4% of the participants. The prevalence of multimorbidity was higher among women (OR=1.31, 95%CI: 1.13-1.51) and urban residents (OR=1.14, 95% CI: 1.02-1.27) than their respective counterparts after accounting for potential confounders of age, education, smoking and alcohol consumption. HCA revealed four common multimorbidity patterns: the vascular-metabolic cluster; the stomach-arthritis cluster; the cognitive-emotional cluster; and the hepatorenal cluster. Regional differences were found in the distributions of stroke and memory-related disease. Most combinations of conditions and urban-rural difference in multimorbidity patterns from HCA were also observed in ARM.\nCONCLUSION: The prevalence and patterns of multimorbidity vary by gender and residential regions among older Chinese. Women and urban residents are more vulnerable to multimorbidity. Future studies are needed to understand the mechanisms underlying the identified multimorbidity patterns and their policy and interventional implications.","container-title":"The Journals of Gerontology. Series A, Biological Sciences and Medical Sciences","DOI":"10.1093/gerona/glz185","ISSN":"1758-535X","journalAbbreviation":"J. Gerontol. A Biol. Sci. Med. Sci.","language":"eng","note":"PMID: 31406983","source":"PubMed","title":"Prevalence and patterns of multimorbidity in a nationally representative sample of older Chinese: results from CHARLS","title-short":"Prevalence and patterns of multimorbidity in a nationally representative sample of older Chinese","author":[{"family":"Yao","given":"Shan-Shan"},{"family":"Cao","given":"Gui-Ying"},{"family":"Han","given":"Ling"},{"family":"Chen","given":"Zi-Shuo"},{"family":"Huang","given":"Zi-Ting"},{"family":"Gong","given":"Ping"},{"family":"Hu","given":"Yonghua"},{"family":"Xu","given":"Beibei"}],"issued":{"date-parts":[["2019",8,13]]}}}],"schema":"https://github.com/citation-style-language/schema/raw/master/csl-citation.json"} </w:instrText>
      </w:r>
      <w:r w:rsidR="00036D3E" w:rsidRPr="00041FEB">
        <w:fldChar w:fldCharType="separate"/>
      </w:r>
      <w:r w:rsidR="000402EA" w:rsidRPr="00041FEB">
        <w:rPr>
          <w:noProof/>
        </w:rPr>
        <w:t>(4)</w:t>
      </w:r>
      <w:r w:rsidR="00036D3E" w:rsidRPr="00041FEB">
        <w:fldChar w:fldCharType="end"/>
      </w:r>
      <w:r w:rsidRPr="00041FEB">
        <w:t xml:space="preserve">. </w:t>
      </w:r>
    </w:p>
    <w:p w14:paraId="0849CFA6" w14:textId="77777777" w:rsidR="00BA3261" w:rsidRPr="00041FEB" w:rsidRDefault="00BA3261" w:rsidP="00B44AE2">
      <w:pPr>
        <w:spacing w:line="480" w:lineRule="auto"/>
      </w:pPr>
    </w:p>
    <w:p w14:paraId="2D617EF9" w14:textId="410C2B68" w:rsidR="00193260" w:rsidRPr="00041FEB" w:rsidRDefault="008A2E82" w:rsidP="00B44AE2">
      <w:pPr>
        <w:spacing w:line="480" w:lineRule="auto"/>
        <w:rPr>
          <w:b/>
          <w:i/>
        </w:rPr>
      </w:pPr>
      <w:r w:rsidRPr="00041FEB">
        <w:rPr>
          <w:b/>
          <w:i/>
        </w:rPr>
        <w:t>Informal c</w:t>
      </w:r>
      <w:r w:rsidR="0093159C" w:rsidRPr="00041FEB">
        <w:rPr>
          <w:b/>
          <w:i/>
        </w:rPr>
        <w:t xml:space="preserve">aregiving </w:t>
      </w:r>
    </w:p>
    <w:p w14:paraId="1050E296" w14:textId="430E6F67" w:rsidR="00193260" w:rsidRPr="00041FEB" w:rsidRDefault="00193260" w:rsidP="00B44AE2">
      <w:pPr>
        <w:spacing w:line="480" w:lineRule="auto"/>
      </w:pPr>
      <w:r w:rsidRPr="00041FEB">
        <w:t xml:space="preserve">Those who answered affirmatively to the question “During the past year, did you provide help to a relative or friend (adult or child), because this person has a long-term physical or mental illness or disability, or is getting old and weak?” </w:t>
      </w:r>
      <w:proofErr w:type="gramStart"/>
      <w:r w:rsidRPr="00041FEB">
        <w:t>were considered to be</w:t>
      </w:r>
      <w:proofErr w:type="gramEnd"/>
      <w:r w:rsidRPr="00041FEB">
        <w:t xml:space="preserve"> </w:t>
      </w:r>
      <w:r w:rsidR="008A2E82" w:rsidRPr="00041FEB">
        <w:t xml:space="preserve">informal </w:t>
      </w:r>
      <w:r w:rsidRPr="00041FEB">
        <w:t>caregivers. This question is comparable to those used in previous surveys to identify caregivers</w:t>
      </w:r>
      <w:r w:rsidR="00765764" w:rsidRPr="00041FEB">
        <w:t xml:space="preserve"> where participants were asked whether or not they look after, or give help or support to family members, friends, </w:t>
      </w:r>
      <w:proofErr w:type="spellStart"/>
      <w:r w:rsidR="00765764" w:rsidRPr="00041FEB">
        <w:t>neighbours</w:t>
      </w:r>
      <w:proofErr w:type="spellEnd"/>
      <w:r w:rsidR="00765764" w:rsidRPr="00041FEB">
        <w:t xml:space="preserve"> or others because they have a long term physical or mental ill-health or disability, or problems related to age</w:t>
      </w:r>
      <w:r w:rsidR="005C75B2" w:rsidRPr="00041FEB">
        <w:t xml:space="preserve"> </w:t>
      </w:r>
      <w:r w:rsidR="005C75B2" w:rsidRPr="00041FEB">
        <w:fldChar w:fldCharType="begin"/>
      </w:r>
      <w:r w:rsidR="000402EA" w:rsidRPr="00041FEB">
        <w:instrText xml:space="preserve"> ADDIN ZOTERO_ITEM CSL_CITATION {"citationID":"R7N8OFR6","properties":{"formattedCitation":"(25)","plainCitation":"(25)","noteIndex":0},"citationItems":[{"id":2348,"uris":["http://zotero.org/users/local/hhPVnw6l/items/I3YTUR8X"],"uri":["http://zotero.org/users/local/hhPVnw6l/items/I3YTUR8X"],"itemData":{"id":2348,"type":"article-journal","abstract":"Background\nCaregivers make a significant and growing contribution to the social and\nmedical care of people with long-standing disorders. The effective\nprovision of this care is dependent on their own continuing health.\n\n\nAims\nTo investigate the relationship between weekly time spent caregiving and\npsychiatric and physical morbidity in a representative sample of the\npopulation of England.\n\n\nMethod\nPrimary outcome measures were obtained from the Adult Psychiatric\nMorbidity Survey 2007. Self-report measures of mental and physical health\nwere used, along with total symptom scores for common mental disorder\nderived from the Clinical Interview Schedule – Revised.\n\n\nResults\nIn total, 25% (n = 1883) of the sample identified\nthemselves as caregivers. They had poorer mental health and higher\npsychiatric symptom scores than non-caregivers. There was an observable\ndecline in mental health above 10 h per week. A twofold increase in\npsychiatric symptom scores in the clinical range was recorded in those\nproviding care for more than 20 h per week. In adjusted analyses, there\nwas no excess of physical disorders in caregivers.\n\n\nConclusions\nWe found strong evidence that caregiving affects the mental health of\ncaregivers. Distress frequently reaches clinical thresholds, particularly\nin those providing most care. Strategies for maintaining the mental\nhealth of caregivers are needed, particularly as demographic changes are\nset to increase involvement in caregiving roles.","container-title":"The British Journal of Psychiatry","DOI":"10.1192/bjp.bp.112.125369","ISSN":"0007-1250, 1472-1465","issue":"3","language":"en","page":"197-203","source":"Cambridge Core","title":"Mental and physical illness in caregivers: results from an English national survey sample","title-short":"Mental and physical illness in caregivers","volume":"205","author":[{"family":"Smith","given":"Lindsay"},{"family":"Onwumere","given":"Juliana"},{"family":"Craig","given":"Tom"},{"family":"McManus","given":"Sally"},{"family":"Bebbington","given":"Paul"},{"family":"Kuipers","given":"Elizabeth"}],"issued":{"date-parts":[["2014",9]]}}}],"schema":"https://github.com/citation-style-language/schema/raw/master/csl-citation.json"} </w:instrText>
      </w:r>
      <w:r w:rsidR="005C75B2" w:rsidRPr="00041FEB">
        <w:fldChar w:fldCharType="separate"/>
      </w:r>
      <w:r w:rsidR="000402EA" w:rsidRPr="00041FEB">
        <w:rPr>
          <w:noProof/>
        </w:rPr>
        <w:t>(25)</w:t>
      </w:r>
      <w:r w:rsidR="005C75B2" w:rsidRPr="00041FEB">
        <w:fldChar w:fldCharType="end"/>
      </w:r>
      <w:r w:rsidRPr="00041FEB">
        <w:t xml:space="preserve">. </w:t>
      </w:r>
    </w:p>
    <w:p w14:paraId="4E7F09B3" w14:textId="77777777" w:rsidR="00197B80" w:rsidRPr="00041FEB" w:rsidRDefault="00197B80" w:rsidP="00B44AE2">
      <w:pPr>
        <w:spacing w:line="480" w:lineRule="auto"/>
      </w:pPr>
    </w:p>
    <w:p w14:paraId="3CFC6368" w14:textId="77777777" w:rsidR="00062ECD" w:rsidRPr="00041FEB" w:rsidRDefault="00062ECD" w:rsidP="00B44AE2">
      <w:pPr>
        <w:spacing w:line="480" w:lineRule="auto"/>
        <w:rPr>
          <w:b/>
          <w:i/>
        </w:rPr>
      </w:pPr>
      <w:r w:rsidRPr="00041FEB">
        <w:rPr>
          <w:b/>
          <w:i/>
        </w:rPr>
        <w:t>Control variables</w:t>
      </w:r>
    </w:p>
    <w:p w14:paraId="397E6ECA" w14:textId="7D6CAD2C" w:rsidR="00062ECD" w:rsidRPr="00041FEB" w:rsidRDefault="00062ECD" w:rsidP="00B44AE2">
      <w:pPr>
        <w:spacing w:line="480" w:lineRule="auto"/>
        <w:rPr>
          <w:iCs/>
        </w:rPr>
      </w:pPr>
      <w:r w:rsidRPr="00041FEB">
        <w:rPr>
          <w:iCs/>
        </w:rPr>
        <w:t xml:space="preserve">Control variables were chosen based on past literature </w:t>
      </w:r>
      <w:r w:rsidR="00D16464" w:rsidRPr="00041FEB">
        <w:rPr>
          <w:iCs/>
        </w:rPr>
        <w:fldChar w:fldCharType="begin"/>
      </w:r>
      <w:r w:rsidR="00B84EDB" w:rsidRPr="00041FEB">
        <w:rPr>
          <w:iCs/>
        </w:rPr>
        <w:instrText xml:space="preserve"> ADDIN ZOTERO_ITEM CSL_CITATION {"citationID":"E1xoKKkQ","properties":{"formattedCitation":"(19)","plainCitation":"(19)","noteIndex":0},"citationItems":[{"id":2642,"uris":["http://zotero.org/users/local/hhPVnw6l/items/M3E5WEW2"],"uri":["http://zotero.org/users/local/hhPVnw6l/items/M3E5WEW2"],"itemData":{"id":2642,"type":"article-journal","abstract":"In this study, we assessed the association of chronic medical conditions and multimorbidity with perceived stress among community-dwelling adults in 44 low- and middle-income countries. Data from the World Health Survey (2002-2004), including 229,293 adults, were analyzed. A perceived stress score (range, 0 (lowest stress)-100 (highest stress)) was computed on the basis of 2 questions from the Perceived Stress Scale. Eleven chronic conditions were assessed. Multivariable linear regression analyses were conducted to explore the associations. All chronic conditions were associated with significantly higher mean perceived stress scores, with the exception of edentulism. The associations were particularly strong for depression (β = 14.71, 95% confidence interval (CI): 13.68, 15.74), visual impairment (β = 10.66, 95% CI: 8.09, 13.23), and schizophrenia (β = 9.98, 95% CI: 7.71, 12.24). Compared with no chronic conditions, the β coefficients for perceived stress with the presence of 1, 2, 3, and ≥4 chronic conditions were 5.58 (95% CI: 4.94, 6.23), 9.58 (95% CI: 8.67, 10.49), 14.15 (95% CI: 12.63, 15.67), and 20.17 (95% CI: 18.29, 22.05), respectively. The associations with perceived stress were significantly stronger among the poorest individuals for arthritis, asthma, diabetes, edentulism, and ≥4 chronic conditions. Our data suggest that a range of chronic conditions and multimorbidity are associated with greatly increased perceived stress among people in low- and middle-income countries, and that the poorest persons may be a particularly vulnerable group.","container-title":"American Journal of Epidemiology","DOI":"10.1093/aje/kwx159","ISSN":"1476-6256","issue":"8","journalAbbreviation":"Am. J. Epidemiol.","language":"eng","note":"PMID: 28637230","page":"979-989","source":"PubMed","title":"Perceived Stress and Its Relationship With Chronic Medical Conditions and Multimorbidity Among 229,293 Community-Dwelling Adults in 44 Low- and Middle-Income Countries","volume":"186","author":[{"family":"Vancampfort","given":"Davy"},{"family":"Koyanagi","given":"A."},{"family":"Ward","given":"Philip B."},{"family":"Veronese","given":"Nicola"},{"family":"Carvalho","given":"André F."},{"family":"Solmi","given":"Marco"},{"family":"Mugisha","given":"James"},{"family":"Rosenbaum","given":"Simon"},{"family":"De Hert","given":"Marc"},{"family":"Stubbs","given":"Brendon"}],"issued":{"date-parts":[["2017",10,15]]}}}],"schema":"https://github.com/citation-style-language/schema/raw/master/csl-citation.json"} </w:instrText>
      </w:r>
      <w:r w:rsidR="00D16464" w:rsidRPr="00041FEB">
        <w:rPr>
          <w:iCs/>
        </w:rPr>
        <w:fldChar w:fldCharType="separate"/>
      </w:r>
      <w:r w:rsidR="00B84EDB" w:rsidRPr="00041FEB">
        <w:rPr>
          <w:iCs/>
          <w:noProof/>
        </w:rPr>
        <w:t>(19)</w:t>
      </w:r>
      <w:r w:rsidR="00D16464" w:rsidRPr="00041FEB">
        <w:rPr>
          <w:iCs/>
        </w:rPr>
        <w:fldChar w:fldCharType="end"/>
      </w:r>
      <w:r w:rsidRPr="00041FEB">
        <w:rPr>
          <w:iCs/>
        </w:rPr>
        <w:t xml:space="preserve"> and included age, </w:t>
      </w:r>
      <w:r w:rsidR="00F84268" w:rsidRPr="00041FEB">
        <w:rPr>
          <w:iCs/>
        </w:rPr>
        <w:t>sex,</w:t>
      </w:r>
      <w:r w:rsidR="00F84268" w:rsidRPr="00041FEB">
        <w:rPr>
          <w:color w:val="000000"/>
        </w:rPr>
        <w:t xml:space="preserve"> </w:t>
      </w:r>
      <w:r w:rsidRPr="00041FEB">
        <w:rPr>
          <w:color w:val="000000"/>
        </w:rPr>
        <w:t>highest education achieved (</w:t>
      </w:r>
      <w:r w:rsidRPr="00041FEB">
        <w:rPr>
          <w:rFonts w:cs="Times New Roman"/>
          <w:color w:val="000000"/>
        </w:rPr>
        <w:t>primary or less/secondary or higher),</w:t>
      </w:r>
      <w:r w:rsidRPr="00041FEB">
        <w:rPr>
          <w:iCs/>
        </w:rPr>
        <w:t xml:space="preserve"> country-wise wealth quintiles</w:t>
      </w:r>
      <w:r w:rsidR="007B194A" w:rsidRPr="00041FEB">
        <w:rPr>
          <w:iCs/>
        </w:rPr>
        <w:t>, and employment status (employed or not employed)</w:t>
      </w:r>
      <w:r w:rsidRPr="00041FEB">
        <w:rPr>
          <w:iCs/>
        </w:rPr>
        <w:t xml:space="preserve">. The </w:t>
      </w:r>
      <w:r w:rsidRPr="00041FEB">
        <w:rPr>
          <w:color w:val="000000"/>
        </w:rPr>
        <w:t>wealth quintiles were created using principal component analysis based on 15-20 assets including country-specific items for some countries.</w:t>
      </w:r>
    </w:p>
    <w:p w14:paraId="21290047" w14:textId="77777777" w:rsidR="00062ECD" w:rsidRPr="00041FEB" w:rsidRDefault="00062ECD" w:rsidP="00B44AE2">
      <w:pPr>
        <w:spacing w:line="480" w:lineRule="auto"/>
        <w:rPr>
          <w:rFonts w:eastAsia="MS Mincho" w:cs="Times New Roman"/>
          <w:lang w:eastAsia="ja-JP"/>
        </w:rPr>
      </w:pPr>
    </w:p>
    <w:p w14:paraId="18BBD989" w14:textId="72A0B007" w:rsidR="00A43E29" w:rsidRPr="00041FEB" w:rsidRDefault="00F62D20" w:rsidP="00B44AE2">
      <w:pPr>
        <w:spacing w:line="480" w:lineRule="auto"/>
        <w:rPr>
          <w:rFonts w:eastAsia="MS Mincho" w:cs="Times New Roman"/>
          <w:b/>
          <w:i/>
          <w:lang w:eastAsia="ja-JP"/>
        </w:rPr>
      </w:pPr>
      <w:r w:rsidRPr="00041FEB">
        <w:rPr>
          <w:rFonts w:eastAsia="MS Mincho" w:cs="Times New Roman"/>
          <w:b/>
          <w:i/>
          <w:lang w:eastAsia="ja-JP"/>
        </w:rPr>
        <w:t>Statistical analysis</w:t>
      </w:r>
    </w:p>
    <w:p w14:paraId="21D62B0A" w14:textId="11278D9A" w:rsidR="00425271" w:rsidRPr="00041FEB" w:rsidRDefault="00425271" w:rsidP="00B44AE2">
      <w:pPr>
        <w:spacing w:line="480" w:lineRule="auto"/>
        <w:rPr>
          <w:rFonts w:cs="Times New Roman"/>
        </w:rPr>
      </w:pPr>
      <w:r w:rsidRPr="00041FEB">
        <w:rPr>
          <w:rFonts w:cs="Times New Roman"/>
        </w:rPr>
        <w:t xml:space="preserve">Statistical analyses were performed with Stata 14.1 (Stata Corp LP, College station, Texas). The difference in sample characteristics between </w:t>
      </w:r>
      <w:r w:rsidR="0092620B" w:rsidRPr="00041FEB">
        <w:rPr>
          <w:rFonts w:cs="Times New Roman"/>
        </w:rPr>
        <w:t xml:space="preserve">those who do and do not provide care </w:t>
      </w:r>
      <w:r w:rsidRPr="00041FEB">
        <w:rPr>
          <w:rFonts w:cs="Times New Roman"/>
        </w:rPr>
        <w:t xml:space="preserve">was </w:t>
      </w:r>
      <w:r w:rsidR="004854E0" w:rsidRPr="00041FEB">
        <w:rPr>
          <w:rFonts w:cs="Times New Roman"/>
        </w:rPr>
        <w:t xml:space="preserve">analyzed using </w:t>
      </w:r>
      <w:r w:rsidRPr="00041FEB">
        <w:rPr>
          <w:rFonts w:cs="Times New Roman"/>
        </w:rPr>
        <w:t>Chi-squared test</w:t>
      </w:r>
      <w:r w:rsidR="004854E0" w:rsidRPr="00041FEB">
        <w:rPr>
          <w:rFonts w:cs="Times New Roman"/>
        </w:rPr>
        <w:t>s</w:t>
      </w:r>
      <w:r w:rsidRPr="00041FEB">
        <w:rPr>
          <w:rFonts w:cs="Times New Roman"/>
        </w:rPr>
        <w:t>. Multivariable logistic regression analysis was conducted to assess the association between</w:t>
      </w:r>
      <w:r w:rsidR="006D26BE" w:rsidRPr="00041FEB">
        <w:rPr>
          <w:rFonts w:cs="Times New Roman"/>
        </w:rPr>
        <w:t xml:space="preserve"> informal</w:t>
      </w:r>
      <w:r w:rsidRPr="00041FEB">
        <w:rPr>
          <w:rFonts w:cs="Times New Roman"/>
        </w:rPr>
        <w:t xml:space="preserve"> caregiving (exposure) and </w:t>
      </w:r>
      <w:r w:rsidR="00052544" w:rsidRPr="00041FEB">
        <w:rPr>
          <w:bCs/>
        </w:rPr>
        <w:t xml:space="preserve">physical </w:t>
      </w:r>
      <w:r w:rsidRPr="00041FEB">
        <w:rPr>
          <w:rFonts w:cs="Times New Roman"/>
        </w:rPr>
        <w:t>multimorbidity (outcome)</w:t>
      </w:r>
      <w:r w:rsidR="004854E0" w:rsidRPr="00041FEB">
        <w:rPr>
          <w:rFonts w:cs="Times New Roman"/>
        </w:rPr>
        <w:t>, adjusting for covariates</w:t>
      </w:r>
      <w:r w:rsidRPr="00041FEB">
        <w:rPr>
          <w:rFonts w:cs="Times New Roman"/>
        </w:rPr>
        <w:t>. Anal</w:t>
      </w:r>
      <w:r w:rsidR="00223135" w:rsidRPr="00041FEB">
        <w:rPr>
          <w:rFonts w:cs="Times New Roman"/>
        </w:rPr>
        <w:t xml:space="preserve">yses using the overall </w:t>
      </w:r>
      <w:r w:rsidR="00BC0B4B" w:rsidRPr="00041FEB">
        <w:rPr>
          <w:rFonts w:cs="Times New Roman"/>
        </w:rPr>
        <w:t xml:space="preserve">sample and samples stratified by </w:t>
      </w:r>
      <w:r w:rsidR="00223135" w:rsidRPr="00041FEB">
        <w:rPr>
          <w:rFonts w:cs="Times New Roman"/>
        </w:rPr>
        <w:t>age</w:t>
      </w:r>
      <w:r w:rsidR="00BC0B4B" w:rsidRPr="00041FEB">
        <w:rPr>
          <w:rFonts w:cs="Times New Roman"/>
        </w:rPr>
        <w:t xml:space="preserve"> (18-44, 45-64, ≥65 years) and sex </w:t>
      </w:r>
      <w:r w:rsidRPr="00041FEB">
        <w:rPr>
          <w:rFonts w:cs="Times New Roman"/>
        </w:rPr>
        <w:t xml:space="preserve">were conducted. </w:t>
      </w:r>
      <w:r w:rsidR="009D50D0" w:rsidRPr="00041FEB">
        <w:rPr>
          <w:rFonts w:cs="Times New Roman"/>
        </w:rPr>
        <w:t xml:space="preserve">Interaction analysis was conducted to assess whether the difference in magnitude of the association between </w:t>
      </w:r>
      <w:r w:rsidR="009821E6" w:rsidRPr="00041FEB">
        <w:rPr>
          <w:rFonts w:cs="Times New Roman"/>
        </w:rPr>
        <w:t>age</w:t>
      </w:r>
      <w:r w:rsidR="009D50D0" w:rsidRPr="00041FEB">
        <w:rPr>
          <w:rFonts w:cs="Times New Roman"/>
        </w:rPr>
        <w:t xml:space="preserve"> and </w:t>
      </w:r>
      <w:r w:rsidR="009821E6" w:rsidRPr="00041FEB">
        <w:rPr>
          <w:rFonts w:cs="Times New Roman"/>
        </w:rPr>
        <w:t>sex</w:t>
      </w:r>
      <w:r w:rsidR="009D50D0" w:rsidRPr="00041FEB">
        <w:rPr>
          <w:rFonts w:cs="Times New Roman"/>
        </w:rPr>
        <w:t xml:space="preserve"> groups </w:t>
      </w:r>
      <w:r w:rsidR="004E7CFC" w:rsidRPr="00041FEB">
        <w:rPr>
          <w:rFonts w:cs="Times New Roman"/>
        </w:rPr>
        <w:t xml:space="preserve">is </w:t>
      </w:r>
      <w:r w:rsidR="009D50D0" w:rsidRPr="00041FEB">
        <w:rPr>
          <w:rFonts w:cs="Times New Roman"/>
        </w:rPr>
        <w:t>statistically sign</w:t>
      </w:r>
      <w:r w:rsidR="00F8079A" w:rsidRPr="00041FEB">
        <w:rPr>
          <w:rFonts w:cs="Times New Roman"/>
        </w:rPr>
        <w:t>ificant by including product</w:t>
      </w:r>
      <w:r w:rsidR="009D50D0" w:rsidRPr="00041FEB">
        <w:rPr>
          <w:rFonts w:cs="Times New Roman"/>
        </w:rPr>
        <w:t xml:space="preserve"> terms of </w:t>
      </w:r>
      <w:r w:rsidR="009821E6" w:rsidRPr="00041FEB">
        <w:rPr>
          <w:rFonts w:cs="Times New Roman"/>
        </w:rPr>
        <w:t>age</w:t>
      </w:r>
      <w:r w:rsidR="009D50D0" w:rsidRPr="00041FEB">
        <w:rPr>
          <w:rFonts w:cs="Times New Roman"/>
        </w:rPr>
        <w:t xml:space="preserve"> X caregiving and </w:t>
      </w:r>
      <w:r w:rsidR="009821E6" w:rsidRPr="00041FEB">
        <w:rPr>
          <w:rFonts w:cs="Times New Roman"/>
        </w:rPr>
        <w:t>sex</w:t>
      </w:r>
      <w:r w:rsidR="009D50D0" w:rsidRPr="00041FEB">
        <w:rPr>
          <w:rFonts w:cs="Times New Roman"/>
        </w:rPr>
        <w:t xml:space="preserve"> group X caregiving in the models. </w:t>
      </w:r>
      <w:r w:rsidRPr="00041FEB">
        <w:rPr>
          <w:rFonts w:cs="Times New Roman"/>
        </w:rPr>
        <w:t xml:space="preserve">In order to assess whether the association between </w:t>
      </w:r>
      <w:r w:rsidR="00C83564" w:rsidRPr="00041FEB">
        <w:rPr>
          <w:rFonts w:cs="Times New Roman"/>
        </w:rPr>
        <w:t xml:space="preserve">informal </w:t>
      </w:r>
      <w:r w:rsidR="00223135" w:rsidRPr="00041FEB">
        <w:rPr>
          <w:rFonts w:cs="Times New Roman"/>
        </w:rPr>
        <w:t xml:space="preserve">caregiving and </w:t>
      </w:r>
      <w:r w:rsidR="00052544" w:rsidRPr="00041FEB">
        <w:rPr>
          <w:bCs/>
        </w:rPr>
        <w:t xml:space="preserve">physical </w:t>
      </w:r>
      <w:r w:rsidR="00223135" w:rsidRPr="00041FEB">
        <w:rPr>
          <w:rFonts w:cs="Times New Roman"/>
        </w:rPr>
        <w:t>multimorbidity</w:t>
      </w:r>
      <w:r w:rsidRPr="00041FEB">
        <w:rPr>
          <w:rFonts w:cs="Times New Roman"/>
        </w:rPr>
        <w:t xml:space="preserve"> is consistent across countries, we conducted country-wise logistic regression analyses. The estimates for each country were also combined into a </w:t>
      </w:r>
      <w:r w:rsidR="001E2E12" w:rsidRPr="00041FEB">
        <w:rPr>
          <w:rFonts w:cs="Times New Roman"/>
        </w:rPr>
        <w:t>fixed</w:t>
      </w:r>
      <w:r w:rsidRPr="00041FEB">
        <w:rPr>
          <w:rFonts w:cs="Times New Roman"/>
        </w:rPr>
        <w:t>-effect meta-analysis with the Higgins’</w:t>
      </w:r>
      <w:r w:rsidR="001E2E12" w:rsidRPr="00041FEB">
        <w:rPr>
          <w:rFonts w:cs="Times New Roman"/>
        </w:rPr>
        <w:t>s</w:t>
      </w:r>
      <w:r w:rsidRPr="00041FEB">
        <w:rPr>
          <w:rFonts w:cs="Times New Roman"/>
        </w:rPr>
        <w:t xml:space="preserve"> </w:t>
      </w:r>
      <w:r w:rsidRPr="00041FEB">
        <w:rPr>
          <w:rFonts w:cs="Times New Roman"/>
          <w:i/>
        </w:rPr>
        <w:t>I</w:t>
      </w:r>
      <w:r w:rsidRPr="00041FEB">
        <w:rPr>
          <w:rFonts w:cs="Times New Roman"/>
          <w:i/>
          <w:vertAlign w:val="superscript"/>
        </w:rPr>
        <w:t>2</w:t>
      </w:r>
      <w:r w:rsidRPr="00041FEB">
        <w:rPr>
          <w:rFonts w:cs="Times New Roman"/>
        </w:rPr>
        <w:t xml:space="preserve"> statistic being calculated. </w:t>
      </w:r>
      <w:r w:rsidR="00325DDD" w:rsidRPr="00041FEB">
        <w:rPr>
          <w:rFonts w:cs="Times New Roman"/>
        </w:rPr>
        <w:t>This represents the degree of heterogeneity that is not explained by sampling error with values of 25%, 50%, and 75% often being considered as low, moderate</w:t>
      </w:r>
      <w:r w:rsidR="00EB3693" w:rsidRPr="00041FEB">
        <w:rPr>
          <w:rFonts w:cs="Times New Roman"/>
        </w:rPr>
        <w:t>,</w:t>
      </w:r>
      <w:r w:rsidR="00325DDD" w:rsidRPr="00041FEB">
        <w:rPr>
          <w:rFonts w:cs="Times New Roman"/>
        </w:rPr>
        <w:t xml:space="preserve"> and high levels of heterogeneity</w:t>
      </w:r>
      <w:r w:rsidR="00B446BA" w:rsidRPr="00041FEB">
        <w:rPr>
          <w:rFonts w:cs="Times New Roman"/>
        </w:rPr>
        <w:t xml:space="preserve"> </w:t>
      </w:r>
      <w:r w:rsidR="00B446BA" w:rsidRPr="00041FEB">
        <w:rPr>
          <w:rFonts w:cs="Times New Roman"/>
        </w:rPr>
        <w:fldChar w:fldCharType="begin"/>
      </w:r>
      <w:r w:rsidR="000402EA" w:rsidRPr="00041FEB">
        <w:rPr>
          <w:rFonts w:cs="Times New Roman"/>
        </w:rPr>
        <w:instrText xml:space="preserve"> ADDIN ZOTERO_ITEM CSL_CITATION {"citationID":"dOwYeKeX","properties":{"formattedCitation":"(26)","plainCitation":"(26)","noteIndex":0},"citationItems":[{"id":2411,"uris":["http://zotero.org/users/local/hhPVnw6l/items/V7ZQC4DZ"],"uri":["http://zotero.org/users/local/hhPVnw6l/items/V7ZQC4DZ"],"itemData":{"id":2411,"type":"article-journal","container-title":"BMJ (Clinical research ed.)","DOI":"10.1136/bmj.327.7414.557","ISSN":"1756-1833","issue":"7414","journalAbbreviation":"BMJ","language":"eng","note":"PMID: 12958120\nPMCID: PMC192859","page":"557-560","source":"PubMed","title":"Measuring inconsistency in meta-analyses","volume":"327","author":[{"family":"Higgins","given":"Julian P. T."},{"family":"Thompson","given":"Simon G."},{"family":"Deeks","given":"Jonathan J."},{"family":"Altman","given":"Douglas G."}],"issued":{"date-parts":[["2003",9,6]]}}}],"schema":"https://github.com/citation-style-language/schema/raw/master/csl-citation.json"} </w:instrText>
      </w:r>
      <w:r w:rsidR="00B446BA" w:rsidRPr="00041FEB">
        <w:rPr>
          <w:rFonts w:cs="Times New Roman"/>
        </w:rPr>
        <w:fldChar w:fldCharType="separate"/>
      </w:r>
      <w:r w:rsidR="000402EA" w:rsidRPr="00041FEB">
        <w:rPr>
          <w:rFonts w:cs="Times New Roman"/>
          <w:noProof/>
        </w:rPr>
        <w:t>(26)</w:t>
      </w:r>
      <w:r w:rsidR="00B446BA" w:rsidRPr="00041FEB">
        <w:rPr>
          <w:rFonts w:cs="Times New Roman"/>
        </w:rPr>
        <w:fldChar w:fldCharType="end"/>
      </w:r>
      <w:r w:rsidR="00325DDD" w:rsidRPr="00041FEB">
        <w:rPr>
          <w:rFonts w:cs="Times New Roman"/>
        </w:rPr>
        <w:t>.</w:t>
      </w:r>
      <w:r w:rsidR="00325DDD" w:rsidRPr="00041FEB">
        <w:rPr>
          <w:rFonts w:cs="Times New Roman"/>
          <w:i/>
        </w:rPr>
        <w:t xml:space="preserve"> </w:t>
      </w:r>
    </w:p>
    <w:p w14:paraId="061E3644" w14:textId="77777777" w:rsidR="00325DDD" w:rsidRPr="00041FEB" w:rsidRDefault="00325DDD" w:rsidP="00B44AE2">
      <w:pPr>
        <w:spacing w:line="480" w:lineRule="auto"/>
        <w:rPr>
          <w:rFonts w:cs="Times New Roman"/>
        </w:rPr>
      </w:pPr>
    </w:p>
    <w:p w14:paraId="303DF4E0" w14:textId="55EA0530" w:rsidR="00425271" w:rsidRPr="00041FEB" w:rsidRDefault="00425271" w:rsidP="00B44AE2">
      <w:pPr>
        <w:spacing w:line="480" w:lineRule="auto"/>
        <w:rPr>
          <w:rFonts w:cs="Times New Roman"/>
        </w:rPr>
      </w:pPr>
      <w:r w:rsidRPr="00041FEB">
        <w:rPr>
          <w:rFonts w:cs="Times New Roman"/>
        </w:rPr>
        <w:t xml:space="preserve">All regression models were adjusted for age, sex, education, </w:t>
      </w:r>
      <w:r w:rsidR="00545C6B" w:rsidRPr="00041FEB">
        <w:rPr>
          <w:rFonts w:cs="Times New Roman"/>
        </w:rPr>
        <w:t xml:space="preserve">wealth, </w:t>
      </w:r>
      <w:r w:rsidR="007B194A" w:rsidRPr="00041FEB">
        <w:rPr>
          <w:rFonts w:cs="Times New Roman"/>
        </w:rPr>
        <w:t xml:space="preserve">employment status </w:t>
      </w:r>
      <w:r w:rsidRPr="00041FEB">
        <w:rPr>
          <w:rFonts w:cs="Times New Roman"/>
        </w:rPr>
        <w:t xml:space="preserve">and country </w:t>
      </w:r>
      <w:proofErr w:type="gramStart"/>
      <w:r w:rsidRPr="00041FEB">
        <w:rPr>
          <w:rFonts w:cs="Times New Roman"/>
        </w:rPr>
        <w:t>with the exception of</w:t>
      </w:r>
      <w:proofErr w:type="gramEnd"/>
      <w:r w:rsidRPr="00041FEB">
        <w:rPr>
          <w:rFonts w:cs="Times New Roman"/>
        </w:rPr>
        <w:t xml:space="preserve"> the country-wise</w:t>
      </w:r>
      <w:r w:rsidR="00223135" w:rsidRPr="00041FEB">
        <w:rPr>
          <w:rFonts w:cs="Times New Roman"/>
        </w:rPr>
        <w:t xml:space="preserve"> </w:t>
      </w:r>
      <w:r w:rsidR="00BC0B4B" w:rsidRPr="00041FEB">
        <w:rPr>
          <w:rFonts w:cs="Times New Roman"/>
        </w:rPr>
        <w:t>and sex-wise ana</w:t>
      </w:r>
      <w:r w:rsidR="0092620B" w:rsidRPr="00041FEB">
        <w:rPr>
          <w:rFonts w:cs="Times New Roman"/>
        </w:rPr>
        <w:t>l</w:t>
      </w:r>
      <w:r w:rsidR="00BC0B4B" w:rsidRPr="00041FEB">
        <w:rPr>
          <w:rFonts w:cs="Times New Roman"/>
        </w:rPr>
        <w:t>yse</w:t>
      </w:r>
      <w:r w:rsidR="0092620B" w:rsidRPr="00041FEB">
        <w:rPr>
          <w:rFonts w:cs="Times New Roman"/>
        </w:rPr>
        <w:t>s which were</w:t>
      </w:r>
      <w:r w:rsidR="00223135" w:rsidRPr="00041FEB">
        <w:rPr>
          <w:rFonts w:cs="Times New Roman"/>
        </w:rPr>
        <w:t xml:space="preserve"> not adjusted for country</w:t>
      </w:r>
      <w:r w:rsidR="00BC0B4B" w:rsidRPr="00041FEB">
        <w:rPr>
          <w:rFonts w:cs="Times New Roman"/>
        </w:rPr>
        <w:t xml:space="preserve"> and sex, respectively</w:t>
      </w:r>
      <w:r w:rsidRPr="00041FEB">
        <w:rPr>
          <w:rFonts w:cs="Times New Roman"/>
        </w:rPr>
        <w:t>. Adjustment for country was conducted by including dummy variables for each country</w:t>
      </w:r>
      <w:r w:rsidR="009B0CDA" w:rsidRPr="00041FEB">
        <w:rPr>
          <w:rFonts w:eastAsia="MS Mincho" w:cs="Times New Roman"/>
          <w:lang w:eastAsia="ja-JP"/>
        </w:rPr>
        <w:t>.</w:t>
      </w:r>
      <w:r w:rsidRPr="00041FEB">
        <w:rPr>
          <w:rFonts w:eastAsia="MS Mincho" w:cs="Times New Roman"/>
          <w:lang w:eastAsia="ja-JP"/>
        </w:rPr>
        <w:t xml:space="preserve"> All variables were </w:t>
      </w:r>
      <w:r w:rsidR="00BC0B4B" w:rsidRPr="00041FEB">
        <w:rPr>
          <w:rFonts w:eastAsia="MS Mincho" w:cs="Times New Roman"/>
          <w:lang w:eastAsia="ja-JP"/>
        </w:rPr>
        <w:t xml:space="preserve">used in the regression analysis </w:t>
      </w:r>
      <w:r w:rsidRPr="00041FEB">
        <w:rPr>
          <w:rFonts w:eastAsia="MS Mincho" w:cs="Times New Roman"/>
          <w:lang w:eastAsia="ja-JP"/>
        </w:rPr>
        <w:t xml:space="preserve">as categorical variables </w:t>
      </w:r>
      <w:proofErr w:type="gramStart"/>
      <w:r w:rsidRPr="00041FEB">
        <w:rPr>
          <w:rFonts w:eastAsia="MS Mincho" w:cs="Times New Roman"/>
          <w:lang w:eastAsia="ja-JP"/>
        </w:rPr>
        <w:t>with the exception of</w:t>
      </w:r>
      <w:proofErr w:type="gramEnd"/>
      <w:r w:rsidRPr="00041FEB">
        <w:rPr>
          <w:rFonts w:eastAsia="MS Mincho" w:cs="Times New Roman"/>
          <w:lang w:eastAsia="ja-JP"/>
        </w:rPr>
        <w:t xml:space="preserve"> age (continuous variable). </w:t>
      </w:r>
      <w:r w:rsidRPr="00041FEB">
        <w:rPr>
          <w:rFonts w:cs="Times New Roman"/>
        </w:rPr>
        <w:t xml:space="preserve">Taylor linearization methods were used in all analyses to account for the sample weighting and complex study design. Results from the logistic regression analyses are presented as odds </w:t>
      </w:r>
      <w:r w:rsidRPr="00041FEB">
        <w:rPr>
          <w:rFonts w:cs="Times New Roman"/>
        </w:rPr>
        <w:lastRenderedPageBreak/>
        <w:t xml:space="preserve">ratios (ORs) with 95% confidence intervals (CIs). The level of statistical significance was set at </w:t>
      </w:r>
      <w:r w:rsidRPr="00041FEB">
        <w:rPr>
          <w:rFonts w:cs="Times New Roman"/>
          <w:i/>
        </w:rPr>
        <w:t>p</w:t>
      </w:r>
      <w:r w:rsidRPr="00041FEB">
        <w:rPr>
          <w:rFonts w:cs="Times New Roman"/>
        </w:rPr>
        <w:t xml:space="preserve">&lt;0.05. </w:t>
      </w:r>
    </w:p>
    <w:p w14:paraId="56879BDF" w14:textId="77777777" w:rsidR="00C36512" w:rsidRPr="00041FEB" w:rsidRDefault="00C36512" w:rsidP="00B44AE2">
      <w:pPr>
        <w:spacing w:line="480" w:lineRule="auto"/>
        <w:rPr>
          <w:rFonts w:cs="Times New Roman"/>
        </w:rPr>
      </w:pPr>
    </w:p>
    <w:p w14:paraId="0B316A8C" w14:textId="09AAD54F" w:rsidR="00223135" w:rsidRPr="00041FEB" w:rsidRDefault="00C36512" w:rsidP="00B44AE2">
      <w:pPr>
        <w:spacing w:line="480" w:lineRule="auto"/>
        <w:rPr>
          <w:rFonts w:eastAsia="MS Mincho" w:cs="Times New Roman"/>
          <w:b/>
          <w:lang w:eastAsia="ja-JP"/>
        </w:rPr>
      </w:pPr>
      <w:r w:rsidRPr="00041FEB">
        <w:rPr>
          <w:rFonts w:eastAsia="MS Mincho" w:cs="Times New Roman"/>
          <w:b/>
          <w:lang w:eastAsia="ja-JP"/>
        </w:rPr>
        <w:t>Results</w:t>
      </w:r>
    </w:p>
    <w:p w14:paraId="79C5EA59" w14:textId="77777777" w:rsidR="00C36512" w:rsidRPr="00041FEB" w:rsidRDefault="00C36512" w:rsidP="00B44AE2">
      <w:pPr>
        <w:spacing w:line="480" w:lineRule="auto"/>
        <w:rPr>
          <w:rFonts w:eastAsia="MS Mincho" w:cs="Times New Roman"/>
          <w:b/>
          <w:lang w:eastAsia="ja-JP"/>
        </w:rPr>
      </w:pPr>
    </w:p>
    <w:p w14:paraId="01D12F37" w14:textId="26CE8C34" w:rsidR="00223135" w:rsidRPr="00041FEB" w:rsidRDefault="00010948" w:rsidP="00B44AE2">
      <w:pPr>
        <w:spacing w:line="480" w:lineRule="auto"/>
        <w:rPr>
          <w:rFonts w:eastAsia="MS Mincho" w:cs="Times New Roman"/>
          <w:lang w:eastAsia="ja-JP"/>
        </w:rPr>
      </w:pPr>
      <w:r w:rsidRPr="00041FEB">
        <w:rPr>
          <w:rFonts w:eastAsia="MS Mincho" w:cs="Times New Roman"/>
          <w:lang w:eastAsia="ja-JP"/>
        </w:rPr>
        <w:t xml:space="preserve">The final sample consisted of 242,952 adults aged ≥18 years [mean (SD) age 38.4 (16.0) years; 50.8% female]. </w:t>
      </w:r>
      <w:r w:rsidR="00BD550C" w:rsidRPr="00041FEB">
        <w:rPr>
          <w:rFonts w:eastAsia="MS Mincho" w:cs="Times New Roman"/>
          <w:lang w:eastAsia="ja-JP"/>
        </w:rPr>
        <w:t xml:space="preserve">The </w:t>
      </w:r>
      <w:r w:rsidR="00E87905" w:rsidRPr="00041FEB">
        <w:rPr>
          <w:rFonts w:eastAsia="MS Mincho" w:cs="Times New Roman"/>
          <w:lang w:eastAsia="ja-JP"/>
        </w:rPr>
        <w:t xml:space="preserve">overall </w:t>
      </w:r>
      <w:r w:rsidR="00BD550C" w:rsidRPr="00041FEB">
        <w:rPr>
          <w:rFonts w:eastAsia="MS Mincho" w:cs="Times New Roman"/>
          <w:lang w:eastAsia="ja-JP"/>
        </w:rPr>
        <w:t xml:space="preserve">prevalence of </w:t>
      </w:r>
      <w:r w:rsidR="008A2E82" w:rsidRPr="00041FEB">
        <w:rPr>
          <w:rFonts w:eastAsia="MS Mincho" w:cs="Times New Roman"/>
          <w:lang w:eastAsia="ja-JP"/>
        </w:rPr>
        <w:t xml:space="preserve">informal </w:t>
      </w:r>
      <w:r w:rsidR="00BD550C" w:rsidRPr="00041FEB">
        <w:rPr>
          <w:rFonts w:eastAsia="MS Mincho" w:cs="Times New Roman"/>
          <w:lang w:eastAsia="ja-JP"/>
        </w:rPr>
        <w:t xml:space="preserve">caregiving and </w:t>
      </w:r>
      <w:r w:rsidR="00052544" w:rsidRPr="00041FEB">
        <w:rPr>
          <w:bCs/>
        </w:rPr>
        <w:t xml:space="preserve">physical </w:t>
      </w:r>
      <w:r w:rsidR="00BD550C" w:rsidRPr="00041FEB">
        <w:rPr>
          <w:rFonts w:eastAsia="MS Mincho" w:cs="Times New Roman"/>
          <w:lang w:eastAsia="ja-JP"/>
        </w:rPr>
        <w:t xml:space="preserve">multimorbidity </w:t>
      </w:r>
      <w:r w:rsidR="00753263" w:rsidRPr="00041FEB">
        <w:rPr>
          <w:rFonts w:eastAsia="MS Mincho" w:cs="Times New Roman"/>
          <w:lang w:eastAsia="ja-JP"/>
        </w:rPr>
        <w:t xml:space="preserve">was </w:t>
      </w:r>
      <w:r w:rsidR="001121F7" w:rsidRPr="00041FEB">
        <w:rPr>
          <w:rFonts w:eastAsia="MS Mincho" w:cs="Times New Roman"/>
          <w:lang w:eastAsia="ja-JP"/>
        </w:rPr>
        <w:t xml:space="preserve">19.2% and 13.2%, respectively. </w:t>
      </w:r>
      <w:r w:rsidR="00E87905" w:rsidRPr="00041FEB">
        <w:rPr>
          <w:rFonts w:eastAsia="MS Mincho" w:cs="Times New Roman"/>
          <w:lang w:eastAsia="ja-JP"/>
        </w:rPr>
        <w:t xml:space="preserve">The sample characteristics are provided in </w:t>
      </w:r>
      <w:r w:rsidR="00E87905" w:rsidRPr="00041FEB">
        <w:rPr>
          <w:rFonts w:eastAsia="MS Mincho" w:cs="Times New Roman"/>
          <w:b/>
          <w:lang w:eastAsia="ja-JP"/>
        </w:rPr>
        <w:t>Table 1</w:t>
      </w:r>
      <w:r w:rsidR="00E87905" w:rsidRPr="00041FEB">
        <w:rPr>
          <w:rFonts w:eastAsia="MS Mincho" w:cs="Times New Roman"/>
          <w:lang w:eastAsia="ja-JP"/>
        </w:rPr>
        <w:t xml:space="preserve">. </w:t>
      </w:r>
      <w:r w:rsidR="0082182E" w:rsidRPr="00041FEB">
        <w:rPr>
          <w:rFonts w:eastAsia="MS Mincho" w:cs="Times New Roman"/>
          <w:lang w:eastAsia="ja-JP"/>
        </w:rPr>
        <w:t xml:space="preserve">Caregivers were more likely to be younger, females, and </w:t>
      </w:r>
      <w:r w:rsidR="00D16769" w:rsidRPr="00041FEB">
        <w:rPr>
          <w:rFonts w:eastAsia="MS Mincho" w:cs="Times New Roman"/>
          <w:lang w:eastAsia="ja-JP"/>
        </w:rPr>
        <w:t>have higher education and greater levels of wealth</w:t>
      </w:r>
      <w:r w:rsidR="007B194A" w:rsidRPr="00041FEB">
        <w:rPr>
          <w:rFonts w:eastAsia="MS Mincho" w:cs="Times New Roman"/>
          <w:lang w:eastAsia="ja-JP"/>
        </w:rPr>
        <w:t>, while they were also less likely to be unemployed</w:t>
      </w:r>
      <w:r w:rsidR="00D16769" w:rsidRPr="00041FEB">
        <w:rPr>
          <w:rFonts w:eastAsia="MS Mincho" w:cs="Times New Roman"/>
          <w:lang w:eastAsia="ja-JP"/>
        </w:rPr>
        <w:t xml:space="preserve">. </w:t>
      </w:r>
      <w:r w:rsidR="0082182E" w:rsidRPr="00041FEB">
        <w:rPr>
          <w:rFonts w:eastAsia="MS Mincho" w:cs="Times New Roman"/>
          <w:lang w:eastAsia="ja-JP"/>
        </w:rPr>
        <w:t xml:space="preserve">The prevalence of </w:t>
      </w:r>
      <w:r w:rsidR="006442E9" w:rsidRPr="00041FEB">
        <w:rPr>
          <w:rFonts w:eastAsia="MS Mincho" w:cs="Times New Roman"/>
          <w:lang w:eastAsia="ja-JP"/>
        </w:rPr>
        <w:t xml:space="preserve">informal </w:t>
      </w:r>
      <w:r w:rsidR="0082182E" w:rsidRPr="00041FEB">
        <w:rPr>
          <w:rFonts w:eastAsia="MS Mincho" w:cs="Times New Roman"/>
          <w:lang w:eastAsia="ja-JP"/>
        </w:rPr>
        <w:t xml:space="preserve">caregiving by number of chronic physical conditions is shown in </w:t>
      </w:r>
      <w:r w:rsidR="0082182E" w:rsidRPr="00041FEB">
        <w:rPr>
          <w:rFonts w:eastAsia="MS Mincho" w:cs="Times New Roman"/>
          <w:b/>
          <w:lang w:eastAsia="ja-JP"/>
        </w:rPr>
        <w:t>Figure 1</w:t>
      </w:r>
      <w:r w:rsidR="0082182E" w:rsidRPr="00041FEB">
        <w:rPr>
          <w:rFonts w:eastAsia="MS Mincho" w:cs="Times New Roman"/>
          <w:lang w:eastAsia="ja-JP"/>
        </w:rPr>
        <w:t xml:space="preserve">. </w:t>
      </w:r>
      <w:r w:rsidR="00624265" w:rsidRPr="00041FEB">
        <w:rPr>
          <w:rFonts w:eastAsia="MS Mincho" w:cs="Times New Roman"/>
          <w:lang w:eastAsia="ja-JP"/>
        </w:rPr>
        <w:t xml:space="preserve">There was a linear increase in the prevalence of </w:t>
      </w:r>
      <w:r w:rsidR="006442E9" w:rsidRPr="00041FEB">
        <w:rPr>
          <w:rFonts w:eastAsia="MS Mincho" w:cs="Times New Roman"/>
          <w:lang w:eastAsia="ja-JP"/>
        </w:rPr>
        <w:t xml:space="preserve">informal </w:t>
      </w:r>
      <w:r w:rsidR="00624265" w:rsidRPr="00041FEB">
        <w:rPr>
          <w:rFonts w:eastAsia="MS Mincho" w:cs="Times New Roman"/>
          <w:lang w:eastAsia="ja-JP"/>
        </w:rPr>
        <w:t>caregiving with increasing number of chronic physical conditions among those aged ≤64 years. However, this trend was not observed among those aged ≥65 years</w:t>
      </w:r>
      <w:r w:rsidR="00753263" w:rsidRPr="00041FEB">
        <w:rPr>
          <w:rFonts w:eastAsia="MS Mincho" w:cs="Times New Roman"/>
          <w:lang w:eastAsia="ja-JP"/>
        </w:rPr>
        <w:t>,</w:t>
      </w:r>
      <w:r w:rsidR="00624265" w:rsidRPr="00041FEB">
        <w:rPr>
          <w:rFonts w:eastAsia="MS Mincho" w:cs="Times New Roman"/>
          <w:lang w:eastAsia="ja-JP"/>
        </w:rPr>
        <w:t xml:space="preserve"> with the prevalence of caregiving decreasing beyond two chronic physical conditions. </w:t>
      </w:r>
      <w:r w:rsidR="00AB2F4F" w:rsidRPr="00041FEB">
        <w:rPr>
          <w:rFonts w:eastAsia="MS Mincho" w:cs="Times New Roman"/>
          <w:lang w:eastAsia="ja-JP"/>
        </w:rPr>
        <w:t xml:space="preserve">The prevalence of chronic physical conditions and </w:t>
      </w:r>
      <w:r w:rsidR="00052544" w:rsidRPr="00041FEB">
        <w:rPr>
          <w:bCs/>
        </w:rPr>
        <w:t xml:space="preserve">physical </w:t>
      </w:r>
      <w:r w:rsidR="00AB2F4F" w:rsidRPr="00041FEB">
        <w:rPr>
          <w:rFonts w:eastAsia="MS Mincho" w:cs="Times New Roman"/>
          <w:lang w:eastAsia="ja-JP"/>
        </w:rPr>
        <w:t xml:space="preserve">multimorbidity among caregivers and non-caregivers are shown in </w:t>
      </w:r>
      <w:r w:rsidR="00AB2F4F" w:rsidRPr="00041FEB">
        <w:rPr>
          <w:rFonts w:eastAsia="MS Mincho" w:cs="Times New Roman"/>
          <w:b/>
          <w:lang w:eastAsia="ja-JP"/>
        </w:rPr>
        <w:t>Figure 2</w:t>
      </w:r>
      <w:r w:rsidR="00AB2F4F" w:rsidRPr="00041FEB">
        <w:rPr>
          <w:rFonts w:eastAsia="MS Mincho" w:cs="Times New Roman"/>
          <w:lang w:eastAsia="ja-JP"/>
        </w:rPr>
        <w:t xml:space="preserve">. </w:t>
      </w:r>
      <w:r w:rsidR="00DA73AC" w:rsidRPr="00041FEB">
        <w:rPr>
          <w:rFonts w:eastAsia="MS Mincho" w:cs="Times New Roman"/>
          <w:lang w:eastAsia="ja-JP"/>
        </w:rPr>
        <w:t xml:space="preserve">Caregivers were significantly more likely </w:t>
      </w:r>
      <w:r w:rsidR="00753263" w:rsidRPr="00041FEB">
        <w:rPr>
          <w:rFonts w:eastAsia="MS Mincho" w:cs="Times New Roman"/>
          <w:lang w:eastAsia="ja-JP"/>
        </w:rPr>
        <w:t xml:space="preserve">than non-caregivers </w:t>
      </w:r>
      <w:r w:rsidR="00DA73AC" w:rsidRPr="00041FEB">
        <w:rPr>
          <w:rFonts w:eastAsia="MS Mincho" w:cs="Times New Roman"/>
          <w:lang w:eastAsia="ja-JP"/>
        </w:rPr>
        <w:t xml:space="preserve">to have </w:t>
      </w:r>
      <w:r w:rsidR="00593107" w:rsidRPr="00041FEB">
        <w:rPr>
          <w:rFonts w:eastAsia="MS Mincho" w:cs="Times New Roman"/>
          <w:lang w:eastAsia="ja-JP"/>
        </w:rPr>
        <w:t xml:space="preserve">angina, arthritis, asthma, chronic back pain, diabetes, edentulism, and multimorbidity, while </w:t>
      </w:r>
      <w:r w:rsidR="00DA73AC" w:rsidRPr="00041FEB">
        <w:rPr>
          <w:rFonts w:eastAsia="MS Mincho" w:cs="Times New Roman"/>
          <w:lang w:eastAsia="ja-JP"/>
        </w:rPr>
        <w:t xml:space="preserve">they were significantly less likely to have hearing problems. </w:t>
      </w:r>
      <w:r w:rsidR="000B36D8" w:rsidRPr="00041FEB">
        <w:rPr>
          <w:rFonts w:eastAsia="MS Mincho" w:cs="Times New Roman"/>
          <w:lang w:eastAsia="ja-JP"/>
        </w:rPr>
        <w:t xml:space="preserve">The association between </w:t>
      </w:r>
      <w:r w:rsidR="006442E9" w:rsidRPr="00041FEB">
        <w:rPr>
          <w:rFonts w:eastAsia="MS Mincho" w:cs="Times New Roman"/>
          <w:lang w:eastAsia="ja-JP"/>
        </w:rPr>
        <w:t xml:space="preserve">informal </w:t>
      </w:r>
      <w:r w:rsidR="000B36D8" w:rsidRPr="00041FEB">
        <w:rPr>
          <w:rFonts w:eastAsia="MS Mincho" w:cs="Times New Roman"/>
          <w:lang w:eastAsia="ja-JP"/>
        </w:rPr>
        <w:t xml:space="preserve">caregiving and </w:t>
      </w:r>
      <w:r w:rsidR="00052544" w:rsidRPr="00041FEB">
        <w:rPr>
          <w:bCs/>
        </w:rPr>
        <w:t xml:space="preserve">physical </w:t>
      </w:r>
      <w:r w:rsidR="000B36D8" w:rsidRPr="00041FEB">
        <w:rPr>
          <w:rFonts w:eastAsia="MS Mincho" w:cs="Times New Roman"/>
          <w:lang w:eastAsia="ja-JP"/>
        </w:rPr>
        <w:t xml:space="preserve">multimorbidity </w:t>
      </w:r>
      <w:r w:rsidR="00516B20" w:rsidRPr="00041FEB">
        <w:rPr>
          <w:rFonts w:eastAsia="MS Mincho" w:cs="Times New Roman"/>
          <w:lang w:eastAsia="ja-JP"/>
        </w:rPr>
        <w:t xml:space="preserve">estimated by multivariable logistic regression is shown in </w:t>
      </w:r>
      <w:r w:rsidR="00516B20" w:rsidRPr="00041FEB">
        <w:rPr>
          <w:rFonts w:eastAsia="MS Mincho" w:cs="Times New Roman"/>
          <w:b/>
          <w:lang w:eastAsia="ja-JP"/>
        </w:rPr>
        <w:t>Figure 3</w:t>
      </w:r>
      <w:r w:rsidR="00516B20" w:rsidRPr="00041FEB">
        <w:rPr>
          <w:rFonts w:eastAsia="MS Mincho" w:cs="Times New Roman"/>
          <w:lang w:eastAsia="ja-JP"/>
        </w:rPr>
        <w:t xml:space="preserve">. </w:t>
      </w:r>
      <w:r w:rsidR="00A8088B" w:rsidRPr="00041FEB">
        <w:rPr>
          <w:rFonts w:eastAsia="MS Mincho" w:cs="Times New Roman"/>
          <w:lang w:eastAsia="ja-JP"/>
        </w:rPr>
        <w:t>Overall, caregivers had 1.</w:t>
      </w:r>
      <w:r w:rsidR="00E562E2" w:rsidRPr="00041FEB">
        <w:rPr>
          <w:rFonts w:eastAsia="MS Mincho" w:cs="Times New Roman"/>
          <w:lang w:eastAsia="ja-JP"/>
        </w:rPr>
        <w:t>40</w:t>
      </w:r>
      <w:r w:rsidR="00A8088B" w:rsidRPr="00041FEB">
        <w:rPr>
          <w:rFonts w:eastAsia="MS Mincho" w:cs="Times New Roman"/>
          <w:lang w:eastAsia="ja-JP"/>
        </w:rPr>
        <w:t xml:space="preserve"> (95%CI=1.2</w:t>
      </w:r>
      <w:r w:rsidR="00E562E2" w:rsidRPr="00041FEB">
        <w:rPr>
          <w:rFonts w:eastAsia="MS Mincho" w:cs="Times New Roman"/>
          <w:lang w:eastAsia="ja-JP"/>
        </w:rPr>
        <w:t>9</w:t>
      </w:r>
      <w:r w:rsidR="00A8088B" w:rsidRPr="00041FEB">
        <w:rPr>
          <w:rFonts w:eastAsia="MS Mincho" w:cs="Times New Roman"/>
          <w:lang w:eastAsia="ja-JP"/>
        </w:rPr>
        <w:t>-1.5</w:t>
      </w:r>
      <w:r w:rsidR="00E562E2" w:rsidRPr="00041FEB">
        <w:rPr>
          <w:rFonts w:eastAsia="MS Mincho" w:cs="Times New Roman"/>
          <w:lang w:eastAsia="ja-JP"/>
        </w:rPr>
        <w:t>2</w:t>
      </w:r>
      <w:r w:rsidR="00A8088B" w:rsidRPr="00041FEB">
        <w:rPr>
          <w:rFonts w:eastAsia="MS Mincho" w:cs="Times New Roman"/>
          <w:lang w:eastAsia="ja-JP"/>
        </w:rPr>
        <w:t xml:space="preserve">) times higher odds for </w:t>
      </w:r>
      <w:r w:rsidR="00052544" w:rsidRPr="00041FEB">
        <w:rPr>
          <w:bCs/>
        </w:rPr>
        <w:t xml:space="preserve">physical </w:t>
      </w:r>
      <w:r w:rsidR="00A8088B" w:rsidRPr="00041FEB">
        <w:rPr>
          <w:rFonts w:eastAsia="MS Mincho" w:cs="Times New Roman"/>
          <w:lang w:eastAsia="ja-JP"/>
        </w:rPr>
        <w:t>multimorbidity</w:t>
      </w:r>
      <w:r w:rsidR="00753263" w:rsidRPr="00041FEB">
        <w:rPr>
          <w:rFonts w:eastAsia="MS Mincho" w:cs="Times New Roman"/>
          <w:lang w:eastAsia="ja-JP"/>
        </w:rPr>
        <w:t>.</w:t>
      </w:r>
      <w:r w:rsidR="00A8088B" w:rsidRPr="00041FEB">
        <w:rPr>
          <w:rFonts w:eastAsia="MS Mincho" w:cs="Times New Roman"/>
          <w:lang w:eastAsia="ja-JP"/>
        </w:rPr>
        <w:t xml:space="preserve"> </w:t>
      </w:r>
      <w:r w:rsidR="00E562E2" w:rsidRPr="00041FEB">
        <w:rPr>
          <w:rFonts w:eastAsia="MS Mincho" w:cs="Times New Roman"/>
          <w:lang w:eastAsia="ja-JP"/>
        </w:rPr>
        <w:t xml:space="preserve">The difference in the strength of the association between the youngest and the oldest age group was statistically significant (i.e., significant interaction), while there was no evidence of interaction by sex. Specifically, the OR (95%CI) for those aged 18-44 years was </w:t>
      </w:r>
      <w:r w:rsidR="00A8088B" w:rsidRPr="00041FEB">
        <w:rPr>
          <w:rFonts w:eastAsia="MS Mincho" w:cs="Times New Roman"/>
          <w:lang w:eastAsia="ja-JP"/>
        </w:rPr>
        <w:t>1.54</w:t>
      </w:r>
      <w:r w:rsidR="00E562E2" w:rsidRPr="00041FEB">
        <w:rPr>
          <w:rFonts w:eastAsia="MS Mincho" w:cs="Times New Roman"/>
          <w:lang w:eastAsia="ja-JP"/>
        </w:rPr>
        <w:t xml:space="preserve"> (</w:t>
      </w:r>
      <w:r w:rsidR="00A8088B" w:rsidRPr="00041FEB">
        <w:rPr>
          <w:rFonts w:eastAsia="MS Mincho" w:cs="Times New Roman"/>
          <w:lang w:eastAsia="ja-JP"/>
        </w:rPr>
        <w:t>1.3</w:t>
      </w:r>
      <w:r w:rsidR="00E562E2" w:rsidRPr="00041FEB">
        <w:rPr>
          <w:rFonts w:eastAsia="MS Mincho" w:cs="Times New Roman"/>
          <w:lang w:eastAsia="ja-JP"/>
        </w:rPr>
        <w:t>7</w:t>
      </w:r>
      <w:r w:rsidR="00A8088B" w:rsidRPr="00041FEB">
        <w:rPr>
          <w:rFonts w:eastAsia="MS Mincho" w:cs="Times New Roman"/>
          <w:lang w:eastAsia="ja-JP"/>
        </w:rPr>
        <w:t xml:space="preserve">-1.72), </w:t>
      </w:r>
      <w:r w:rsidR="00753263" w:rsidRPr="00041FEB">
        <w:rPr>
          <w:rFonts w:eastAsia="MS Mincho" w:cs="Times New Roman"/>
          <w:lang w:eastAsia="ja-JP"/>
        </w:rPr>
        <w:t>but</w:t>
      </w:r>
      <w:r w:rsidR="00A8088B" w:rsidRPr="00041FEB">
        <w:rPr>
          <w:rFonts w:eastAsia="MS Mincho" w:cs="Times New Roman"/>
          <w:lang w:eastAsia="ja-JP"/>
        </w:rPr>
        <w:t xml:space="preserve"> </w:t>
      </w:r>
      <w:r w:rsidR="00E562E2" w:rsidRPr="00041FEB">
        <w:rPr>
          <w:rFonts w:eastAsia="MS Mincho" w:cs="Times New Roman"/>
          <w:lang w:eastAsia="ja-JP"/>
        </w:rPr>
        <w:t xml:space="preserve">this </w:t>
      </w:r>
      <w:r w:rsidR="00123D34" w:rsidRPr="00041FEB">
        <w:rPr>
          <w:rFonts w:eastAsia="MS Mincho" w:cs="Times New Roman"/>
          <w:lang w:eastAsia="ja-JP"/>
        </w:rPr>
        <w:t xml:space="preserve">did not reach </w:t>
      </w:r>
      <w:r w:rsidR="00A8088B" w:rsidRPr="00041FEB">
        <w:rPr>
          <w:rFonts w:eastAsia="MS Mincho" w:cs="Times New Roman"/>
          <w:lang w:eastAsia="ja-JP"/>
        </w:rPr>
        <w:t>statistical significan</w:t>
      </w:r>
      <w:r w:rsidR="00123D34" w:rsidRPr="00041FEB">
        <w:rPr>
          <w:rFonts w:eastAsia="MS Mincho" w:cs="Times New Roman"/>
          <w:lang w:eastAsia="ja-JP"/>
        </w:rPr>
        <w:t>ce</w:t>
      </w:r>
      <w:r w:rsidR="00A8088B" w:rsidRPr="00041FEB">
        <w:rPr>
          <w:rFonts w:eastAsia="MS Mincho" w:cs="Times New Roman"/>
          <w:lang w:eastAsia="ja-JP"/>
        </w:rPr>
        <w:t xml:space="preserve"> among </w:t>
      </w:r>
      <w:r w:rsidR="00A8088B" w:rsidRPr="00041FEB">
        <w:rPr>
          <w:rFonts w:eastAsia="MS Mincho" w:cs="Times New Roman"/>
          <w:lang w:eastAsia="ja-JP"/>
        </w:rPr>
        <w:lastRenderedPageBreak/>
        <w:t>those aged ≥65 years (OR=1.1</w:t>
      </w:r>
      <w:r w:rsidR="00E562E2" w:rsidRPr="00041FEB">
        <w:rPr>
          <w:rFonts w:eastAsia="MS Mincho" w:cs="Times New Roman"/>
          <w:lang w:eastAsia="ja-JP"/>
        </w:rPr>
        <w:t>9</w:t>
      </w:r>
      <w:r w:rsidR="00A8088B" w:rsidRPr="00041FEB">
        <w:rPr>
          <w:rFonts w:eastAsia="MS Mincho" w:cs="Times New Roman"/>
          <w:lang w:eastAsia="ja-JP"/>
        </w:rPr>
        <w:t>; 95%CI=0.9</w:t>
      </w:r>
      <w:r w:rsidR="00E562E2" w:rsidRPr="00041FEB">
        <w:rPr>
          <w:rFonts w:eastAsia="MS Mincho" w:cs="Times New Roman"/>
          <w:lang w:eastAsia="ja-JP"/>
        </w:rPr>
        <w:t>8</w:t>
      </w:r>
      <w:r w:rsidR="00A8088B" w:rsidRPr="00041FEB">
        <w:rPr>
          <w:rFonts w:eastAsia="MS Mincho" w:cs="Times New Roman"/>
          <w:lang w:eastAsia="ja-JP"/>
        </w:rPr>
        <w:t>-1.4</w:t>
      </w:r>
      <w:r w:rsidR="00E562E2" w:rsidRPr="00041FEB">
        <w:rPr>
          <w:rFonts w:eastAsia="MS Mincho" w:cs="Times New Roman"/>
          <w:lang w:eastAsia="ja-JP"/>
        </w:rPr>
        <w:t>4</w:t>
      </w:r>
      <w:r w:rsidR="00A8088B" w:rsidRPr="00041FEB">
        <w:rPr>
          <w:rFonts w:eastAsia="MS Mincho" w:cs="Times New Roman"/>
          <w:lang w:eastAsia="ja-JP"/>
        </w:rPr>
        <w:t xml:space="preserve">). </w:t>
      </w:r>
      <w:r w:rsidR="00B73794" w:rsidRPr="00041FEB">
        <w:rPr>
          <w:rFonts w:eastAsia="MS Mincho" w:cs="Times New Roman"/>
          <w:lang w:eastAsia="ja-JP"/>
        </w:rPr>
        <w:t xml:space="preserve">Country-wise analyses showed a positive association between </w:t>
      </w:r>
      <w:r w:rsidR="00DA480F" w:rsidRPr="00041FEB">
        <w:rPr>
          <w:rFonts w:eastAsia="MS Mincho" w:cs="Times New Roman"/>
          <w:lang w:eastAsia="ja-JP"/>
        </w:rPr>
        <w:t xml:space="preserve">informal </w:t>
      </w:r>
      <w:r w:rsidR="00B73794" w:rsidRPr="00041FEB">
        <w:rPr>
          <w:rFonts w:eastAsia="MS Mincho" w:cs="Times New Roman"/>
          <w:lang w:eastAsia="ja-JP"/>
        </w:rPr>
        <w:t xml:space="preserve">caregiving and </w:t>
      </w:r>
      <w:r w:rsidR="00052544" w:rsidRPr="00041FEB">
        <w:rPr>
          <w:bCs/>
        </w:rPr>
        <w:t xml:space="preserve">physical </w:t>
      </w:r>
      <w:r w:rsidR="00B73794" w:rsidRPr="00041FEB">
        <w:rPr>
          <w:rFonts w:eastAsia="MS Mincho" w:cs="Times New Roman"/>
          <w:lang w:eastAsia="ja-JP"/>
        </w:rPr>
        <w:t xml:space="preserve">multimorbidity in </w:t>
      </w:r>
      <w:proofErr w:type="gramStart"/>
      <w:r w:rsidR="00B73794" w:rsidRPr="00041FEB">
        <w:rPr>
          <w:rFonts w:eastAsia="MS Mincho" w:cs="Times New Roman"/>
          <w:lang w:eastAsia="ja-JP"/>
        </w:rPr>
        <w:t>the majority of</w:t>
      </w:r>
      <w:proofErr w:type="gramEnd"/>
      <w:r w:rsidR="00B73794" w:rsidRPr="00041FEB">
        <w:rPr>
          <w:rFonts w:eastAsia="MS Mincho" w:cs="Times New Roman"/>
          <w:lang w:eastAsia="ja-JP"/>
        </w:rPr>
        <w:t xml:space="preserve"> the countries. The overall OR (95%CI) based on a meta-analysis was 1.3</w:t>
      </w:r>
      <w:r w:rsidR="00E562E2" w:rsidRPr="00041FEB">
        <w:rPr>
          <w:rFonts w:eastAsia="MS Mincho" w:cs="Times New Roman"/>
          <w:lang w:eastAsia="ja-JP"/>
        </w:rPr>
        <w:t>7</w:t>
      </w:r>
      <w:r w:rsidR="00B73794" w:rsidRPr="00041FEB">
        <w:rPr>
          <w:rFonts w:eastAsia="MS Mincho" w:cs="Times New Roman"/>
          <w:lang w:eastAsia="ja-JP"/>
        </w:rPr>
        <w:t xml:space="preserve"> (1.</w:t>
      </w:r>
      <w:r w:rsidR="00E562E2" w:rsidRPr="00041FEB">
        <w:rPr>
          <w:rFonts w:eastAsia="MS Mincho" w:cs="Times New Roman"/>
          <w:lang w:eastAsia="ja-JP"/>
        </w:rPr>
        <w:t>30</w:t>
      </w:r>
      <w:r w:rsidR="00B73794" w:rsidRPr="00041FEB">
        <w:rPr>
          <w:rFonts w:eastAsia="MS Mincho" w:cs="Times New Roman"/>
          <w:lang w:eastAsia="ja-JP"/>
        </w:rPr>
        <w:t>-1.4</w:t>
      </w:r>
      <w:r w:rsidR="00E562E2" w:rsidRPr="00041FEB">
        <w:rPr>
          <w:rFonts w:eastAsia="MS Mincho" w:cs="Times New Roman"/>
          <w:lang w:eastAsia="ja-JP"/>
        </w:rPr>
        <w:t>4</w:t>
      </w:r>
      <w:r w:rsidR="00B73794" w:rsidRPr="00041FEB">
        <w:rPr>
          <w:rFonts w:eastAsia="MS Mincho" w:cs="Times New Roman"/>
          <w:lang w:eastAsia="ja-JP"/>
        </w:rPr>
        <w:t>) with a negligible level of between-country heterogeneity (</w:t>
      </w:r>
      <w:r w:rsidR="00B73794" w:rsidRPr="00041FEB">
        <w:rPr>
          <w:rFonts w:eastAsia="MS Mincho" w:cs="Times New Roman"/>
          <w:i/>
          <w:lang w:eastAsia="ja-JP"/>
        </w:rPr>
        <w:t>I</w:t>
      </w:r>
      <w:r w:rsidR="00B73794" w:rsidRPr="00041FEB">
        <w:rPr>
          <w:rFonts w:eastAsia="MS Mincho" w:cs="Times New Roman"/>
          <w:i/>
          <w:vertAlign w:val="superscript"/>
          <w:lang w:eastAsia="ja-JP"/>
        </w:rPr>
        <w:t>2</w:t>
      </w:r>
      <w:r w:rsidR="00B73794" w:rsidRPr="00041FEB">
        <w:rPr>
          <w:rFonts w:eastAsia="MS Mincho" w:cs="Times New Roman"/>
          <w:lang w:eastAsia="ja-JP"/>
        </w:rPr>
        <w:t>=2</w:t>
      </w:r>
      <w:r w:rsidR="00E562E2" w:rsidRPr="00041FEB">
        <w:rPr>
          <w:rFonts w:eastAsia="MS Mincho" w:cs="Times New Roman"/>
          <w:lang w:eastAsia="ja-JP"/>
        </w:rPr>
        <w:t>4</w:t>
      </w:r>
      <w:r w:rsidR="00B73794" w:rsidRPr="00041FEB">
        <w:rPr>
          <w:rFonts w:eastAsia="MS Mincho" w:cs="Times New Roman"/>
          <w:lang w:eastAsia="ja-JP"/>
        </w:rPr>
        <w:t xml:space="preserve">.0%). </w:t>
      </w:r>
    </w:p>
    <w:p w14:paraId="786F78BF" w14:textId="77777777" w:rsidR="00010948" w:rsidRPr="00041FEB" w:rsidRDefault="00010948" w:rsidP="00B44AE2">
      <w:pPr>
        <w:spacing w:line="480" w:lineRule="auto"/>
        <w:rPr>
          <w:rFonts w:eastAsia="MS Mincho" w:cs="Times New Roman"/>
          <w:lang w:eastAsia="ja-JP"/>
        </w:rPr>
      </w:pPr>
    </w:p>
    <w:p w14:paraId="0EC7ADA1" w14:textId="19734A43" w:rsidR="00C812D0" w:rsidRPr="00041FEB" w:rsidRDefault="003E7208" w:rsidP="00B44AE2">
      <w:pPr>
        <w:spacing w:line="480" w:lineRule="auto"/>
        <w:rPr>
          <w:b/>
        </w:rPr>
      </w:pPr>
      <w:r w:rsidRPr="00041FEB">
        <w:rPr>
          <w:b/>
        </w:rPr>
        <w:t>Discussion</w:t>
      </w:r>
    </w:p>
    <w:p w14:paraId="66F9776A" w14:textId="76F4BE29" w:rsidR="00E14D21" w:rsidRPr="00041FEB" w:rsidRDefault="00E14D21" w:rsidP="00B44AE2">
      <w:pPr>
        <w:spacing w:line="480" w:lineRule="auto"/>
      </w:pPr>
    </w:p>
    <w:p w14:paraId="26302097" w14:textId="1F81A7CA" w:rsidR="003E7208" w:rsidRPr="00041FEB" w:rsidRDefault="003E7208" w:rsidP="00B44AE2">
      <w:pPr>
        <w:spacing w:line="480" w:lineRule="auto"/>
        <w:rPr>
          <w:i/>
          <w:iCs/>
        </w:rPr>
      </w:pPr>
      <w:r w:rsidRPr="00041FEB">
        <w:rPr>
          <w:i/>
          <w:iCs/>
        </w:rPr>
        <w:t>Main findings</w:t>
      </w:r>
    </w:p>
    <w:p w14:paraId="4C0EBA7D" w14:textId="5CE5793C" w:rsidR="003E0DA9" w:rsidRPr="00041FEB" w:rsidRDefault="008A2E82" w:rsidP="00B44AE2">
      <w:pPr>
        <w:spacing w:line="480" w:lineRule="auto"/>
      </w:pPr>
      <w:r w:rsidRPr="00041FEB">
        <w:t>In this multi-country study including almost 24</w:t>
      </w:r>
      <w:r w:rsidR="00EE5623" w:rsidRPr="00041FEB">
        <w:t>3</w:t>
      </w:r>
      <w:r w:rsidRPr="00041FEB">
        <w:t xml:space="preserve">,000 adults from 48 LMICs, </w:t>
      </w:r>
      <w:r w:rsidR="00123D34" w:rsidRPr="00041FEB">
        <w:t xml:space="preserve">we found that </w:t>
      </w:r>
      <w:r w:rsidRPr="00041FEB">
        <w:t xml:space="preserve">the prevalence of informal caregiving and </w:t>
      </w:r>
      <w:r w:rsidR="00501904" w:rsidRPr="00041FEB">
        <w:rPr>
          <w:bCs/>
        </w:rPr>
        <w:t xml:space="preserve">physical </w:t>
      </w:r>
      <w:r w:rsidRPr="00041FEB">
        <w:t xml:space="preserve">multimorbidity </w:t>
      </w:r>
      <w:r w:rsidR="00F15D24" w:rsidRPr="00041FEB">
        <w:t xml:space="preserve">was </w:t>
      </w:r>
      <w:r w:rsidRPr="00041FEB">
        <w:t xml:space="preserve">around 19% and 13%, respectively. </w:t>
      </w:r>
      <w:r w:rsidR="009D75E1" w:rsidRPr="00041FEB">
        <w:t xml:space="preserve">In terms of the individual chronic conditions, caregivers were more likely to have </w:t>
      </w:r>
      <w:r w:rsidR="00593107" w:rsidRPr="00041FEB">
        <w:rPr>
          <w:rFonts w:eastAsia="MS Mincho" w:cs="Times New Roman"/>
          <w:lang w:eastAsia="ja-JP"/>
        </w:rPr>
        <w:t>angina, arthritis, asthma, chronic back pain, diabetes and edentulism</w:t>
      </w:r>
      <w:r w:rsidR="009D75E1" w:rsidRPr="00041FEB">
        <w:rPr>
          <w:rFonts w:eastAsia="MS Mincho" w:cs="Times New Roman"/>
          <w:lang w:eastAsia="ja-JP"/>
        </w:rPr>
        <w:t>, but less likely to have hearing problems.</w:t>
      </w:r>
      <w:r w:rsidR="009D75E1" w:rsidRPr="00041FEB">
        <w:t xml:space="preserve"> </w:t>
      </w:r>
      <w:r w:rsidR="00C20CD8" w:rsidRPr="00041FEB">
        <w:t>After adjusting for several potential confounders, there was a significant</w:t>
      </w:r>
      <w:r w:rsidR="00EA5D31" w:rsidRPr="00041FEB">
        <w:t>,</w:t>
      </w:r>
      <w:r w:rsidR="00C20CD8" w:rsidRPr="00041FEB">
        <w:t xml:space="preserve"> positive association between informal caregiving and </w:t>
      </w:r>
      <w:r w:rsidR="00501904" w:rsidRPr="00041FEB">
        <w:rPr>
          <w:bCs/>
        </w:rPr>
        <w:t xml:space="preserve">physical </w:t>
      </w:r>
      <w:r w:rsidR="00C20CD8" w:rsidRPr="00041FEB">
        <w:t>multimorbidity (OR=1.</w:t>
      </w:r>
      <w:r w:rsidR="00E562E2" w:rsidRPr="00041FEB">
        <w:t>40</w:t>
      </w:r>
      <w:r w:rsidR="00C20CD8" w:rsidRPr="00041FEB">
        <w:t xml:space="preserve">), and this relationship was stronger in younger participants. </w:t>
      </w:r>
      <w:r w:rsidR="00142EEF" w:rsidRPr="00041FEB">
        <w:t>T</w:t>
      </w:r>
      <w:r w:rsidR="00C20CD8" w:rsidRPr="00041FEB">
        <w:t>hese findings were corroborated in the country-wise analysis</w:t>
      </w:r>
      <w:r w:rsidR="00F15D24" w:rsidRPr="00041FEB">
        <w:t>:</w:t>
      </w:r>
      <w:r w:rsidR="00C20CD8" w:rsidRPr="00041FEB">
        <w:t xml:space="preserve"> informal caregiving was significantly associated with </w:t>
      </w:r>
      <w:r w:rsidR="00501904" w:rsidRPr="00041FEB">
        <w:rPr>
          <w:bCs/>
        </w:rPr>
        <w:t xml:space="preserve">physical </w:t>
      </w:r>
      <w:r w:rsidR="00C20CD8" w:rsidRPr="00041FEB">
        <w:t xml:space="preserve">multimorbidity in </w:t>
      </w:r>
      <w:proofErr w:type="gramStart"/>
      <w:r w:rsidR="00C20CD8" w:rsidRPr="00041FEB">
        <w:t>the majority of</w:t>
      </w:r>
      <w:proofErr w:type="gramEnd"/>
      <w:r w:rsidR="00C20CD8" w:rsidRPr="00041FEB">
        <w:t xml:space="preserve"> countr</w:t>
      </w:r>
      <w:r w:rsidR="00A67759" w:rsidRPr="00041FEB">
        <w:t>ies</w:t>
      </w:r>
      <w:r w:rsidR="00C20CD8" w:rsidRPr="00041FEB">
        <w:t xml:space="preserve"> with a low level of between-country heterogeneity.</w:t>
      </w:r>
      <w:r w:rsidR="00123D34" w:rsidRPr="00041FEB">
        <w:t xml:space="preserve"> To our knowledge, this is the first study investigating the relationship between informal caregiving and </w:t>
      </w:r>
      <w:r w:rsidR="00501904" w:rsidRPr="00041FEB">
        <w:rPr>
          <w:bCs/>
        </w:rPr>
        <w:t xml:space="preserve">physical </w:t>
      </w:r>
      <w:r w:rsidR="00123D34" w:rsidRPr="00041FEB">
        <w:t xml:space="preserve">multimorbidity. </w:t>
      </w:r>
    </w:p>
    <w:p w14:paraId="7E63ED7A" w14:textId="5A9A5F0C" w:rsidR="00C20CD8" w:rsidRPr="00041FEB" w:rsidRDefault="00C20CD8" w:rsidP="00B44AE2">
      <w:pPr>
        <w:spacing w:line="480" w:lineRule="auto"/>
      </w:pPr>
    </w:p>
    <w:p w14:paraId="6F3D47C4" w14:textId="511E4146" w:rsidR="00C20CD8" w:rsidRPr="00041FEB" w:rsidRDefault="00C20CD8" w:rsidP="00B44AE2">
      <w:pPr>
        <w:spacing w:line="480" w:lineRule="auto"/>
        <w:rPr>
          <w:i/>
          <w:iCs/>
        </w:rPr>
      </w:pPr>
      <w:r w:rsidRPr="00041FEB">
        <w:rPr>
          <w:i/>
          <w:iCs/>
        </w:rPr>
        <w:t>Interpretation of the findings</w:t>
      </w:r>
    </w:p>
    <w:p w14:paraId="30EF314B" w14:textId="321491CF" w:rsidR="00B13395" w:rsidRPr="00041FEB" w:rsidRDefault="00F775EA" w:rsidP="00B44AE2">
      <w:pPr>
        <w:spacing w:line="480" w:lineRule="auto"/>
      </w:pPr>
      <w:r w:rsidRPr="00041FEB">
        <w:t>While the causal pathways are still unclear, t</w:t>
      </w:r>
      <w:r w:rsidR="00C20CD8" w:rsidRPr="00041FEB">
        <w:t xml:space="preserve">here are several </w:t>
      </w:r>
      <w:r w:rsidR="00F15D24" w:rsidRPr="00041FEB">
        <w:t>potential explanations for</w:t>
      </w:r>
      <w:r w:rsidR="00C20CD8" w:rsidRPr="00041FEB">
        <w:t xml:space="preserve"> the </w:t>
      </w:r>
      <w:r w:rsidR="00936A56" w:rsidRPr="00041FEB">
        <w:t xml:space="preserve">positive </w:t>
      </w:r>
      <w:r w:rsidR="00C20CD8" w:rsidRPr="00041FEB">
        <w:t xml:space="preserve">association between informal caregiving and </w:t>
      </w:r>
      <w:r w:rsidR="00123E59" w:rsidRPr="00041FEB">
        <w:t xml:space="preserve">chronic physical conditions or </w:t>
      </w:r>
      <w:r w:rsidR="00501904" w:rsidRPr="00041FEB">
        <w:rPr>
          <w:bCs/>
        </w:rPr>
        <w:t xml:space="preserve">physical </w:t>
      </w:r>
      <w:r w:rsidR="00C20CD8" w:rsidRPr="00041FEB">
        <w:t xml:space="preserve">multimorbidity. </w:t>
      </w:r>
      <w:r w:rsidR="00907A7C" w:rsidRPr="00041FEB">
        <w:t xml:space="preserve">First, </w:t>
      </w:r>
      <w:r w:rsidR="00C20CD8" w:rsidRPr="00041FEB">
        <w:t xml:space="preserve">informal caregiving </w:t>
      </w:r>
      <w:r w:rsidR="00907A7C" w:rsidRPr="00041FEB">
        <w:t>may be</w:t>
      </w:r>
      <w:r w:rsidR="00C20CD8" w:rsidRPr="00041FEB">
        <w:t xml:space="preserve"> a risk factor for </w:t>
      </w:r>
      <w:r w:rsidR="00123E59" w:rsidRPr="00041FEB">
        <w:t>these conditions</w:t>
      </w:r>
      <w:r w:rsidR="00C20CD8" w:rsidRPr="00041FEB">
        <w:t>.</w:t>
      </w:r>
      <w:r w:rsidR="00B039DD" w:rsidRPr="00041FEB">
        <w:t xml:space="preserve"> </w:t>
      </w:r>
      <w:r w:rsidR="00AB18B9" w:rsidRPr="00041FEB">
        <w:rPr>
          <w:bCs/>
        </w:rPr>
        <w:t>For example, p</w:t>
      </w:r>
      <w:r w:rsidR="00936A56" w:rsidRPr="00041FEB">
        <w:t xml:space="preserve">revious research has found that informal caregivers are at a particular high risk for </w:t>
      </w:r>
      <w:r w:rsidR="00936A56" w:rsidRPr="00041FEB">
        <w:lastRenderedPageBreak/>
        <w:t xml:space="preserve">musculoskeletal discomfort and injury, especially when engaging in activities which are physically demanding (e.g., transfers, bathing) </w:t>
      </w:r>
      <w:r w:rsidR="00936A56" w:rsidRPr="00041FEB">
        <w:fldChar w:fldCharType="begin"/>
      </w:r>
      <w:r w:rsidR="000402EA" w:rsidRPr="00041FEB">
        <w:instrText xml:space="preserve"> ADDIN ZOTERO_ITEM CSL_CITATION {"citationID":"LKfHE7D2","properties":{"formattedCitation":"(27)","plainCitation":"(27)","noteIndex":0},"citationItems":[{"id":2705,"uris":["http://zotero.org/users/local/hhPVnw6l/items/3CGYG2MU"],"uri":["http://zotero.org/users/local/hhPVnw6l/items/3CGYG2MU"],"itemData":{"id":2705,"type":"article-journal","abstract":"OBJECTIVES: To characterize the burden of care and musculoskeletal discomfort associated with caring for adults with chronic physical disability among informal caregivers and to describe the most physically demanding caregiving activities and contributing factors, as perceived by informal caregivers of adults with physical disabilities.\nMETHODS: A mixed methods approach was used for the study. Forty-six informal caregivers of adults with physical disability participated.\nRESULTS: Most caregivers were classified as \"high burden\" caregivers. They reported high levels of physical strain and musculoskeletal discomfort. Caregivers identified several activities related to mobility and self-care as the most physically demanding. Factors affecting physical demand included caregiver and care-recipient characteristics, activity requirements, and the physical environment.\nCONCLUSION: Interventions that target high-demand caregiving activities, including all three aspects of caregiving activity performance, are necessary to support adults with disabilities in the home and their caregivers.","container-title":"Journal of Applied Gerontology: The Official Journal of the Southern Gerontological Society","DOI":"10.1177/0733464813496464","ISSN":"1552-4523","issue":"6","journalAbbreviation":"J Appl Gerontol","language":"eng","note":"PMID: 24652897\nPMCID: PMC3964150","page":"734-760","source":"PubMed","title":"Musculoskeletal Discomfort, Physical Demand, and Caregiving Activities in Informal Caregivers","volume":"34","author":[{"family":"Darragh","given":"Amy R."},{"family":"Sommerich","given":"Carolyn M."},{"family":"Lavender","given":"Steven A."},{"family":"Tanner","given":"Kelly J."},{"family":"Vogel","given":"Kasey"},{"family":"Campo","given":"Marc"}],"issued":{"date-parts":[["2015",9]]}}}],"schema":"https://github.com/citation-style-language/schema/raw/master/csl-citation.json"} </w:instrText>
      </w:r>
      <w:r w:rsidR="00936A56" w:rsidRPr="00041FEB">
        <w:fldChar w:fldCharType="separate"/>
      </w:r>
      <w:r w:rsidR="000402EA" w:rsidRPr="00041FEB">
        <w:rPr>
          <w:noProof/>
        </w:rPr>
        <w:t>(27)</w:t>
      </w:r>
      <w:r w:rsidR="00936A56" w:rsidRPr="00041FEB">
        <w:fldChar w:fldCharType="end"/>
      </w:r>
      <w:r w:rsidR="00936A56" w:rsidRPr="00041FEB">
        <w:t xml:space="preserve">. </w:t>
      </w:r>
      <w:r w:rsidR="00705071" w:rsidRPr="00041FEB">
        <w:t xml:space="preserve">These activities may also increase risk for injury and possibly osteoarthritis </w:t>
      </w:r>
      <w:r w:rsidR="001C30BE" w:rsidRPr="00041FEB">
        <w:fldChar w:fldCharType="begin"/>
      </w:r>
      <w:r w:rsidR="000402EA" w:rsidRPr="00041FEB">
        <w:instrText xml:space="preserve"> ADDIN ZOTERO_ITEM CSL_CITATION {"citationID":"MAUb08MA","properties":{"formattedCitation":"(28)","plainCitation":"(28)","noteIndex":0},"citationItems":[{"id":2708,"uris":["http://zotero.org/users/local/hhPVnw6l/items/T3QIGT68"],"uri":["http://zotero.org/users/local/hhPVnw6l/items/T3QIGT68"],"itemData":{"id":2708,"type":"article-journal","abstract":"Post-traumatic arthritis (PTA) develops after an acute direct trauma to the joints. PTA causes about 12% of all osteoarthritis cases, and a history of physical trauma may also be found in patients with chronic inflammatory arthritis. Symptoms include swelling, synovial effusion, pain and sometimes intra-articular bleeding. Usually, PTA recoveries spontaneously, but the persistence of symptoms after 6 months may be considered pathological and so-called chronic PTA. A variety of molecular, mechanobiological and cellular events involved in the pathogenesis and the progression of PTA have been identified. The activation of inflammatory mechanisms during the PTA acute phase appears to play a critical role in the chronic disease onset. Human studies and experimental models have revealed that a series of inflammatory mediators are released in synovial fluid immediately after the joint trauma. These molecules have been proposed as markers of disease and as a potential target for the development of specific and preventative interventions. Currently, chronic PTA cannot be prevented, although a large number of agents have been tested in preclinical studies. Given the relevance of inflammatory reaction, anticytokines therapy, in particular the inhibition of interleukin 1 (IL-1), seems to be the most promising strategy. At the present time, intra-articular injection of IL-1 receptor antagonist is the only anticytokine approach that has been used in a human study of PTA. Despite the fact that knowledge in this area has increased in the past years, the identification of more specific disease markers and new therapeutic opportunities are needed.","container-title":"RMD Open","DOI":"10.1136/rmdopen-2016-000279","ISSN":"2056-5933","issue":"2","journalAbbreviation":"RMD Open","note":"PMID: 27651925\nPMCID: PMC5013366","source":"PubMed Central","title":"Post-traumatic arthritis: overview on pathogenic mechanisms and role of inflammation","title-short":"Post-traumatic arthritis","URL":"https://www.ncbi.nlm.nih.gov/pmc/articles/PMC5013366/","volume":"2","author":[{"family":"Punzi","given":"Leonardo"},{"family":"Galozzi","given":"Paola"},{"family":"Luisetto","given":"Roberto"},{"family":"Favero","given":"Marta"},{"family":"Ramonda","given":"Roberta"},{"family":"Oliviero","given":"Francesca"},{"family":"Scanu","given":"Anna"}],"accessed":{"date-parts":[["2019",10,4]]},"issued":{"date-parts":[["2016",9,6]]}}}],"schema":"https://github.com/citation-style-language/schema/raw/master/csl-citation.json"} </w:instrText>
      </w:r>
      <w:r w:rsidR="001C30BE" w:rsidRPr="00041FEB">
        <w:fldChar w:fldCharType="separate"/>
      </w:r>
      <w:r w:rsidR="000402EA" w:rsidRPr="00041FEB">
        <w:rPr>
          <w:noProof/>
        </w:rPr>
        <w:t>(28)</w:t>
      </w:r>
      <w:r w:rsidR="001C30BE" w:rsidRPr="00041FEB">
        <w:fldChar w:fldCharType="end"/>
      </w:r>
      <w:r w:rsidR="00897AAA" w:rsidRPr="00041FEB">
        <w:t>, and lead to multiple chronic conditions</w:t>
      </w:r>
      <w:r w:rsidR="00705071" w:rsidRPr="00041FEB">
        <w:t>. Furthermore</w:t>
      </w:r>
      <w:r w:rsidR="005B23D0" w:rsidRPr="00041FEB">
        <w:t xml:space="preserve">, several longitudinal studies </w:t>
      </w:r>
      <w:r w:rsidR="003652D9" w:rsidRPr="00041FEB">
        <w:t>from HICs have found that caregiving is associated with an increased risk for future onset of cardio</w:t>
      </w:r>
      <w:r w:rsidR="00EA5D31" w:rsidRPr="00041FEB">
        <w:t>-</w:t>
      </w:r>
      <w:r w:rsidR="003652D9" w:rsidRPr="00041FEB">
        <w:t xml:space="preserve">metabolic diseases </w:t>
      </w:r>
      <w:r w:rsidR="00FF4047" w:rsidRPr="00041FEB">
        <w:fldChar w:fldCharType="begin"/>
      </w:r>
      <w:r w:rsidR="000402EA" w:rsidRPr="00041FEB">
        <w:instrText xml:space="preserve"> ADDIN ZOTERO_ITEM CSL_CITATION {"citationID":"6HKDTN60","properties":{"formattedCitation":"(29)","plainCitation":"(29)","noteIndex":0},"citationItems":[{"id":2595,"uris":["http://zotero.org/users/local/hhPVnw6l/items/QA84PUFJ"],"uri":["http://zotero.org/users/local/hhPVnw6l/items/QA84PUFJ"],"itemData":{"id":2595,"type":"article-journal","abstract":"BACKGROUND: Caring for one's spouse has been associated with poor health, including risk of cardiovascular disease (CVD) onset and mortality. However, few studies have assessed the risk of incident hypertension associated with spousal caregiving. This paper investigates this association in a large, nationally representative sample of American older adults.\nMETHODS: Married, hypertension-free, Health and Retirement Study (HRS) respondents aged 50+ in 2000, (n = 5,708) were followed up to 8 years (1,708 new self-reported hypertension diagnoses). Current caregiving exposure was defined as assisting a spouse with instrumental or basic activities of daily living (IADLs) 14+ h/week; we define providing ≥14 h/week of care at two consecutive biennial surveys as \"long-term caregiving.\" We used inverse probability weighted discrete-time hazard models with time-updated exposure and covariates to estimate effects of current and long-term caregiving on incident hypertension. We tested for effect modification by race, gender, and recipient memory illness. Sensitivity analyses restricted to respondents whose spouses had care needs.\nRESULTS: After adjusting for demographic, socioeconomic, and health factors, (including risk behaviors, comorbid conditions, and self-rated health), current caregiving significantly predicted hypertension incidence (risk ratio (RR) = 1.36, 95% confidence interval (CI): 1.01, 1.83). For long-term caregivers, there was significant evidence of risk of hypertension onset associated with caregiving (RR = 2.29, 95% CI: 1.17, 4.49). The risk of hypertension onset associated with both current and long-term caregiving did not vary by race, gender, or recipient memory illness diagnosis. Sensitivity analyses supported the primary findings.\nCONCLUSIONS: Providing IADL care to a spouse significantly predicted hypertension onset in a nationally representative sample of US adults.","container-title":"American Journal of Hypertension","DOI":"10.1038/ajh.2011.232","ISSN":"1941-7225","issue":"4","journalAbbreviation":"Am. J. Hypertens.","language":"eng","note":"PMID: 22189941\nPMCID: PMC3836043","page":"437-443","source":"PubMed","title":"Spousal caregiving and incident hypertension","volume":"25","author":[{"family":"Capistrant","given":"Benjamin D."},{"family":"Moon","given":"J. Robin"},{"family":"Glymour","given":"M. Maria"}],"issued":{"date-parts":[["2012",4]]}}}],"schema":"https://github.com/citation-style-language/schema/raw/master/csl-citation.json"} </w:instrText>
      </w:r>
      <w:r w:rsidR="00FF4047" w:rsidRPr="00041FEB">
        <w:fldChar w:fldCharType="separate"/>
      </w:r>
      <w:r w:rsidR="000402EA" w:rsidRPr="00041FEB">
        <w:rPr>
          <w:noProof/>
        </w:rPr>
        <w:t>(29)</w:t>
      </w:r>
      <w:r w:rsidR="00FF4047" w:rsidRPr="00041FEB">
        <w:fldChar w:fldCharType="end"/>
      </w:r>
      <w:r w:rsidR="00DB6833" w:rsidRPr="00041FEB">
        <w:t>.</w:t>
      </w:r>
      <w:r w:rsidR="0072199D" w:rsidRPr="00041FEB">
        <w:t xml:space="preserve"> </w:t>
      </w:r>
    </w:p>
    <w:p w14:paraId="1AFE619F" w14:textId="77777777" w:rsidR="00B13395" w:rsidRPr="00041FEB" w:rsidRDefault="00B13395" w:rsidP="00B44AE2">
      <w:pPr>
        <w:spacing w:line="480" w:lineRule="auto"/>
      </w:pPr>
    </w:p>
    <w:p w14:paraId="6EDE7DF5" w14:textId="3F367593" w:rsidR="00B8159F" w:rsidRPr="00041FEB" w:rsidRDefault="00F775EA" w:rsidP="00B44AE2">
      <w:pPr>
        <w:spacing w:line="480" w:lineRule="auto"/>
        <w:rPr>
          <w:bCs/>
        </w:rPr>
      </w:pPr>
      <w:r w:rsidRPr="00041FEB">
        <w:t xml:space="preserve">Furthermore, </w:t>
      </w:r>
      <w:r w:rsidR="005473A3" w:rsidRPr="00041FEB">
        <w:t>t</w:t>
      </w:r>
      <w:r w:rsidR="00182129" w:rsidRPr="00041FEB">
        <w:t xml:space="preserve">he effects of informal caregiving on </w:t>
      </w:r>
      <w:r w:rsidR="00AB18B9" w:rsidRPr="00041FEB">
        <w:t xml:space="preserve">chronic physical conditions or </w:t>
      </w:r>
      <w:r w:rsidR="00501904" w:rsidRPr="00041FEB">
        <w:rPr>
          <w:bCs/>
        </w:rPr>
        <w:t xml:space="preserve">physical </w:t>
      </w:r>
      <w:r w:rsidR="00182129" w:rsidRPr="00041FEB">
        <w:t xml:space="preserve">multimorbidity may be mediated by several factors such as </w:t>
      </w:r>
      <w:r w:rsidR="00182129" w:rsidRPr="00041FEB">
        <w:rPr>
          <w:bCs/>
        </w:rPr>
        <w:t xml:space="preserve">stress </w:t>
      </w:r>
      <w:r w:rsidR="00182129" w:rsidRPr="00041FEB">
        <w:rPr>
          <w:bCs/>
        </w:rPr>
        <w:fldChar w:fldCharType="begin"/>
      </w:r>
      <w:r w:rsidR="00B84EDB" w:rsidRPr="00041FEB">
        <w:rPr>
          <w:bCs/>
        </w:rPr>
        <w:instrText xml:space="preserve"> ADDIN ZOTERO_ITEM CSL_CITATION {"citationID":"4AXuDjY5","properties":{"formattedCitation":"(12)","plainCitation":"(12)","noteIndex":0},"citationItems":[{"id":2606,"uris":["http://zotero.org/users/local/hhPVnw6l/items/UDATEB9Q"],"uri":["http://zotero.org/users/local/hhPVnw6l/items/UDATEB9Q"],"itemData":{"id":2606,"type":"article-journal","abstract":"This study aimed to examine the relationships between caregiving stress, depression, and self-esteem of family caregivers of an adult person with a disability and to identify their effects on their caregiving burden. The study was performed with 108 care providers of adult people with a disability who visited hospital rehabilitation centers. Caregiving stress showed a significant positive correlation with depression and with economic and psychological stress, and it showed a significant negative correlation with self-esteem. When the care provider was aged, female, and without a job and the caregiving cost and time were higher, the caregiving stress was high. When the care provider was female and had a lower income, the depression index was high. When the person with a disability was male and in the forties and the level of disability was higher, the caregiving stress was high. When the disability was related to spinal cord damage, the care provider's depression index was the highest. To reduce caregiving stress and depression in the family caregivers and to improve their self-esteem, continuous support and help from specialists are necessary. Additionally, a variety of intervention programs need to be designed to motivate them to participate regularly at the community level.","container-title":"Occupational Therapy International","DOI":"10.1155/2017/1686143","ISSN":"0966-7903","journalAbbreviation":"Occup Ther Int","note":"PMID: 29114184\nPMCID: PMC5664279","source":"PubMed Central","title":"Relationships between Caregiving Stress, Depression, and Self-Esteem in Family Caregivers of Adults with a Disability","URL":"https://www.ncbi.nlm.nih.gov/pmc/articles/PMC5664279/","volume":"2017","author":[{"family":"Kim","given":"DeokJu"}],"accessed":{"date-parts":[["2019",9,27]]},"issued":{"date-parts":[["2017",10,17]]}}}],"schema":"https://github.com/citation-style-language/schema/raw/master/csl-citation.json"} </w:instrText>
      </w:r>
      <w:r w:rsidR="00182129" w:rsidRPr="00041FEB">
        <w:rPr>
          <w:bCs/>
        </w:rPr>
        <w:fldChar w:fldCharType="separate"/>
      </w:r>
      <w:r w:rsidR="00B84EDB" w:rsidRPr="00041FEB">
        <w:rPr>
          <w:bCs/>
          <w:noProof/>
        </w:rPr>
        <w:t>(12)</w:t>
      </w:r>
      <w:r w:rsidR="00182129" w:rsidRPr="00041FEB">
        <w:rPr>
          <w:bCs/>
        </w:rPr>
        <w:fldChar w:fldCharType="end"/>
      </w:r>
      <w:r w:rsidR="00182129" w:rsidRPr="00041FEB">
        <w:rPr>
          <w:bCs/>
        </w:rPr>
        <w:t xml:space="preserve">, sleep disturbance </w:t>
      </w:r>
      <w:r w:rsidR="00182129" w:rsidRPr="00041FEB">
        <w:rPr>
          <w:bCs/>
        </w:rPr>
        <w:fldChar w:fldCharType="begin"/>
      </w:r>
      <w:r w:rsidR="00B84EDB" w:rsidRPr="00041FEB">
        <w:rPr>
          <w:bCs/>
        </w:rPr>
        <w:instrText xml:space="preserve"> ADDIN ZOTERO_ITEM CSL_CITATION {"citationID":"eYjcMqzc","properties":{"formattedCitation":"(13)","plainCitation":"(13)","noteIndex":0},"citationItems":[{"id":2600,"uris":["http://zotero.org/users/local/hhPVnw6l/items/4C6QSWQM"],"uri":["http://zotero.org/users/local/hhPVnw6l/items/4C6QSWQM"],"itemData":{"id":2600,"type":"article-journal","abstract":"Study Objectives\nTo examine cross-sectionally and prospectively whether informal caregiving is related to sleep disturbance among caregivers in paid work.\n\nMethods\nParticipants (N = 21604) in paid work from the Swedish Longitudinal Occupational Survey of Health. Sleeping problems were measured with a validated scale of sleep disturbance (Karolinska Sleep Questionnaire). Random-effects modeling was used to examine the cross-sectional association between informal caregiving (self-reports: none, up to 5 hours per week, over 5 hours per week) and sleep disturbance. Potential sociodemographic and health confounders were controlled for and interactions between caregiving and gender included. Longitudinal random-effects modeling of the effects of changes in reported informal caregiving upon sleep disturbance and change in sleep disturbance was performed.\n\nResults\nIn multivariate analyses controlling for sociodemographics, health factors, and work hours, informal caregiving was associated cross-sectionally with sleep disturbance in a dose–response relationship (compared with no caregiving, up to 5 hours of caregiving: β = 0.03; 95% CI: 0.01, 0.06, and over 5 hours: β = 0.08; 95% CI: 0.02, 0.13), results which varied by gender. Cessation of caregiving was associated with reductions in sleep disturbance (β = −0.08; 95% CI: −0.13, −0.04).\n\nConclusions\nThis study provides evidence for a causal association of provision of informal care upon self-reported sleep disturbance. Even low-intensity care provision was related to sleep disturbance among this sample of carers in paid work. The results highlight the importance of addressing sleep disturbance in caregivers.","container-title":"Sleep","DOI":"10.1093/sleep/zsx198","ISSN":"0161-8105","issue":"2","journalAbbreviation":"Sleep","note":"PMID: 29228400\nPMCID: PMC6018987","source":"PubMed Central","title":"Informal Care and Sleep Disturbance Among Caregivers in Paid Work: Longitudinal Analyses From a Large Community-Based Swedish Cohort Study","title-short":"Informal Care and Sleep Disturbance Among Caregivers in Paid Work","URL":"https://www.ncbi.nlm.nih.gov/pmc/articles/PMC6018987/","volume":"41","author":[{"family":"Sacco","given":"Lawrence B"},{"family":"Leineweber","given":"Constanze"},{"family":"Platts","given":"Loretta G"}],"accessed":{"date-parts":[["2019",9,27]]},"issued":{"date-parts":[["2017",12,8]]}}}],"schema":"https://github.com/citation-style-language/schema/raw/master/csl-citation.json"} </w:instrText>
      </w:r>
      <w:r w:rsidR="00182129" w:rsidRPr="00041FEB">
        <w:rPr>
          <w:bCs/>
        </w:rPr>
        <w:fldChar w:fldCharType="separate"/>
      </w:r>
      <w:r w:rsidR="00B84EDB" w:rsidRPr="00041FEB">
        <w:rPr>
          <w:bCs/>
          <w:noProof/>
        </w:rPr>
        <w:t>(13)</w:t>
      </w:r>
      <w:r w:rsidR="00182129" w:rsidRPr="00041FEB">
        <w:rPr>
          <w:bCs/>
        </w:rPr>
        <w:fldChar w:fldCharType="end"/>
      </w:r>
      <w:r w:rsidR="00F84C51" w:rsidRPr="00041FEB">
        <w:rPr>
          <w:bCs/>
        </w:rPr>
        <w:t>, depression</w:t>
      </w:r>
      <w:r w:rsidR="00665675" w:rsidRPr="00041FEB">
        <w:rPr>
          <w:bCs/>
        </w:rPr>
        <w:t xml:space="preserve"> </w:t>
      </w:r>
      <w:r w:rsidR="00665675" w:rsidRPr="00041FEB">
        <w:rPr>
          <w:bCs/>
        </w:rPr>
        <w:fldChar w:fldCharType="begin"/>
      </w:r>
      <w:r w:rsidR="00B84EDB" w:rsidRPr="00041FEB">
        <w:rPr>
          <w:bCs/>
        </w:rPr>
        <w:instrText xml:space="preserve"> ADDIN ZOTERO_ITEM CSL_CITATION {"citationID":"FiKVn4hK","properties":{"formattedCitation":"(7)","plainCitation":"(7)","noteIndex":0},"citationItems":[{"id":2308,"uris":["http://zotero.org/users/local/hhPVnw6l/items/U5MSPDE5"],"uri":["http://zotero.org/users/local/hhPVnw6l/items/U5MSPDE5"],"itemData":{"id":2308,"type":"article-journal","abstract":"Caregiving has been associated with adverse health outcomes. However, there is a paucity of multi-country, population-based studies on mental health outcomes of caregivers especially from low- and middle-income countries (LMICs). Thus, we assessed the association of caregiving with depression, sleep problems, and perceived stress in 10 high-, 27 middle-, and 21 low-income countries. Cross-sectional community-based data of the World Health Survey including 258,793 adults aged ≥18 years were analyzed. Multivariable logistic and linear regression analyses were conducted to explore the association of past 12-month caregiving with past 12-month DSM-IV depression, and past 30-day perceived stress [range 0 (low)-100 (high)] and severe/extreme sleep problems. Nearly 20% of the individuals were engaged in caregiving with particularly high rates observed in high-income countries (HICs) (e.g., Finland 43.3%). Across the entire sample, after adjustment for potential confounders, caregivers had a significantly higher likelihood of having depression (OR = 1.54; 95%CI = 1.37-1.73), sleep problems (OR = 1.37; 95%CI = 1.25-1.50), while their mean perceived stress score was 3.15 (95%CI = 2.46-3.84) points higher. These associations tended to be stronger in HICs. A greater number of caregiving activities was associated with a greater likelihood of depression, sleep problems, and perceived stress regardless of country income levels. In conclusion, caregiving has a negative impact on mental health worldwide with possibly greater effects in HICs. Given the growing contribution of caregivers in long-term care, interventions and policies to alleviate the mental health burden of caregivers are urgently needed to maintain sustainable and effective care practices.","container-title":"Journal of Psychiatric Research","DOI":"10.1016/j.jpsychires.2017.10.001","ISSN":"1879-1379","journalAbbreviation":"J Psychiatr Res","language":"eng","note":"PMID: 29031131","page":"115-123","source":"PubMed","title":"Depression, sleep problems, and perceived stress among informal caregivers in 58 low-, middle-, and high-income countries: A cross-sectional analysis of community-based surveys","title-short":"Depression, sleep problems, and perceived stress among informal caregivers in 58 low-, middle-, and high-income countries","volume":"96","author":[{"family":"Koyanagi","given":"Ai"},{"family":"DeVylder","given":"Jordan E."},{"family":"Stubbs","given":"Brendon"},{"family":"Carvalho","given":"André F."},{"family":"Veronese","given":"Nicola"},{"family":"Haro","given":"Josep M."},{"family":"Santini","given":"Ziggi I."}],"issued":{"date-parts":[["2018"]]}}}],"schema":"https://github.com/citation-style-language/schema/raw/master/csl-citation.json"} </w:instrText>
      </w:r>
      <w:r w:rsidR="00665675" w:rsidRPr="00041FEB">
        <w:rPr>
          <w:bCs/>
        </w:rPr>
        <w:fldChar w:fldCharType="separate"/>
      </w:r>
      <w:r w:rsidR="00B84EDB" w:rsidRPr="00041FEB">
        <w:rPr>
          <w:bCs/>
          <w:noProof/>
        </w:rPr>
        <w:t>(7)</w:t>
      </w:r>
      <w:r w:rsidR="00665675" w:rsidRPr="00041FEB">
        <w:rPr>
          <w:bCs/>
        </w:rPr>
        <w:fldChar w:fldCharType="end"/>
      </w:r>
      <w:r w:rsidR="00F84C51" w:rsidRPr="00041FEB">
        <w:rPr>
          <w:bCs/>
        </w:rPr>
        <w:t>,</w:t>
      </w:r>
      <w:r w:rsidR="00182129" w:rsidRPr="00041FEB">
        <w:rPr>
          <w:bCs/>
        </w:rPr>
        <w:t xml:space="preserve">  </w:t>
      </w:r>
      <w:r w:rsidR="00907A7C" w:rsidRPr="00041FEB">
        <w:rPr>
          <w:bCs/>
        </w:rPr>
        <w:t>unhealthy behavior</w:t>
      </w:r>
      <w:r w:rsidR="00EA5D31" w:rsidRPr="00041FEB">
        <w:rPr>
          <w:bCs/>
        </w:rPr>
        <w:t>s</w:t>
      </w:r>
      <w:r w:rsidR="00907A7C" w:rsidRPr="00041FEB">
        <w:rPr>
          <w:bCs/>
        </w:rPr>
        <w:t xml:space="preserve"> </w:t>
      </w:r>
      <w:r w:rsidR="00D43C14" w:rsidRPr="00041FEB">
        <w:rPr>
          <w:bCs/>
        </w:rPr>
        <w:fldChar w:fldCharType="begin"/>
      </w:r>
      <w:r w:rsidR="00B84EDB" w:rsidRPr="00041FEB">
        <w:rPr>
          <w:bCs/>
        </w:rPr>
        <w:instrText xml:space="preserve"> ADDIN ZOTERO_ITEM CSL_CITATION {"citationID":"7NYXOHoR","properties":{"formattedCitation":"(14,15)","plainCitation":"(14,15)","noteIndex":0},"citationItems":[{"id":2682,"uris":["http://zotero.org/users/local/hhPVnw6l/items/8GBPZ63L"],"uri":["http://zotero.org/users/local/hhPVnw6l/items/8GBPZ63L"],"itemData":{"id":2682,"type":"article-journal","abstract":"Purpose of the Study:\nThe relationship between stress and smoking has been established, but there is little research on the effects of stress and coping on smoking in caregivers of Alzheimer’s disease patients. This study examines how caregiver stressors and coping resources explain smoking status and recent smoking increase.\n\nDesign and Methods:\nData were obtained from the Resources for Enhancing Alzheimer’s Caregivers Health (REACH II) study. Analyses identified differences between caregiver smokers and nonsmokers and between caregiver smokers who reported a recent smoking increase and those who did not. Variables that were significantly different between the groups were examined in two logistic regression analyses to explain smoking status and smoking increase.\n\nResults:\nOf 642 caregivers, nearly 40% reported smoking and 25% of smokers reported recent increase in smoking. Younger caregivers were more likely to report smoking. Explanatory variables for smoking increase were being Caucasian or African-American, higher depression scores, and less caregiving skills.\n\nImplications:\nThis study demonstrates that smoking among caregivers is a valid public health concern. Further investigation of ways that explanatory variables affect smoking status and increase in caregivers, and incorporation of smoking cessation strategies that address depression and low caregiving skills, seem warranted in future caregiver interventions.","container-title":"The Gerontologist","DOI":"10.1093/geront/gnt149","ISSN":"0016-9013","issue":"5","journalAbbreviation":"Gerontologist","note":"PMID: 24371214\nPMCID: PMC4683364","page":"780-792","source":"PubMed Central","title":"Smoking and Smoking Increase in Caregivers of Alzheimer’s Patients","volume":"55","author":[{"family":"Salgado-García","given":"Francisco I."},{"family":"Zuber","given":"Jeffrey K."},{"family":"Graney","given":"Marshall J."},{"family":"Nichols","given":"Linda O."},{"family":"Martindale-Adams","given":"Jennifer L."},{"family":"Andrasik","given":"Frank"}],"issued":{"date-parts":[["2015",10]]}}},{"id":2385,"uris":["http://zotero.org/users/local/hhPVnw6l/items/EF4G7Y6J"],"uri":["http://zotero.org/users/local/hhPVnw6l/items/EF4G7Y6J"],"itemData":{"id":2385,"type":"article-journal","abstract":"BACKGROUND: Elderly caregivers report less leisure-time physical activity than same-aged non-caregivers. However, through caregiving tasks, caregivers may be as physically active as non-caregivers. This study compared leisure-time exercise and overall physical activity in elderly women caregivers and non-caregivers.\nMETHODS: The sample included 179 caregivers (153 cared for spouses and 26 for other relatives or friends) and 670 non-caregivers who were participants in the Study of Osteoporotic Fractures. Leisure-time exercise was based on respondents' report of walking for exercise or other regular exercise at least once a week. High overall physical activity included leisure-time exercise or being in the top quartile of walking and climbing stairs during one's daily routine.\nRESULTS: Leisure-time exercise was lower in spouse caregivers (adjusted odds ratio (OR) and 95% confidence interval (CI) = 0.64, 0.41-1.00) and non-spouse caregivers (OR = 0.39, 95% CI = 0.16-0.95) than married non-caregivers. Differences in overall physical activity between caregivers and married non-caregivers were smaller and not statistically significant. Caregivers who climbed stairs at least 15 min/day during caregiving tasks reported more overall physical activity than non-caregivers (OR = 4.06, 95% CI = 1.23-13.36).\nCONCLUSIONS: Studies comparing physical activity in caregivers and non-caregivers should assess activities performed during routine caregiving tasks.","container-title":"Preventive Medicine","DOI":"10.1016/j.ypmed.2006.04.009","ISSN":"0091-7435","issue":"3","journalAbbreviation":"Prev Med","language":"eng","note":"PMID: 16737731","page":"226-229","source":"PubMed","title":"Leisure-time exercise and overall physical activity in older women caregivers and non-caregivers from the Caregiver-SOF Study","volume":"43","author":[{"family":"Fredman","given":"Lisa"},{"family":"Bertrand","given":"Rosanna M."},{"family":"Martire","given":"Lynn M."},{"family":"Hochberg","given":"Marc"},{"family":"Harris","given":"Emily L."}],"issued":{"date-parts":[["2006",9]]}}}],"schema":"https://github.com/citation-style-language/schema/raw/master/csl-citation.json"} </w:instrText>
      </w:r>
      <w:r w:rsidR="00D43C14" w:rsidRPr="00041FEB">
        <w:rPr>
          <w:bCs/>
        </w:rPr>
        <w:fldChar w:fldCharType="separate"/>
      </w:r>
      <w:r w:rsidR="00B84EDB" w:rsidRPr="00041FEB">
        <w:rPr>
          <w:bCs/>
          <w:noProof/>
        </w:rPr>
        <w:t>(14,15)</w:t>
      </w:r>
      <w:r w:rsidR="00D43C14" w:rsidRPr="00041FEB">
        <w:rPr>
          <w:bCs/>
        </w:rPr>
        <w:fldChar w:fldCharType="end"/>
      </w:r>
      <w:r w:rsidR="009F4B88" w:rsidRPr="00041FEB">
        <w:rPr>
          <w:bCs/>
        </w:rPr>
        <w:t xml:space="preserve">, and lack of economic resources </w:t>
      </w:r>
      <w:r w:rsidR="009F4B88" w:rsidRPr="00041FEB">
        <w:rPr>
          <w:bCs/>
        </w:rPr>
        <w:fldChar w:fldCharType="begin"/>
      </w:r>
      <w:r w:rsidR="000402EA" w:rsidRPr="00041FEB">
        <w:rPr>
          <w:bCs/>
        </w:rPr>
        <w:instrText xml:space="preserve"> ADDIN ZOTERO_ITEM CSL_CITATION {"citationID":"5d79qUHZ","properties":{"formattedCitation":"(30)","plainCitation":"(30)","noteIndex":0},"citationItems":[{"id":2805,"uris":["http://zotero.org/users/local/hhPVnw6l/items/DH4GY9F7"],"uri":["http://zotero.org/users/local/hhPVnw6l/items/DH4GY9F7"],"itemData":{"id":2805,"type":"article-journal","abstract":"Given the rapid aging of the U.S. population and reductions in federal funding, elder care has become a major issue for many families. This paper focuses on a long-term consequence of elder care by asking how caring for elderly parents affects women's subsequent risks of living in poverty. Using longitudinal data from the Health and Retirement Study, we examine whether and how caregiving for parents in 1991 increases women's risks of living in households with incomes less than the poverty threshold, receiving public assistance, and receiving Medicaid in 1999. Our findings illustrate that caregiving in earlier life raises women's poverty risks in later life by intensifying the negative effects of stopping work and declining health on women's economic well-being.","container-title":"Journal of Health and Social Behavior","DOI":"10.1177/002214650604700305","ISSN":"0022-1465","issue":"3","journalAbbreviation":"J Health Soc Behav","language":"eng","note":"PMID: 17066776","page":"258-274","source":"PubMed","title":"Does caregiving increase poverty among women in later life? Evidence from the Health and Retirement survey","title-short":"Does caregiving increase poverty among women in later life?","volume":"47","author":[{"family":"Wakabayashi","given":"Chizuko"},{"family":"Donato","given":"Katharine M."}],"issued":{"date-parts":[["2006",9]]}}}],"schema":"https://github.com/citation-style-language/schema/raw/master/csl-citation.json"} </w:instrText>
      </w:r>
      <w:r w:rsidR="009F4B88" w:rsidRPr="00041FEB">
        <w:rPr>
          <w:bCs/>
        </w:rPr>
        <w:fldChar w:fldCharType="separate"/>
      </w:r>
      <w:r w:rsidR="000402EA" w:rsidRPr="00041FEB">
        <w:rPr>
          <w:bCs/>
          <w:noProof/>
        </w:rPr>
        <w:t>(30)</w:t>
      </w:r>
      <w:r w:rsidR="009F4B88" w:rsidRPr="00041FEB">
        <w:rPr>
          <w:bCs/>
        </w:rPr>
        <w:fldChar w:fldCharType="end"/>
      </w:r>
      <w:r w:rsidR="00907A7C" w:rsidRPr="00041FEB">
        <w:rPr>
          <w:bCs/>
        </w:rPr>
        <w:t xml:space="preserve">. </w:t>
      </w:r>
      <w:r w:rsidR="00182129" w:rsidRPr="00041FEB">
        <w:rPr>
          <w:bCs/>
        </w:rPr>
        <w:t xml:space="preserve">For example, </w:t>
      </w:r>
      <w:r w:rsidR="004C60EF" w:rsidRPr="00041FEB">
        <w:rPr>
          <w:bCs/>
        </w:rPr>
        <w:t>informal caregiving was a significant risk factor for perceived stress</w:t>
      </w:r>
      <w:r w:rsidR="00845A90" w:rsidRPr="00041FEB">
        <w:rPr>
          <w:bCs/>
        </w:rPr>
        <w:t>, sleep problems, and depression</w:t>
      </w:r>
      <w:r w:rsidR="004C60EF" w:rsidRPr="00041FEB">
        <w:rPr>
          <w:bCs/>
        </w:rPr>
        <w:t xml:space="preserve"> in a study of 258,793 adults from 58 </w:t>
      </w:r>
      <w:r w:rsidR="00F84C51" w:rsidRPr="00041FEB">
        <w:rPr>
          <w:bCs/>
        </w:rPr>
        <w:t xml:space="preserve">countries </w:t>
      </w:r>
      <w:r w:rsidR="004C60EF" w:rsidRPr="00041FEB">
        <w:rPr>
          <w:bCs/>
        </w:rPr>
        <w:fldChar w:fldCharType="begin"/>
      </w:r>
      <w:r w:rsidR="00B84EDB" w:rsidRPr="00041FEB">
        <w:rPr>
          <w:bCs/>
        </w:rPr>
        <w:instrText xml:space="preserve"> ADDIN ZOTERO_ITEM CSL_CITATION {"citationID":"wjDNaiN8","properties":{"formattedCitation":"(7)","plainCitation":"(7)","noteIndex":0},"citationItems":[{"id":2308,"uris":["http://zotero.org/users/local/hhPVnw6l/items/U5MSPDE5"],"uri":["http://zotero.org/users/local/hhPVnw6l/items/U5MSPDE5"],"itemData":{"id":2308,"type":"article-journal","abstract":"Caregiving has been associated with adverse health outcomes. However, there is a paucity of multi-country, population-based studies on mental health outcomes of caregivers especially from low- and middle-income countries (LMICs). Thus, we assessed the association of caregiving with depression, sleep problems, and perceived stress in 10 high-, 27 middle-, and 21 low-income countries. Cross-sectional community-based data of the World Health Survey including 258,793 adults aged ≥18 years were analyzed. Multivariable logistic and linear regression analyses were conducted to explore the association of past 12-month caregiving with past 12-month DSM-IV depression, and past 30-day perceived stress [range 0 (low)-100 (high)] and severe/extreme sleep problems. Nearly 20% of the individuals were engaged in caregiving with particularly high rates observed in high-income countries (HICs) (e.g., Finland 43.3%). Across the entire sample, after adjustment for potential confounders, caregivers had a significantly higher likelihood of having depression (OR = 1.54; 95%CI = 1.37-1.73), sleep problems (OR = 1.37; 95%CI = 1.25-1.50), while their mean perceived stress score was 3.15 (95%CI = 2.46-3.84) points higher. These associations tended to be stronger in HICs. A greater number of caregiving activities was associated with a greater likelihood of depression, sleep problems, and perceived stress regardless of country income levels. In conclusion, caregiving has a negative impact on mental health worldwide with possibly greater effects in HICs. Given the growing contribution of caregivers in long-term care, interventions and policies to alleviate the mental health burden of caregivers are urgently needed to maintain sustainable and effective care practices.","container-title":"Journal of Psychiatric Research","DOI":"10.1016/j.jpsychires.2017.10.001","ISSN":"1879-1379","journalAbbreviation":"J Psychiatr Res","language":"eng","note":"PMID: 29031131","page":"115-123","source":"PubMed","title":"Depression, sleep problems, and perceived stress among informal caregivers in 58 low-, middle-, and high-income countries: A cross-sectional analysis of community-based surveys","title-short":"Depression, sleep problems, and perceived stress among informal caregivers in 58 low-, middle-, and high-income countries","volume":"96","author":[{"family":"Koyanagi","given":"Ai"},{"family":"DeVylder","given":"Jordan E."},{"family":"Stubbs","given":"Brendon"},{"family":"Carvalho","given":"André F."},{"family":"Veronese","given":"Nicola"},{"family":"Haro","given":"Josep M."},{"family":"Santini","given":"Ziggi I."}],"issued":{"date-parts":[["2018"]]}}}],"schema":"https://github.com/citation-style-language/schema/raw/master/csl-citation.json"} </w:instrText>
      </w:r>
      <w:r w:rsidR="004C60EF" w:rsidRPr="00041FEB">
        <w:rPr>
          <w:bCs/>
        </w:rPr>
        <w:fldChar w:fldCharType="separate"/>
      </w:r>
      <w:r w:rsidR="00B84EDB" w:rsidRPr="00041FEB">
        <w:rPr>
          <w:bCs/>
          <w:noProof/>
        </w:rPr>
        <w:t>(7)</w:t>
      </w:r>
      <w:r w:rsidR="004C60EF" w:rsidRPr="00041FEB">
        <w:rPr>
          <w:bCs/>
        </w:rPr>
        <w:fldChar w:fldCharType="end"/>
      </w:r>
      <w:r w:rsidR="004C60EF" w:rsidRPr="00041FEB">
        <w:rPr>
          <w:bCs/>
        </w:rPr>
        <w:t xml:space="preserve">, and </w:t>
      </w:r>
      <w:r w:rsidR="00966831" w:rsidRPr="00041FEB">
        <w:rPr>
          <w:bCs/>
        </w:rPr>
        <w:t xml:space="preserve">these conditions are known risk factors for a variety of chronic physical conditions including cardiovascular diseases </w:t>
      </w:r>
      <w:r w:rsidR="00D43C14" w:rsidRPr="00041FEB">
        <w:rPr>
          <w:bCs/>
        </w:rPr>
        <w:fldChar w:fldCharType="begin"/>
      </w:r>
      <w:r w:rsidR="000402EA" w:rsidRPr="00041FEB">
        <w:rPr>
          <w:bCs/>
        </w:rPr>
        <w:instrText xml:space="preserve"> ADDIN ZOTERO_ITEM CSL_CITATION {"citationID":"QaHcsmcK","properties":{"formattedCitation":"(31\\uc0\\u8211{}33)","plainCitation":"(31–33)","noteIndex":0},"citationItems":[{"id":2697,"uris":["http://zotero.org/users/local/hhPVnw6l/items/CTNAV7KB"],"uri":["http://zotero.org/users/local/hhPVnw6l/items/CTNAV7KB"],"itemData":{"id":2697,"type":"article-journal","abstract":"Most studies examining potential associations between psychological factors and cardiovascular outcomes have focused on either depression or anxiety. The effect of perceived stress on incident coronary heart disease (CHD) has yet to be reviewed systematically. We conducted a systematic review and meta-analysis of the association between perceived stress and incident CHD. Ovid MEDLINE and PsycINFO were searched as data sources. Prospective observational cohort studies were selected that measured self-reported perceived stress and assessed incident CHD at minimum of 6 months later. We extracted study characteristics and estimates of the risk of incident CHD associated with high perceived stress vs. low perceived stress. We identified 23 potentially relevant articles, of which 6 met our criteria (N = 118,696). Included studies measured perceived stress with both validated measures and non-validated simple self-report surveys. Incident CHD was defined as new diagnosis of, hospitalization for, or mortality secondary to CHD. Meta-analysis yielded an aggregate risk ratio of 1.27 (95% confidence interval 1.12 – 1.45) for the magnitude of the relation between high perceived stress and incident CHD. In conclusion this meta-analysis suggests that high perceived stress is associated with a moderately increased risk of incident CHD.","container-title":"The American journal of cardiology","DOI":"10.1016/j.amjcard.2012.08.004","ISSN":"0002-9149","issue":"12","journalAbbreviation":"Am J Cardiol","note":"PMID: 22975465\nPMCID: PMC3511594","page":"1711-1716","source":"PubMed Central","title":"Meta-analysis of Perceived Stress and its Association with Incident Coronary Heart Disease","volume":"110","author":[{"family":"Richardson","given":"Safiya"},{"family":"Shaffer","given":"Jonathan A."},{"family":"Falzon","given":"Louise"},{"family":"Krupka","given":"David"},{"family":"Davidson","given":"Karina W."},{"family":"Edmondson","given":"Donald"}],"issued":{"date-parts":[["2012",12,15]]}}},{"id":2717,"uris":["http://zotero.org/users/local/hhPVnw6l/items/G554TME6"],"uri":["http://zotero.org/users/local/hhPVnw6l/items/G554TME6"],"itemData":{"id":2717,"type":"article-journal","abstract":"Background\nSeveral systematic reviews and meta-analyses demonstrated the association between depression and the risk of coronary heart disease (CHD), but the previous reviews had some limitations. Moreover, a number of additional studies have been published since the publication of these reviews. We conducted an updated meta-analysis of prospective studies to assess the association between depression and the risk of CHD.\n\nMethods\nRelevant prospective studies investigating the association between depression and CHD were retrieved from the PubMed, Embase, Web of Science search (up to April 2014) and from reviewing reference lists of obtained articles. Either a random-effects model or fixed-effects model was used to compute the pooled risk estimates when appropriate.\n\nResults\nThirty prospective cohort studies with 40 independent reports met the inclusion criteria. These groups included 893,850 participants (59,062 CHD cases) during a follow-up duration ranging from 2 to 37 years. The pooled relative risks (RRs) were 1.30 (95% CI, 1.22-1.40) for CHD and 1.30 (95% CI, 1.18-1.44) for myocardial infarction (MI). In the subgroup analysis by follow-up duration, the RR of CHD was 1.36 (95% CI, 1.24-1.49) for less than 15 years follow-up, and 1.09 (95% CI, 0.96-1.23) for equal to or more than 15 years follow-up. Potential publication bias may exist, but correction for this bias using trim-and-fill method did not alter the combined risk estimate substantially.\n\nConclusions\nThe results of our meta-analysis suggest that depression is independently associated with a significantly increased risk of CHD and MI, which may have implications for CHD etiological research and psychological medicine.\n\nElectronic supplementary material\nThe online version of this article (doi:10.1186/s12888-014-0371-z) contains supplementary material, which is available to authorized users.","container-title":"BMC Psychiatry","DOI":"10.1186/s12888-014-0371-z","ISSN":"1471-244X","journalAbbreviation":"BMC Psychiatry","note":"PMID: 25540022\nPMCID: PMC4336481","source":"PubMed Central","title":"Depression and the risk of coronary heart disease: a meta-analysis of prospective cohort studies","title-short":"Depression and the risk of coronary heart disease","URL":"https://www.ncbi.nlm.nih.gov/pmc/articles/PMC4336481/","volume":"14","author":[{"family":"Gan","given":"Yong"},{"family":"Gong","given":"Yanhong"},{"family":"Tong","given":"Xinyue"},{"family":"Sun","given":"Huilian"},{"family":"Cong","given":"Yingjie"},{"family":"Dong","given":"Xiaoxin"},{"family":"Wang","given":"Yunxia"},{"family":"Xu","given":"Xing"},{"family":"Yin","given":"Xiaoxu"},{"family":"Deng","given":"Jian"},{"family":"Li","given":"Liqing"},{"family":"Cao","given":"Shiyi"},{"family":"Lu","given":"Zuxun"}],"accessed":{"date-parts":[["2019",10,4]]},"issued":{"date-parts":[["2014",12,24]]}}},{"id":2714,"uris":["http://zotero.org/users/local/hhPVnw6l/items/RUBDNPTM"],"uri":["http://zotero.org/users/local/hhPVnw6l/items/RUBDNPTM"],"itemData":{"id":2714,"type":"article-journal","abstract":"STUDY OBJECTIVES: There is limited information on the relationship between risk of cardiovascular disease and the joint effects of sleep quality and sleep duration, especially from large, prospective, cohort studies. This study is to prospectively investigate the joint effects of sleep quality and sleep duration on the development of coronary heart disease.\nMETHODS: This study examined 60,586 adults aged 40 years or older. A self-administered questionnaire was used to collect information on sleep quality and sleep duration as well as a wide range of potential confounders. Events of coronary heart disease were self-reported in subsequent medical examinations. Two types of Sleep Score (multiplicative and additive) were constructed to reflect the participants' sleep profiles, considering both sleep quality and sleep duration. The Cox regression model was used to estimate the hazard ratio (HR) and the 95% confidence interval (CI).\nRESULTS: A total of 2,740 participants (4.5%) reported new events of coronary heart disease at follow-up. For sleep duration, participants in the group of &lt; 6 h/d was significantly associated with an increased risk of coronary heart disease (HR: 1.13, 95% CI: 1.04-1.23). However, the association in the participants with long sleep duration (&gt; 8 h/d) did not reach statistical significance (HR: 1.11, 95% CI: 0.98-1.26). For sleep quality, both dreamy sleep (HR: 1.21, 95% CI: 1.10-1.32) and difficult to fall asleep/use of sleeping pills or drugs (HR: 1.40, 95% CI: 1.25-1.56) were associated with an increased risk of the disease. Participants in the lowest quartile of multiplicative Sleep Score (HR: 1.31, 95% CI: 1.16-1.47) and of additive sleep score (HR: 1.31, 95% CI: 1.16-1.47) were associated with increased risk of coronary heart disease compared with those in the highest quartile.\nCONCLUSIONS: Both short sleep duration and poor sleep quality are associated with the risk of coronary heart disease. The association for long sleep duration does not reach statistical significance. Lower Sleep Score (poorer sleep profile) increases the risk of coronary heart disease, suggesting the importance of considering sleep duration and sleep quality together when developing strategies to improve sleep for cardiovascular disease prevention.","container-title":"Journal of clinical sleep medicine: JCSM: official publication of the American Academy of Sleep Medicine","DOI":"10.5664/jcsm.6894","ISSN":"1550-9397","issue":"1","journalAbbreviation":"J Clin Sleep Med","language":"eng","note":"PMID: 29198294\nPMCID: PMC5734879","page":"109-117","source":"PubMed","title":"Sleep Quality, Sleep Duration, and the Risk of Coronary Heart Disease: A Prospective Cohort Study With 60,586 Adults","title-short":"Sleep Quality, Sleep Duration, and the Risk of Coronary Heart Disease","volume":"14","author":[{"family":"Lao","given":"Xiang Qian"},{"family":"Liu","given":"Xudong"},{"family":"Deng","given":"Han-Bing"},{"family":"Chan","given":"Ta-Chien"},{"family":"Ho","given":"Kin Fai"},{"family":"Wang","given":"Feng"},{"family":"Vermeulen","given":"Roel"},{"family":"Tam","given":"Tony"},{"family":"Wong","given":"Martin C. S."},{"family":"Tse","given":"L. A."},{"family":"Chang","given":"Ly-Yun"},{"family":"Yeoh","given":"Eng-Kiong"}],"issued":{"date-parts":[["2018"]],"season":"15"}}}],"schema":"https://github.com/citation-style-language/schema/raw/master/csl-citation.json"} </w:instrText>
      </w:r>
      <w:r w:rsidR="00D43C14" w:rsidRPr="00041FEB">
        <w:rPr>
          <w:bCs/>
        </w:rPr>
        <w:fldChar w:fldCharType="separate"/>
      </w:r>
      <w:r w:rsidR="000402EA" w:rsidRPr="00041FEB">
        <w:rPr>
          <w:rFonts w:cs="Times New Roman"/>
        </w:rPr>
        <w:t>(31–33)</w:t>
      </w:r>
      <w:r w:rsidR="00D43C14" w:rsidRPr="00041FEB">
        <w:rPr>
          <w:bCs/>
        </w:rPr>
        <w:fldChar w:fldCharType="end"/>
      </w:r>
      <w:r w:rsidR="00123E59" w:rsidRPr="00041FEB">
        <w:rPr>
          <w:bCs/>
        </w:rPr>
        <w:t xml:space="preserve"> and </w:t>
      </w:r>
      <w:r w:rsidR="00123E59" w:rsidRPr="00041FEB">
        <w:t xml:space="preserve">asthma </w:t>
      </w:r>
      <w:r w:rsidR="00123E59" w:rsidRPr="00041FEB">
        <w:fldChar w:fldCharType="begin"/>
      </w:r>
      <w:r w:rsidR="000402EA" w:rsidRPr="00041FEB">
        <w:instrText xml:space="preserve"> ADDIN ZOTERO_ITEM CSL_CITATION {"citationID":"fjeItsqa","properties":{"formattedCitation":"(34)","plainCitation":"(34)","noteIndex":0},"citationItems":[{"id":2700,"uris":["http://zotero.org/users/local/hhPVnw6l/items/4QRSWVPV"],"uri":["http://zotero.org/users/local/hhPVnw6l/items/4QRSWVPV"],"itemData":{"id":2700,"type":"article-journal","abstract":"BACKGROUND: Psychological stress can affect airway inflammatory response to irritants and allergens, but the importance of stress in the etiology of adult-onset respiratory and dermatologic allergic disorders remains unclear. We aim to address the relationship between perceived stress and the risk of adult-onset asthma, allergic rhinitis, atopic dermatitis, and asthma/bronchitis medication.\nMETHODS: Participants (n = 9785) from the Copenhagen City Heart Study, Denmark, free of atopic disorders at baseline in 1981-1983 were asked questions on stress intensity and frequency. They were followed for first-time asthma hospitalization in nationwide registers until 2010, with &lt; 0.1% loss to follow-up. Objective measures of lung function allowed for thorough adjustment for confounding and prevented ambiguity between diagnosis of asthma and chronic obstructive lung disease. Daily intake of asthma/bronchitis medication and incidence of asthma, allergic rhinitis, and atopic dermatitis were assessed by self-report after 10 years of follow-up in 5648 persons.\nRESULTS: Perceived stress was associated with atopic disorders in a dose-dependent manner (P(trend)  &lt; 0.001). High vs low stress was associated with higher risk of self-reported asthma incidence (OR = 2.32; 95% CI: 1.47-3.65), daily intake of asthma/bronchitis medication (OR = 2.26; 95% CI: 1.42-3.58), first-time asthma hospitalization (HR = 2.01; 95% CI: 1.41-2.86), allergic rhinitis (OR = 1.64; 95% CI: 0.99-2.72), and atopic dermatitis (OR = 1.75; 95% CI: 1.11-2.77). The associations were similar for smokers and nonsmokers.\nCONCLUSIONS: Stress is strongly associated with asthma incidence and hospitalization, use of asthma medication as well as with allergic rhinitis and atopic dermatitis in adults.","container-title":"Allergy","DOI":"10.1111/j.1398-9995.2012.02882.x.","ISSN":"1398-9995","issue":"11","journalAbbreviation":"Allergy","language":"eng","note":"PMID: 22943607","page":"1408-1414","source":"PubMed","title":"Perceived stress and risk of adult-onset asthma and other atopic disorders: a longitudinal cohort study","title-short":"Perceived stress and risk of adult-onset asthma and other atopic disorders","volume":"67","author":[{"family":"Rod","given":"N. H."},{"family":"Kristensen","given":"T. S."},{"family":"Lange","given":"P."},{"family":"Prescott","given":"E."},{"family":"Diderichsen","given":"F."}],"issued":{"date-parts":[["2012",11]]}}}],"schema":"https://github.com/citation-style-language/schema/raw/master/csl-citation.json"} </w:instrText>
      </w:r>
      <w:r w:rsidR="00123E59" w:rsidRPr="00041FEB">
        <w:fldChar w:fldCharType="separate"/>
      </w:r>
      <w:r w:rsidR="000402EA" w:rsidRPr="00041FEB">
        <w:rPr>
          <w:noProof/>
        </w:rPr>
        <w:t>(34)</w:t>
      </w:r>
      <w:r w:rsidR="00123E59" w:rsidRPr="00041FEB">
        <w:fldChar w:fldCharType="end"/>
      </w:r>
      <w:r w:rsidR="005473A3" w:rsidRPr="00041FEB">
        <w:rPr>
          <w:bCs/>
        </w:rPr>
        <w:t>.</w:t>
      </w:r>
      <w:r w:rsidR="00123D34" w:rsidRPr="00041FEB">
        <w:rPr>
          <w:bCs/>
        </w:rPr>
        <w:t xml:space="preserve"> </w:t>
      </w:r>
      <w:r w:rsidR="005473A3" w:rsidRPr="00041FEB">
        <w:rPr>
          <w:bCs/>
        </w:rPr>
        <w:t>With respect to sleep, s</w:t>
      </w:r>
      <w:r w:rsidR="00123D34" w:rsidRPr="00041FEB">
        <w:rPr>
          <w:bCs/>
        </w:rPr>
        <w:t>tudies have shown that t</w:t>
      </w:r>
      <w:r w:rsidR="009F5D7D" w:rsidRPr="00041FEB">
        <w:rPr>
          <w:bCs/>
        </w:rPr>
        <w:t>he adverse effects of sleep problems on cardiovascular health likely</w:t>
      </w:r>
      <w:r w:rsidR="00C45405" w:rsidRPr="00041FEB">
        <w:rPr>
          <w:bCs/>
        </w:rPr>
        <w:t xml:space="preserve"> involve</w:t>
      </w:r>
      <w:r w:rsidR="009F5D7D" w:rsidRPr="00041FEB">
        <w:rPr>
          <w:bCs/>
        </w:rPr>
        <w:t xml:space="preserve"> low-grade inflammation, increased cortisol secretion and changes in circulating levels of leptin and ghrelin</w:t>
      </w:r>
      <w:r w:rsidR="00C45405" w:rsidRPr="00041FEB">
        <w:rPr>
          <w:bCs/>
        </w:rPr>
        <w:t xml:space="preserve"> </w:t>
      </w:r>
      <w:r w:rsidR="00C45405" w:rsidRPr="00041FEB">
        <w:rPr>
          <w:bCs/>
        </w:rPr>
        <w:fldChar w:fldCharType="begin"/>
      </w:r>
      <w:r w:rsidR="000402EA" w:rsidRPr="00041FEB">
        <w:rPr>
          <w:bCs/>
        </w:rPr>
        <w:instrText xml:space="preserve"> ADDIN ZOTERO_ITEM CSL_CITATION {"citationID":"FbwiRJTW","properties":{"formattedCitation":"(33)","plainCitation":"(33)","noteIndex":0},"citationItems":[{"id":2714,"uris":["http://zotero.org/users/local/hhPVnw6l/items/RUBDNPTM"],"uri":["http://zotero.org/users/local/hhPVnw6l/items/RUBDNPTM"],"itemData":{"id":2714,"type":"article-journal","abstract":"STUDY OBJECTIVES: There is limited information on the relationship between risk of cardiovascular disease and the joint effects of sleep quality and sleep duration, especially from large, prospective, cohort studies. This study is to prospectively investigate the joint effects of sleep quality and sleep duration on the development of coronary heart disease.\nMETHODS: This study examined 60,586 adults aged 40 years or older. A self-administered questionnaire was used to collect information on sleep quality and sleep duration as well as a wide range of potential confounders. Events of coronary heart disease were self-reported in subsequent medical examinations. Two types of Sleep Score (multiplicative and additive) were constructed to reflect the participants' sleep profiles, considering both sleep quality and sleep duration. The Cox regression model was used to estimate the hazard ratio (HR) and the 95% confidence interval (CI).\nRESULTS: A total of 2,740 participants (4.5%) reported new events of coronary heart disease at follow-up. For sleep duration, participants in the group of &lt; 6 h/d was significantly associated with an increased risk of coronary heart disease (HR: 1.13, 95% CI: 1.04-1.23). However, the association in the participants with long sleep duration (&gt; 8 h/d) did not reach statistical significance (HR: 1.11, 95% CI: 0.98-1.26). For sleep quality, both dreamy sleep (HR: 1.21, 95% CI: 1.10-1.32) and difficult to fall asleep/use of sleeping pills or drugs (HR: 1.40, 95% CI: 1.25-1.56) were associated with an increased risk of the disease. Participants in the lowest quartile of multiplicative Sleep Score (HR: 1.31, 95% CI: 1.16-1.47) and of additive sleep score (HR: 1.31, 95% CI: 1.16-1.47) were associated with increased risk of coronary heart disease compared with those in the highest quartile.\nCONCLUSIONS: Both short sleep duration and poor sleep quality are associated with the risk of coronary heart disease. The association for long sleep duration does not reach statistical significance. Lower Sleep Score (poorer sleep profile) increases the risk of coronary heart disease, suggesting the importance of considering sleep duration and sleep quality together when developing strategies to improve sleep for cardiovascular disease prevention.","container-title":"Journal of clinical sleep medicine: JCSM: official publication of the American Academy of Sleep Medicine","DOI":"10.5664/jcsm.6894","ISSN":"1550-9397","issue":"1","journalAbbreviation":"J Clin Sleep Med","language":"eng","note":"PMID: 29198294\nPMCID: PMC5734879","page":"109-117","source":"PubMed","title":"Sleep Quality, Sleep Duration, and the Risk of Coronary Heart Disease: A Prospective Cohort Study With 60,586 Adults","title-short":"Sleep Quality, Sleep Duration, and the Risk of Coronary Heart Disease","volume":"14","author":[{"family":"Lao","given":"Xiang Qian"},{"family":"Liu","given":"Xudong"},{"family":"Deng","given":"Han-Bing"},{"family":"Chan","given":"Ta-Chien"},{"family":"Ho","given":"Kin Fai"},{"family":"Wang","given":"Feng"},{"family":"Vermeulen","given":"Roel"},{"family":"Tam","given":"Tony"},{"family":"Wong","given":"Martin C. S."},{"family":"Tse","given":"L. A."},{"family":"Chang","given":"Ly-Yun"},{"family":"Yeoh","given":"Eng-Kiong"}],"issued":{"date-parts":[["2018"]],"season":"15"}}}],"schema":"https://github.com/citation-style-language/schema/raw/master/csl-citation.json"} </w:instrText>
      </w:r>
      <w:r w:rsidR="00C45405" w:rsidRPr="00041FEB">
        <w:rPr>
          <w:bCs/>
        </w:rPr>
        <w:fldChar w:fldCharType="separate"/>
      </w:r>
      <w:r w:rsidR="000402EA" w:rsidRPr="00041FEB">
        <w:rPr>
          <w:bCs/>
          <w:noProof/>
        </w:rPr>
        <w:t>(33)</w:t>
      </w:r>
      <w:r w:rsidR="00C45405" w:rsidRPr="00041FEB">
        <w:rPr>
          <w:bCs/>
        </w:rPr>
        <w:fldChar w:fldCharType="end"/>
      </w:r>
      <w:r w:rsidR="009F5D7D" w:rsidRPr="00041FEB">
        <w:rPr>
          <w:bCs/>
        </w:rPr>
        <w:t>.</w:t>
      </w:r>
      <w:r w:rsidR="00BF7575" w:rsidRPr="00041FEB">
        <w:rPr>
          <w:bCs/>
        </w:rPr>
        <w:t xml:space="preserve"> </w:t>
      </w:r>
      <w:r w:rsidR="00907A7C" w:rsidRPr="00041FEB">
        <w:rPr>
          <w:bCs/>
        </w:rPr>
        <w:t>In terms of unhealthy behavior, previous studies have shown that caregivers are more likely to smoke</w:t>
      </w:r>
      <w:r w:rsidR="00003656" w:rsidRPr="00041FEB">
        <w:rPr>
          <w:bCs/>
        </w:rPr>
        <w:t xml:space="preserve"> </w:t>
      </w:r>
      <w:r w:rsidR="00003656" w:rsidRPr="00041FEB">
        <w:rPr>
          <w:bCs/>
        </w:rPr>
        <w:fldChar w:fldCharType="begin"/>
      </w:r>
      <w:r w:rsidR="00B84EDB" w:rsidRPr="00041FEB">
        <w:rPr>
          <w:bCs/>
        </w:rPr>
        <w:instrText xml:space="preserve"> ADDIN ZOTERO_ITEM CSL_CITATION {"citationID":"mK3h73ci","properties":{"formattedCitation":"(14)","plainCitation":"(14)","noteIndex":0},"citationItems":[{"id":2682,"uris":["http://zotero.org/users/local/hhPVnw6l/items/8GBPZ63L"],"uri":["http://zotero.org/users/local/hhPVnw6l/items/8GBPZ63L"],"itemData":{"id":2682,"type":"article-journal","abstract":"Purpose of the Study:\nThe relationship between stress and smoking has been established, but there is little research on the effects of stress and coping on smoking in caregivers of Alzheimer’s disease patients. This study examines how caregiver stressors and coping resources explain smoking status and recent smoking increase.\n\nDesign and Methods:\nData were obtained from the Resources for Enhancing Alzheimer’s Caregivers Health (REACH II) study. Analyses identified differences between caregiver smokers and nonsmokers and between caregiver smokers who reported a recent smoking increase and those who did not. Variables that were significantly different between the groups were examined in two logistic regression analyses to explain smoking status and smoking increase.\n\nResults:\nOf 642 caregivers, nearly 40% reported smoking and 25% of smokers reported recent increase in smoking. Younger caregivers were more likely to report smoking. Explanatory variables for smoking increase were being Caucasian or African-American, higher depression scores, and less caregiving skills.\n\nImplications:\nThis study demonstrates that smoking among caregivers is a valid public health concern. Further investigation of ways that explanatory variables affect smoking status and increase in caregivers, and incorporation of smoking cessation strategies that address depression and low caregiving skills, seem warranted in future caregiver interventions.","container-title":"The Gerontologist","DOI":"10.1093/geront/gnt149","ISSN":"0016-9013","issue":"5","journalAbbreviation":"Gerontologist","note":"PMID: 24371214\nPMCID: PMC4683364","page":"780-792","source":"PubMed Central","title":"Smoking and Smoking Increase in Caregivers of Alzheimer’s Patients","volume":"55","author":[{"family":"Salgado-García","given":"Francisco I."},{"family":"Zuber","given":"Jeffrey K."},{"family":"Graney","given":"Marshall J."},{"family":"Nichols","given":"Linda O."},{"family":"Martindale-Adams","given":"Jennifer L."},{"family":"Andrasik","given":"Frank"}],"issued":{"date-parts":[["2015",10]]}}}],"schema":"https://github.com/citation-style-language/schema/raw/master/csl-citation.json"} </w:instrText>
      </w:r>
      <w:r w:rsidR="00003656" w:rsidRPr="00041FEB">
        <w:rPr>
          <w:bCs/>
        </w:rPr>
        <w:fldChar w:fldCharType="separate"/>
      </w:r>
      <w:r w:rsidR="00B84EDB" w:rsidRPr="00041FEB">
        <w:rPr>
          <w:bCs/>
          <w:noProof/>
        </w:rPr>
        <w:t>(14)</w:t>
      </w:r>
      <w:r w:rsidR="00003656" w:rsidRPr="00041FEB">
        <w:rPr>
          <w:bCs/>
        </w:rPr>
        <w:fldChar w:fldCharType="end"/>
      </w:r>
      <w:r w:rsidR="009F2CFB" w:rsidRPr="00041FEB">
        <w:rPr>
          <w:bCs/>
        </w:rPr>
        <w:t xml:space="preserve">, </w:t>
      </w:r>
      <w:r w:rsidR="00231A41" w:rsidRPr="00041FEB">
        <w:rPr>
          <w:bCs/>
        </w:rPr>
        <w:t>and</w:t>
      </w:r>
      <w:r w:rsidR="00FC147D" w:rsidRPr="00041FEB">
        <w:rPr>
          <w:bCs/>
        </w:rPr>
        <w:t xml:space="preserve"> </w:t>
      </w:r>
      <w:r w:rsidR="00231A41" w:rsidRPr="00041FEB">
        <w:rPr>
          <w:bCs/>
        </w:rPr>
        <w:t xml:space="preserve">that </w:t>
      </w:r>
      <w:r w:rsidR="00FC147D" w:rsidRPr="00041FEB">
        <w:rPr>
          <w:bCs/>
        </w:rPr>
        <w:t>the prevalence of</w:t>
      </w:r>
      <w:r w:rsidR="00123E59" w:rsidRPr="00041FEB">
        <w:rPr>
          <w:bCs/>
        </w:rPr>
        <w:t xml:space="preserve"> problematic drinking patterns</w:t>
      </w:r>
      <w:r w:rsidR="001670B2" w:rsidRPr="00041FEB">
        <w:rPr>
          <w:bCs/>
        </w:rPr>
        <w:t xml:space="preserve"> </w:t>
      </w:r>
      <w:r w:rsidR="00907A7C" w:rsidRPr="00041FEB">
        <w:rPr>
          <w:bCs/>
        </w:rPr>
        <w:t>and</w:t>
      </w:r>
      <w:r w:rsidR="00FC147D" w:rsidRPr="00041FEB">
        <w:rPr>
          <w:bCs/>
        </w:rPr>
        <w:t xml:space="preserve"> </w:t>
      </w:r>
      <w:r w:rsidR="00907A7C" w:rsidRPr="00041FEB">
        <w:rPr>
          <w:bCs/>
        </w:rPr>
        <w:t>sedentary</w:t>
      </w:r>
      <w:r w:rsidR="00FC147D" w:rsidRPr="00041FEB">
        <w:rPr>
          <w:bCs/>
        </w:rPr>
        <w:t xml:space="preserve"> behavior </w:t>
      </w:r>
      <w:r w:rsidR="00231A41" w:rsidRPr="00041FEB">
        <w:rPr>
          <w:bCs/>
        </w:rPr>
        <w:t>is</w:t>
      </w:r>
      <w:r w:rsidR="00FC147D" w:rsidRPr="00041FEB">
        <w:rPr>
          <w:bCs/>
        </w:rPr>
        <w:t xml:space="preserve"> </w:t>
      </w:r>
      <w:r w:rsidR="00C019C2" w:rsidRPr="00041FEB">
        <w:rPr>
          <w:bCs/>
        </w:rPr>
        <w:t>high</w:t>
      </w:r>
      <w:r w:rsidR="00FC147D" w:rsidRPr="00041FEB">
        <w:rPr>
          <w:bCs/>
        </w:rPr>
        <w:t xml:space="preserve"> in this population</w:t>
      </w:r>
      <w:r w:rsidR="00F709A8" w:rsidRPr="00041FEB">
        <w:rPr>
          <w:bCs/>
        </w:rPr>
        <w:t xml:space="preserve"> </w:t>
      </w:r>
      <w:r w:rsidR="00F709A8" w:rsidRPr="00041FEB">
        <w:rPr>
          <w:bCs/>
        </w:rPr>
        <w:fldChar w:fldCharType="begin"/>
      </w:r>
      <w:r w:rsidR="000402EA" w:rsidRPr="00041FEB">
        <w:rPr>
          <w:bCs/>
        </w:rPr>
        <w:instrText xml:space="preserve"> ADDIN ZOTERO_ITEM CSL_CITATION {"citationID":"bJvYS4Tx","properties":{"formattedCitation":"(35)","plainCitation":"(35)","noteIndex":0},"citationItems":[{"id":2723,"uris":["http://zotero.org/users/local/hhPVnw6l/items/CI8RQVA9"],"uri":["http://zotero.org/users/local/hhPVnw6l/items/CI8RQVA9"],"itemData":{"id":2723,"type":"article-journal","abstract":"This study describes the health behaviors (alcohol consumption, exercise, sleep patterns, smoking, and weight maintenance) of a sample of older adult spouse caregivers (N = 233) and investigates the predictors of decreased self-care since caregiving began.  Multiple regression results indicate that caregivers who experience greater developmental burden, report a greater number of depressive symptoms, perform a greater number of activities of daily living (ADL) tasks in caregiving and spend more hours in a day providing care, and who have lower self-efficacy for both self-care and spouse care are at greater risk for negative health behavior change.  Results have implications for the identification of caregivers who may be particularly vulnerable to the negative health impact of caregiving.","container-title":"Journal of Aging and Health","DOI":"10.1177/089826439700900306","ISSN":"0898-2643","issue":"3","journalAbbreviation":"J Aging Health","language":"eng","note":"PMID: 10182399","page":"373-395","source":"PubMed","title":"Predictors of decreased self-care among spouse caregivers of older adults with dementing illnesses","volume":"9","author":[{"family":"Gallant","given":"M. P."},{"family":"Connell","given":"C. M."}],"issued":{"date-parts":[["1997",8]]}}}],"schema":"https://github.com/citation-style-language/schema/raw/master/csl-citation.json"} </w:instrText>
      </w:r>
      <w:r w:rsidR="00F709A8" w:rsidRPr="00041FEB">
        <w:rPr>
          <w:bCs/>
        </w:rPr>
        <w:fldChar w:fldCharType="separate"/>
      </w:r>
      <w:r w:rsidR="000402EA" w:rsidRPr="00041FEB">
        <w:rPr>
          <w:bCs/>
          <w:noProof/>
        </w:rPr>
        <w:t>(35)</w:t>
      </w:r>
      <w:r w:rsidR="00F709A8" w:rsidRPr="00041FEB">
        <w:rPr>
          <w:bCs/>
        </w:rPr>
        <w:fldChar w:fldCharType="end"/>
      </w:r>
      <w:r w:rsidR="00F709A8" w:rsidRPr="00041FEB">
        <w:rPr>
          <w:bCs/>
        </w:rPr>
        <w:t>. Caregivers may be more likely to smoke</w:t>
      </w:r>
      <w:r w:rsidR="007E69C6" w:rsidRPr="00041FEB">
        <w:rPr>
          <w:bCs/>
        </w:rPr>
        <w:t xml:space="preserve"> and drink alcohol</w:t>
      </w:r>
      <w:r w:rsidR="00F709A8" w:rsidRPr="00041FEB">
        <w:rPr>
          <w:bCs/>
        </w:rPr>
        <w:t xml:space="preserve"> to cope with the stress associated with caregiving, while caregivers may also be more prone to be sedentary for being at home more often to take care of their older or disabled relatives.</w:t>
      </w:r>
      <w:r w:rsidR="00907A7C" w:rsidRPr="00041FEB">
        <w:rPr>
          <w:bCs/>
        </w:rPr>
        <w:t xml:space="preserve"> </w:t>
      </w:r>
      <w:r w:rsidR="009F4B88" w:rsidRPr="00041FEB">
        <w:rPr>
          <w:bCs/>
        </w:rPr>
        <w:t xml:space="preserve">Finally, previous research has found a positive association between earlier life caregiving and later life poverty </w:t>
      </w:r>
      <w:r w:rsidR="00CB5918" w:rsidRPr="00041FEB">
        <w:rPr>
          <w:bCs/>
        </w:rPr>
        <w:fldChar w:fldCharType="begin"/>
      </w:r>
      <w:r w:rsidR="000402EA" w:rsidRPr="00041FEB">
        <w:rPr>
          <w:bCs/>
        </w:rPr>
        <w:instrText xml:space="preserve"> ADDIN ZOTERO_ITEM CSL_CITATION {"citationID":"zBb4MAFl","properties":{"formattedCitation":"(30)","plainCitation":"(30)","noteIndex":0},"citationItems":[{"id":2805,"uris":["http://zotero.org/users/local/hhPVnw6l/items/DH4GY9F7"],"uri":["http://zotero.org/users/local/hhPVnw6l/items/DH4GY9F7"],"itemData":{"id":2805,"type":"article-journal","abstract":"Given the rapid aging of the U.S. population and reductions in federal funding, elder care has become a major issue for many families. This paper focuses on a long-term consequence of elder care by asking how caring for elderly parents affects women's subsequent risks of living in poverty. Using longitudinal data from the Health and Retirement Study, we examine whether and how caregiving for parents in 1991 increases women's risks of living in households with incomes less than the poverty threshold, receiving public assistance, and receiving Medicaid in 1999. Our findings illustrate that caregiving in earlier life raises women's poverty risks in later life by intensifying the negative effects of stopping work and declining health on women's economic well-being.","container-title":"Journal of Health and Social Behavior","DOI":"10.1177/002214650604700305","ISSN":"0022-1465","issue":"3","journalAbbreviation":"J Health Soc Behav","language":"eng","note":"PMID: 17066776","page":"258-274","source":"PubMed","title":"Does caregiving increase poverty among women in later life? Evidence from the Health and Retirement survey","title-short":"Does caregiving increase poverty among women in later life?","volume":"47","author":[{"family":"Wakabayashi","given":"Chizuko"},{"family":"Donato","given":"Katharine M."}],"issued":{"date-parts":[["2006",9]]}}}],"schema":"https://github.com/citation-style-language/schema/raw/master/csl-citation.json"} </w:instrText>
      </w:r>
      <w:r w:rsidR="00CB5918" w:rsidRPr="00041FEB">
        <w:rPr>
          <w:bCs/>
        </w:rPr>
        <w:fldChar w:fldCharType="separate"/>
      </w:r>
      <w:r w:rsidR="000402EA" w:rsidRPr="00041FEB">
        <w:rPr>
          <w:bCs/>
          <w:noProof/>
        </w:rPr>
        <w:t>(30)</w:t>
      </w:r>
      <w:r w:rsidR="00CB5918" w:rsidRPr="00041FEB">
        <w:rPr>
          <w:bCs/>
        </w:rPr>
        <w:fldChar w:fldCharType="end"/>
      </w:r>
      <w:r w:rsidR="009F4B88" w:rsidRPr="00041FEB">
        <w:rPr>
          <w:bCs/>
        </w:rPr>
        <w:t>,</w:t>
      </w:r>
      <w:r w:rsidR="00CB5918" w:rsidRPr="00041FEB">
        <w:rPr>
          <w:bCs/>
        </w:rPr>
        <w:t xml:space="preserve"> while </w:t>
      </w:r>
      <w:r w:rsidR="00E86BEF" w:rsidRPr="00041FEB">
        <w:rPr>
          <w:bCs/>
        </w:rPr>
        <w:t>low income is a risk factor for a numerous chronic physical conditions (e.g., obesity, diabetes).</w:t>
      </w:r>
      <w:r w:rsidR="009F4B88" w:rsidRPr="00041FEB">
        <w:rPr>
          <w:bCs/>
        </w:rPr>
        <w:t xml:space="preserve"> </w:t>
      </w:r>
      <w:r w:rsidR="005473A3" w:rsidRPr="00041FEB">
        <w:rPr>
          <w:bCs/>
        </w:rPr>
        <w:t xml:space="preserve">It should be noted that the </w:t>
      </w:r>
      <w:proofErr w:type="gramStart"/>
      <w:r w:rsidR="000154C0" w:rsidRPr="00041FEB">
        <w:rPr>
          <w:bCs/>
        </w:rPr>
        <w:t xml:space="preserve">aforementioned </w:t>
      </w:r>
      <w:r w:rsidR="005473A3" w:rsidRPr="00041FEB">
        <w:rPr>
          <w:bCs/>
        </w:rPr>
        <w:t>mediators</w:t>
      </w:r>
      <w:proofErr w:type="gramEnd"/>
      <w:r w:rsidR="005473A3" w:rsidRPr="00041FEB">
        <w:rPr>
          <w:bCs/>
        </w:rPr>
        <w:t xml:space="preserve"> (</w:t>
      </w:r>
      <w:r w:rsidR="00E658C4" w:rsidRPr="00041FEB">
        <w:rPr>
          <w:bCs/>
        </w:rPr>
        <w:t xml:space="preserve">i.e., </w:t>
      </w:r>
      <w:r w:rsidR="005473A3" w:rsidRPr="00041FEB">
        <w:rPr>
          <w:bCs/>
        </w:rPr>
        <w:t>stress, sleep disturbance, unhealthy behavior</w:t>
      </w:r>
      <w:r w:rsidR="009F4B88" w:rsidRPr="00041FEB">
        <w:rPr>
          <w:bCs/>
        </w:rPr>
        <w:t xml:space="preserve">, lack of </w:t>
      </w:r>
      <w:r w:rsidR="009F4B88" w:rsidRPr="00041FEB">
        <w:rPr>
          <w:bCs/>
        </w:rPr>
        <w:lastRenderedPageBreak/>
        <w:t>economic resources</w:t>
      </w:r>
      <w:r w:rsidR="005473A3" w:rsidRPr="00041FEB">
        <w:rPr>
          <w:bCs/>
        </w:rPr>
        <w:t xml:space="preserve">) are inter-connected and can work jointly to increase risk for </w:t>
      </w:r>
      <w:r w:rsidR="00501904" w:rsidRPr="00041FEB">
        <w:rPr>
          <w:bCs/>
        </w:rPr>
        <w:t xml:space="preserve">physical </w:t>
      </w:r>
      <w:r w:rsidR="005473A3" w:rsidRPr="00041FEB">
        <w:rPr>
          <w:bCs/>
        </w:rPr>
        <w:t>multimorbidity.</w:t>
      </w:r>
    </w:p>
    <w:p w14:paraId="74664FC1" w14:textId="77777777" w:rsidR="00392656" w:rsidRPr="00041FEB" w:rsidRDefault="00392656" w:rsidP="00B44AE2">
      <w:pPr>
        <w:spacing w:line="480" w:lineRule="auto"/>
        <w:rPr>
          <w:bCs/>
        </w:rPr>
      </w:pPr>
    </w:p>
    <w:p w14:paraId="67D3D250" w14:textId="4B78DA40" w:rsidR="00392656" w:rsidRPr="00041FEB" w:rsidRDefault="00392656" w:rsidP="00B44AE2">
      <w:pPr>
        <w:spacing w:line="480" w:lineRule="auto"/>
        <w:rPr>
          <w:bCs/>
        </w:rPr>
      </w:pPr>
      <w:r w:rsidRPr="00041FEB">
        <w:rPr>
          <w:bCs/>
        </w:rPr>
        <w:t xml:space="preserve">It is also possible that caregivers neglect their own health as their health problems may seem less important compared to that of the care recipient. </w:t>
      </w:r>
      <w:r w:rsidR="00A33112" w:rsidRPr="00041FEB">
        <w:rPr>
          <w:bCs/>
        </w:rPr>
        <w:t>Moreover</w:t>
      </w:r>
      <w:r w:rsidRPr="00041FEB">
        <w:rPr>
          <w:bCs/>
        </w:rPr>
        <w:t xml:space="preserve">, caregivers may not have enough time or energy to attend health visits owing to the high caregiving burden and stress. For example, a study </w:t>
      </w:r>
      <w:r w:rsidR="007E6DD3" w:rsidRPr="00041FEB">
        <w:rPr>
          <w:bCs/>
        </w:rPr>
        <w:t>including</w:t>
      </w:r>
      <w:r w:rsidR="00A52E58" w:rsidRPr="00041FEB">
        <w:rPr>
          <w:bCs/>
        </w:rPr>
        <w:t xml:space="preserve"> 315 caregivers from the US showed that the number of visits to the doctor was lower in caregivers than in the general population</w:t>
      </w:r>
      <w:r w:rsidR="00212CDA" w:rsidRPr="00041FEB">
        <w:rPr>
          <w:bCs/>
        </w:rPr>
        <w:t xml:space="preserve"> (between 45 and 64 years: 4.2 versus 6.6; between 65 and 74 years: 5.6 versus 8.1; and after </w:t>
      </w:r>
      <w:r w:rsidR="006834A6" w:rsidRPr="00041FEB">
        <w:rPr>
          <w:bCs/>
        </w:rPr>
        <w:t>74</w:t>
      </w:r>
      <w:r w:rsidR="00212CDA" w:rsidRPr="00041FEB">
        <w:rPr>
          <w:bCs/>
        </w:rPr>
        <w:t xml:space="preserve"> years: 5.7 versus 10.6) </w:t>
      </w:r>
      <w:r w:rsidR="00BD5B8D" w:rsidRPr="00041FEB">
        <w:rPr>
          <w:bCs/>
        </w:rPr>
        <w:fldChar w:fldCharType="begin"/>
      </w:r>
      <w:r w:rsidR="00BF5019" w:rsidRPr="00041FEB">
        <w:rPr>
          <w:bCs/>
        </w:rPr>
        <w:instrText xml:space="preserve"> ADDIN ZOTERO_ITEM CSL_CITATION {"citationID":"xqrAhJXf","properties":{"formattedCitation":"(36)","plainCitation":"(36)","noteIndex":0},"citationItems":[{"id":2816,"uris":["http://zotero.org/users/local/hhPVnw6l/items/BBDXENGG"],"uri":["http://zotero.org/users/local/hhPVnw6l/items/BBDXENGG"],"itemData":{"id":2816,"type":"article-journal","abstract":"The self-reported physical and mental health of 315 persons caring for a spouse who had been diagnosed with Alzheimer's disease or a related disorder was compared with general population norms for existing data bases controlling for age and gender. Results suggest that across all indicators of mental health, spouse caregivers are more depressed, express higher levels of negative affect, are more likely to use psychotropic drugs, and have more symptoms of psychological distress than the general population. In terms of physical health, caregivers report higher than expected rates of diabetes, arthritis, ulcers, and anemia, yet they use medical services at rates which are similar or lower than those reported by the general population. Since no simultaneous control group was studied, these results suggest, but do not prove, the presence of differences between caregivers and non-caregivers.","container-title":"Journal of the American Geriatrics Society","DOI":"10.1111/j.1532-5415.1989.tb02230.x","ISSN":"0002-8614","issue":"8","journalAbbreviation":"J Am Geriatr Soc","language":"eng","note":"PMID: 2754154","page":"697-705","source":"PubMed","title":"Caregiving spouses. Physical and mental health in perspective","volume":"37","author":[{"family":"Pruchno","given":"R. A."},{"family":"Potashnik","given":"S. L."}],"issued":{"date-parts":[["1989",8]]}}}],"schema":"https://github.com/citation-style-language/schema/raw/master/csl-citation.json"} </w:instrText>
      </w:r>
      <w:r w:rsidR="00BD5B8D" w:rsidRPr="00041FEB">
        <w:rPr>
          <w:bCs/>
        </w:rPr>
        <w:fldChar w:fldCharType="separate"/>
      </w:r>
      <w:r w:rsidR="00BF5019" w:rsidRPr="00041FEB">
        <w:rPr>
          <w:bCs/>
          <w:noProof/>
        </w:rPr>
        <w:t>(36)</w:t>
      </w:r>
      <w:r w:rsidR="00BD5B8D" w:rsidRPr="00041FEB">
        <w:rPr>
          <w:bCs/>
        </w:rPr>
        <w:fldChar w:fldCharType="end"/>
      </w:r>
      <w:r w:rsidR="00A52E58" w:rsidRPr="00041FEB">
        <w:rPr>
          <w:bCs/>
        </w:rPr>
        <w:t>.</w:t>
      </w:r>
      <w:r w:rsidR="00212CDA" w:rsidRPr="00041FEB">
        <w:rPr>
          <w:bCs/>
        </w:rPr>
        <w:t xml:space="preserve"> </w:t>
      </w:r>
      <w:r w:rsidRPr="00041FEB">
        <w:rPr>
          <w:bCs/>
        </w:rPr>
        <w:t xml:space="preserve">Another study conducted in Pakistan revealed that around 61% of informal caregivers neglect their health during caregiving </w:t>
      </w:r>
      <w:r w:rsidRPr="00041FEB">
        <w:rPr>
          <w:bCs/>
        </w:rPr>
        <w:fldChar w:fldCharType="begin"/>
      </w:r>
      <w:r w:rsidR="00BF5019" w:rsidRPr="00041FEB">
        <w:rPr>
          <w:bCs/>
        </w:rPr>
        <w:instrText xml:space="preserve"> ADDIN ZOTERO_ITEM CSL_CITATION {"citationID":"4KfjWcJP","properties":{"formattedCitation":"(37)","plainCitation":"(37)","noteIndex":0},"citationItems":[{"id":2729,"uris":["http://zotero.org/users/local/hhPVnw6l/items/ICCWJD9J"],"uri":["http://zotero.org/users/local/hhPVnw6l/items/ICCWJD9J"],"itemData":{"id":2729,"type":"article-journal","abstract":"Objective\nThis study was designed to assess the impact of caregiving on the lives of the caregivers.\n\nMethods\nA cross-sectional study was conducted between July and September 2015 at a teaching hospital in Karachi, Pakistan. Participants who were more than 18 years old and were involved in caregiving (former or current) of a family member were invited to participate in the study. The participants were recruited through consecutive sampling technique. A total of 400 caregivers were interviewed. Written informed consent was obtained from all the participants. A pretest structured questionnaire was used for data collection and included sections on demographic details and impact of caregiving on various aspects of the lives of caregivers. The data was analyzed using SPSS version 19 (IBM, NY, USA).\n\nResults\nInformation about a total of 400 caregivers (215 men and 185 women) was included in the final analysis. The majority (57.0%) of the participants were aged between 18 and 30 years. About three-fifths (60%) of the participants were single and the majority of the participants were students. Approximately 64% of the participants were currently involved in caregiving and about 48% of the participants responded that caregiving has an overall negative impact on various aspects, such as physical (40.8%), psychological (47.8%), and professional aspects (51.8%) of their lives.\n\nConclusion\nNegative impact of caregiving was observed among caregivers due to extensive demands of caregiving and limited resources. Therefore, it is imperative for health care providers to explore, identify and support caregivers to cope in a better way to the challenging task of caregiving.","container-title":"Cureus","DOI":"10.7759/cureus.1213","ISSN":"2168-8184","issue":"5","journalAbbreviation":"Cureus","note":"PMID: 28589062\nPMCID: PMC5453737","source":"PubMed Central","title":"Impact of Caregiving on Various Aspects of the Lives of Caregivers","URL":"https://www.ncbi.nlm.nih.gov/pmc/articles/PMC5453737/","volume":"9","author":[{"family":"Irfan","given":"Babar"},{"family":"Irfan","given":"Omar"},{"family":"Ansari","given":"Ahmed"},{"family":"Qidwai","given":"Waris"},{"family":"Nanji","given":"Kashmira"}],"accessed":{"date-parts":[["2019",10,5]]},"issued":{"date-parts":[["2017"]]}}}],"schema":"https://github.com/citation-style-language/schema/raw/master/csl-citation.json"} </w:instrText>
      </w:r>
      <w:r w:rsidRPr="00041FEB">
        <w:rPr>
          <w:bCs/>
        </w:rPr>
        <w:fldChar w:fldCharType="separate"/>
      </w:r>
      <w:r w:rsidR="00BF5019" w:rsidRPr="00041FEB">
        <w:rPr>
          <w:bCs/>
          <w:noProof/>
        </w:rPr>
        <w:t>(37)</w:t>
      </w:r>
      <w:r w:rsidRPr="00041FEB">
        <w:rPr>
          <w:bCs/>
        </w:rPr>
        <w:fldChar w:fldCharType="end"/>
      </w:r>
      <w:r w:rsidRPr="00041FEB">
        <w:rPr>
          <w:bCs/>
        </w:rPr>
        <w:t>. The cost of health care for the care recipient may also be high and lead to financial constraints for preventive health care or treatment among caregivers</w:t>
      </w:r>
      <w:r w:rsidR="00BC7481" w:rsidRPr="00041FEB">
        <w:rPr>
          <w:bCs/>
        </w:rPr>
        <w:t xml:space="preserve"> </w:t>
      </w:r>
      <w:r w:rsidR="00BC7481" w:rsidRPr="00041FEB">
        <w:rPr>
          <w:bCs/>
        </w:rPr>
        <w:fldChar w:fldCharType="begin"/>
      </w:r>
      <w:r w:rsidR="00BF5019" w:rsidRPr="00041FEB">
        <w:rPr>
          <w:bCs/>
        </w:rPr>
        <w:instrText xml:space="preserve"> ADDIN ZOTERO_ITEM CSL_CITATION {"citationID":"nbWLCAob","properties":{"formattedCitation":"(38)","plainCitation":"(38)","noteIndex":0},"citationItems":[{"id":2818,"uris":["http://zotero.org/users/local/hhPVnw6l/items/5VZWDU2T"],"uri":["http://zotero.org/users/local/hhPVnw6l/items/5VZWDU2T"],"itemData":{"id":2818,"type":"article-journal","abstract":"The role of informal caregivers is becoming increasingly important as the U.S. population continues to age and cost-containment strategies promote shorter hospital stays. There are currently 16 million working-age adults caring for a sick or disabled family member, according to data from the Commonwealth Fund Biennial Health Insurance Survey. Caregivers are less likely to be working, to miss days of work when they are employed, and to lack health insurance coverage. This may leave them financially vulnerable and unable to obtain needed health care. Indeed, one-half of caregivers reported not getting care because of cost issues, and three of five caregivers experienced problems with medical bills. Policies to expand Medicaid and Medicare would improve caregivers' ability to access health care for themselves and their families, as well as help eliminate the financial strain of going without health insurance.","container-title":"Issue Brief (Commonwealth Fund)","ISSN":"1558-6847","issue":"854","journalAbbreviation":"Issue Brief (Commonw Fund)","language":"eng","note":"PMID: 16118908","page":"1-12","source":"PubMed","title":"A look at working-age caregivers' roles, health concerns, and need for support","author":[{"family":"Ho","given":"Alice"},{"family":"Collins","given":"Sara R."},{"family":"Davis","given":"Karen"},{"family":"Doty","given":"Michelle M."}],"issued":{"date-parts":[["2005",8]]}}}],"schema":"https://github.com/citation-style-language/schema/raw/master/csl-citation.json"} </w:instrText>
      </w:r>
      <w:r w:rsidR="00BC7481" w:rsidRPr="00041FEB">
        <w:rPr>
          <w:bCs/>
        </w:rPr>
        <w:fldChar w:fldCharType="separate"/>
      </w:r>
      <w:r w:rsidR="00BF5019" w:rsidRPr="00041FEB">
        <w:rPr>
          <w:bCs/>
          <w:noProof/>
        </w:rPr>
        <w:t>(38)</w:t>
      </w:r>
      <w:r w:rsidR="00BC7481" w:rsidRPr="00041FEB">
        <w:rPr>
          <w:bCs/>
        </w:rPr>
        <w:fldChar w:fldCharType="end"/>
      </w:r>
      <w:r w:rsidRPr="00041FEB">
        <w:rPr>
          <w:bCs/>
        </w:rPr>
        <w:t xml:space="preserve">. This may be a particularly important factor in LMICs where </w:t>
      </w:r>
      <w:r w:rsidRPr="00041FEB">
        <w:t>high costs associated with treatment can even lead to catastrophic expenditure</w:t>
      </w:r>
      <w:r w:rsidR="000154C0" w:rsidRPr="00041FEB">
        <w:t>s</w:t>
      </w:r>
      <w:r w:rsidRPr="00041FEB">
        <w:t xml:space="preserve">, especially in poor households </w:t>
      </w:r>
      <w:r w:rsidRPr="00041FEB">
        <w:fldChar w:fldCharType="begin"/>
      </w:r>
      <w:r w:rsidR="00BF5019" w:rsidRPr="00041FEB">
        <w:instrText xml:space="preserve"> ADDIN ZOTERO_ITEM CSL_CITATION {"citationID":"nyMeWQ99","properties":{"formattedCitation":"(39)","plainCitation":"(39)","noteIndex":0},"citationItems":[{"id":2732,"uris":["http://zotero.org/users/local/hhPVnw6l/items/DH2V9NQB"],"uri":["http://zotero.org/users/local/hhPVnw6l/items/DH2V9NQB"],"itemData":{"id":2732,"type":"article-journal","abstract":"Objective\nTo explore factors associated with household coping behaviours in the face of health expenditures in 15 African countries and provide evidence for policy-makers in designing financial health protection mechanisms.\n\nMethods\nA series of logit regressions were performed to explore factors correlating with a greater likelihood of selling assets, borrowing or both to finance health care. The average partial effects for different levels of spending on inpatient care were derived by computing the partial effects for each observation and taking the average across the sample. Data used in the analysis were from the 2002–2003 World Health Survey, which asked how households had financed out-of-pocket payments over the previous year. Households selling assets or borrowing money were compared to those that financed health care from income or savings. Those that used insurance were excluded. For the analysis, a value of 1 was assigned to selling assets or borrowing money and a value of 0 to other coping mechanisms.\n\nFindings\nCoping through borrowing and selling assets ranged from 23% of households in Zambia to 68% in Burkina Faso. In general, the highest income groups were less likely to borrow and sell assets, but coping mechanisms did not differ strongly among lower income quintiles. Households with higher inpatient expenses were significantly more likely to borrow and deplete assets compared to those financing outpatient care or routine medical expenses, except in Burkina Faso, Namibia and Swaziland. In eight countries, the coefficient on the highest quintile of inpatient spending had a P-value below 0.01.\n\nConclusion\nIn most African countries, the health financing system is too weak to protect households from health shocks. Borrowing and selling assets to finance health care are common. Formal prepayment schemes could benefit many households, and an overall social protection network could help to mitigate the long-term effects of ill health on household well-being and support poverty reduction.","container-title":"Bulletin of the World Health Organization","DOI":"10.2471/BLT.07.049403","ISSN":"0042-9686","issue":"11","journalAbbreviation":"Bull World Health Organ","note":"PMID: 19030690\nPMCID: PMC2649544","page":"849-856","source":"PubMed Central","title":"Coping with out-of-pocket health payments: empirical evidence from 15 African countries","title-short":"Coping with out-of-pocket health payments","volume":"86","author":[{"family":"Leive","given":"Adam"},{"family":"Xu","given":"Ke"}],"issued":{"date-parts":[["2008",11]]}}}],"schema":"https://github.com/citation-style-language/schema/raw/master/csl-citation.json"} </w:instrText>
      </w:r>
      <w:r w:rsidRPr="00041FEB">
        <w:fldChar w:fldCharType="separate"/>
      </w:r>
      <w:r w:rsidR="00BF5019" w:rsidRPr="00041FEB">
        <w:rPr>
          <w:noProof/>
        </w:rPr>
        <w:t>(39)</w:t>
      </w:r>
      <w:r w:rsidRPr="00041FEB">
        <w:fldChar w:fldCharType="end"/>
      </w:r>
      <w:r w:rsidRPr="00041FEB">
        <w:t xml:space="preserve">. </w:t>
      </w:r>
    </w:p>
    <w:p w14:paraId="38BA8AEF" w14:textId="77777777" w:rsidR="00392656" w:rsidRPr="00041FEB" w:rsidRDefault="00392656" w:rsidP="00B44AE2">
      <w:pPr>
        <w:spacing w:line="480" w:lineRule="auto"/>
        <w:rPr>
          <w:bCs/>
        </w:rPr>
      </w:pPr>
    </w:p>
    <w:p w14:paraId="6E720FB9" w14:textId="5B140764" w:rsidR="00987864" w:rsidRPr="00041FEB" w:rsidRDefault="00EC471E" w:rsidP="00B44AE2">
      <w:pPr>
        <w:spacing w:line="480" w:lineRule="auto"/>
        <w:rPr>
          <w:bCs/>
        </w:rPr>
      </w:pPr>
      <w:r w:rsidRPr="00041FEB">
        <w:rPr>
          <w:bCs/>
        </w:rPr>
        <w:t>As well as caregiving causing ill health</w:t>
      </w:r>
      <w:r w:rsidR="001F0C65" w:rsidRPr="00041FEB">
        <w:rPr>
          <w:bCs/>
        </w:rPr>
        <w:t>, it is also possible that</w:t>
      </w:r>
      <w:r w:rsidRPr="00041FEB">
        <w:rPr>
          <w:bCs/>
        </w:rPr>
        <w:t xml:space="preserve"> a causal relationship exists in the opposite direction; that is,</w:t>
      </w:r>
      <w:r w:rsidR="001F0C65" w:rsidRPr="00041FEB">
        <w:rPr>
          <w:bCs/>
        </w:rPr>
        <w:t xml:space="preserve"> those who are ill are more likely to be caregivers. For instance, m</w:t>
      </w:r>
      <w:r w:rsidR="00F81C29" w:rsidRPr="00041FEB">
        <w:rPr>
          <w:bCs/>
        </w:rPr>
        <w:t xml:space="preserve">ultimorbidity has a negative impact on labor market participation, and a Canadian study identified chronic physical conditions (e.g., heart disease, arthritis, diabetes) and multimorbidity as risk factors for unemployment </w:t>
      </w:r>
      <w:r w:rsidR="00F81C29" w:rsidRPr="00041FEB">
        <w:rPr>
          <w:bCs/>
        </w:rPr>
        <w:fldChar w:fldCharType="begin"/>
      </w:r>
      <w:r w:rsidR="00BF5019" w:rsidRPr="00041FEB">
        <w:rPr>
          <w:bCs/>
        </w:rPr>
        <w:instrText xml:space="preserve"> ADDIN ZOTERO_ITEM CSL_CITATION {"citationID":"csc1rDNO","properties":{"formattedCitation":"(40)","plainCitation":"(40)","noteIndex":0},"citationItems":[{"id":2655,"uris":["http://zotero.org/users/local/hhPVnw6l/items/FGLTDP9Q"],"uri":["http://zotero.org/users/local/hhPVnw6l/items/FGLTDP9Q"],"itemData":{"id":2655,"type":"article-journal","abstract":"Relatively little attention has been paid to understanding and addressing the potential health-related barriers faced by older workers to stay at work. Using three representative samples from the Canadian Community Health Survey, we examined the relationship between seven physical chronic conditions and labour market participation in Canada between 2000 and 2005. We found that all conditions were associated with an increased probability of not being able to work due to health reasons. In our adjusted models, heart disease was associated with the greatest probability of not working due to health reasons. Arthritis was associated with the largest population attributable fraction. Other variables associated with not being able to work due to health reasons included older age, female gender and lower educational attainment. We also found particular combinations of chronic conditions (heart disease and diabetes; and arthritis and back pain) were associated with a greater risk than the separate effects of each condition independently. The results of this study demonstrate that chronic conditions are associated with labour market participation limitations to differing extents. Strategies to keep older workers in the labour market in Canada will need to address barriers to staying at work that result from the presence of chronic conditions, and particular combinations of conditions.","container-title":"Ageing &amp; Society","DOI":"10.1017/S0144686X13000457","ISSN":"0144-686X, 1469-1779","issue":"10","language":"en","page":"1730-1748","source":"Cambridge Core","title":"Examining the relationship between chronic conditions, multi-morbidity and labour market participation in Canada: 2000–2005","title-short":"Examining the relationship between chronic conditions, multi-morbidity and labour market participation in Canada","volume":"34","author":[{"family":"Smith","given":"Peter"},{"family":"Chen","given":"Cynthia"},{"family":"Mustard","given":"Cameron"},{"family":"Bielecky","given":"Amber"},{"family":"Beaton","given":"Dorcas"},{"family":"Ibrahim","given":"Selahadin"}],"issued":{"date-parts":[["2014",11]]}}}],"schema":"https://github.com/citation-style-language/schema/raw/master/csl-citation.json"} </w:instrText>
      </w:r>
      <w:r w:rsidR="00F81C29" w:rsidRPr="00041FEB">
        <w:rPr>
          <w:bCs/>
        </w:rPr>
        <w:fldChar w:fldCharType="separate"/>
      </w:r>
      <w:r w:rsidR="00BF5019" w:rsidRPr="00041FEB">
        <w:rPr>
          <w:bCs/>
          <w:noProof/>
        </w:rPr>
        <w:t>(40)</w:t>
      </w:r>
      <w:r w:rsidR="00F81C29" w:rsidRPr="00041FEB">
        <w:rPr>
          <w:bCs/>
        </w:rPr>
        <w:fldChar w:fldCharType="end"/>
      </w:r>
      <w:r w:rsidR="00F81C29" w:rsidRPr="00041FEB">
        <w:rPr>
          <w:bCs/>
        </w:rPr>
        <w:t xml:space="preserve">. Therefore, people with </w:t>
      </w:r>
      <w:r w:rsidR="00501904" w:rsidRPr="00041FEB">
        <w:rPr>
          <w:bCs/>
        </w:rPr>
        <w:t xml:space="preserve">physical </w:t>
      </w:r>
      <w:r w:rsidR="00F81C29" w:rsidRPr="00041FEB">
        <w:rPr>
          <w:bCs/>
        </w:rPr>
        <w:t>multimorbidity may be more available for informal caregiving activities (e.g.</w:t>
      </w:r>
      <w:r w:rsidR="00B8159F" w:rsidRPr="00041FEB">
        <w:rPr>
          <w:bCs/>
        </w:rPr>
        <w:t>, personal care, household activities, supervision</w:t>
      </w:r>
      <w:r w:rsidR="00F81C29" w:rsidRPr="00041FEB">
        <w:rPr>
          <w:bCs/>
        </w:rPr>
        <w:t xml:space="preserve">) than those without </w:t>
      </w:r>
      <w:r w:rsidR="00501904" w:rsidRPr="00041FEB">
        <w:rPr>
          <w:bCs/>
        </w:rPr>
        <w:t xml:space="preserve">physical </w:t>
      </w:r>
      <w:r w:rsidR="00F81C29" w:rsidRPr="00041FEB">
        <w:rPr>
          <w:bCs/>
        </w:rPr>
        <w:t>multimorbidity</w:t>
      </w:r>
      <w:r w:rsidR="001F0C65" w:rsidRPr="00041FEB">
        <w:rPr>
          <w:bCs/>
        </w:rPr>
        <w:t xml:space="preserve"> because they are more likely to be unemployed</w:t>
      </w:r>
      <w:r w:rsidR="00F81C29" w:rsidRPr="00041FEB">
        <w:rPr>
          <w:bCs/>
        </w:rPr>
        <w:t>.</w:t>
      </w:r>
      <w:r w:rsidR="00EA1073" w:rsidRPr="00041FEB">
        <w:rPr>
          <w:bCs/>
        </w:rPr>
        <w:t xml:space="preserve"> </w:t>
      </w:r>
      <w:r w:rsidR="007F279F" w:rsidRPr="00041FEB">
        <w:rPr>
          <w:bCs/>
        </w:rPr>
        <w:t xml:space="preserve">The </w:t>
      </w:r>
      <w:r w:rsidR="00987864" w:rsidRPr="00041FEB">
        <w:rPr>
          <w:bCs/>
        </w:rPr>
        <w:t xml:space="preserve">fact that the estimates remained statistically significant after adjustment for employment status </w:t>
      </w:r>
      <w:r w:rsidR="007F279F" w:rsidRPr="00041FEB">
        <w:rPr>
          <w:bCs/>
        </w:rPr>
        <w:t xml:space="preserve">in our study </w:t>
      </w:r>
      <w:r w:rsidR="00987864" w:rsidRPr="00041FEB">
        <w:rPr>
          <w:bCs/>
        </w:rPr>
        <w:t xml:space="preserve">may mean that this </w:t>
      </w:r>
      <w:r w:rsidR="00987864" w:rsidRPr="00041FEB">
        <w:rPr>
          <w:bCs/>
        </w:rPr>
        <w:lastRenderedPageBreak/>
        <w:t>explanation is unlike</w:t>
      </w:r>
      <w:r w:rsidR="007F279F" w:rsidRPr="00041FEB">
        <w:rPr>
          <w:bCs/>
        </w:rPr>
        <w:t xml:space="preserve">ly, but there may be other reasons why an individual </w:t>
      </w:r>
      <w:r w:rsidR="001113A7" w:rsidRPr="00041FEB">
        <w:rPr>
          <w:bCs/>
        </w:rPr>
        <w:t xml:space="preserve">would be </w:t>
      </w:r>
      <w:r w:rsidR="007F279F" w:rsidRPr="00041FEB">
        <w:rPr>
          <w:bCs/>
        </w:rPr>
        <w:t xml:space="preserve">more likely to be at home or available for caregiving and thus, firm conclusions </w:t>
      </w:r>
      <w:r w:rsidR="001113A7" w:rsidRPr="00041FEB">
        <w:rPr>
          <w:bCs/>
        </w:rPr>
        <w:t xml:space="preserve">regarding reverse causality </w:t>
      </w:r>
      <w:r w:rsidR="007F279F" w:rsidRPr="00041FEB">
        <w:rPr>
          <w:bCs/>
        </w:rPr>
        <w:t xml:space="preserve">cannot be drawn from our </w:t>
      </w:r>
      <w:r w:rsidR="00F74410" w:rsidRPr="00041FEB">
        <w:rPr>
          <w:bCs/>
        </w:rPr>
        <w:t xml:space="preserve">cross-sectional </w:t>
      </w:r>
      <w:r w:rsidR="007F279F" w:rsidRPr="00041FEB">
        <w:rPr>
          <w:bCs/>
        </w:rPr>
        <w:t xml:space="preserve">study. Clearly, future longitudinal studies are warranted to understand temporal associations. </w:t>
      </w:r>
    </w:p>
    <w:p w14:paraId="63D6CFE8" w14:textId="77777777" w:rsidR="001F0C65" w:rsidRPr="00041FEB" w:rsidRDefault="001F0C65" w:rsidP="00B44AE2">
      <w:pPr>
        <w:spacing w:line="480" w:lineRule="auto"/>
        <w:rPr>
          <w:bCs/>
        </w:rPr>
      </w:pPr>
    </w:p>
    <w:p w14:paraId="0DB7385C" w14:textId="77777777" w:rsidR="004B0E79" w:rsidRPr="00041FEB" w:rsidRDefault="004B0E79" w:rsidP="00B44AE2">
      <w:pPr>
        <w:spacing w:line="480" w:lineRule="auto"/>
        <w:rPr>
          <w:bCs/>
        </w:rPr>
      </w:pPr>
      <w:r w:rsidRPr="00041FEB">
        <w:rPr>
          <w:bCs/>
        </w:rPr>
        <w:t>Interestingly, there was no significant association between informal caregiving and physical multimorbidity in the elderly in this study. Although the reason for this can only be speculated, it is possible that older adults with physical multimorbidity are too dependent to provide care for someone else, or that basal levels of physical multimorbidity are already high in the elderly population. Alternatively, it is also possible that older people are less likely to be caregivers as older family members (e.g., spouse) in need of informal care may have died. Future studies that investigate age differences in the association between caregiving and physical multimorbidity, ideally using longitudinal data, are warranted to understand the underlying mechanisms.</w:t>
      </w:r>
    </w:p>
    <w:p w14:paraId="33F57993" w14:textId="6B45BEF0" w:rsidR="009B2A48" w:rsidRPr="00041FEB" w:rsidRDefault="009B2A48" w:rsidP="00B44AE2">
      <w:pPr>
        <w:spacing w:line="480" w:lineRule="auto"/>
        <w:rPr>
          <w:bCs/>
        </w:rPr>
      </w:pPr>
    </w:p>
    <w:p w14:paraId="6DBAE26A" w14:textId="145D267E" w:rsidR="009B2A48" w:rsidRPr="00041FEB" w:rsidRDefault="009B2A48" w:rsidP="00B44AE2">
      <w:pPr>
        <w:spacing w:line="480" w:lineRule="auto"/>
        <w:rPr>
          <w:bCs/>
          <w:i/>
          <w:iCs/>
        </w:rPr>
      </w:pPr>
      <w:r w:rsidRPr="00041FEB">
        <w:rPr>
          <w:bCs/>
          <w:i/>
          <w:iCs/>
        </w:rPr>
        <w:t>Clinical implications and</w:t>
      </w:r>
      <w:r w:rsidR="00AC6F89" w:rsidRPr="00041FEB">
        <w:rPr>
          <w:bCs/>
          <w:i/>
          <w:iCs/>
        </w:rPr>
        <w:t xml:space="preserve"> directions for</w:t>
      </w:r>
      <w:r w:rsidRPr="00041FEB">
        <w:rPr>
          <w:bCs/>
          <w:i/>
          <w:iCs/>
        </w:rPr>
        <w:t xml:space="preserve"> future research</w:t>
      </w:r>
    </w:p>
    <w:p w14:paraId="5AA099E5" w14:textId="68265C54" w:rsidR="000437F6" w:rsidRPr="00041FEB" w:rsidRDefault="00223C67" w:rsidP="00B44AE2">
      <w:pPr>
        <w:spacing w:line="480" w:lineRule="auto"/>
        <w:rPr>
          <w:bCs/>
        </w:rPr>
      </w:pPr>
      <w:r w:rsidRPr="00041FEB">
        <w:rPr>
          <w:bCs/>
        </w:rPr>
        <w:t xml:space="preserve">Regardless of whether informal caregiving and </w:t>
      </w:r>
      <w:r w:rsidR="00501904" w:rsidRPr="00041FEB">
        <w:rPr>
          <w:bCs/>
        </w:rPr>
        <w:t xml:space="preserve">physical </w:t>
      </w:r>
      <w:r w:rsidRPr="00041FEB">
        <w:rPr>
          <w:bCs/>
        </w:rPr>
        <w:t>multimorbidity are causally related, our study highlights the fact that informal caregivers in LMICs are more likely to have worse physical health</w:t>
      </w:r>
      <w:r w:rsidR="000154C0" w:rsidRPr="00041FEB">
        <w:rPr>
          <w:bCs/>
        </w:rPr>
        <w:t>,</w:t>
      </w:r>
      <w:r w:rsidRPr="00041FEB">
        <w:rPr>
          <w:bCs/>
        </w:rPr>
        <w:t xml:space="preserve"> and these study results are important when planning strategies to improve the health and wellbeing of informal caregivers to sustain this system.</w:t>
      </w:r>
      <w:r w:rsidR="009E1867" w:rsidRPr="00041FEB">
        <w:rPr>
          <w:bCs/>
        </w:rPr>
        <w:t xml:space="preserve"> </w:t>
      </w:r>
      <w:r w:rsidR="00EC3A84" w:rsidRPr="00041FEB">
        <w:rPr>
          <w:bCs/>
        </w:rPr>
        <w:t xml:space="preserve">The fact that informal caregivers are more likely to have chronic physical conditions or physical multimorbidity is a </w:t>
      </w:r>
      <w:r w:rsidR="009E1867" w:rsidRPr="00041FEB">
        <w:rPr>
          <w:bCs/>
        </w:rPr>
        <w:t>particular concern</w:t>
      </w:r>
      <w:r w:rsidR="00EC3A84" w:rsidRPr="00041FEB">
        <w:rPr>
          <w:bCs/>
        </w:rPr>
        <w:t xml:space="preserve"> as</w:t>
      </w:r>
      <w:r w:rsidR="009E1867" w:rsidRPr="00041FEB">
        <w:rPr>
          <w:bCs/>
        </w:rPr>
        <w:t xml:space="preserve"> informal caregiving activities are often stressful, and stress may aggravate the symptoms of multiple chronic conditions (e.g., pain, </w:t>
      </w:r>
      <w:r w:rsidR="002837A2" w:rsidRPr="00041FEB">
        <w:rPr>
          <w:bCs/>
        </w:rPr>
        <w:t xml:space="preserve">wheeze, </w:t>
      </w:r>
      <w:r w:rsidR="009E1867" w:rsidRPr="00041FEB">
        <w:rPr>
          <w:bCs/>
        </w:rPr>
        <w:t>functional limitation)</w:t>
      </w:r>
      <w:r w:rsidR="002837A2" w:rsidRPr="00041FEB">
        <w:rPr>
          <w:bCs/>
        </w:rPr>
        <w:t xml:space="preserve"> </w:t>
      </w:r>
      <w:r w:rsidR="002837A2" w:rsidRPr="00041FEB">
        <w:rPr>
          <w:bCs/>
        </w:rPr>
        <w:fldChar w:fldCharType="begin"/>
      </w:r>
      <w:r w:rsidR="00BF5019" w:rsidRPr="00041FEB">
        <w:rPr>
          <w:bCs/>
        </w:rPr>
        <w:instrText xml:space="preserve"> ADDIN ZOTERO_ITEM CSL_CITATION {"citationID":"DPNmnnw4","properties":{"formattedCitation":"(41)","plainCitation":"(41)","noteIndex":0},"citationItems":[{"id":2743,"uris":["http://zotero.org/users/local/hhPVnw6l/items/FTFD7LFC"],"uri":["http://zotero.org/users/local/hhPVnw6l/items/FTFD7LFC"],"itemData":{"id":2743,"type":"article-journal","abstract":"OBJECTIVE: Although it is believed that stress contributes to asthma, there are no data from studies in the general population to support this belief. To determine whether stress influences asthma in the general population, a database from a nationwide survey to evaluate the relationship between stress and asthma symptoms was used in the present study.\nMETHODOLOGY: A database generated by the National Health and Nutrition Examination Survey I (in South Korea, 1998) was used for this cross-sectional study. Stratified random samples of 9263 subjects, aged 20 years or older, were selected from the entire population of the country; 95% of these subjects responded. Among the responders, 5048 subjects aged 20-44 years were included in the study. Subjects were interviewed using a questionnaire. Multivariate analysis was performed using multiple logistic regression.\nRESULTS: The prevalence of wheeze and waking in the night because of cough or shortness of breath in the preceding 12 months was 12.9 and 13.5%, respectively. Multivariate analysis showed that the odds ratios for asthma symptoms increased according to the severity of stress reported by the subjects. When stress levels were classified into four categories of little, some, much and very much stress, the odds ratios for wheeze in the preceding 12 months were 1.7 (95% confidence interval (CI) 1.1, 2.5), 2.6 (95% CI 1.7, 4.0) and 3.6 (95% CI 2.1, 5.9) for subjects reporting some, much and very much stress, respectively, relative to those reporting little stress. Using the same stress-level classifications, the odds ratios for waking in the night because of cough or shortness of breath in the preceding 12 months were 1.5 (95% CI 1.0, 2.3), 2.4 (95% CI 1.6, 3.6) and 4.0 (95% CI 2.5, 6.4), respectively.\nCONCLUSION: This cross-sectional study shows an association between stress and asthma symptoms in the general population of South Korea.","container-title":"Respirology (Carlton, Vic.)","DOI":"10.1111/j.1440-1843.2004.00609.x","ISSN":"1323-7799","issue":"3","journalAbbreviation":"Respirology","language":"eng","note":"PMID: 15363009","page":"363-368","source":"PubMed","title":"Association between stress and asthma symptoms: a population-based study","title-short":"Association between stress and asthma symptoms","volume":"9","author":[{"family":"Oh","given":"Yeon-Mok"},{"family":"Kim","given":"Young Sam"},{"family":"Yoo","given":"Se Hwa"},{"family":"Kim","given":"Sung Kyu"},{"family":"Kim","given":"Dong Soon"}],"issued":{"date-parts":[["2004",8]]}}}],"schema":"https://github.com/citation-style-language/schema/raw/master/csl-citation.json"} </w:instrText>
      </w:r>
      <w:r w:rsidR="002837A2" w:rsidRPr="00041FEB">
        <w:rPr>
          <w:bCs/>
        </w:rPr>
        <w:fldChar w:fldCharType="separate"/>
      </w:r>
      <w:r w:rsidR="00BF5019" w:rsidRPr="00041FEB">
        <w:rPr>
          <w:bCs/>
          <w:noProof/>
        </w:rPr>
        <w:t>(41)</w:t>
      </w:r>
      <w:r w:rsidR="002837A2" w:rsidRPr="00041FEB">
        <w:rPr>
          <w:bCs/>
        </w:rPr>
        <w:fldChar w:fldCharType="end"/>
      </w:r>
      <w:r w:rsidR="009E1867" w:rsidRPr="00041FEB">
        <w:rPr>
          <w:bCs/>
        </w:rPr>
        <w:t>, have a negative impact on treatment adherence</w:t>
      </w:r>
      <w:r w:rsidR="009B7123" w:rsidRPr="00041FEB">
        <w:rPr>
          <w:bCs/>
        </w:rPr>
        <w:t xml:space="preserve"> </w:t>
      </w:r>
      <w:r w:rsidR="009B7123" w:rsidRPr="00041FEB">
        <w:rPr>
          <w:bCs/>
        </w:rPr>
        <w:fldChar w:fldCharType="begin"/>
      </w:r>
      <w:r w:rsidR="00BF5019" w:rsidRPr="00041FEB">
        <w:rPr>
          <w:bCs/>
        </w:rPr>
        <w:instrText xml:space="preserve"> ADDIN ZOTERO_ITEM CSL_CITATION {"citationID":"e0DireI1","properties":{"formattedCitation":"(42)","plainCitation":"(42)","noteIndex":0},"citationItems":[{"id":2738,"uris":["http://zotero.org/users/local/hhPVnw6l/items/VIBPMF87"],"uri":["http://zotero.org/users/local/hhPVnw6l/items/VIBPMF87"],"itemData":{"id":2738,"type":"article-journal","abstract":"OBJECTIVE: Cross-sectional studies link both depressive symptoms (DS) and diabetes-related distress (DRD) to diabetes self-management and/or glycemic control. However, longitudinal studies of these variables are rare, and their results are somewhat conflicting. The study objective was to compare DS and DRD as longitudinal predictors of medication adherence, self-care behavior, and glycemic control in type 2 diabetes.\nRESEARCH DESIGN AND METHODS: Primary care patients with type 2 diabetes reported DS, DRD, and other variables at baseline were studied. Medication adherence, self-care behaviors (diet, physical activity, and glucose testing), and glycemic control (HbA(1c)) were assessed 6 months later (n = 253). Cross-sectional and longitudinal regression analyses were used to model behavioral and medical outcomes as a function of baseline confounders, DS, and DRD.\nRESULTS: Adjusted cross-sectional and longitudinal analyses yielded very similar results. In the latter, only DS were significantly associated with future diet behavior (P = 0.049), physical activity (P = 0.001), and glucose testing (P = 0.018). In contrast, only DRD predicted future glycemic control (P &lt; 0.001) and medication adherence (P = 0.011).\nCONCLUSIONS: Distress-outcome associations seem to vary by type of distress under consideration. Only DS predicts future lifestyle-oriented self-management behaviors. In contrast, only DRD predicts glycemic control, perhaps by decreasing medication adherence. Clinical assessment and intervention should encompass both types of distress, unless the goal is to narrowly target a highly specific outcome.","container-title":"Diabetes Care","DOI":"10.2337/dc12-0181","ISSN":"1935-5548","issue":"12","journalAbbreviation":"Diabetes Care","language":"eng","note":"PMID: 23033244\nPMCID: PMC3507577","page":"2472-2478","source":"PubMed","title":"Prospective associations between emotional distress and poor outcomes in type 2 diabetes","volume":"35","author":[{"family":"Aikens","given":"James E."}],"issued":{"date-parts":[["2012",12]]}}}],"schema":"https://github.com/citation-style-language/schema/raw/master/csl-citation.json"} </w:instrText>
      </w:r>
      <w:r w:rsidR="009B7123" w:rsidRPr="00041FEB">
        <w:rPr>
          <w:bCs/>
        </w:rPr>
        <w:fldChar w:fldCharType="separate"/>
      </w:r>
      <w:r w:rsidR="00BF5019" w:rsidRPr="00041FEB">
        <w:rPr>
          <w:bCs/>
          <w:noProof/>
        </w:rPr>
        <w:t>(42)</w:t>
      </w:r>
      <w:r w:rsidR="009B7123" w:rsidRPr="00041FEB">
        <w:rPr>
          <w:bCs/>
        </w:rPr>
        <w:fldChar w:fldCharType="end"/>
      </w:r>
      <w:r w:rsidR="009E1867" w:rsidRPr="00041FEB">
        <w:rPr>
          <w:bCs/>
        </w:rPr>
        <w:t>, and increase mortality</w:t>
      </w:r>
      <w:r w:rsidR="00EC471E" w:rsidRPr="00041FEB">
        <w:rPr>
          <w:bCs/>
        </w:rPr>
        <w:t>,</w:t>
      </w:r>
      <w:r w:rsidR="009E1867" w:rsidRPr="00041FEB">
        <w:rPr>
          <w:bCs/>
        </w:rPr>
        <w:t xml:space="preserve"> </w:t>
      </w:r>
      <w:r w:rsidR="00EC3A84" w:rsidRPr="00041FEB">
        <w:rPr>
          <w:bCs/>
        </w:rPr>
        <w:t>especially among those with multimorbidity</w:t>
      </w:r>
      <w:r w:rsidR="00FD274F" w:rsidRPr="00041FEB">
        <w:rPr>
          <w:bCs/>
        </w:rPr>
        <w:t xml:space="preserve"> </w:t>
      </w:r>
      <w:r w:rsidR="00FD274F" w:rsidRPr="00041FEB">
        <w:rPr>
          <w:bCs/>
        </w:rPr>
        <w:fldChar w:fldCharType="begin"/>
      </w:r>
      <w:r w:rsidR="00BF5019" w:rsidRPr="00041FEB">
        <w:rPr>
          <w:bCs/>
        </w:rPr>
        <w:instrText xml:space="preserve"> ADDIN ZOTERO_ITEM CSL_CITATION {"citationID":"Vu7l3tbm","properties":{"formattedCitation":"(43)","plainCitation":"(43)","noteIndex":0},"citationItems":[{"id":2745,"uris":["http://zotero.org/users/local/hhPVnw6l/items/HX7SPFM8"],"uri":["http://zotero.org/users/local/hhPVnw6l/items/HX7SPFM8"],"itemData":{"id":2745,"type":"article-journal","abstract":"Abstract.  Multimorbidity is common and is associated with poor mental health and high mortality. Nevertheless, no studies have evaluated whether mental health","container-title":"American Journal of Epidemiology","DOI":"10.1093/aje/kwv324","ISSN":"0002-9262","issue":"3","journalAbbreviation":"Am J Epidemiol","language":"en","page":"199-210","source":"academic.oup.com","title":"The Association Between Perceived Stress and Mortality Among People With Multimorbidity: A Prospective Population-Based Cohort Study","title-short":"The Association Between Perceived Stress and Mortality Among People With Multimorbidity","volume":"184","author":[{"family":"Prior","given":"Anders"},{"family":"Fenger-Grøn","given":"Morten"},{"family":"Larsen","given":"Karen Kjær"},{"family":"Larsen","given":"Finn Breinholt"},{"family":"Robinson","given":"Kirstine Magtengaard"},{"family":"Nielsen","given":"Marie Germund"},{"family":"Christensen","given":"Kaj Sparle"},{"family":"Mercer","given":"Stewart W."},{"family":"Vestergaard","given":"Mogens"}],"issued":{"date-parts":[["2016",8,1]]}}}],"schema":"https://github.com/citation-style-language/schema/raw/master/csl-citation.json"} </w:instrText>
      </w:r>
      <w:r w:rsidR="00FD274F" w:rsidRPr="00041FEB">
        <w:rPr>
          <w:bCs/>
        </w:rPr>
        <w:fldChar w:fldCharType="separate"/>
      </w:r>
      <w:r w:rsidR="00BF5019" w:rsidRPr="00041FEB">
        <w:rPr>
          <w:bCs/>
          <w:noProof/>
        </w:rPr>
        <w:t>(43)</w:t>
      </w:r>
      <w:r w:rsidR="00FD274F" w:rsidRPr="00041FEB">
        <w:rPr>
          <w:bCs/>
        </w:rPr>
        <w:fldChar w:fldCharType="end"/>
      </w:r>
      <w:r w:rsidR="009E1867" w:rsidRPr="00041FEB">
        <w:rPr>
          <w:bCs/>
        </w:rPr>
        <w:t xml:space="preserve">. </w:t>
      </w:r>
      <w:r w:rsidR="00496A69" w:rsidRPr="00041FEB">
        <w:rPr>
          <w:bCs/>
        </w:rPr>
        <w:t xml:space="preserve">Interventions reducing </w:t>
      </w:r>
      <w:r w:rsidR="00583BA9" w:rsidRPr="00041FEB">
        <w:rPr>
          <w:bCs/>
        </w:rPr>
        <w:t>burden</w:t>
      </w:r>
      <w:r w:rsidR="00851495" w:rsidRPr="00041FEB">
        <w:rPr>
          <w:bCs/>
        </w:rPr>
        <w:t xml:space="preserve">, </w:t>
      </w:r>
      <w:r w:rsidR="00583BA9" w:rsidRPr="00041FEB">
        <w:rPr>
          <w:bCs/>
        </w:rPr>
        <w:t xml:space="preserve">improving </w:t>
      </w:r>
      <w:r w:rsidR="00583BA9" w:rsidRPr="00041FEB">
        <w:rPr>
          <w:bCs/>
        </w:rPr>
        <w:lastRenderedPageBreak/>
        <w:t>support</w:t>
      </w:r>
      <w:r w:rsidR="00851495" w:rsidRPr="00041FEB">
        <w:rPr>
          <w:bCs/>
        </w:rPr>
        <w:t xml:space="preserve"> and favoring respite</w:t>
      </w:r>
      <w:r w:rsidR="00583BA9" w:rsidRPr="00041FEB">
        <w:rPr>
          <w:bCs/>
        </w:rPr>
        <w:t xml:space="preserve"> in caregivers may help </w:t>
      </w:r>
      <w:r w:rsidR="007B56F7" w:rsidRPr="00041FEB">
        <w:rPr>
          <w:bCs/>
        </w:rPr>
        <w:t xml:space="preserve">prevent the onset of chronic physical conditions and improve the management of these conditions when </w:t>
      </w:r>
      <w:r w:rsidR="00EA424A" w:rsidRPr="00041FEB">
        <w:rPr>
          <w:bCs/>
        </w:rPr>
        <w:t xml:space="preserve">they are </w:t>
      </w:r>
      <w:r w:rsidR="007B56F7" w:rsidRPr="00041FEB">
        <w:rPr>
          <w:bCs/>
        </w:rPr>
        <w:t>already present</w:t>
      </w:r>
      <w:r w:rsidR="001C2710" w:rsidRPr="00041FEB">
        <w:rPr>
          <w:bCs/>
        </w:rPr>
        <w:t xml:space="preserve"> </w:t>
      </w:r>
      <w:r w:rsidR="001C2710" w:rsidRPr="00041FEB">
        <w:rPr>
          <w:bCs/>
        </w:rPr>
        <w:fldChar w:fldCharType="begin"/>
      </w:r>
      <w:r w:rsidR="00BF5019" w:rsidRPr="00041FEB">
        <w:rPr>
          <w:bCs/>
        </w:rPr>
        <w:instrText xml:space="preserve"> ADDIN ZOTERO_ITEM CSL_CITATION {"citationID":"xu8sfrWj","properties":{"formattedCitation":"(44)","plainCitation":"(44)","noteIndex":0},"citationItems":[{"id":2657,"uris":["http://zotero.org/users/local/hhPVnw6l/items/J76NM2MJ"],"uri":["http://zotero.org/users/local/hhPVnw6l/items/J76NM2MJ"],"itemData":{"id":2657,"type":"article-journal","abstract":"Abstract.  Purpose: The purpose of this study was to determine the effectiveness of interventions for family caregivers of older adults. Design and Methods: Met","container-title":"The Gerontologist","DOI":"10.1093/geront/42.3.356","ISSN":"0016-9013","issue":"3","journalAbbreviation":"Gerontologist","language":"en","page":"356-372","source":"academic.oup.com","title":"How Effective Are Interventions With Caregivers? An Updated Meta-Analysis","title-short":"How Effective Are Interventions With Caregivers?","volume":"42","author":[{"family":"Sörensen","given":"Silvia"},{"family":"Pinquart","given":"Martin"},{"family":"Duberstein","given":"Paul"}],"issued":{"date-parts":[["2002",6,1]]}}}],"schema":"https://github.com/citation-style-language/schema/raw/master/csl-citation.json"} </w:instrText>
      </w:r>
      <w:r w:rsidR="001C2710" w:rsidRPr="00041FEB">
        <w:rPr>
          <w:bCs/>
        </w:rPr>
        <w:fldChar w:fldCharType="separate"/>
      </w:r>
      <w:r w:rsidR="00BF5019" w:rsidRPr="00041FEB">
        <w:rPr>
          <w:bCs/>
          <w:noProof/>
        </w:rPr>
        <w:t>(44)</w:t>
      </w:r>
      <w:r w:rsidR="001C2710" w:rsidRPr="00041FEB">
        <w:rPr>
          <w:bCs/>
        </w:rPr>
        <w:fldChar w:fldCharType="end"/>
      </w:r>
      <w:r w:rsidR="007B56F7" w:rsidRPr="00041FEB">
        <w:rPr>
          <w:bCs/>
        </w:rPr>
        <w:t xml:space="preserve">. </w:t>
      </w:r>
      <w:r w:rsidR="004E3B32" w:rsidRPr="00041FEB">
        <w:rPr>
          <w:bCs/>
        </w:rPr>
        <w:t xml:space="preserve">For example, a systematic review and meta-analysis of </w:t>
      </w:r>
      <w:r w:rsidR="00DE603D" w:rsidRPr="00041FEB">
        <w:rPr>
          <w:bCs/>
        </w:rPr>
        <w:t xml:space="preserve">32 randomized controlled trials showed that psychoeducation was associated with a significant decrease in global morbidities and perceived burden in family </w:t>
      </w:r>
      <w:proofErr w:type="spellStart"/>
      <w:r w:rsidR="00DE603D" w:rsidRPr="00041FEB">
        <w:rPr>
          <w:bCs/>
        </w:rPr>
        <w:t>carers</w:t>
      </w:r>
      <w:proofErr w:type="spellEnd"/>
      <w:r w:rsidR="00DE603D" w:rsidRPr="00041FEB">
        <w:rPr>
          <w:bCs/>
        </w:rPr>
        <w:t xml:space="preserve"> of people with psychosis </w:t>
      </w:r>
      <w:r w:rsidR="00DE603D" w:rsidRPr="00041FEB">
        <w:rPr>
          <w:bCs/>
        </w:rPr>
        <w:fldChar w:fldCharType="begin"/>
      </w:r>
      <w:r w:rsidR="00BF5019" w:rsidRPr="00041FEB">
        <w:rPr>
          <w:bCs/>
        </w:rPr>
        <w:instrText xml:space="preserve"> ADDIN ZOTERO_ITEM CSL_CITATION {"citationID":"HeblaIQF","properties":{"formattedCitation":"(45)","plainCitation":"(45)","noteIndex":0},"citationItems":[{"id":3455,"uris":["http://zotero.org/users/local/hhPVnw6l/items/WLNLU53U"],"uri":["http://zotero.org/users/local/hhPVnw6l/items/WLNLU53U"],"itemData":{"id":3455,"type":"article-journal","abstract":"Psychoeducational interventions for family carers of people with psychosis are effective for improving compliance and preventing relapse. Whether carers benefit from these interventions has been little explored. This systematic review investigated the effectiveness of psychoeducation for improving carers' outcomes, and potential treatment moderators. We searched for randomised controlled trials (RCTs) published in English or Chinese in eight databases. Carers' outcomes included wellbeing, quality of life, global morbidities, burden, and expressed emotion. Thirty-two RCTs were included, examining 2858 carers. Intervention duration ranged from 4 to 52weeks, and contact times ranged from 6 to 42hours. At post intervention, findings were equivocal for carers' wellbeing (SMD 0.103, 95% CI -0.186 to 0.392). Conversely, psychoeducation was superior in reducing carers' global morbidities (SMD -0.230, 95% CI -0.386 to -0.075), perceived burden (SMD -0.434, 95% CI -0.567 to -0.31), negative caregiving experiences (SMD -0.210, 95% CI -0.396 to -0.025) and expressed emotion (SMD -0.161, 95% CI -0.367 to -0.045). The lack of available data precluded meta-analysis of outcomes beyond short-term follow-up. Meta-regression revealed no significant associations between intervention modality, duration, or contact time and outcomes. Further research should focus on improving carers' outcomes in the longer-term and identifying factors to optimise intervention design.","container-title":"Clinical Psychology Review","DOI":"10.1016/j.cpr.2017.05.002","ISSN":"1873-7811","journalAbbreviation":"Clin Psychol Rev","language":"eng","note":"PMID: 28578249","page":"13-24","source":"PubMed","title":"Effectiveness of psychoeducational interventions for family carers of people with psychosis: A systematic review and meta-analysis","title-short":"Effectiveness of psychoeducational interventions for family carers of people with psychosis","volume":"56","author":[{"family":"Sin","given":"Jacqueline"},{"family":"Gillard","given":"Steve"},{"family":"Spain","given":"Debbie"},{"family":"Cornelius","given":"Victoria"},{"family":"Chen","given":"Tao"},{"family":"Henderson","given":"Claire"}],"issued":{"date-parts":[["2017",8]]}}}],"schema":"https://github.com/citation-style-language/schema/raw/master/csl-citation.json"} </w:instrText>
      </w:r>
      <w:r w:rsidR="00DE603D" w:rsidRPr="00041FEB">
        <w:rPr>
          <w:bCs/>
        </w:rPr>
        <w:fldChar w:fldCharType="separate"/>
      </w:r>
      <w:r w:rsidR="00BF5019" w:rsidRPr="00041FEB">
        <w:rPr>
          <w:bCs/>
          <w:noProof/>
        </w:rPr>
        <w:t>(45)</w:t>
      </w:r>
      <w:r w:rsidR="00DE603D" w:rsidRPr="00041FEB">
        <w:rPr>
          <w:bCs/>
        </w:rPr>
        <w:fldChar w:fldCharType="end"/>
      </w:r>
      <w:r w:rsidR="00DE603D" w:rsidRPr="00041FEB">
        <w:rPr>
          <w:bCs/>
        </w:rPr>
        <w:t>.</w:t>
      </w:r>
      <w:r w:rsidR="005824CC" w:rsidRPr="00041FEB">
        <w:rPr>
          <w:bCs/>
        </w:rPr>
        <w:t xml:space="preserve"> Another</w:t>
      </w:r>
      <w:r w:rsidR="00127ACA" w:rsidRPr="00041FEB">
        <w:rPr>
          <w:bCs/>
        </w:rPr>
        <w:t xml:space="preserve"> cross-sectional</w:t>
      </w:r>
      <w:r w:rsidR="005824CC" w:rsidRPr="00041FEB">
        <w:rPr>
          <w:bCs/>
        </w:rPr>
        <w:t xml:space="preserve"> study further found </w:t>
      </w:r>
      <w:r w:rsidR="00D10C04" w:rsidRPr="00041FEB">
        <w:rPr>
          <w:bCs/>
        </w:rPr>
        <w:t xml:space="preserve">in almost 600 participants </w:t>
      </w:r>
      <w:r w:rsidR="005824CC" w:rsidRPr="00041FEB">
        <w:rPr>
          <w:bCs/>
        </w:rPr>
        <w:t xml:space="preserve">that </w:t>
      </w:r>
      <w:r w:rsidR="00D10C04" w:rsidRPr="00041FEB">
        <w:rPr>
          <w:bCs/>
        </w:rPr>
        <w:t xml:space="preserve">home nursing care had a significant and positive impact on self-rated health in caregivers aged 65 years or older </w:t>
      </w:r>
      <w:r w:rsidR="00D10C04" w:rsidRPr="00041FEB">
        <w:rPr>
          <w:bCs/>
        </w:rPr>
        <w:fldChar w:fldCharType="begin"/>
      </w:r>
      <w:r w:rsidR="00BF5019" w:rsidRPr="00041FEB">
        <w:rPr>
          <w:bCs/>
        </w:rPr>
        <w:instrText xml:space="preserve"> ADDIN ZOTERO_ITEM CSL_CITATION {"citationID":"sclhuCdB","properties":{"formattedCitation":"(46)","plainCitation":"(46)","noteIndex":0},"citationItems":[{"id":3458,"uris":["http://zotero.org/users/local/hhPVnw6l/items/VFXF75WK"],"uri":["http://zotero.org/users/local/hhPVnw6l/items/VFXF75WK"],"itemData":{"id":3458,"type":"article-journal","abstract":"Background\nCaregiver health is a crucial public health concern due to the increasing number of elderly people with disabilities. Elderly caregivers are more likely to have poorer health and be a care recipient than younger caregivers. The Taiwan government offers home-based long-term care (LTC) services to provide formal care and decrease the burden of caregivers. This study examined the effects of home-based LTC services on caregiver health according to caregiver age.\n\nMethods\nThis cross-sectional study included a simple random sample of care recipients and their caregivers. The care recipients had used LTC services under the Ten-Year Long-Term Care Project (TLTCP) in Taiwan. Data were collected through self-administered questionnaires from September 2012 to January 2013. The following variables were assessed for caregivers: health, sex, marital status, education level, relationship with care recipient, quality of relationship with care recipient, job, household monthly income, family income spent on caring for the care recipient (%) and caregiving period. Furthermore, the following factors were assessed for care recipients: age, sex, marital status, education level, living alone, number of family members living with the care recipient, quality of relationship with family and dependency level. The health of the caregivers and care recipients was measured using a self-rated question (self-rated health [SRH] was rated as very poor, poor, fair, good and very good).\n\nResults\nThe study revealed that home nursing care was significantly associated with the health of caregivers aged 65 years or older; however, caregivers aged less than 65 who had used home nursing care, rehabilitation or respite care had poorer health than those who had not used these services. In addition, the following variables significantly improved the health of caregivers aged 65 years or older: caregiver employment, 20% or less of family income spent on caregiving than 81%–100% and higher care recipient health. The involvement of daughters-in-law, rather than spouses, and care recipient health were positively related to the health of caregivers aged less than 65 years.\n\nConclusions\nThe findings suggest that home-based LTC service use benefits the health of elderly caregivers. By contrast, home-based LTC service use may be negatively correlated with the health of the caregivers aged less than 65 years.\n\nElectronic supplementary material\nThe online version of this article (10.1186/s12955-017-0786-6) contains supplementary material, which is available to authorized users.","container-title":"Health and Quality of Life Outcomes","DOI":"10.1186/s12955-017-0786-6","ISSN":"1477-7525","journalAbbreviation":"Health Qual Life Outcomes","note":"PMID: 29061145\nPMCID: PMC5651602","source":"PubMed Central","title":"Effects of home-based long-term care services on caregiver health according to age","URL":"https://www.ncbi.nlm.nih.gov/pmc/articles/PMC5651602/","volume":"15","author":[{"family":"Chen","given":"Ming-Chun"},{"family":"Kao","given":"Chi-Wen"},{"family":"Chiu","given":"Yu-Lung"},{"family":"Lin","given":"Tzu-Ying"},{"family":"Tsai","given":"Yu-Ting"},{"family":"Jian","given":"Yi-Ting Zhang"},{"family":"Tzeng","given":"Ya-Mei"},{"family":"Lin","given":"Fu-Gong"},{"family":"Hwang","given":"Shu-Ling"},{"family":"Li","given":"Shan-Ru"},{"family":"Kao","given":"Senyeong"}],"accessed":{"date-parts":[["2019",12,22]]},"issued":{"date-parts":[["2017",10,23]]}}}],"schema":"https://github.com/citation-style-language/schema/raw/master/csl-citation.json"} </w:instrText>
      </w:r>
      <w:r w:rsidR="00D10C04" w:rsidRPr="00041FEB">
        <w:rPr>
          <w:bCs/>
        </w:rPr>
        <w:fldChar w:fldCharType="separate"/>
      </w:r>
      <w:r w:rsidR="00BF5019" w:rsidRPr="00041FEB">
        <w:rPr>
          <w:bCs/>
          <w:noProof/>
        </w:rPr>
        <w:t>(46)</w:t>
      </w:r>
      <w:r w:rsidR="00D10C04" w:rsidRPr="00041FEB">
        <w:rPr>
          <w:bCs/>
        </w:rPr>
        <w:fldChar w:fldCharType="end"/>
      </w:r>
      <w:r w:rsidR="00D10C04" w:rsidRPr="00041FEB">
        <w:rPr>
          <w:bCs/>
        </w:rPr>
        <w:t>.</w:t>
      </w:r>
      <w:r w:rsidR="00C52A15" w:rsidRPr="00041FEB">
        <w:rPr>
          <w:bCs/>
        </w:rPr>
        <w:t xml:space="preserve"> Finally, </w:t>
      </w:r>
      <w:r w:rsidR="002924A3" w:rsidRPr="00041FEB">
        <w:rPr>
          <w:bCs/>
        </w:rPr>
        <w:t xml:space="preserve">a study of 39 patients with dementia and their caregivers revealed that there was a positive relationship between institutional respite periods, total sleep time per night, total time in bed per night, and improvements in subjective sleep quality </w:t>
      </w:r>
      <w:r w:rsidR="002924A3" w:rsidRPr="00041FEB">
        <w:rPr>
          <w:bCs/>
        </w:rPr>
        <w:fldChar w:fldCharType="begin"/>
      </w:r>
      <w:r w:rsidR="00BF5019" w:rsidRPr="00041FEB">
        <w:rPr>
          <w:bCs/>
        </w:rPr>
        <w:instrText xml:space="preserve"> ADDIN ZOTERO_ITEM CSL_CITATION {"citationID":"Z0XgEFOz","properties":{"formattedCitation":"(47)","plainCitation":"(47)","noteIndex":0},"citationItems":[{"id":3461,"uris":["http://zotero.org/users/local/hhPVnw6l/items/8AJH539N"],"uri":["http://zotero.org/users/local/hhPVnw6l/items/8AJH539N"],"itemData":{"id":3461,"type":"article-journal","abstract":"OBJECTIVES: To evaluate the sleep-wake patterns of community-dwelling patients with dementia and their primary caregivers before, during, and after 2-week periods of institutional respite care.\nDESIGN: Prospective case series.\nSETTING: Four community hospital units in East Midlands, United Kingdom.\nPARTICIPANTS: Thirty-nine patients meeting Diagnostic and Statistical Manual of Mental Disorders, Fourth Edition, criteria for dementia and caregivers completed baseline assessments; 33 of these dyads completed the full protocol.\nINTERVENTION: A 2-week period of institutional respite care during which patients were admitted to community hospitals (and received routine care) while caregivers remained at home.\nMEASUREMENTS: For patients and caregivers, primary sleep outcomes were derived from 6 weeks of continuous wrist actigraphy (2 weeks baseline; 2 weeks respite; 2 weeks follow-up) using the Actiwatch system. For caregivers, actigraphic measures were augmented with assessments of quality of life (using the Medical Outcomes Study 36-item Short Form survey) and quality of sleep (using the Pittsburgh Sleep Quality Index) at baseline and by daily sleep diaries and weekly Epworth Sleepiness Scale ratings throughout the study.\nRESULTS: At baseline, caregivers and patients showed profiles of clinically significant sleep disturbance. For caregivers, respite periods were associated with significant (P&lt;.05) increases in total sleep time per night, total time in bed per night, and improvements in subjective sleep quality. The benefits of respite were most evident for caregivers who did not share a bedroom with the patient. For patients, respite was associated with significant (P&lt;.05) increases in sleep onset latency, reductions in total sleep time per night, and weakening of the circadian activity rhythm. All measures shifted in the direction of baseline levels at follow-up.\nCONCLUSION: Dementia caregivers show a profile of sleep disturbance consistent with adjustment insomnia, with sleep disturbances partially reversed during periods of institutional respite care. Nevertheless, for patients, respite care worsens already disturbed sleep patterns. To optimize benefits for caregivers and patients, respite care should target sleep management.","container-title":"Journal of the American Geriatrics Society","DOI":"10.1111/j.1532-5415.2007.01036.x","ISSN":"0002-8614","issue":"2","journalAbbreviation":"J Am Geriatr Soc","language":"eng","note":"PMID: 17302663","page":"252-258","source":"PubMed","title":"Effect of institutional respite care on the sleep of people with dementia and their primary caregivers","volume":"55","author":[{"family":"Lee","given":"David"},{"family":"Morgan","given":"Kevin"},{"family":"Lindesay","given":"James"}],"issued":{"date-parts":[["2007",2]]}}}],"schema":"https://github.com/citation-style-language/schema/raw/master/csl-citation.json"} </w:instrText>
      </w:r>
      <w:r w:rsidR="002924A3" w:rsidRPr="00041FEB">
        <w:rPr>
          <w:bCs/>
        </w:rPr>
        <w:fldChar w:fldCharType="separate"/>
      </w:r>
      <w:r w:rsidR="00BF5019" w:rsidRPr="00041FEB">
        <w:rPr>
          <w:bCs/>
          <w:noProof/>
        </w:rPr>
        <w:t>(47)</w:t>
      </w:r>
      <w:r w:rsidR="002924A3" w:rsidRPr="00041FEB">
        <w:rPr>
          <w:bCs/>
        </w:rPr>
        <w:fldChar w:fldCharType="end"/>
      </w:r>
      <w:r w:rsidR="002924A3" w:rsidRPr="00041FEB">
        <w:rPr>
          <w:bCs/>
        </w:rPr>
        <w:t>.</w:t>
      </w:r>
      <w:r w:rsidR="00343D0F" w:rsidRPr="00041FEB">
        <w:rPr>
          <w:bCs/>
        </w:rPr>
        <w:t xml:space="preserve"> </w:t>
      </w:r>
    </w:p>
    <w:p w14:paraId="3DF2FE21" w14:textId="77777777" w:rsidR="000437F6" w:rsidRPr="00041FEB" w:rsidRDefault="000437F6" w:rsidP="00B44AE2">
      <w:pPr>
        <w:spacing w:line="480" w:lineRule="auto"/>
        <w:rPr>
          <w:bCs/>
        </w:rPr>
      </w:pPr>
    </w:p>
    <w:p w14:paraId="5F753DEC" w14:textId="37A34922" w:rsidR="009B2A48" w:rsidRPr="00041FEB" w:rsidRDefault="000154C0" w:rsidP="00B44AE2">
      <w:pPr>
        <w:spacing w:line="480" w:lineRule="auto"/>
        <w:rPr>
          <w:bCs/>
        </w:rPr>
      </w:pPr>
      <w:r w:rsidRPr="00041FEB">
        <w:rPr>
          <w:bCs/>
        </w:rPr>
        <w:t xml:space="preserve">Treating patients with </w:t>
      </w:r>
      <w:r w:rsidR="00501904" w:rsidRPr="00041FEB">
        <w:rPr>
          <w:bCs/>
        </w:rPr>
        <w:t xml:space="preserve">physical </w:t>
      </w:r>
      <w:r w:rsidRPr="00041FEB">
        <w:rPr>
          <w:bCs/>
        </w:rPr>
        <w:t xml:space="preserve">multimorbidity can be complex (e.g. polypharmacy, </w:t>
      </w:r>
      <w:r w:rsidR="00D61350" w:rsidRPr="00041FEB">
        <w:rPr>
          <w:bCs/>
        </w:rPr>
        <w:t>simultaneous treatments</w:t>
      </w:r>
      <w:r w:rsidRPr="00041FEB">
        <w:rPr>
          <w:bCs/>
        </w:rPr>
        <w:t xml:space="preserve">) and requires a continuity of care </w:t>
      </w:r>
      <w:r w:rsidR="00D61350" w:rsidRPr="00041FEB">
        <w:rPr>
          <w:bCs/>
        </w:rPr>
        <w:t>with</w:t>
      </w:r>
      <w:r w:rsidRPr="00041FEB">
        <w:rPr>
          <w:bCs/>
        </w:rPr>
        <w:t xml:space="preserve"> extended consultations to manage multiple conditions </w:t>
      </w:r>
      <w:r w:rsidR="00D61350" w:rsidRPr="00041FEB">
        <w:rPr>
          <w:bCs/>
        </w:rPr>
        <w:t>at once</w:t>
      </w:r>
      <w:r w:rsidRPr="00041FEB">
        <w:rPr>
          <w:bCs/>
        </w:rPr>
        <w:t xml:space="preserve">. </w:t>
      </w:r>
      <w:r w:rsidR="00D61350" w:rsidRPr="00041FEB">
        <w:rPr>
          <w:bCs/>
        </w:rPr>
        <w:t>However, it is possible that in</w:t>
      </w:r>
      <w:r w:rsidR="00D61350" w:rsidRPr="00041FEB">
        <w:rPr>
          <w:rFonts w:cs="Times New Roman"/>
        </w:rPr>
        <w:t xml:space="preserve"> many</w:t>
      </w:r>
      <w:r w:rsidR="002F20CA" w:rsidRPr="00041FEB">
        <w:rPr>
          <w:rFonts w:cs="Times New Roman"/>
        </w:rPr>
        <w:t xml:space="preserve"> LMICs, </w:t>
      </w:r>
      <w:r w:rsidR="00D61350" w:rsidRPr="00041FEB">
        <w:rPr>
          <w:rFonts w:cs="Times New Roman"/>
        </w:rPr>
        <w:t>treatment systems may lack</w:t>
      </w:r>
      <w:r w:rsidR="002F20CA" w:rsidRPr="00041FEB">
        <w:rPr>
          <w:rFonts w:cs="Times New Roman"/>
        </w:rPr>
        <w:t xml:space="preserve"> integration of care</w:t>
      </w:r>
      <w:r w:rsidR="00D61350" w:rsidRPr="00041FEB">
        <w:rPr>
          <w:rFonts w:cs="Times New Roman"/>
        </w:rPr>
        <w:t xml:space="preserve"> or the capacity to provide this level of service quality</w:t>
      </w:r>
      <w:r w:rsidR="00CF6A55" w:rsidRPr="00041FEB">
        <w:rPr>
          <w:rFonts w:cs="Times New Roman"/>
        </w:rPr>
        <w:t xml:space="preserve"> </w:t>
      </w:r>
      <w:r w:rsidR="00CF6A55" w:rsidRPr="00041FEB">
        <w:rPr>
          <w:rFonts w:cs="Times New Roman"/>
        </w:rPr>
        <w:fldChar w:fldCharType="begin"/>
      </w:r>
      <w:r w:rsidR="00BF5019" w:rsidRPr="00041FEB">
        <w:rPr>
          <w:rFonts w:cs="Times New Roman"/>
        </w:rPr>
        <w:instrText xml:space="preserve"> ADDIN ZOTERO_ITEM CSL_CITATION {"citationID":"l1A8uWuH","properties":{"formattedCitation":"(48)","plainCitation":"(48)","noteIndex":0},"citationItems":[{"id":2735,"uris":["http://zotero.org/users/local/hhPVnw6l/items/G73XCWD9"],"uri":["http://zotero.org/users/local/hhPVnw6l/items/G73XCWD9"],"itemData":{"id":2735,"type":"article-journal","abstract":"Multimorbidity, which is defined as the co-occurrence of two or more chronic conditions, has moved onto the priority agenda for many health policymakers and healthcare providers. Patients with multimorbidity are high utilizers of healthcare resources and are some of the most costly and difficult-to-treat patients in Europe. Preventing and improving the way multimorbidity is managed is now a key priority for many countries, and work is at last underway to develop more sustainable models of care. Unfortunately, this effort is being hampered by a lack of basic knowledge about the aetiology, epidemiology, and risk factors for multimorbidity, and the efficacy and cost-effectiveness of different interventions. The European Commission recognizes the need for reform in this area and has committed to raising awareness of multimorbidity, encouraging innovation, optimizing the use of existing resources, and coordinating the efforts of different stakeholders across the European Union. Many countries have now incorporated multimorbidity into their own healthcare strategies and are working to strengthen their prevention efforts and develop more integrated models of care. Although there is some evidence that integrated care for people with multimorbidity can create efficiency gains and improve health outcomes, the evidence is limited, and may only be applicable to high-income countries with relatively strong and well-resourced health systems. In low- to middle-income countries, which are facing the double burden of infectious and chronic diseases, integration of care will require capacity building, better quality services, and a stronger evidence base.","container-title":"Journal of Comorbidity","DOI":"10.15256/joc.2016.6.72","ISSN":"2235-042X","issue":"1","journalAbbreviation":"J Comorb","note":"PMID: 29090166\nPMCID: PMC5556462","page":"4-11","source":"PubMed Central","title":"Multimorbidity: What do we know? What should we do?","title-short":"Multimorbidity","volume":"6","author":[{"family":"Navickas","given":"Rokas"},{"family":"Petric","given":"Vesna-Kerstin"},{"family":"Feigl","given":"Andrea B."},{"family":"Seychell","given":"Martin"}],"issued":{"date-parts":[["2016",2,17]]}}}],"schema":"https://github.com/citation-style-language/schema/raw/master/csl-citation.json"} </w:instrText>
      </w:r>
      <w:r w:rsidR="00CF6A55" w:rsidRPr="00041FEB">
        <w:rPr>
          <w:rFonts w:cs="Times New Roman"/>
        </w:rPr>
        <w:fldChar w:fldCharType="separate"/>
      </w:r>
      <w:r w:rsidR="00BF5019" w:rsidRPr="00041FEB">
        <w:rPr>
          <w:rFonts w:cs="Times New Roman"/>
          <w:noProof/>
        </w:rPr>
        <w:t>(48)</w:t>
      </w:r>
      <w:r w:rsidR="00CF6A55" w:rsidRPr="00041FEB">
        <w:rPr>
          <w:rFonts w:cs="Times New Roman"/>
        </w:rPr>
        <w:fldChar w:fldCharType="end"/>
      </w:r>
      <w:r w:rsidR="00D61350" w:rsidRPr="00041FEB">
        <w:rPr>
          <w:rFonts w:cs="Times New Roman"/>
        </w:rPr>
        <w:t>. P</w:t>
      </w:r>
      <w:r w:rsidR="00793EAB" w:rsidRPr="00041FEB">
        <w:rPr>
          <w:rFonts w:cs="Times New Roman"/>
        </w:rPr>
        <w:t>olicies that are most effective in the context of financial constraints should be established. F</w:t>
      </w:r>
      <w:r w:rsidR="00BA16A9" w:rsidRPr="00041FEB">
        <w:rPr>
          <w:rFonts w:cs="Times New Roman"/>
        </w:rPr>
        <w:t>urthermore</w:t>
      </w:r>
      <w:r w:rsidR="00793EAB" w:rsidRPr="00041FEB">
        <w:rPr>
          <w:rFonts w:cs="Times New Roman"/>
        </w:rPr>
        <w:t xml:space="preserve">, </w:t>
      </w:r>
      <w:r w:rsidR="00793EAB" w:rsidRPr="00041FEB">
        <w:rPr>
          <w:bCs/>
        </w:rPr>
        <w:t>f</w:t>
      </w:r>
      <w:r w:rsidR="00D203C8" w:rsidRPr="00041FEB">
        <w:rPr>
          <w:bCs/>
        </w:rPr>
        <w:t>urther studies</w:t>
      </w:r>
      <w:r w:rsidR="00EE34D9" w:rsidRPr="00041FEB">
        <w:rPr>
          <w:bCs/>
        </w:rPr>
        <w:t xml:space="preserve"> of longitudinal design</w:t>
      </w:r>
      <w:r w:rsidR="00D203C8" w:rsidRPr="00041FEB">
        <w:rPr>
          <w:bCs/>
        </w:rPr>
        <w:t xml:space="preserve"> are needed to gain a better understanding of the potential causality of the association between informal caregiving and </w:t>
      </w:r>
      <w:r w:rsidR="00501904" w:rsidRPr="00041FEB">
        <w:rPr>
          <w:bCs/>
        </w:rPr>
        <w:t xml:space="preserve">physical </w:t>
      </w:r>
      <w:r w:rsidR="00D203C8" w:rsidRPr="00041FEB">
        <w:rPr>
          <w:bCs/>
        </w:rPr>
        <w:t>multimorbidity, and of the potential mediators involved in this relationshi</w:t>
      </w:r>
      <w:r w:rsidR="00583BA9" w:rsidRPr="00041FEB">
        <w:rPr>
          <w:bCs/>
        </w:rPr>
        <w:t>p</w:t>
      </w:r>
      <w:r w:rsidR="00D203C8" w:rsidRPr="00041FEB">
        <w:rPr>
          <w:bCs/>
        </w:rPr>
        <w:t xml:space="preserve">. </w:t>
      </w:r>
      <w:r w:rsidR="00BA16A9" w:rsidRPr="00041FEB">
        <w:rPr>
          <w:bCs/>
        </w:rPr>
        <w:t>Finally, g</w:t>
      </w:r>
      <w:r w:rsidR="00652D3D" w:rsidRPr="00041FEB">
        <w:rPr>
          <w:bCs/>
        </w:rPr>
        <w:t xml:space="preserve">iven that the prevalence of informal caregiving is also high in high-income countries </w:t>
      </w:r>
      <w:r w:rsidR="00652D3D" w:rsidRPr="00041FEB">
        <w:rPr>
          <w:bCs/>
        </w:rPr>
        <w:fldChar w:fldCharType="begin"/>
      </w:r>
      <w:r w:rsidR="00BF5019" w:rsidRPr="00041FEB">
        <w:rPr>
          <w:bCs/>
        </w:rPr>
        <w:instrText xml:space="preserve"> ADDIN ZOTERO_ITEM CSL_CITATION {"citationID":"WrvL8Hmo","properties":{"formattedCitation":"(49)","plainCitation":"(49)","noteIndex":0},"citationItems":[{"id":3463,"uris":["http://zotero.org/users/local/hhPVnw6l/items/5X2IT2YQ"],"uri":["http://zotero.org/users/local/hhPVnw6l/items/5X2IT2YQ"],"itemData":{"id":3463,"type":"article-journal","abstract":"Background: Against the background of a rising demand for informal care in European societies, this study sets out to provide descriptive information by gender on (i) prevalence rates of (intensive) informal caregiving, (ii) characteristics of (intensive) informal caregivers and (iii) consequences of (intensive) informal caregiving in terms of mental well-being.\nResults: On average, 34.3% of the population in 20 European countries were informal caregivers and 7.6% were intensive caregivers (providing care for minimum 11 h a week). Countries with high numbers of caregivers had low numbers of intensive caregivers. Caregiving was most prevalent among women, 50–59 year olds, non-employed—especially those doing housework—and religious persons. Determinants of providing care hardly differed by gender. Caregivers, especially female and intensive caregivers, reported lower mental well-being than non-caregivers.\nConclusions: Our results suggest support for both crowding-in and crowding-out effects of the welfare state. Middle-aged women may become increasingly time squeezed as they are likely to be the first to respond to higher demands for informal care, while they are also the major target groups in employment policies aiming for increased labour market participation. Caregivers, and especially female and intensive caregivers, report lower levels of mental well-being. Supportive policies such as respite care or training and counselling may therefore be needed in order to sustain informal care as an important resource of our health care systems.","container-title":"European Journal of Public Health","DOI":"10.1093/eurpub/ckw229","ISSN":"1464-360X","issue":"suppl_1","journalAbbreviation":"Eur J Public Health","language":"eng","note":"PMID: 28355645","page":"90-95","source":"PubMed","title":"Informal care in Europe: findings from the European Social Survey (2014) special module on the social determinants of health","title-short":"Informal care in Europe","volume":"27","author":[{"family":"Verbakel","given":"Ellen"},{"family":"Tamlagsrønning","given":"Stian"},{"family":"Winstone","given":"Lizzy"},{"family":"Fjær","given":"Erlend L."},{"family":"Eikemo","given":"Terje A."}],"issued":{"date-parts":[["2017"]],"season":"01"}}}],"schema":"https://github.com/citation-style-language/schema/raw/master/csl-citation.json"} </w:instrText>
      </w:r>
      <w:r w:rsidR="00652D3D" w:rsidRPr="00041FEB">
        <w:rPr>
          <w:bCs/>
        </w:rPr>
        <w:fldChar w:fldCharType="separate"/>
      </w:r>
      <w:r w:rsidR="00BF5019" w:rsidRPr="00041FEB">
        <w:rPr>
          <w:bCs/>
          <w:noProof/>
        </w:rPr>
        <w:t>(49)</w:t>
      </w:r>
      <w:r w:rsidR="00652D3D" w:rsidRPr="00041FEB">
        <w:rPr>
          <w:bCs/>
        </w:rPr>
        <w:fldChar w:fldCharType="end"/>
      </w:r>
      <w:r w:rsidR="00652D3D" w:rsidRPr="00041FEB">
        <w:rPr>
          <w:bCs/>
        </w:rPr>
        <w:t xml:space="preserve">, more research is required to corroborate the findings </w:t>
      </w:r>
      <w:r w:rsidR="00084F9F" w:rsidRPr="00041FEB">
        <w:rPr>
          <w:bCs/>
        </w:rPr>
        <w:t xml:space="preserve">of the present study </w:t>
      </w:r>
      <w:r w:rsidR="00652D3D" w:rsidRPr="00041FEB">
        <w:rPr>
          <w:bCs/>
        </w:rPr>
        <w:t>in these countries.</w:t>
      </w:r>
    </w:p>
    <w:p w14:paraId="5C9C5B6B" w14:textId="756BF1A2" w:rsidR="00F776AE" w:rsidRPr="00041FEB" w:rsidRDefault="00F776AE" w:rsidP="00B44AE2">
      <w:pPr>
        <w:spacing w:line="480" w:lineRule="auto"/>
        <w:rPr>
          <w:bCs/>
        </w:rPr>
      </w:pPr>
    </w:p>
    <w:p w14:paraId="4921C4EB" w14:textId="037FD5B4" w:rsidR="00F776AE" w:rsidRPr="00041FEB" w:rsidRDefault="00F776AE" w:rsidP="00B44AE2">
      <w:pPr>
        <w:spacing w:line="480" w:lineRule="auto"/>
        <w:rPr>
          <w:bCs/>
          <w:i/>
          <w:iCs/>
        </w:rPr>
      </w:pPr>
      <w:r w:rsidRPr="00041FEB">
        <w:rPr>
          <w:bCs/>
          <w:i/>
          <w:iCs/>
        </w:rPr>
        <w:t>Strengths and limitations</w:t>
      </w:r>
    </w:p>
    <w:p w14:paraId="7A41DD88" w14:textId="1FE4B53A" w:rsidR="00C77E46" w:rsidRPr="00041FEB" w:rsidRDefault="00F776AE" w:rsidP="00B44AE2">
      <w:pPr>
        <w:spacing w:line="480" w:lineRule="auto"/>
        <w:rPr>
          <w:bCs/>
        </w:rPr>
      </w:pPr>
      <w:r w:rsidRPr="00041FEB">
        <w:rPr>
          <w:bCs/>
        </w:rPr>
        <w:t xml:space="preserve">The strengths of this study are the </w:t>
      </w:r>
      <w:r w:rsidR="00223C67" w:rsidRPr="00041FEB">
        <w:rPr>
          <w:bCs/>
        </w:rPr>
        <w:t xml:space="preserve">large </w:t>
      </w:r>
      <w:r w:rsidRPr="00041FEB">
        <w:rPr>
          <w:bCs/>
        </w:rPr>
        <w:t xml:space="preserve">number of participants and countries available for analysis, and the use of </w:t>
      </w:r>
      <w:r w:rsidR="00223C67" w:rsidRPr="00041FEB">
        <w:rPr>
          <w:bCs/>
        </w:rPr>
        <w:t xml:space="preserve">predominantly </w:t>
      </w:r>
      <w:r w:rsidRPr="00041FEB">
        <w:rPr>
          <w:bCs/>
        </w:rPr>
        <w:t>nationally</w:t>
      </w:r>
      <w:r w:rsidR="00C136E7" w:rsidRPr="00041FEB">
        <w:rPr>
          <w:bCs/>
        </w:rPr>
        <w:t xml:space="preserve"> </w:t>
      </w:r>
      <w:r w:rsidRPr="00041FEB">
        <w:rPr>
          <w:bCs/>
        </w:rPr>
        <w:t xml:space="preserve">representative </w:t>
      </w:r>
      <w:r w:rsidR="00C136E7" w:rsidRPr="00041FEB">
        <w:rPr>
          <w:bCs/>
        </w:rPr>
        <w:t xml:space="preserve">data. However, there are </w:t>
      </w:r>
      <w:r w:rsidR="00C136E7" w:rsidRPr="00041FEB">
        <w:rPr>
          <w:bCs/>
        </w:rPr>
        <w:lastRenderedPageBreak/>
        <w:t xml:space="preserve">several </w:t>
      </w:r>
      <w:r w:rsidR="00D61350" w:rsidRPr="00041FEB">
        <w:rPr>
          <w:bCs/>
        </w:rPr>
        <w:t xml:space="preserve">potential </w:t>
      </w:r>
      <w:r w:rsidR="00C136E7" w:rsidRPr="00041FEB">
        <w:rPr>
          <w:bCs/>
        </w:rPr>
        <w:t>limitations that</w:t>
      </w:r>
      <w:r w:rsidR="00223C67" w:rsidRPr="00041FEB">
        <w:rPr>
          <w:bCs/>
        </w:rPr>
        <w:t xml:space="preserve"> should</w:t>
      </w:r>
      <w:r w:rsidR="00C136E7" w:rsidRPr="00041FEB">
        <w:rPr>
          <w:bCs/>
        </w:rPr>
        <w:t xml:space="preserve"> be acknowledged. First, no information </w:t>
      </w:r>
      <w:r w:rsidR="000708F5" w:rsidRPr="00041FEB">
        <w:rPr>
          <w:bCs/>
        </w:rPr>
        <w:t>w</w:t>
      </w:r>
      <w:r w:rsidR="00A624C5" w:rsidRPr="00041FEB">
        <w:rPr>
          <w:bCs/>
        </w:rPr>
        <w:t>as</w:t>
      </w:r>
      <w:r w:rsidR="000708F5" w:rsidRPr="00041FEB">
        <w:rPr>
          <w:bCs/>
        </w:rPr>
        <w:t xml:space="preserve"> available </w:t>
      </w:r>
      <w:r w:rsidR="00C136E7" w:rsidRPr="00041FEB">
        <w:rPr>
          <w:bCs/>
        </w:rPr>
        <w:t>on</w:t>
      </w:r>
      <w:r w:rsidR="000708F5" w:rsidRPr="00041FEB">
        <w:rPr>
          <w:bCs/>
        </w:rPr>
        <w:t xml:space="preserve"> the intensity or duration of</w:t>
      </w:r>
      <w:r w:rsidR="00C136E7" w:rsidRPr="00041FEB">
        <w:rPr>
          <w:bCs/>
        </w:rPr>
        <w:t xml:space="preserve"> informal caregiving, </w:t>
      </w:r>
      <w:r w:rsidR="000708F5" w:rsidRPr="00041FEB">
        <w:rPr>
          <w:bCs/>
        </w:rPr>
        <w:t xml:space="preserve">and </w:t>
      </w:r>
      <w:r w:rsidR="00C136E7" w:rsidRPr="00041FEB">
        <w:rPr>
          <w:bCs/>
        </w:rPr>
        <w:t>there may be some differences in terms of the</w:t>
      </w:r>
      <w:r w:rsidR="004277CE" w:rsidRPr="00041FEB">
        <w:rPr>
          <w:bCs/>
        </w:rPr>
        <w:t xml:space="preserve"> informal caregiving-</w:t>
      </w:r>
      <w:r w:rsidR="00501904" w:rsidRPr="00041FEB">
        <w:rPr>
          <w:bCs/>
        </w:rPr>
        <w:t xml:space="preserve">physical </w:t>
      </w:r>
      <w:r w:rsidR="004277CE" w:rsidRPr="00041FEB">
        <w:rPr>
          <w:bCs/>
        </w:rPr>
        <w:t>multimorbidity</w:t>
      </w:r>
      <w:r w:rsidR="00C136E7" w:rsidRPr="00041FEB">
        <w:rPr>
          <w:bCs/>
        </w:rPr>
        <w:t xml:space="preserve"> relationship </w:t>
      </w:r>
      <w:r w:rsidR="008D4FA1" w:rsidRPr="00041FEB">
        <w:rPr>
          <w:bCs/>
        </w:rPr>
        <w:t xml:space="preserve">between high- and low-intensity caregiving. </w:t>
      </w:r>
      <w:r w:rsidR="009769C0" w:rsidRPr="00041FEB">
        <w:rPr>
          <w:bCs/>
        </w:rPr>
        <w:t>Relatedly, there was no information on the underlying disease of the care recipient</w:t>
      </w:r>
      <w:r w:rsidR="000708F5" w:rsidRPr="00041FEB">
        <w:rPr>
          <w:bCs/>
        </w:rPr>
        <w:t>.</w:t>
      </w:r>
      <w:r w:rsidR="009769C0" w:rsidRPr="00041FEB">
        <w:rPr>
          <w:bCs/>
        </w:rPr>
        <w:t xml:space="preserve"> </w:t>
      </w:r>
      <w:r w:rsidR="000708F5" w:rsidRPr="00041FEB">
        <w:rPr>
          <w:bCs/>
        </w:rPr>
        <w:t>S</w:t>
      </w:r>
      <w:r w:rsidR="009769C0" w:rsidRPr="00041FEB">
        <w:rPr>
          <w:bCs/>
        </w:rPr>
        <w:t>ome health conditions</w:t>
      </w:r>
      <w:r w:rsidR="000708F5" w:rsidRPr="00041FEB">
        <w:rPr>
          <w:bCs/>
        </w:rPr>
        <w:t>,</w:t>
      </w:r>
      <w:r w:rsidR="009769C0" w:rsidRPr="00041FEB">
        <w:rPr>
          <w:bCs/>
        </w:rPr>
        <w:t xml:space="preserve"> such as </w:t>
      </w:r>
      <w:r w:rsidR="00562B18" w:rsidRPr="00041FEB">
        <w:rPr>
          <w:bCs/>
        </w:rPr>
        <w:t>urinary incontinence or Parkinson’s disease</w:t>
      </w:r>
      <w:r w:rsidR="000708F5" w:rsidRPr="00041FEB">
        <w:rPr>
          <w:bCs/>
        </w:rPr>
        <w:t>,</w:t>
      </w:r>
      <w:r w:rsidR="009769C0" w:rsidRPr="00041FEB">
        <w:rPr>
          <w:bCs/>
        </w:rPr>
        <w:t xml:space="preserve"> are known to be more burdensome to the caregiver</w:t>
      </w:r>
      <w:r w:rsidR="00562B18" w:rsidRPr="00041FEB">
        <w:rPr>
          <w:bCs/>
        </w:rPr>
        <w:t xml:space="preserve"> </w:t>
      </w:r>
      <w:r w:rsidR="00562B18" w:rsidRPr="00041FEB">
        <w:rPr>
          <w:bCs/>
        </w:rPr>
        <w:fldChar w:fldCharType="begin"/>
      </w:r>
      <w:r w:rsidR="00BF5019" w:rsidRPr="00041FEB">
        <w:rPr>
          <w:bCs/>
        </w:rPr>
        <w:instrText xml:space="preserve"> ADDIN ZOTERO_ITEM CSL_CITATION {"citationID":"LgVDRIRJ","properties":{"formattedCitation":"(50)","plainCitation":"(50)","noteIndex":0},"citationItems":[{"id":2336,"uris":["http://zotero.org/users/local/hhPVnw6l/items/GRRRC22G"],"uri":["http://zotero.org/users/local/hhPVnw6l/items/GRRRC22G"],"itemData":{"id":2336,"type":"article-journal","abstract":"Lack of state supported care services begets the informal caregiving by family members as the mainstay of care provided to the dependent older people in many Low and Middle Income Countries (LMICs), including India. Little is known about the time spent on caregiving, its cost and the burden experienced by these informal caregivers. We aimed to estimate the costs of informal caregiving and to evaluate the nature as well as correlates of caregivers’ burden in a rural Indian community.","container-title":"BMC Health Services Research","DOI":"10.1186/1472-6963-14-207","ISSN":"1472-6963","issue":"1","journalAbbreviation":"BMC Health Services Research","page":"207","source":"BioMed Central","title":"Cost and burden of informal caregiving of dependent older people in a rural Indian community","volume":"14","author":[{"family":"Brinda","given":"Ethel M."},{"family":"Rajkumar","given":"Anto P."},{"family":"Enemark","given":"Ulrika"},{"family":"Attermann","given":"Jørn"},{"family":"Jacob","given":"KS"}],"issued":{"date-parts":[["2014",5,7]]}}}],"schema":"https://github.com/citation-style-language/schema/raw/master/csl-citation.json"} </w:instrText>
      </w:r>
      <w:r w:rsidR="00562B18" w:rsidRPr="00041FEB">
        <w:rPr>
          <w:bCs/>
        </w:rPr>
        <w:fldChar w:fldCharType="separate"/>
      </w:r>
      <w:r w:rsidR="00BF5019" w:rsidRPr="00041FEB">
        <w:rPr>
          <w:bCs/>
          <w:noProof/>
        </w:rPr>
        <w:t>(50)</w:t>
      </w:r>
      <w:r w:rsidR="00562B18" w:rsidRPr="00041FEB">
        <w:rPr>
          <w:bCs/>
        </w:rPr>
        <w:fldChar w:fldCharType="end"/>
      </w:r>
      <w:r w:rsidR="000708F5" w:rsidRPr="00041FEB">
        <w:rPr>
          <w:bCs/>
        </w:rPr>
        <w:t xml:space="preserve"> and thus may have a more pronounced impact on caregiver health</w:t>
      </w:r>
      <w:r w:rsidR="009769C0" w:rsidRPr="00041FEB">
        <w:rPr>
          <w:bCs/>
        </w:rPr>
        <w:t xml:space="preserve">. </w:t>
      </w:r>
      <w:r w:rsidR="00E0136F" w:rsidRPr="00041FEB">
        <w:rPr>
          <w:rFonts w:eastAsia="Times New Roman" w:cs="Times New Roman"/>
          <w:color w:val="000000"/>
          <w:lang w:val="en-GB"/>
        </w:rPr>
        <w:t xml:space="preserve">Second, information on the medical conditions were based on self-report, and this may have introduced some biases. For example, arthritis, asthma, and diabetes mellitus were based solely on self-reported lifetime diagnosis and there is a potential for under-diagnosis especially in resource-limited settings. Furthermore, tuberculosis diagnosis was based solely on typical symptoms of this condition, and thus, there is the potential for misclassification. </w:t>
      </w:r>
      <w:r w:rsidR="00172646" w:rsidRPr="00041FEB">
        <w:rPr>
          <w:bCs/>
        </w:rPr>
        <w:t>Third</w:t>
      </w:r>
      <w:r w:rsidR="00E0136F" w:rsidRPr="00041FEB">
        <w:rPr>
          <w:bCs/>
        </w:rPr>
        <w:t xml:space="preserve">, the definition of physical multimorbidity relied on the use of nine physical conditions only, and results may have differed if data on more conditions were available. </w:t>
      </w:r>
      <w:r w:rsidR="009769C0" w:rsidRPr="00041FEB">
        <w:rPr>
          <w:bCs/>
        </w:rPr>
        <w:t>Finally</w:t>
      </w:r>
      <w:r w:rsidR="00C77E46" w:rsidRPr="00041FEB">
        <w:rPr>
          <w:bCs/>
        </w:rPr>
        <w:t xml:space="preserve">, this was a cross-sectional analysis, and it was therefore not possible to determine causality or temporality in the </w:t>
      </w:r>
      <w:r w:rsidR="004277CE" w:rsidRPr="00041FEB">
        <w:rPr>
          <w:bCs/>
        </w:rPr>
        <w:t xml:space="preserve">association between </w:t>
      </w:r>
      <w:r w:rsidR="00C77E46" w:rsidRPr="00041FEB">
        <w:rPr>
          <w:bCs/>
        </w:rPr>
        <w:t>informal caregiving</w:t>
      </w:r>
      <w:r w:rsidR="004277CE" w:rsidRPr="00041FEB">
        <w:rPr>
          <w:bCs/>
        </w:rPr>
        <w:t xml:space="preserve"> and </w:t>
      </w:r>
      <w:r w:rsidR="00C77E46" w:rsidRPr="00041FEB">
        <w:rPr>
          <w:bCs/>
        </w:rPr>
        <w:t>multimorbidity.</w:t>
      </w:r>
    </w:p>
    <w:p w14:paraId="6B7E74EF" w14:textId="77777777" w:rsidR="00C77E46" w:rsidRPr="00041FEB" w:rsidRDefault="00C77E46" w:rsidP="00B44AE2">
      <w:pPr>
        <w:spacing w:line="480" w:lineRule="auto"/>
        <w:rPr>
          <w:bCs/>
        </w:rPr>
      </w:pPr>
    </w:p>
    <w:p w14:paraId="7CC57B80" w14:textId="2F495122" w:rsidR="0023067D" w:rsidRPr="00041FEB" w:rsidRDefault="00C77E46" w:rsidP="00B44AE2">
      <w:pPr>
        <w:spacing w:line="480" w:lineRule="auto"/>
        <w:rPr>
          <w:bCs/>
          <w:i/>
          <w:iCs/>
        </w:rPr>
      </w:pPr>
      <w:r w:rsidRPr="00041FEB">
        <w:rPr>
          <w:bCs/>
          <w:i/>
          <w:iCs/>
        </w:rPr>
        <w:t>Conclusions</w:t>
      </w:r>
    </w:p>
    <w:p w14:paraId="5A361B0D" w14:textId="627E0DEF" w:rsidR="00F776AE" w:rsidRPr="00041FEB" w:rsidRDefault="00F84C51" w:rsidP="00B44AE2">
      <w:pPr>
        <w:spacing w:line="480" w:lineRule="auto"/>
        <w:rPr>
          <w:bCs/>
        </w:rPr>
      </w:pPr>
      <w:r w:rsidRPr="00041FEB">
        <w:rPr>
          <w:bCs/>
        </w:rPr>
        <w:t xml:space="preserve">Informal </w:t>
      </w:r>
      <w:r w:rsidR="00AB3ED1" w:rsidRPr="00041FEB">
        <w:rPr>
          <w:bCs/>
        </w:rPr>
        <w:t>caregi</w:t>
      </w:r>
      <w:r w:rsidRPr="00041FEB">
        <w:rPr>
          <w:bCs/>
        </w:rPr>
        <w:t>vers in LMICs were more likely to have</w:t>
      </w:r>
      <w:r w:rsidR="00AB3ED1" w:rsidRPr="00041FEB">
        <w:rPr>
          <w:bCs/>
        </w:rPr>
        <w:t xml:space="preserve"> </w:t>
      </w:r>
      <w:r w:rsidR="00501904" w:rsidRPr="00041FEB">
        <w:rPr>
          <w:bCs/>
        </w:rPr>
        <w:t xml:space="preserve">physical </w:t>
      </w:r>
      <w:r w:rsidR="00AB3ED1" w:rsidRPr="00041FEB">
        <w:rPr>
          <w:bCs/>
        </w:rPr>
        <w:t>multimorbidity</w:t>
      </w:r>
      <w:r w:rsidRPr="00041FEB">
        <w:rPr>
          <w:bCs/>
        </w:rPr>
        <w:t>.</w:t>
      </w:r>
      <w:r w:rsidR="00AB3ED1" w:rsidRPr="00041FEB">
        <w:rPr>
          <w:bCs/>
        </w:rPr>
        <w:t xml:space="preserve"> </w:t>
      </w:r>
      <w:r w:rsidR="004F4CA0" w:rsidRPr="00041FEB">
        <w:rPr>
          <w:bCs/>
        </w:rPr>
        <w:t>S</w:t>
      </w:r>
      <w:r w:rsidRPr="00041FEB">
        <w:rPr>
          <w:bCs/>
        </w:rPr>
        <w:t xml:space="preserve">trategies to improve the </w:t>
      </w:r>
      <w:r w:rsidR="004F4CA0" w:rsidRPr="00041FEB">
        <w:rPr>
          <w:bCs/>
        </w:rPr>
        <w:t xml:space="preserve">physical </w:t>
      </w:r>
      <w:r w:rsidRPr="00041FEB">
        <w:rPr>
          <w:bCs/>
        </w:rPr>
        <w:t>health of caregivers in LMICs</w:t>
      </w:r>
      <w:r w:rsidR="00DD5644" w:rsidRPr="00041FEB">
        <w:rPr>
          <w:bCs/>
        </w:rPr>
        <w:t xml:space="preserve"> </w:t>
      </w:r>
      <w:r w:rsidR="004F4CA0" w:rsidRPr="00041FEB">
        <w:rPr>
          <w:bCs/>
        </w:rPr>
        <w:t xml:space="preserve">are necessary </w:t>
      </w:r>
      <w:r w:rsidR="00DD5644" w:rsidRPr="00041FEB">
        <w:rPr>
          <w:bCs/>
        </w:rPr>
        <w:t xml:space="preserve">since the system of informal care provision cannot be sustained </w:t>
      </w:r>
      <w:r w:rsidR="005210B1" w:rsidRPr="00041FEB">
        <w:rPr>
          <w:bCs/>
        </w:rPr>
        <w:t>unless the caregivers are in good health, while many countries rely heavily on this system for the care of the elderly or people with disability.</w:t>
      </w:r>
      <w:r w:rsidRPr="00041FEB">
        <w:rPr>
          <w:bCs/>
        </w:rPr>
        <w:t xml:space="preserve"> </w:t>
      </w:r>
    </w:p>
    <w:p w14:paraId="09A745CB" w14:textId="77777777" w:rsidR="00BA16A9" w:rsidRPr="00041FEB" w:rsidRDefault="00BA16A9" w:rsidP="00B44AE2">
      <w:pPr>
        <w:spacing w:line="480" w:lineRule="auto"/>
        <w:rPr>
          <w:b/>
        </w:rPr>
      </w:pPr>
    </w:p>
    <w:p w14:paraId="0BF17A4B" w14:textId="36407F88" w:rsidR="002A48C5" w:rsidRPr="00041FEB" w:rsidRDefault="002A48C5" w:rsidP="00B44AE2">
      <w:pPr>
        <w:spacing w:line="480" w:lineRule="auto"/>
        <w:rPr>
          <w:b/>
        </w:rPr>
      </w:pPr>
      <w:r w:rsidRPr="00041FEB">
        <w:rPr>
          <w:b/>
        </w:rPr>
        <w:t>List of abbreviations</w:t>
      </w:r>
    </w:p>
    <w:p w14:paraId="6369546E" w14:textId="5AD8D980" w:rsidR="002A48C5" w:rsidRPr="00041FEB" w:rsidRDefault="002A48C5" w:rsidP="00B44AE2">
      <w:pPr>
        <w:spacing w:line="480" w:lineRule="auto"/>
        <w:rPr>
          <w:bCs/>
        </w:rPr>
      </w:pPr>
    </w:p>
    <w:p w14:paraId="4C1CDFA9" w14:textId="4626454D" w:rsidR="002A48C5" w:rsidRPr="00041FEB" w:rsidRDefault="009B07CA" w:rsidP="00B44AE2">
      <w:pPr>
        <w:spacing w:line="480" w:lineRule="auto"/>
        <w:rPr>
          <w:bCs/>
        </w:rPr>
      </w:pPr>
      <w:r w:rsidRPr="00041FEB">
        <w:rPr>
          <w:bCs/>
        </w:rPr>
        <w:t xml:space="preserve">CI </w:t>
      </w:r>
      <w:r w:rsidR="00506640" w:rsidRPr="00041FEB">
        <w:rPr>
          <w:bCs/>
        </w:rPr>
        <w:t>C</w:t>
      </w:r>
      <w:r w:rsidRPr="00041FEB">
        <w:rPr>
          <w:bCs/>
        </w:rPr>
        <w:t xml:space="preserve">onfidence </w:t>
      </w:r>
      <w:r w:rsidR="00506640" w:rsidRPr="00041FEB">
        <w:rPr>
          <w:bCs/>
        </w:rPr>
        <w:t>I</w:t>
      </w:r>
      <w:r w:rsidRPr="00041FEB">
        <w:rPr>
          <w:bCs/>
        </w:rPr>
        <w:t xml:space="preserve">nterval; </w:t>
      </w:r>
      <w:r w:rsidR="00506640" w:rsidRPr="00041FEB">
        <w:rPr>
          <w:bCs/>
        </w:rPr>
        <w:t xml:space="preserve">HICs </w:t>
      </w:r>
      <w:r w:rsidR="00506640" w:rsidRPr="00041FEB">
        <w:rPr>
          <w:rFonts w:cs="Times New Roman"/>
        </w:rPr>
        <w:t xml:space="preserve">High-Income Countries; </w:t>
      </w:r>
      <w:r w:rsidR="002A48C5" w:rsidRPr="00041FEB">
        <w:rPr>
          <w:bCs/>
        </w:rPr>
        <w:t xml:space="preserve">LMICs </w:t>
      </w:r>
      <w:r w:rsidR="00506640" w:rsidRPr="00041FEB">
        <w:rPr>
          <w:bCs/>
        </w:rPr>
        <w:t>L</w:t>
      </w:r>
      <w:r w:rsidR="002A48C5" w:rsidRPr="00041FEB">
        <w:rPr>
          <w:bCs/>
        </w:rPr>
        <w:t xml:space="preserve">ow- and </w:t>
      </w:r>
      <w:r w:rsidR="00506640" w:rsidRPr="00041FEB">
        <w:rPr>
          <w:bCs/>
        </w:rPr>
        <w:t>M</w:t>
      </w:r>
      <w:r w:rsidR="002A48C5" w:rsidRPr="00041FEB">
        <w:rPr>
          <w:bCs/>
        </w:rPr>
        <w:t>iddle-</w:t>
      </w:r>
      <w:r w:rsidR="00506640" w:rsidRPr="00041FEB">
        <w:rPr>
          <w:bCs/>
        </w:rPr>
        <w:t>I</w:t>
      </w:r>
      <w:r w:rsidR="002A48C5" w:rsidRPr="00041FEB">
        <w:rPr>
          <w:bCs/>
        </w:rPr>
        <w:t xml:space="preserve">ncome </w:t>
      </w:r>
      <w:r w:rsidR="00506640" w:rsidRPr="00041FEB">
        <w:rPr>
          <w:bCs/>
        </w:rPr>
        <w:t>C</w:t>
      </w:r>
      <w:r w:rsidR="002A48C5" w:rsidRPr="00041FEB">
        <w:rPr>
          <w:bCs/>
        </w:rPr>
        <w:t>ountries;</w:t>
      </w:r>
      <w:r w:rsidRPr="00041FEB">
        <w:rPr>
          <w:bCs/>
        </w:rPr>
        <w:t xml:space="preserve"> </w:t>
      </w:r>
      <w:r w:rsidR="00DD27E4" w:rsidRPr="00041FEB">
        <w:rPr>
          <w:bCs/>
        </w:rPr>
        <w:t xml:space="preserve">OR </w:t>
      </w:r>
      <w:r w:rsidR="00506640" w:rsidRPr="00041FEB">
        <w:rPr>
          <w:bCs/>
        </w:rPr>
        <w:t>O</w:t>
      </w:r>
      <w:r w:rsidR="00DD27E4" w:rsidRPr="00041FEB">
        <w:rPr>
          <w:bCs/>
        </w:rPr>
        <w:t xml:space="preserve">dds </w:t>
      </w:r>
      <w:r w:rsidR="00506640" w:rsidRPr="00041FEB">
        <w:rPr>
          <w:bCs/>
        </w:rPr>
        <w:t>R</w:t>
      </w:r>
      <w:r w:rsidR="00DD27E4" w:rsidRPr="00041FEB">
        <w:rPr>
          <w:bCs/>
        </w:rPr>
        <w:t xml:space="preserve">atio; </w:t>
      </w:r>
      <w:r w:rsidR="001A290B" w:rsidRPr="00041FEB">
        <w:rPr>
          <w:bCs/>
        </w:rPr>
        <w:t xml:space="preserve">SD Standard Deviation; </w:t>
      </w:r>
      <w:r w:rsidR="00610717" w:rsidRPr="00041FEB">
        <w:rPr>
          <w:bCs/>
        </w:rPr>
        <w:t xml:space="preserve">WHO World Health Organization; </w:t>
      </w:r>
      <w:r w:rsidRPr="00041FEB">
        <w:rPr>
          <w:bCs/>
        </w:rPr>
        <w:t>WHS World Health Survey</w:t>
      </w:r>
      <w:r w:rsidR="00610717" w:rsidRPr="00041FEB">
        <w:rPr>
          <w:bCs/>
        </w:rPr>
        <w:t>.</w:t>
      </w:r>
    </w:p>
    <w:p w14:paraId="453D836C" w14:textId="63E7A804" w:rsidR="008F3AD1" w:rsidRPr="00041FEB" w:rsidRDefault="008F3AD1" w:rsidP="00B44AE2">
      <w:pPr>
        <w:spacing w:line="480" w:lineRule="auto"/>
        <w:rPr>
          <w:bCs/>
        </w:rPr>
      </w:pPr>
    </w:p>
    <w:p w14:paraId="49257CDE" w14:textId="4126AC30" w:rsidR="008F3AD1" w:rsidRPr="00041FEB" w:rsidRDefault="008F3AD1" w:rsidP="00B44AE2">
      <w:pPr>
        <w:spacing w:line="480" w:lineRule="auto"/>
        <w:rPr>
          <w:b/>
        </w:rPr>
      </w:pPr>
      <w:r w:rsidRPr="00041FEB">
        <w:rPr>
          <w:b/>
        </w:rPr>
        <w:t>Declarations</w:t>
      </w:r>
    </w:p>
    <w:p w14:paraId="03A88A94" w14:textId="73D8FAC6" w:rsidR="008F3AD1" w:rsidRPr="00041FEB" w:rsidRDefault="008F3AD1" w:rsidP="00B44AE2">
      <w:pPr>
        <w:spacing w:line="480" w:lineRule="auto"/>
        <w:rPr>
          <w:bCs/>
        </w:rPr>
      </w:pPr>
    </w:p>
    <w:p w14:paraId="07285969" w14:textId="77777777" w:rsidR="00EC496A" w:rsidRPr="00041FEB" w:rsidRDefault="00EC496A" w:rsidP="00B44AE2">
      <w:pPr>
        <w:spacing w:line="480" w:lineRule="auto"/>
        <w:rPr>
          <w:b/>
        </w:rPr>
      </w:pPr>
      <w:r w:rsidRPr="00041FEB">
        <w:rPr>
          <w:bCs/>
          <w:i/>
          <w:iCs/>
        </w:rPr>
        <w:t>Ethics approval and consent to participate:</w:t>
      </w:r>
      <w:r w:rsidRPr="00041FEB">
        <w:rPr>
          <w:b/>
        </w:rPr>
        <w:t xml:space="preserve"> </w:t>
      </w:r>
      <w:r w:rsidRPr="00041FEB">
        <w:rPr>
          <w:rFonts w:cs="Times New Roman"/>
        </w:rPr>
        <w:t>Ethical boards at each study site provided ethical approval for the survey with all participants providing informed consent.</w:t>
      </w:r>
    </w:p>
    <w:p w14:paraId="7F2D1152" w14:textId="77777777" w:rsidR="00940402" w:rsidRPr="00041FEB" w:rsidRDefault="00940402" w:rsidP="00B44AE2">
      <w:pPr>
        <w:spacing w:line="480" w:lineRule="auto"/>
        <w:rPr>
          <w:rFonts w:cs="Times New Roman"/>
          <w:b/>
          <w:bCs/>
        </w:rPr>
      </w:pPr>
    </w:p>
    <w:p w14:paraId="3FE133A9" w14:textId="77777777" w:rsidR="00EC496A" w:rsidRPr="00041FEB" w:rsidRDefault="00EC496A" w:rsidP="00B44AE2">
      <w:pPr>
        <w:spacing w:line="480" w:lineRule="auto"/>
        <w:rPr>
          <w:b/>
        </w:rPr>
      </w:pPr>
      <w:r w:rsidRPr="00041FEB">
        <w:rPr>
          <w:bCs/>
          <w:i/>
          <w:iCs/>
        </w:rPr>
        <w:t>Availability of data and materials:</w:t>
      </w:r>
      <w:r w:rsidRPr="00041FEB">
        <w:rPr>
          <w:b/>
        </w:rPr>
        <w:t xml:space="preserve"> </w:t>
      </w:r>
      <w:r w:rsidRPr="00041FEB">
        <w:rPr>
          <w:bCs/>
        </w:rPr>
        <w:t>The datasets supporting the conclusions of this article are available in the World Health Survey repository, available at http://www.who.int/healthinfo/survey/en/.</w:t>
      </w:r>
    </w:p>
    <w:p w14:paraId="3D87BB6D" w14:textId="77777777" w:rsidR="00EC496A" w:rsidRPr="00041FEB" w:rsidRDefault="00EC496A" w:rsidP="00B44AE2">
      <w:pPr>
        <w:spacing w:line="480" w:lineRule="auto"/>
        <w:rPr>
          <w:bCs/>
        </w:rPr>
      </w:pPr>
    </w:p>
    <w:p w14:paraId="1B2E270E" w14:textId="1827481A" w:rsidR="00EC496A" w:rsidRPr="00041FEB" w:rsidRDefault="00EC496A" w:rsidP="00B44AE2">
      <w:pPr>
        <w:spacing w:line="480" w:lineRule="auto"/>
        <w:rPr>
          <w:b/>
        </w:rPr>
      </w:pPr>
      <w:r w:rsidRPr="00041FEB">
        <w:rPr>
          <w:bCs/>
          <w:i/>
          <w:iCs/>
        </w:rPr>
        <w:t>Competing interests:</w:t>
      </w:r>
      <w:r w:rsidRPr="00041FEB">
        <w:rPr>
          <w:b/>
        </w:rPr>
        <w:t xml:space="preserve"> </w:t>
      </w:r>
      <w:r w:rsidR="00FB66C6" w:rsidRPr="00041FEB">
        <w:t>The authors declare that they have no competing interests</w:t>
      </w:r>
      <w:r w:rsidRPr="00041FEB">
        <w:t>.</w:t>
      </w:r>
    </w:p>
    <w:p w14:paraId="549D117C" w14:textId="77777777" w:rsidR="00EC496A" w:rsidRPr="00041FEB" w:rsidRDefault="00EC496A" w:rsidP="00B44AE2">
      <w:pPr>
        <w:spacing w:line="480" w:lineRule="auto"/>
      </w:pPr>
    </w:p>
    <w:p w14:paraId="28B4B43D" w14:textId="77777777" w:rsidR="00EC496A" w:rsidRPr="00041FEB" w:rsidRDefault="00EC496A" w:rsidP="00B44AE2">
      <w:pPr>
        <w:spacing w:line="480" w:lineRule="auto"/>
        <w:rPr>
          <w:b/>
          <w:bCs/>
        </w:rPr>
      </w:pPr>
      <w:r w:rsidRPr="00041FEB">
        <w:rPr>
          <w:i/>
          <w:iCs/>
        </w:rPr>
        <w:t>Funding:</w:t>
      </w:r>
      <w:r w:rsidRPr="00041FEB">
        <w:rPr>
          <w:b/>
          <w:bCs/>
        </w:rPr>
        <w:t xml:space="preserve"> </w:t>
      </w:r>
      <w:r w:rsidRPr="00041FEB">
        <w:t xml:space="preserve">Ai </w:t>
      </w:r>
      <w:proofErr w:type="spellStart"/>
      <w:r w:rsidRPr="00041FEB">
        <w:t>Koyanagi’s</w:t>
      </w:r>
      <w:proofErr w:type="spellEnd"/>
      <w:r w:rsidRPr="00041FEB">
        <w:t xml:space="preserve"> work is supported by the PI15/00862 project, integrated into the National R + D + I and funded by the ISCIII - General Branch Evaluation and Promotion of Health Research - and the European Regional Development Fund (ERDF-FEDER). </w:t>
      </w:r>
      <w:r w:rsidRPr="00041FEB">
        <w:rPr>
          <w:rFonts w:cs="Times New Roman"/>
        </w:rPr>
        <w:t xml:space="preserve">Brendon Stubbs is supported by a Clinical Lectureship (ICA-CL-2017-03-001) jointly funded by Health Education England (HEE) and the National Institute for Health Research (NIHR). Brendon Stubbs is part funded by the NIHR Biomedical Research Centre at South London and Maudsley NHS Foundation Trust. Brendon Stubbs is also supported by the Maudsley Charity, King’s College London and the NIHR South London Collaboration for Leadership in Applied Health Research and Care (CLAHRC) funding. This paper presents independent </w:t>
      </w:r>
      <w:r w:rsidRPr="00041FEB">
        <w:rPr>
          <w:rFonts w:cs="Times New Roman"/>
        </w:rPr>
        <w:lastRenderedPageBreak/>
        <w:t>research. The views expressed in this publication are those of the authors and not necessarily those of the acknowledged institutions.</w:t>
      </w:r>
    </w:p>
    <w:p w14:paraId="37735B1B" w14:textId="77777777" w:rsidR="00EC496A" w:rsidRPr="00041FEB" w:rsidRDefault="00EC496A" w:rsidP="00B44AE2">
      <w:pPr>
        <w:widowControl w:val="0"/>
        <w:spacing w:line="480" w:lineRule="auto"/>
        <w:rPr>
          <w:rFonts w:cs="Times New Roman"/>
        </w:rPr>
      </w:pPr>
    </w:p>
    <w:p w14:paraId="5F7AF791" w14:textId="082C86AF" w:rsidR="00EC496A" w:rsidRPr="00041FEB" w:rsidRDefault="00EC496A" w:rsidP="00B44AE2">
      <w:pPr>
        <w:spacing w:line="480" w:lineRule="auto"/>
      </w:pPr>
      <w:r w:rsidRPr="00041FEB">
        <w:rPr>
          <w:i/>
          <w:iCs/>
        </w:rPr>
        <w:t>Authors’ contributions</w:t>
      </w:r>
      <w:r w:rsidR="00842A58" w:rsidRPr="00041FEB">
        <w:rPr>
          <w:i/>
          <w:iCs/>
        </w:rPr>
        <w:t xml:space="preserve">: </w:t>
      </w:r>
      <w:r w:rsidR="00042625" w:rsidRPr="00041FEB">
        <w:t>LJ</w:t>
      </w:r>
      <w:r w:rsidRPr="00041FEB">
        <w:t xml:space="preserve"> contributed to the design of the study, managed the literature searches, wrote the first draft of the manuscript, and contributed to the correction of the manuscript. </w:t>
      </w:r>
      <w:r w:rsidR="00042625" w:rsidRPr="00041FEB">
        <w:t>HO</w:t>
      </w:r>
      <w:r w:rsidRPr="00041FEB">
        <w:t xml:space="preserve">, </w:t>
      </w:r>
      <w:r w:rsidR="00042625" w:rsidRPr="00041FEB">
        <w:t>JIS</w:t>
      </w:r>
      <w:r w:rsidRPr="00041FEB">
        <w:t xml:space="preserve">, </w:t>
      </w:r>
      <w:r w:rsidR="00042625" w:rsidRPr="00041FEB">
        <w:t>JMH</w:t>
      </w:r>
      <w:r w:rsidRPr="00041FEB">
        <w:t xml:space="preserve">, </w:t>
      </w:r>
      <w:r w:rsidR="00042625" w:rsidRPr="00041FEB">
        <w:t>DV</w:t>
      </w:r>
      <w:r w:rsidRPr="00041FEB">
        <w:t xml:space="preserve">, </w:t>
      </w:r>
      <w:r w:rsidR="00042625" w:rsidRPr="00041FEB">
        <w:t>BS</w:t>
      </w:r>
      <w:r w:rsidRPr="00041FEB">
        <w:t xml:space="preserve">, </w:t>
      </w:r>
      <w:r w:rsidR="00042625" w:rsidRPr="00041FEB">
        <w:t>SEJ</w:t>
      </w:r>
      <w:r w:rsidRPr="00041FEB">
        <w:t xml:space="preserve">, and </w:t>
      </w:r>
      <w:r w:rsidR="00042625" w:rsidRPr="00041FEB">
        <w:t>LS</w:t>
      </w:r>
      <w:r w:rsidRPr="00041FEB">
        <w:t xml:space="preserve"> contributed to the design of the study and the correction of the manuscript. </w:t>
      </w:r>
      <w:r w:rsidR="00BE403D" w:rsidRPr="00041FEB">
        <w:t>AK</w:t>
      </w:r>
      <w:r w:rsidRPr="00041FEB">
        <w:t xml:space="preserve"> contributed to the design of the study, managed the literature searches, undertook the statistical analysis, and contributed to the correction of the manuscript. All authors contributed to and have approved the final manuscript.</w:t>
      </w:r>
    </w:p>
    <w:p w14:paraId="01D48F49" w14:textId="77777777" w:rsidR="00940402" w:rsidRPr="00041FEB" w:rsidRDefault="00940402" w:rsidP="00B44AE2">
      <w:pPr>
        <w:spacing w:line="480" w:lineRule="auto"/>
        <w:rPr>
          <w:b/>
          <w:bCs/>
        </w:rPr>
      </w:pPr>
    </w:p>
    <w:p w14:paraId="661961CF" w14:textId="777AC3A9" w:rsidR="008F3AD1" w:rsidRPr="00041FEB" w:rsidRDefault="00EC496A" w:rsidP="00B4148F">
      <w:pPr>
        <w:widowControl w:val="0"/>
        <w:spacing w:line="480" w:lineRule="auto"/>
        <w:rPr>
          <w:rFonts w:cs="Times New Roman"/>
        </w:rPr>
      </w:pPr>
      <w:r w:rsidRPr="00041FEB">
        <w:rPr>
          <w:rFonts w:cs="Times New Roman"/>
          <w:i/>
          <w:iCs/>
        </w:rPr>
        <w:t>Acknowledgments:</w:t>
      </w:r>
      <w:r w:rsidRPr="00041FEB">
        <w:rPr>
          <w:rFonts w:cs="Times New Roman"/>
          <w:b/>
          <w:bCs/>
        </w:rPr>
        <w:t xml:space="preserve"> </w:t>
      </w:r>
      <w:r w:rsidR="00DA6681" w:rsidRPr="00041FEB">
        <w:rPr>
          <w:rFonts w:cs="Times New Roman"/>
        </w:rPr>
        <w:t>Not applicable</w:t>
      </w:r>
      <w:r w:rsidRPr="00041FEB">
        <w:rPr>
          <w:rFonts w:cs="Times New Roman"/>
        </w:rPr>
        <w:t>.</w:t>
      </w:r>
    </w:p>
    <w:p w14:paraId="66DA889F" w14:textId="68B819DF" w:rsidR="003E7208" w:rsidRPr="00041FEB" w:rsidRDefault="003E7208" w:rsidP="00B4148F">
      <w:pPr>
        <w:spacing w:line="480" w:lineRule="auto"/>
      </w:pPr>
    </w:p>
    <w:p w14:paraId="79C55F3E" w14:textId="3ACA2F80" w:rsidR="003E7208" w:rsidRPr="00041FEB" w:rsidRDefault="003E7208" w:rsidP="00400C1A">
      <w:pPr>
        <w:spacing w:line="480" w:lineRule="auto"/>
        <w:rPr>
          <w:b/>
          <w:bCs/>
        </w:rPr>
      </w:pPr>
      <w:r w:rsidRPr="00041FEB">
        <w:rPr>
          <w:b/>
          <w:bCs/>
        </w:rPr>
        <w:t>References</w:t>
      </w:r>
    </w:p>
    <w:p w14:paraId="798D0FF2" w14:textId="33A9BDF0" w:rsidR="003E7208" w:rsidRPr="00041FEB" w:rsidRDefault="003E7208" w:rsidP="00400C1A">
      <w:pPr>
        <w:spacing w:line="480" w:lineRule="auto"/>
      </w:pPr>
    </w:p>
    <w:p w14:paraId="4E313A29" w14:textId="77777777" w:rsidR="00BF5019" w:rsidRPr="00041FEB" w:rsidRDefault="003E0DA9" w:rsidP="00400C1A">
      <w:pPr>
        <w:widowControl w:val="0"/>
        <w:autoSpaceDE w:val="0"/>
        <w:autoSpaceDN w:val="0"/>
        <w:adjustRightInd w:val="0"/>
        <w:spacing w:line="480" w:lineRule="auto"/>
        <w:rPr>
          <w:rFonts w:cs="Times New Roman"/>
        </w:rPr>
      </w:pPr>
      <w:r w:rsidRPr="00041FEB">
        <w:rPr>
          <w:bCs/>
        </w:rPr>
        <w:fldChar w:fldCharType="begin"/>
      </w:r>
      <w:r w:rsidR="00BF5019" w:rsidRPr="00041FEB">
        <w:instrText xml:space="preserve"> ADDIN ZOTERO_BIBL {"uncited":[],"omitted":[],"custom":[]} CSL_BIBLIOGRAPHY </w:instrText>
      </w:r>
      <w:r w:rsidRPr="00041FEB">
        <w:rPr>
          <w:bCs/>
        </w:rPr>
        <w:fldChar w:fldCharType="separate"/>
      </w:r>
      <w:r w:rsidR="00BF5019" w:rsidRPr="00041FEB">
        <w:rPr>
          <w:rFonts w:cs="Times New Roman"/>
        </w:rPr>
        <w:t xml:space="preserve">1. </w:t>
      </w:r>
      <w:r w:rsidR="00BF5019" w:rsidRPr="00041FEB">
        <w:rPr>
          <w:rFonts w:cs="Times New Roman"/>
        </w:rPr>
        <w:tab/>
        <w:t xml:space="preserve">Dzau VJ, Jenkins JAC. Creating a Global Roadmap for Healthy Longevity. </w:t>
      </w:r>
      <w:r w:rsidR="00BF5019" w:rsidRPr="00041FEB">
        <w:rPr>
          <w:rFonts w:cs="Times New Roman"/>
          <w:i/>
          <w:iCs/>
        </w:rPr>
        <w:t>J Gerontol Ser A</w:t>
      </w:r>
      <w:r w:rsidR="00BF5019" w:rsidRPr="00041FEB">
        <w:rPr>
          <w:rFonts w:cs="Times New Roman"/>
        </w:rPr>
        <w:t>. 2019;74(Supplement_1):S4-S6. doi:10.1093/gerona/glz226.</w:t>
      </w:r>
    </w:p>
    <w:p w14:paraId="51911D8C"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2. </w:t>
      </w:r>
      <w:r w:rsidRPr="00041FEB">
        <w:rPr>
          <w:rFonts w:cs="Times New Roman"/>
        </w:rPr>
        <w:tab/>
        <w:t>World Health Organization. Aging and health. https://www.who.int/news-room/fact-sheets/detail/ageing-and-health. Published 2018.</w:t>
      </w:r>
    </w:p>
    <w:p w14:paraId="472757DB"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3. </w:t>
      </w:r>
      <w:r w:rsidRPr="00041FEB">
        <w:rPr>
          <w:rFonts w:cs="Times New Roman"/>
        </w:rPr>
        <w:tab/>
        <w:t xml:space="preserve">GBD 2017 Disease and Injury Incidence and Prevalence Collaborators. Global, regional, and national incidence, prevalence, and years lived with disability for 354 diseases and injuries for 195 countries and territories, 1990-2017: a systematic analysis for the Global Burden of Disease Study 2017. </w:t>
      </w:r>
      <w:r w:rsidRPr="00041FEB">
        <w:rPr>
          <w:rFonts w:cs="Times New Roman"/>
          <w:i/>
          <w:iCs/>
        </w:rPr>
        <w:t>Lancet Lond Engl</w:t>
      </w:r>
      <w:r w:rsidRPr="00041FEB">
        <w:rPr>
          <w:rFonts w:cs="Times New Roman"/>
        </w:rPr>
        <w:t>. 2018;392(10159):1789-1858. doi:10.1016/S0140-6736(18)32279-7.</w:t>
      </w:r>
    </w:p>
    <w:p w14:paraId="4B6237C9"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4. </w:t>
      </w:r>
      <w:r w:rsidRPr="00041FEB">
        <w:rPr>
          <w:rFonts w:cs="Times New Roman"/>
        </w:rPr>
        <w:tab/>
        <w:t xml:space="preserve">Yao S-S, Cao G-Y, Han L, et al. Prevalence and patterns of multimorbidity in a nationally representative sample of older Chinese: results from CHARLS. </w:t>
      </w:r>
      <w:r w:rsidRPr="00041FEB">
        <w:rPr>
          <w:rFonts w:cs="Times New Roman"/>
          <w:i/>
          <w:iCs/>
        </w:rPr>
        <w:t xml:space="preserve">J Gerontol A Biol </w:t>
      </w:r>
      <w:r w:rsidRPr="00041FEB">
        <w:rPr>
          <w:rFonts w:cs="Times New Roman"/>
          <w:i/>
          <w:iCs/>
        </w:rPr>
        <w:lastRenderedPageBreak/>
        <w:t>Sci Med Sci</w:t>
      </w:r>
      <w:r w:rsidRPr="00041FEB">
        <w:rPr>
          <w:rFonts w:cs="Times New Roman"/>
        </w:rPr>
        <w:t>. August 2019. doi:10.1093/gerona/glz185.</w:t>
      </w:r>
    </w:p>
    <w:p w14:paraId="120301F3"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5. </w:t>
      </w:r>
      <w:r w:rsidRPr="00041FEB">
        <w:rPr>
          <w:rFonts w:cs="Times New Roman"/>
        </w:rPr>
        <w:tab/>
        <w:t xml:space="preserve">Broese van Groenou MI, De Boer A. Providing informal care in a changing society. </w:t>
      </w:r>
      <w:r w:rsidRPr="00041FEB">
        <w:rPr>
          <w:rFonts w:cs="Times New Roman"/>
          <w:i/>
          <w:iCs/>
        </w:rPr>
        <w:t>Eur J Ageing</w:t>
      </w:r>
      <w:r w:rsidRPr="00041FEB">
        <w:rPr>
          <w:rFonts w:cs="Times New Roman"/>
        </w:rPr>
        <w:t>. 2016;13(3):271-279. doi:10.1007/s10433-016-0370-7.</w:t>
      </w:r>
    </w:p>
    <w:p w14:paraId="186E7848"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6. </w:t>
      </w:r>
      <w:r w:rsidRPr="00041FEB">
        <w:rPr>
          <w:rFonts w:cs="Times New Roman"/>
        </w:rPr>
        <w:tab/>
        <w:t xml:space="preserve">Thrush A, Hyder A. The neglected burden of caregiving in low- and middle-income countries. </w:t>
      </w:r>
      <w:r w:rsidRPr="00041FEB">
        <w:rPr>
          <w:rFonts w:cs="Times New Roman"/>
          <w:i/>
          <w:iCs/>
        </w:rPr>
        <w:t>Disabil Health J</w:t>
      </w:r>
      <w:r w:rsidRPr="00041FEB">
        <w:rPr>
          <w:rFonts w:cs="Times New Roman"/>
        </w:rPr>
        <w:t>. 2014;7(3):262-272. doi:10.1016/j.dhjo.2014.01.003.</w:t>
      </w:r>
    </w:p>
    <w:p w14:paraId="6109340D" w14:textId="77777777" w:rsidR="00BF5019" w:rsidRPr="00041FEB" w:rsidRDefault="00BF5019" w:rsidP="00400C1A">
      <w:pPr>
        <w:widowControl w:val="0"/>
        <w:autoSpaceDE w:val="0"/>
        <w:autoSpaceDN w:val="0"/>
        <w:adjustRightInd w:val="0"/>
        <w:spacing w:line="480" w:lineRule="auto"/>
        <w:rPr>
          <w:rFonts w:cs="Times New Roman"/>
          <w:lang w:val="fr-FR"/>
        </w:rPr>
      </w:pPr>
      <w:r w:rsidRPr="00041FEB">
        <w:rPr>
          <w:rFonts w:cs="Times New Roman"/>
        </w:rPr>
        <w:t xml:space="preserve">7. </w:t>
      </w:r>
      <w:r w:rsidRPr="00041FEB">
        <w:rPr>
          <w:rFonts w:cs="Times New Roman"/>
        </w:rPr>
        <w:tab/>
        <w:t xml:space="preserve">Koyanagi A, DeVylder JE, Stubbs B, et al. Depression, sleep problems, and perceived stress among informal caregivers in 58 low-, middle-, and high-income countries: A cross-sectional analysis of community-based surveys. </w:t>
      </w:r>
      <w:r w:rsidRPr="00041FEB">
        <w:rPr>
          <w:rFonts w:cs="Times New Roman"/>
          <w:i/>
          <w:iCs/>
          <w:lang w:val="fr-FR"/>
        </w:rPr>
        <w:t>J Psychiatr Res</w:t>
      </w:r>
      <w:r w:rsidRPr="00041FEB">
        <w:rPr>
          <w:rFonts w:cs="Times New Roman"/>
          <w:lang w:val="fr-FR"/>
        </w:rPr>
        <w:t>. 2018;96:115-123. doi:10.1016/j.jpsychires.2017.10.001.</w:t>
      </w:r>
    </w:p>
    <w:p w14:paraId="391EC505" w14:textId="77777777" w:rsidR="00BF5019" w:rsidRPr="00041FEB" w:rsidRDefault="00BF5019" w:rsidP="00400C1A">
      <w:pPr>
        <w:widowControl w:val="0"/>
        <w:autoSpaceDE w:val="0"/>
        <w:autoSpaceDN w:val="0"/>
        <w:adjustRightInd w:val="0"/>
        <w:spacing w:line="480" w:lineRule="auto"/>
        <w:rPr>
          <w:rFonts w:cs="Times New Roman"/>
          <w:lang w:val="fr-FR"/>
        </w:rPr>
      </w:pPr>
      <w:r w:rsidRPr="00041FEB">
        <w:rPr>
          <w:rFonts w:cs="Times New Roman"/>
          <w:lang w:val="fr-FR"/>
        </w:rPr>
        <w:t xml:space="preserve">8. </w:t>
      </w:r>
      <w:r w:rsidRPr="00041FEB">
        <w:rPr>
          <w:rFonts w:cs="Times New Roman"/>
          <w:lang w:val="fr-FR"/>
        </w:rPr>
        <w:tab/>
        <w:t xml:space="preserve">Su P, Ding H, Zhang W, et al. </w:t>
      </w:r>
      <w:r w:rsidRPr="00041FEB">
        <w:rPr>
          <w:rFonts w:cs="Times New Roman"/>
        </w:rPr>
        <w:t xml:space="preserve">The association of multimorbidity and disability in a community-based sample of elderly aged 80 or older in Shanghai, China. </w:t>
      </w:r>
      <w:r w:rsidRPr="00041FEB">
        <w:rPr>
          <w:rFonts w:cs="Times New Roman"/>
          <w:i/>
          <w:iCs/>
          <w:lang w:val="fr-FR"/>
        </w:rPr>
        <w:t>BMC Geriatr</w:t>
      </w:r>
      <w:r w:rsidRPr="00041FEB">
        <w:rPr>
          <w:rFonts w:cs="Times New Roman"/>
          <w:lang w:val="fr-FR"/>
        </w:rPr>
        <w:t>. 2016;16. doi:10.1186/s12877-016-0352-9.</w:t>
      </w:r>
    </w:p>
    <w:p w14:paraId="6C7912AD"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lang w:val="fr-FR"/>
        </w:rPr>
        <w:t xml:space="preserve">9. </w:t>
      </w:r>
      <w:r w:rsidRPr="00041FEB">
        <w:rPr>
          <w:rFonts w:cs="Times New Roman"/>
          <w:lang w:val="fr-FR"/>
        </w:rPr>
        <w:tab/>
        <w:t xml:space="preserve">Lange-Maia BS, Karvonen-Gutierrez CA, Kazlauskaite R, et al. </w:t>
      </w:r>
      <w:r w:rsidRPr="00041FEB">
        <w:rPr>
          <w:rFonts w:cs="Times New Roman"/>
        </w:rPr>
        <w:t xml:space="preserve">Impact of Chronic Medical Condition Development on Longitudinal Physical Function from Mid- to Early Late-Life: The Study of Women’s Health Across the Nation. </w:t>
      </w:r>
      <w:r w:rsidRPr="00041FEB">
        <w:rPr>
          <w:rFonts w:cs="Times New Roman"/>
          <w:i/>
          <w:iCs/>
        </w:rPr>
        <w:t>J Gerontol A Biol Sci Med Sci</w:t>
      </w:r>
      <w:r w:rsidRPr="00041FEB">
        <w:rPr>
          <w:rFonts w:cs="Times New Roman"/>
        </w:rPr>
        <w:t>. November 2019. doi:10.1093/gerona/glz243.</w:t>
      </w:r>
    </w:p>
    <w:p w14:paraId="7BCE6A16"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10. </w:t>
      </w:r>
      <w:r w:rsidRPr="00041FEB">
        <w:rPr>
          <w:rFonts w:cs="Times New Roman"/>
        </w:rPr>
        <w:tab/>
        <w:t xml:space="preserve">Williams JS, Egede LE. The Association Between Multimorbidity and Quality of Life, Health Status and Functional Disability. </w:t>
      </w:r>
      <w:r w:rsidRPr="00041FEB">
        <w:rPr>
          <w:rFonts w:cs="Times New Roman"/>
          <w:i/>
          <w:iCs/>
        </w:rPr>
        <w:t>Am J Med Sci</w:t>
      </w:r>
      <w:r w:rsidRPr="00041FEB">
        <w:rPr>
          <w:rFonts w:cs="Times New Roman"/>
        </w:rPr>
        <w:t>. 2016;352(1):45-52. doi:10.1016/j.amjms.2016.03.004.</w:t>
      </w:r>
    </w:p>
    <w:p w14:paraId="38C8B5EB"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11. </w:t>
      </w:r>
      <w:r w:rsidRPr="00041FEB">
        <w:rPr>
          <w:rFonts w:cs="Times New Roman"/>
        </w:rPr>
        <w:tab/>
        <w:t xml:space="preserve">Jani BD, Hanlon P, Nicholl BI, et al. Relationship between multimorbidity, demographic factors and mortality: findings from the UK Biobank cohort. </w:t>
      </w:r>
      <w:r w:rsidRPr="00041FEB">
        <w:rPr>
          <w:rFonts w:cs="Times New Roman"/>
          <w:i/>
          <w:iCs/>
        </w:rPr>
        <w:t>BMC Med</w:t>
      </w:r>
      <w:r w:rsidRPr="00041FEB">
        <w:rPr>
          <w:rFonts w:cs="Times New Roman"/>
        </w:rPr>
        <w:t>. 2019;17(1):74. doi:10.1186/s12916-019-1305-x.</w:t>
      </w:r>
    </w:p>
    <w:p w14:paraId="06F7CFD1"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12. </w:t>
      </w:r>
      <w:r w:rsidRPr="00041FEB">
        <w:rPr>
          <w:rFonts w:cs="Times New Roman"/>
        </w:rPr>
        <w:tab/>
        <w:t xml:space="preserve">Kim D. Relationships between Caregiving Stress, Depression, and Self-Esteem in Family Caregivers of Adults with a Disability. </w:t>
      </w:r>
      <w:r w:rsidRPr="00041FEB">
        <w:rPr>
          <w:rFonts w:cs="Times New Roman"/>
          <w:i/>
          <w:iCs/>
        </w:rPr>
        <w:t>Occup Ther Int</w:t>
      </w:r>
      <w:r w:rsidRPr="00041FEB">
        <w:rPr>
          <w:rFonts w:cs="Times New Roman"/>
        </w:rPr>
        <w:t>. 2017;2017. doi:10.1155/2017/1686143.</w:t>
      </w:r>
    </w:p>
    <w:p w14:paraId="6BEC376D"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lastRenderedPageBreak/>
        <w:t xml:space="preserve">13. </w:t>
      </w:r>
      <w:r w:rsidRPr="00041FEB">
        <w:rPr>
          <w:rFonts w:cs="Times New Roman"/>
        </w:rPr>
        <w:tab/>
        <w:t xml:space="preserve">Sacco LB, Leineweber C, Platts LG. Informal Care and Sleep Disturbance Among Caregivers in Paid Work: Longitudinal Analyses From a Large Community-Based Swedish Cohort Study. </w:t>
      </w:r>
      <w:r w:rsidRPr="00041FEB">
        <w:rPr>
          <w:rFonts w:cs="Times New Roman"/>
          <w:i/>
          <w:iCs/>
        </w:rPr>
        <w:t>Sleep</w:t>
      </w:r>
      <w:r w:rsidRPr="00041FEB">
        <w:rPr>
          <w:rFonts w:cs="Times New Roman"/>
        </w:rPr>
        <w:t>. 2017;41(2). doi:10.1093/sleep/zsx198.</w:t>
      </w:r>
    </w:p>
    <w:p w14:paraId="60173AC5"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14. </w:t>
      </w:r>
      <w:r w:rsidRPr="00041FEB">
        <w:rPr>
          <w:rFonts w:cs="Times New Roman"/>
        </w:rPr>
        <w:tab/>
        <w:t xml:space="preserve">Salgado-García FI, Zuber JK, Graney MJ, Nichols LO, Martindale-Adams JL, Andrasik F. Smoking and Smoking Increase in Caregivers of Alzheimer’s Patients. </w:t>
      </w:r>
      <w:r w:rsidRPr="00041FEB">
        <w:rPr>
          <w:rFonts w:cs="Times New Roman"/>
          <w:i/>
          <w:iCs/>
        </w:rPr>
        <w:t>The Gerontologist</w:t>
      </w:r>
      <w:r w:rsidRPr="00041FEB">
        <w:rPr>
          <w:rFonts w:cs="Times New Roman"/>
        </w:rPr>
        <w:t>. 2015;55(5):780-792. doi:10.1093/geront/gnt149.</w:t>
      </w:r>
    </w:p>
    <w:p w14:paraId="7636803D"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15. </w:t>
      </w:r>
      <w:r w:rsidRPr="00041FEB">
        <w:rPr>
          <w:rFonts w:cs="Times New Roman"/>
        </w:rPr>
        <w:tab/>
        <w:t xml:space="preserve">Fredman L, Bertrand RM, Martire LM, Hochberg M, Harris EL. Leisure-time exercise and overall physical activity in older women caregivers and non-caregivers from the Caregiver-SOF Study. </w:t>
      </w:r>
      <w:r w:rsidRPr="00041FEB">
        <w:rPr>
          <w:rFonts w:cs="Times New Roman"/>
          <w:i/>
          <w:iCs/>
        </w:rPr>
        <w:t>Prev Med</w:t>
      </w:r>
      <w:r w:rsidRPr="00041FEB">
        <w:rPr>
          <w:rFonts w:cs="Times New Roman"/>
        </w:rPr>
        <w:t>. 2006;43(3):226-229. doi:10.1016/j.ypmed.2006.04.009.</w:t>
      </w:r>
    </w:p>
    <w:p w14:paraId="23E29AD9"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16. </w:t>
      </w:r>
      <w:r w:rsidRPr="00041FEB">
        <w:rPr>
          <w:rFonts w:cs="Times New Roman"/>
        </w:rPr>
        <w:tab/>
        <w:t xml:space="preserve">Taylor AW, Price K, Gill TK, et al. Multimorbidity - not just an older person’s issue. Results from an Australian biomedical study. </w:t>
      </w:r>
      <w:r w:rsidRPr="00041FEB">
        <w:rPr>
          <w:rFonts w:cs="Times New Roman"/>
          <w:i/>
          <w:iCs/>
        </w:rPr>
        <w:t>BMC Public Health</w:t>
      </w:r>
      <w:r w:rsidRPr="00041FEB">
        <w:rPr>
          <w:rFonts w:cs="Times New Roman"/>
        </w:rPr>
        <w:t>. 2010;10:718. doi:10.1186/1471-2458-10-718.</w:t>
      </w:r>
    </w:p>
    <w:p w14:paraId="475B45E2"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lang w:val="fr-FR"/>
        </w:rPr>
        <w:t xml:space="preserve">17. </w:t>
      </w:r>
      <w:r w:rsidRPr="00041FEB">
        <w:rPr>
          <w:rFonts w:cs="Times New Roman"/>
          <w:lang w:val="fr-FR"/>
        </w:rPr>
        <w:tab/>
        <w:t xml:space="preserve">Dhalwani NN, Zaccardi F, O’Donovan G, et al. </w:t>
      </w:r>
      <w:r w:rsidRPr="00041FEB">
        <w:rPr>
          <w:rFonts w:cs="Times New Roman"/>
        </w:rPr>
        <w:t xml:space="preserve">Association Between Lifestyle Factors and the Incidence of Multimorbidity in an Older English Population. </w:t>
      </w:r>
      <w:r w:rsidRPr="00041FEB">
        <w:rPr>
          <w:rFonts w:cs="Times New Roman"/>
          <w:i/>
          <w:iCs/>
        </w:rPr>
        <w:t>J Gerontol Ser A</w:t>
      </w:r>
      <w:r w:rsidRPr="00041FEB">
        <w:rPr>
          <w:rFonts w:cs="Times New Roman"/>
        </w:rPr>
        <w:t>. 2017;72(4):528-534. doi:10.1093/gerona/glw146.</w:t>
      </w:r>
    </w:p>
    <w:p w14:paraId="1394BAC8"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18. </w:t>
      </w:r>
      <w:r w:rsidRPr="00041FEB">
        <w:rPr>
          <w:rFonts w:cs="Times New Roman"/>
        </w:rPr>
        <w:tab/>
        <w:t xml:space="preserve">Helbig AK, Stöckl D, Heier M, et al. Relationship between sleep disturbances and multimorbidity among community-dwelling men and women aged 65-93 years: results from the KORA Age Study. </w:t>
      </w:r>
      <w:r w:rsidRPr="00041FEB">
        <w:rPr>
          <w:rFonts w:cs="Times New Roman"/>
          <w:i/>
          <w:iCs/>
        </w:rPr>
        <w:t>Sleep Med</w:t>
      </w:r>
      <w:r w:rsidRPr="00041FEB">
        <w:rPr>
          <w:rFonts w:cs="Times New Roman"/>
        </w:rPr>
        <w:t>. 2017;33:151-159. doi:10.1016/j.sleep.2017.01.016.</w:t>
      </w:r>
    </w:p>
    <w:p w14:paraId="4BCE4FAA"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19. </w:t>
      </w:r>
      <w:r w:rsidRPr="00041FEB">
        <w:rPr>
          <w:rFonts w:cs="Times New Roman"/>
        </w:rPr>
        <w:tab/>
        <w:t xml:space="preserve">Vancampfort D, Koyanagi A, Ward PB, et al. Perceived Stress and Its Relationship With Chronic Medical Conditions and Multimorbidity Among 229,293 Community-Dwelling Adults in 44 Low- and Middle-Income Countries. </w:t>
      </w:r>
      <w:r w:rsidRPr="00041FEB">
        <w:rPr>
          <w:rFonts w:cs="Times New Roman"/>
          <w:i/>
          <w:iCs/>
        </w:rPr>
        <w:t>Am J Epidemiol</w:t>
      </w:r>
      <w:r w:rsidRPr="00041FEB">
        <w:rPr>
          <w:rFonts w:cs="Times New Roman"/>
        </w:rPr>
        <w:t>. 2017;186(8):979-989. doi:10.1093/aje/kwx159.</w:t>
      </w:r>
    </w:p>
    <w:p w14:paraId="44D311C3"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20. </w:t>
      </w:r>
      <w:r w:rsidRPr="00041FEB">
        <w:rPr>
          <w:rFonts w:cs="Times New Roman"/>
        </w:rPr>
        <w:tab/>
        <w:t xml:space="preserve">Polenick CA, Leggett AN, Webster NJ, Han BH, Zarit SH, Piette JD. Multiple Chronic Conditions in Spousal Caregivers of Older Adults With Functional Disability: Associations With Caregiving Difficulties and Gains. </w:t>
      </w:r>
      <w:r w:rsidRPr="00041FEB">
        <w:rPr>
          <w:rFonts w:cs="Times New Roman"/>
          <w:i/>
          <w:iCs/>
        </w:rPr>
        <w:t>J Gerontol Ser B</w:t>
      </w:r>
      <w:r w:rsidRPr="00041FEB">
        <w:rPr>
          <w:rFonts w:cs="Times New Roman"/>
        </w:rPr>
        <w:t xml:space="preserve">. 2017. </w:t>
      </w:r>
      <w:r w:rsidRPr="00041FEB">
        <w:rPr>
          <w:rFonts w:cs="Times New Roman"/>
        </w:rPr>
        <w:lastRenderedPageBreak/>
        <w:t>doi:10.1093/geronb/gbx118.</w:t>
      </w:r>
    </w:p>
    <w:p w14:paraId="705D39FB"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21. </w:t>
      </w:r>
      <w:r w:rsidRPr="00041FEB">
        <w:rPr>
          <w:rFonts w:cs="Times New Roman"/>
        </w:rPr>
        <w:tab/>
        <w:t xml:space="preserve">Frith E, Ramulu PY, Ashar B, Loprinzi PD. Association of Single and Multiple Medical Conditions with Work Status among Adults in the United States. </w:t>
      </w:r>
      <w:r w:rsidRPr="00041FEB">
        <w:rPr>
          <w:rFonts w:cs="Times New Roman"/>
          <w:i/>
          <w:iCs/>
        </w:rPr>
        <w:t>J Lifestyle Med</w:t>
      </w:r>
      <w:r w:rsidRPr="00041FEB">
        <w:rPr>
          <w:rFonts w:cs="Times New Roman"/>
        </w:rPr>
        <w:t>. 2019;9(1):15-26. doi:10.15280/jlm.2019.9.1.15.</w:t>
      </w:r>
    </w:p>
    <w:p w14:paraId="438651B6"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22. </w:t>
      </w:r>
      <w:r w:rsidRPr="00041FEB">
        <w:rPr>
          <w:rFonts w:cs="Times New Roman"/>
        </w:rPr>
        <w:tab/>
        <w:t xml:space="preserve">Payne CF, Pesando LM, Kohler H-P. Private Intergenerational Transfers, Family Structure, and Health in a sub-Saharan African Context. </w:t>
      </w:r>
      <w:r w:rsidRPr="00041FEB">
        <w:rPr>
          <w:rFonts w:cs="Times New Roman"/>
          <w:i/>
          <w:iCs/>
        </w:rPr>
        <w:t>Popul Dev Rev</w:t>
      </w:r>
      <w:r w:rsidRPr="00041FEB">
        <w:rPr>
          <w:rFonts w:cs="Times New Roman"/>
        </w:rPr>
        <w:t>. 2019;45(1):41-80. doi:10.1111/padr.12225.</w:t>
      </w:r>
    </w:p>
    <w:p w14:paraId="12F992F4"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23. </w:t>
      </w:r>
      <w:r w:rsidRPr="00041FEB">
        <w:rPr>
          <w:rFonts w:cs="Times New Roman"/>
        </w:rPr>
        <w:tab/>
        <w:t xml:space="preserve">Nuevo R, Chatterji S, Verdes E, Naidoo N, Arango C, Ayuso-Mateos JL. The continuum of psychotic symptoms in the general population: a cross-national study. </w:t>
      </w:r>
      <w:r w:rsidRPr="00041FEB">
        <w:rPr>
          <w:rFonts w:cs="Times New Roman"/>
          <w:i/>
          <w:iCs/>
        </w:rPr>
        <w:t>Schizophr Bull</w:t>
      </w:r>
      <w:r w:rsidRPr="00041FEB">
        <w:rPr>
          <w:rFonts w:cs="Times New Roman"/>
        </w:rPr>
        <w:t>. 2012;38(3):475-485. doi:10.1093/schbul/sbq099.</w:t>
      </w:r>
    </w:p>
    <w:p w14:paraId="0B875A55"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24. </w:t>
      </w:r>
      <w:r w:rsidRPr="00041FEB">
        <w:rPr>
          <w:rFonts w:cs="Times New Roman"/>
        </w:rPr>
        <w:tab/>
        <w:t xml:space="preserve">Freeman EE, Roy-Gagnon M-H, Samson E, et al. The global burden of visual difficulty in low, middle, and high income countries. </w:t>
      </w:r>
      <w:r w:rsidRPr="00041FEB">
        <w:rPr>
          <w:rFonts w:cs="Times New Roman"/>
          <w:i/>
          <w:iCs/>
        </w:rPr>
        <w:t>PloS One</w:t>
      </w:r>
      <w:r w:rsidRPr="00041FEB">
        <w:rPr>
          <w:rFonts w:cs="Times New Roman"/>
        </w:rPr>
        <w:t>. 2013;8(5):e63315. doi:10.1371/journal.pone.0063315.</w:t>
      </w:r>
    </w:p>
    <w:p w14:paraId="62A1317D"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25. </w:t>
      </w:r>
      <w:r w:rsidRPr="00041FEB">
        <w:rPr>
          <w:rFonts w:cs="Times New Roman"/>
        </w:rPr>
        <w:tab/>
        <w:t xml:space="preserve">Smith L, Onwumere J, Craig T, McManus S, Bebbington P, Kuipers E. Mental and physical illness in caregivers: results from an English national survey sample. </w:t>
      </w:r>
      <w:r w:rsidRPr="00041FEB">
        <w:rPr>
          <w:rFonts w:cs="Times New Roman"/>
          <w:i/>
          <w:iCs/>
        </w:rPr>
        <w:t>Br J Psychiatry</w:t>
      </w:r>
      <w:r w:rsidRPr="00041FEB">
        <w:rPr>
          <w:rFonts w:cs="Times New Roman"/>
        </w:rPr>
        <w:t>. 2014;205(3):197-203. doi:10.1192/bjp.bp.112.125369.</w:t>
      </w:r>
    </w:p>
    <w:p w14:paraId="5CF4749B"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26. </w:t>
      </w:r>
      <w:r w:rsidRPr="00041FEB">
        <w:rPr>
          <w:rFonts w:cs="Times New Roman"/>
        </w:rPr>
        <w:tab/>
        <w:t xml:space="preserve">Higgins JPT, Thompson SG, Deeks JJ, Altman DG. Measuring inconsistency in meta-analyses. </w:t>
      </w:r>
      <w:r w:rsidRPr="00041FEB">
        <w:rPr>
          <w:rFonts w:cs="Times New Roman"/>
          <w:i/>
          <w:iCs/>
        </w:rPr>
        <w:t>BMJ</w:t>
      </w:r>
      <w:r w:rsidRPr="00041FEB">
        <w:rPr>
          <w:rFonts w:cs="Times New Roman"/>
        </w:rPr>
        <w:t>. 2003;327(7414):557-560. doi:10.1136/bmj.327.7414.557.</w:t>
      </w:r>
    </w:p>
    <w:p w14:paraId="292A433D"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27. </w:t>
      </w:r>
      <w:r w:rsidRPr="00041FEB">
        <w:rPr>
          <w:rFonts w:cs="Times New Roman"/>
        </w:rPr>
        <w:tab/>
        <w:t xml:space="preserve">Darragh AR, Sommerich CM, Lavender SA, Tanner KJ, Vogel K, Campo M. Musculoskeletal Discomfort, Physical Demand, and Caregiving Activities in Informal Caregivers. </w:t>
      </w:r>
      <w:r w:rsidRPr="00041FEB">
        <w:rPr>
          <w:rFonts w:cs="Times New Roman"/>
          <w:i/>
          <w:iCs/>
        </w:rPr>
        <w:t>J Appl Gerontol Off J South Gerontol Soc</w:t>
      </w:r>
      <w:r w:rsidRPr="00041FEB">
        <w:rPr>
          <w:rFonts w:cs="Times New Roman"/>
        </w:rPr>
        <w:t>. 2015;34(6):734-760. doi:10.1177/0733464813496464.</w:t>
      </w:r>
    </w:p>
    <w:p w14:paraId="55624856"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28. </w:t>
      </w:r>
      <w:r w:rsidRPr="00041FEB">
        <w:rPr>
          <w:rFonts w:cs="Times New Roman"/>
        </w:rPr>
        <w:tab/>
        <w:t xml:space="preserve">Punzi L, Galozzi P, Luisetto R, et al. Post-traumatic arthritis: overview on pathogenic mechanisms and role of inflammation. </w:t>
      </w:r>
      <w:r w:rsidRPr="00041FEB">
        <w:rPr>
          <w:rFonts w:cs="Times New Roman"/>
          <w:i/>
          <w:iCs/>
        </w:rPr>
        <w:t>RMD Open</w:t>
      </w:r>
      <w:r w:rsidRPr="00041FEB">
        <w:rPr>
          <w:rFonts w:cs="Times New Roman"/>
        </w:rPr>
        <w:t>. 2016;2(2). doi:10.1136/rmdopen-2016-000279.</w:t>
      </w:r>
    </w:p>
    <w:p w14:paraId="367DE887"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lastRenderedPageBreak/>
        <w:t xml:space="preserve">29. </w:t>
      </w:r>
      <w:r w:rsidRPr="00041FEB">
        <w:rPr>
          <w:rFonts w:cs="Times New Roman"/>
        </w:rPr>
        <w:tab/>
        <w:t xml:space="preserve">Capistrant BD, Moon JR, Glymour MM. Spousal caregiving and incident hypertension. </w:t>
      </w:r>
      <w:r w:rsidRPr="00041FEB">
        <w:rPr>
          <w:rFonts w:cs="Times New Roman"/>
          <w:i/>
          <w:iCs/>
        </w:rPr>
        <w:t>Am J Hypertens</w:t>
      </w:r>
      <w:r w:rsidRPr="00041FEB">
        <w:rPr>
          <w:rFonts w:cs="Times New Roman"/>
        </w:rPr>
        <w:t>. 2012;25(4):437-443. doi:10.1038/ajh.2011.232.</w:t>
      </w:r>
    </w:p>
    <w:p w14:paraId="174E625B"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30. </w:t>
      </w:r>
      <w:r w:rsidRPr="00041FEB">
        <w:rPr>
          <w:rFonts w:cs="Times New Roman"/>
        </w:rPr>
        <w:tab/>
        <w:t xml:space="preserve">Wakabayashi C, Donato KM. Does caregiving increase poverty among women in later life? Evidence from the Health and Retirement survey. </w:t>
      </w:r>
      <w:r w:rsidRPr="00041FEB">
        <w:rPr>
          <w:rFonts w:cs="Times New Roman"/>
          <w:i/>
          <w:iCs/>
        </w:rPr>
        <w:t>J Health Soc Behav</w:t>
      </w:r>
      <w:r w:rsidRPr="00041FEB">
        <w:rPr>
          <w:rFonts w:cs="Times New Roman"/>
        </w:rPr>
        <w:t>. 2006;47(3):258-274. doi:10.1177/002214650604700305.</w:t>
      </w:r>
    </w:p>
    <w:p w14:paraId="351FF255"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31. </w:t>
      </w:r>
      <w:r w:rsidRPr="00041FEB">
        <w:rPr>
          <w:rFonts w:cs="Times New Roman"/>
        </w:rPr>
        <w:tab/>
        <w:t xml:space="preserve">Richardson S, Shaffer JA, Falzon L, Krupka D, Davidson KW, Edmondson D. Meta-analysis of Perceived Stress and its Association with Incident Coronary Heart Disease. </w:t>
      </w:r>
      <w:r w:rsidRPr="00041FEB">
        <w:rPr>
          <w:rFonts w:cs="Times New Roman"/>
          <w:i/>
          <w:iCs/>
        </w:rPr>
        <w:t>Am J Cardiol</w:t>
      </w:r>
      <w:r w:rsidRPr="00041FEB">
        <w:rPr>
          <w:rFonts w:cs="Times New Roman"/>
        </w:rPr>
        <w:t>. 2012;110(12):1711-1716. doi:10.1016/j.amjcard.2012.08.004.</w:t>
      </w:r>
    </w:p>
    <w:p w14:paraId="25A08657"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32. </w:t>
      </w:r>
      <w:r w:rsidRPr="00041FEB">
        <w:rPr>
          <w:rFonts w:cs="Times New Roman"/>
        </w:rPr>
        <w:tab/>
        <w:t xml:space="preserve">Gan Y, Gong Y, Tong X, et al. Depression and the risk of coronary heart disease: a meta-analysis of prospective cohort studies. </w:t>
      </w:r>
      <w:r w:rsidRPr="00041FEB">
        <w:rPr>
          <w:rFonts w:cs="Times New Roman"/>
          <w:i/>
          <w:iCs/>
        </w:rPr>
        <w:t>BMC Psychiatry</w:t>
      </w:r>
      <w:r w:rsidRPr="00041FEB">
        <w:rPr>
          <w:rFonts w:cs="Times New Roman"/>
        </w:rPr>
        <w:t>. 2014;14. doi:10.1186/s12888-014-0371-z.</w:t>
      </w:r>
    </w:p>
    <w:p w14:paraId="1A4E7AD2"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33. </w:t>
      </w:r>
      <w:r w:rsidRPr="00041FEB">
        <w:rPr>
          <w:rFonts w:cs="Times New Roman"/>
        </w:rPr>
        <w:tab/>
        <w:t xml:space="preserve">Lao XQ, Liu X, Deng H-B, et al. Sleep Quality, Sleep Duration, and the Risk of Coronary Heart Disease: A Prospective Cohort Study With 60,586 Adults. </w:t>
      </w:r>
      <w:r w:rsidRPr="00041FEB">
        <w:rPr>
          <w:rFonts w:cs="Times New Roman"/>
          <w:i/>
          <w:iCs/>
        </w:rPr>
        <w:t>J Clin Sleep Med JCSM Off Publ Am Acad Sleep Med</w:t>
      </w:r>
      <w:r w:rsidRPr="00041FEB">
        <w:rPr>
          <w:rFonts w:cs="Times New Roman"/>
        </w:rPr>
        <w:t>. 2018;14(1):109-117. doi:10.5664/jcsm.6894.</w:t>
      </w:r>
    </w:p>
    <w:p w14:paraId="4FCA7B24"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34. </w:t>
      </w:r>
      <w:r w:rsidRPr="00041FEB">
        <w:rPr>
          <w:rFonts w:cs="Times New Roman"/>
        </w:rPr>
        <w:tab/>
        <w:t xml:space="preserve">Rod NH, Kristensen TS, Lange P, Prescott E, Diderichsen F. Perceived stress and risk of adult-onset asthma and other atopic disorders: a longitudinal cohort study. </w:t>
      </w:r>
      <w:r w:rsidRPr="00041FEB">
        <w:rPr>
          <w:rFonts w:cs="Times New Roman"/>
          <w:i/>
          <w:iCs/>
        </w:rPr>
        <w:t>Allergy</w:t>
      </w:r>
      <w:r w:rsidRPr="00041FEB">
        <w:rPr>
          <w:rFonts w:cs="Times New Roman"/>
        </w:rPr>
        <w:t>. 2012;67(11):1408-1414. doi:10.1111/j.1398-9995.2012.02882.x.</w:t>
      </w:r>
    </w:p>
    <w:p w14:paraId="25E2FE67"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35. </w:t>
      </w:r>
      <w:r w:rsidRPr="00041FEB">
        <w:rPr>
          <w:rFonts w:cs="Times New Roman"/>
        </w:rPr>
        <w:tab/>
        <w:t xml:space="preserve">Gallant MP, Connell CM. Predictors of decreased self-care among spouse caregivers of older adults with dementing illnesses. </w:t>
      </w:r>
      <w:r w:rsidRPr="00041FEB">
        <w:rPr>
          <w:rFonts w:cs="Times New Roman"/>
          <w:i/>
          <w:iCs/>
        </w:rPr>
        <w:t>J Aging Health</w:t>
      </w:r>
      <w:r w:rsidRPr="00041FEB">
        <w:rPr>
          <w:rFonts w:cs="Times New Roman"/>
        </w:rPr>
        <w:t>. 1997;9(3):373-395. doi:10.1177/089826439700900306.</w:t>
      </w:r>
    </w:p>
    <w:p w14:paraId="10468598"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36. </w:t>
      </w:r>
      <w:r w:rsidRPr="00041FEB">
        <w:rPr>
          <w:rFonts w:cs="Times New Roman"/>
        </w:rPr>
        <w:tab/>
        <w:t xml:space="preserve">Pruchno RA, Potashnik SL. Caregiving spouses. Physical and mental health in perspective. </w:t>
      </w:r>
      <w:r w:rsidRPr="00041FEB">
        <w:rPr>
          <w:rFonts w:cs="Times New Roman"/>
          <w:i/>
          <w:iCs/>
        </w:rPr>
        <w:t>J Am Geriatr Soc</w:t>
      </w:r>
      <w:r w:rsidRPr="00041FEB">
        <w:rPr>
          <w:rFonts w:cs="Times New Roman"/>
        </w:rPr>
        <w:t>. 1989;37(8):697-705. doi:10.1111/j.1532-5415.1989.tb02230.x.</w:t>
      </w:r>
    </w:p>
    <w:p w14:paraId="7C7FD954"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37. </w:t>
      </w:r>
      <w:r w:rsidRPr="00041FEB">
        <w:rPr>
          <w:rFonts w:cs="Times New Roman"/>
        </w:rPr>
        <w:tab/>
        <w:t xml:space="preserve">Irfan B, Irfan O, Ansari A, Qidwai W, Nanji K. Impact of Caregiving on Various Aspects of the Lives of Caregivers. </w:t>
      </w:r>
      <w:r w:rsidRPr="00041FEB">
        <w:rPr>
          <w:rFonts w:cs="Times New Roman"/>
          <w:i/>
          <w:iCs/>
        </w:rPr>
        <w:t>Cureus</w:t>
      </w:r>
      <w:r w:rsidRPr="00041FEB">
        <w:rPr>
          <w:rFonts w:cs="Times New Roman"/>
        </w:rPr>
        <w:t>. 2017;9(5). doi:10.7759/cureus.1213.</w:t>
      </w:r>
    </w:p>
    <w:p w14:paraId="4FC165CC"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lastRenderedPageBreak/>
        <w:t xml:space="preserve">38. </w:t>
      </w:r>
      <w:r w:rsidRPr="00041FEB">
        <w:rPr>
          <w:rFonts w:cs="Times New Roman"/>
        </w:rPr>
        <w:tab/>
        <w:t xml:space="preserve">Ho A, Collins SR, Davis K, Doty MM. A look at working-age caregivers’ roles, health concerns, and need for support. </w:t>
      </w:r>
      <w:r w:rsidRPr="00041FEB">
        <w:rPr>
          <w:rFonts w:cs="Times New Roman"/>
          <w:i/>
          <w:iCs/>
        </w:rPr>
        <w:t>Issue Brief Commonw Fund</w:t>
      </w:r>
      <w:r w:rsidRPr="00041FEB">
        <w:rPr>
          <w:rFonts w:cs="Times New Roman"/>
        </w:rPr>
        <w:t>. 2005;(854):1-12.</w:t>
      </w:r>
    </w:p>
    <w:p w14:paraId="496B2DBB"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39. </w:t>
      </w:r>
      <w:r w:rsidRPr="00041FEB">
        <w:rPr>
          <w:rFonts w:cs="Times New Roman"/>
        </w:rPr>
        <w:tab/>
        <w:t xml:space="preserve">Leive A, Xu K. Coping with out-of-pocket health payments: empirical evidence from 15 African countries. </w:t>
      </w:r>
      <w:r w:rsidRPr="00041FEB">
        <w:rPr>
          <w:rFonts w:cs="Times New Roman"/>
          <w:i/>
          <w:iCs/>
        </w:rPr>
        <w:t>Bull World Health Organ</w:t>
      </w:r>
      <w:r w:rsidRPr="00041FEB">
        <w:rPr>
          <w:rFonts w:cs="Times New Roman"/>
        </w:rPr>
        <w:t>. 2008;86(11):849-856. doi:10.2471/BLT.07.049403.</w:t>
      </w:r>
    </w:p>
    <w:p w14:paraId="2FC64AFB"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40. </w:t>
      </w:r>
      <w:r w:rsidRPr="00041FEB">
        <w:rPr>
          <w:rFonts w:cs="Times New Roman"/>
        </w:rPr>
        <w:tab/>
        <w:t xml:space="preserve">Smith P, Chen C, Mustard C, Bielecky A, Beaton D, Ibrahim S. Examining the relationship between chronic conditions, multi-morbidity and labour market participation in Canada: 2000–2005. </w:t>
      </w:r>
      <w:r w:rsidRPr="00041FEB">
        <w:rPr>
          <w:rFonts w:cs="Times New Roman"/>
          <w:i/>
          <w:iCs/>
        </w:rPr>
        <w:t>Ageing Soc</w:t>
      </w:r>
      <w:r w:rsidRPr="00041FEB">
        <w:rPr>
          <w:rFonts w:cs="Times New Roman"/>
        </w:rPr>
        <w:t>. 2014;34(10):1730-1748. doi:10.1017/S0144686X13000457.</w:t>
      </w:r>
    </w:p>
    <w:p w14:paraId="6537562C"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41. </w:t>
      </w:r>
      <w:r w:rsidRPr="00041FEB">
        <w:rPr>
          <w:rFonts w:cs="Times New Roman"/>
        </w:rPr>
        <w:tab/>
        <w:t xml:space="preserve">Oh Y-M, Kim YS, Yoo SH, Kim SK, Kim DS. Association between stress and asthma symptoms: a population-based study. </w:t>
      </w:r>
      <w:r w:rsidRPr="00041FEB">
        <w:rPr>
          <w:rFonts w:cs="Times New Roman"/>
          <w:i/>
          <w:iCs/>
        </w:rPr>
        <w:t>Respirol Carlton Vic</w:t>
      </w:r>
      <w:r w:rsidRPr="00041FEB">
        <w:rPr>
          <w:rFonts w:cs="Times New Roman"/>
        </w:rPr>
        <w:t>. 2004;9(3):363-368. doi:10.1111/j.1440-1843.2004.00609.x.</w:t>
      </w:r>
    </w:p>
    <w:p w14:paraId="16F1D1C5"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42. </w:t>
      </w:r>
      <w:r w:rsidRPr="00041FEB">
        <w:rPr>
          <w:rFonts w:cs="Times New Roman"/>
        </w:rPr>
        <w:tab/>
        <w:t xml:space="preserve">Aikens JE. Prospective associations between emotional distress and poor outcomes in type 2 diabetes. </w:t>
      </w:r>
      <w:r w:rsidRPr="00041FEB">
        <w:rPr>
          <w:rFonts w:cs="Times New Roman"/>
          <w:i/>
          <w:iCs/>
        </w:rPr>
        <w:t>Diabetes Care</w:t>
      </w:r>
      <w:r w:rsidRPr="00041FEB">
        <w:rPr>
          <w:rFonts w:cs="Times New Roman"/>
        </w:rPr>
        <w:t>. 2012;35(12):2472-2478. doi:10.2337/dc12-0181.</w:t>
      </w:r>
    </w:p>
    <w:p w14:paraId="560928BD"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43. </w:t>
      </w:r>
      <w:r w:rsidRPr="00041FEB">
        <w:rPr>
          <w:rFonts w:cs="Times New Roman"/>
        </w:rPr>
        <w:tab/>
        <w:t xml:space="preserve">Prior A, Fenger-Grøn M, Larsen KK, et al. The Association Between Perceived Stress and Mortality Among People With Multimorbidity: A Prospective Population-Based Cohort Study. </w:t>
      </w:r>
      <w:r w:rsidRPr="00041FEB">
        <w:rPr>
          <w:rFonts w:cs="Times New Roman"/>
          <w:i/>
          <w:iCs/>
        </w:rPr>
        <w:t>Am J Epidemiol</w:t>
      </w:r>
      <w:r w:rsidRPr="00041FEB">
        <w:rPr>
          <w:rFonts w:cs="Times New Roman"/>
        </w:rPr>
        <w:t>. 2016;184(3):199-210. doi:10.1093/aje/kwv324.</w:t>
      </w:r>
    </w:p>
    <w:p w14:paraId="386CC103"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44. </w:t>
      </w:r>
      <w:r w:rsidRPr="00041FEB">
        <w:rPr>
          <w:rFonts w:cs="Times New Roman"/>
        </w:rPr>
        <w:tab/>
        <w:t xml:space="preserve">Sörensen S, Pinquart M, Duberstein P. How Effective Are Interventions With Caregivers? An Updated Meta-Analysis. </w:t>
      </w:r>
      <w:r w:rsidRPr="00041FEB">
        <w:rPr>
          <w:rFonts w:cs="Times New Roman"/>
          <w:i/>
          <w:iCs/>
        </w:rPr>
        <w:t>The Gerontologist</w:t>
      </w:r>
      <w:r w:rsidRPr="00041FEB">
        <w:rPr>
          <w:rFonts w:cs="Times New Roman"/>
        </w:rPr>
        <w:t>. 2002;42(3):356-372. doi:10.1093/geront/42.3.356.</w:t>
      </w:r>
    </w:p>
    <w:p w14:paraId="3F356E93" w14:textId="77777777" w:rsidR="00BF5019" w:rsidRPr="00041FEB" w:rsidRDefault="00BF5019" w:rsidP="00400C1A">
      <w:pPr>
        <w:widowControl w:val="0"/>
        <w:autoSpaceDE w:val="0"/>
        <w:autoSpaceDN w:val="0"/>
        <w:adjustRightInd w:val="0"/>
        <w:spacing w:line="480" w:lineRule="auto"/>
        <w:rPr>
          <w:rFonts w:cs="Times New Roman"/>
          <w:lang w:val="fr-FR"/>
        </w:rPr>
      </w:pPr>
      <w:r w:rsidRPr="00041FEB">
        <w:rPr>
          <w:rFonts w:cs="Times New Roman"/>
        </w:rPr>
        <w:t xml:space="preserve">45. </w:t>
      </w:r>
      <w:r w:rsidRPr="00041FEB">
        <w:rPr>
          <w:rFonts w:cs="Times New Roman"/>
        </w:rPr>
        <w:tab/>
        <w:t xml:space="preserve">Sin J, Gillard S, Spain D, Cornelius V, Chen T, Henderson C. Effectiveness of psychoeducational interventions for family carers of people with psychosis: A systematic review and meta-analysis. </w:t>
      </w:r>
      <w:r w:rsidRPr="00041FEB">
        <w:rPr>
          <w:rFonts w:cs="Times New Roman"/>
          <w:i/>
          <w:iCs/>
          <w:lang w:val="fr-FR"/>
        </w:rPr>
        <w:t>Clin Psychol Rev</w:t>
      </w:r>
      <w:r w:rsidRPr="00041FEB">
        <w:rPr>
          <w:rFonts w:cs="Times New Roman"/>
          <w:lang w:val="fr-FR"/>
        </w:rPr>
        <w:t>. 2017;56:13-24. doi:10.1016/j.cpr.2017.05.002.</w:t>
      </w:r>
    </w:p>
    <w:p w14:paraId="7FDFD91C"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lang w:val="fr-FR"/>
        </w:rPr>
        <w:t xml:space="preserve">46. </w:t>
      </w:r>
      <w:r w:rsidRPr="00041FEB">
        <w:rPr>
          <w:rFonts w:cs="Times New Roman"/>
          <w:lang w:val="fr-FR"/>
        </w:rPr>
        <w:tab/>
        <w:t xml:space="preserve">Chen M-C, Kao C-W, Chiu Y-L, et al. </w:t>
      </w:r>
      <w:r w:rsidRPr="00041FEB">
        <w:rPr>
          <w:rFonts w:cs="Times New Roman"/>
        </w:rPr>
        <w:t xml:space="preserve">Effects of home-based long-term care services on caregiver health according to age. </w:t>
      </w:r>
      <w:r w:rsidRPr="00041FEB">
        <w:rPr>
          <w:rFonts w:cs="Times New Roman"/>
          <w:i/>
          <w:iCs/>
        </w:rPr>
        <w:t>Health Qual Life Outcomes</w:t>
      </w:r>
      <w:r w:rsidRPr="00041FEB">
        <w:rPr>
          <w:rFonts w:cs="Times New Roman"/>
        </w:rPr>
        <w:t xml:space="preserve">. 2017;15. </w:t>
      </w:r>
      <w:r w:rsidRPr="00041FEB">
        <w:rPr>
          <w:rFonts w:cs="Times New Roman"/>
        </w:rPr>
        <w:lastRenderedPageBreak/>
        <w:t>doi:10.1186/s12955-017-0786-6.</w:t>
      </w:r>
    </w:p>
    <w:p w14:paraId="499913F6"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47. </w:t>
      </w:r>
      <w:r w:rsidRPr="00041FEB">
        <w:rPr>
          <w:rFonts w:cs="Times New Roman"/>
        </w:rPr>
        <w:tab/>
        <w:t xml:space="preserve">Lee D, Morgan K, Lindesay J. Effect of institutional respite care on the sleep of people with dementia and their primary caregivers. </w:t>
      </w:r>
      <w:r w:rsidRPr="00041FEB">
        <w:rPr>
          <w:rFonts w:cs="Times New Roman"/>
          <w:i/>
          <w:iCs/>
        </w:rPr>
        <w:t>J Am Geriatr Soc</w:t>
      </w:r>
      <w:r w:rsidRPr="00041FEB">
        <w:rPr>
          <w:rFonts w:cs="Times New Roman"/>
        </w:rPr>
        <w:t>. 2007;55(2):252-258. doi:10.1111/j.1532-5415.2007.01036.x.</w:t>
      </w:r>
    </w:p>
    <w:p w14:paraId="109FA9E6"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48. </w:t>
      </w:r>
      <w:r w:rsidRPr="00041FEB">
        <w:rPr>
          <w:rFonts w:cs="Times New Roman"/>
        </w:rPr>
        <w:tab/>
        <w:t xml:space="preserve">Navickas R, Petric V-K, Feigl AB, Seychell M. Multimorbidity: What do we know? What should we do? </w:t>
      </w:r>
      <w:r w:rsidRPr="00041FEB">
        <w:rPr>
          <w:rFonts w:cs="Times New Roman"/>
          <w:i/>
          <w:iCs/>
        </w:rPr>
        <w:t>J Comorbidity</w:t>
      </w:r>
      <w:r w:rsidRPr="00041FEB">
        <w:rPr>
          <w:rFonts w:cs="Times New Roman"/>
        </w:rPr>
        <w:t>. 2016;6(1):4-11. doi:10.15256/joc.2016.6.72.</w:t>
      </w:r>
    </w:p>
    <w:p w14:paraId="584594C0"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49. </w:t>
      </w:r>
      <w:r w:rsidRPr="00041FEB">
        <w:rPr>
          <w:rFonts w:cs="Times New Roman"/>
        </w:rPr>
        <w:tab/>
        <w:t xml:space="preserve">Verbakel E, Tamlagsrønning S, Winstone L, Fjær EL, Eikemo TA. Informal care in Europe: findings from the European Social Survey (2014) special module on the social determinants of health. </w:t>
      </w:r>
      <w:r w:rsidRPr="00041FEB">
        <w:rPr>
          <w:rFonts w:cs="Times New Roman"/>
          <w:i/>
          <w:iCs/>
        </w:rPr>
        <w:t>Eur J Public Health</w:t>
      </w:r>
      <w:r w:rsidRPr="00041FEB">
        <w:rPr>
          <w:rFonts w:cs="Times New Roman"/>
        </w:rPr>
        <w:t>. 2017;27(suppl_1):90-95. doi:10.1093/eurpub/ckw229.</w:t>
      </w:r>
    </w:p>
    <w:p w14:paraId="00686C6F" w14:textId="77777777" w:rsidR="00BF5019" w:rsidRPr="00041FEB" w:rsidRDefault="00BF5019" w:rsidP="00400C1A">
      <w:pPr>
        <w:widowControl w:val="0"/>
        <w:autoSpaceDE w:val="0"/>
        <w:autoSpaceDN w:val="0"/>
        <w:adjustRightInd w:val="0"/>
        <w:spacing w:line="480" w:lineRule="auto"/>
        <w:rPr>
          <w:rFonts w:cs="Times New Roman"/>
        </w:rPr>
      </w:pPr>
      <w:r w:rsidRPr="00041FEB">
        <w:rPr>
          <w:rFonts w:cs="Times New Roman"/>
        </w:rPr>
        <w:t xml:space="preserve">50. </w:t>
      </w:r>
      <w:r w:rsidRPr="00041FEB">
        <w:rPr>
          <w:rFonts w:cs="Times New Roman"/>
        </w:rPr>
        <w:tab/>
        <w:t xml:space="preserve">Brinda EM, Rajkumar AP, Enemark U, Attermann J, Jacob K. Cost and burden of informal caregiving of dependent older people in a rural Indian community. </w:t>
      </w:r>
      <w:r w:rsidRPr="00041FEB">
        <w:rPr>
          <w:rFonts w:cs="Times New Roman"/>
          <w:i/>
          <w:iCs/>
        </w:rPr>
        <w:t>BMC Health Serv Res</w:t>
      </w:r>
      <w:r w:rsidRPr="00041FEB">
        <w:rPr>
          <w:rFonts w:cs="Times New Roman"/>
        </w:rPr>
        <w:t>. 2014;14(1):207. doi:10.1186/1472-6963-14-207.</w:t>
      </w:r>
    </w:p>
    <w:p w14:paraId="6EDDB5F8" w14:textId="0EBF833F" w:rsidR="00781C1B" w:rsidRPr="00041FEB" w:rsidRDefault="003E0DA9" w:rsidP="00400C1A">
      <w:pPr>
        <w:spacing w:line="480" w:lineRule="auto"/>
      </w:pPr>
      <w:r w:rsidRPr="00041FEB">
        <w:fldChar w:fldCharType="end"/>
      </w:r>
      <w:r w:rsidR="00781C1B" w:rsidRPr="00041FEB">
        <w:br w:type="page"/>
      </w:r>
    </w:p>
    <w:tbl>
      <w:tblPr>
        <w:tblW w:w="0" w:type="auto"/>
        <w:tblInd w:w="93" w:type="dxa"/>
        <w:tblLook w:val="04A0" w:firstRow="1" w:lastRow="0" w:firstColumn="1" w:lastColumn="0" w:noHBand="0" w:noVBand="1"/>
      </w:tblPr>
      <w:tblGrid>
        <w:gridCol w:w="1909"/>
        <w:gridCol w:w="1353"/>
        <w:gridCol w:w="876"/>
        <w:gridCol w:w="714"/>
        <w:gridCol w:w="894"/>
        <w:gridCol w:w="889"/>
      </w:tblGrid>
      <w:tr w:rsidR="00781C1B" w:rsidRPr="00041FEB" w14:paraId="1E836CC7" w14:textId="77777777" w:rsidTr="00E07D74">
        <w:trPr>
          <w:trHeight w:val="300"/>
        </w:trPr>
        <w:tc>
          <w:tcPr>
            <w:tcW w:w="6109" w:type="dxa"/>
            <w:gridSpan w:val="6"/>
            <w:tcBorders>
              <w:top w:val="nil"/>
              <w:left w:val="nil"/>
              <w:bottom w:val="single" w:sz="4" w:space="0" w:color="auto"/>
              <w:right w:val="nil"/>
            </w:tcBorders>
            <w:shd w:val="clear" w:color="auto" w:fill="auto"/>
            <w:noWrap/>
            <w:vAlign w:val="center"/>
            <w:hideMark/>
          </w:tcPr>
          <w:p w14:paraId="1E78E204" w14:textId="62C199C7" w:rsidR="00460936" w:rsidRPr="00041FEB" w:rsidRDefault="00781C1B" w:rsidP="00460936">
            <w:pPr>
              <w:spacing w:line="480" w:lineRule="auto"/>
              <w:rPr>
                <w:rFonts w:eastAsia="Times New Roman" w:cs="Times New Roman"/>
                <w:color w:val="000000"/>
              </w:rPr>
            </w:pPr>
            <w:r w:rsidRPr="00041FEB">
              <w:rPr>
                <w:rFonts w:eastAsia="Times New Roman" w:cs="Times New Roman"/>
                <w:b/>
                <w:bCs/>
                <w:color w:val="000000"/>
              </w:rPr>
              <w:lastRenderedPageBreak/>
              <w:t>Table 1</w:t>
            </w:r>
            <w:r w:rsidRPr="00041FEB">
              <w:rPr>
                <w:rFonts w:eastAsia="Times New Roman" w:cs="Times New Roman"/>
                <w:color w:val="000000"/>
              </w:rPr>
              <w:t xml:space="preserve"> Sample characteristics (overall and by caregiving status)</w:t>
            </w:r>
          </w:p>
        </w:tc>
      </w:tr>
      <w:tr w:rsidR="00781C1B" w:rsidRPr="00041FEB" w14:paraId="0C42018A" w14:textId="77777777" w:rsidTr="00E07D74">
        <w:trPr>
          <w:trHeight w:val="260"/>
        </w:trPr>
        <w:tc>
          <w:tcPr>
            <w:tcW w:w="0" w:type="auto"/>
            <w:tcBorders>
              <w:top w:val="nil"/>
              <w:left w:val="nil"/>
              <w:bottom w:val="nil"/>
              <w:right w:val="nil"/>
            </w:tcBorders>
            <w:shd w:val="clear" w:color="auto" w:fill="auto"/>
            <w:noWrap/>
            <w:vAlign w:val="center"/>
            <w:hideMark/>
          </w:tcPr>
          <w:p w14:paraId="32F0C00C"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 </w:t>
            </w:r>
          </w:p>
        </w:tc>
        <w:tc>
          <w:tcPr>
            <w:tcW w:w="0" w:type="auto"/>
            <w:tcBorders>
              <w:top w:val="nil"/>
              <w:left w:val="nil"/>
              <w:bottom w:val="nil"/>
              <w:right w:val="nil"/>
            </w:tcBorders>
            <w:shd w:val="clear" w:color="auto" w:fill="auto"/>
            <w:noWrap/>
            <w:vAlign w:val="center"/>
            <w:hideMark/>
          </w:tcPr>
          <w:p w14:paraId="59045736"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 </w:t>
            </w:r>
          </w:p>
        </w:tc>
        <w:tc>
          <w:tcPr>
            <w:tcW w:w="0" w:type="auto"/>
            <w:tcBorders>
              <w:top w:val="nil"/>
              <w:left w:val="nil"/>
              <w:bottom w:val="nil"/>
              <w:right w:val="nil"/>
            </w:tcBorders>
            <w:shd w:val="clear" w:color="auto" w:fill="auto"/>
            <w:noWrap/>
            <w:vAlign w:val="center"/>
            <w:hideMark/>
          </w:tcPr>
          <w:p w14:paraId="16929E11"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 </w:t>
            </w:r>
          </w:p>
        </w:tc>
        <w:tc>
          <w:tcPr>
            <w:tcW w:w="1608" w:type="dxa"/>
            <w:gridSpan w:val="2"/>
            <w:tcBorders>
              <w:top w:val="single" w:sz="4" w:space="0" w:color="auto"/>
              <w:left w:val="nil"/>
              <w:bottom w:val="nil"/>
              <w:right w:val="nil"/>
            </w:tcBorders>
            <w:shd w:val="clear" w:color="auto" w:fill="auto"/>
            <w:noWrap/>
            <w:vAlign w:val="center"/>
            <w:hideMark/>
          </w:tcPr>
          <w:p w14:paraId="11C6B7CA"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Caregiving</w:t>
            </w:r>
          </w:p>
        </w:tc>
        <w:tc>
          <w:tcPr>
            <w:tcW w:w="0" w:type="auto"/>
            <w:tcBorders>
              <w:top w:val="nil"/>
              <w:left w:val="nil"/>
              <w:bottom w:val="nil"/>
              <w:right w:val="nil"/>
            </w:tcBorders>
            <w:shd w:val="clear" w:color="auto" w:fill="auto"/>
            <w:noWrap/>
            <w:vAlign w:val="center"/>
            <w:hideMark/>
          </w:tcPr>
          <w:p w14:paraId="0F856A0C"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 </w:t>
            </w:r>
          </w:p>
        </w:tc>
      </w:tr>
      <w:tr w:rsidR="00781C1B" w:rsidRPr="00041FEB" w14:paraId="3EACAA45" w14:textId="77777777" w:rsidTr="00E07D74">
        <w:trPr>
          <w:trHeight w:val="280"/>
        </w:trPr>
        <w:tc>
          <w:tcPr>
            <w:tcW w:w="0" w:type="auto"/>
            <w:tcBorders>
              <w:top w:val="nil"/>
              <w:left w:val="nil"/>
              <w:bottom w:val="double" w:sz="6" w:space="0" w:color="auto"/>
              <w:right w:val="nil"/>
            </w:tcBorders>
            <w:shd w:val="clear" w:color="auto" w:fill="auto"/>
            <w:noWrap/>
            <w:vAlign w:val="center"/>
            <w:hideMark/>
          </w:tcPr>
          <w:p w14:paraId="5B41C0EE"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Characteristic</w:t>
            </w:r>
          </w:p>
        </w:tc>
        <w:tc>
          <w:tcPr>
            <w:tcW w:w="0" w:type="auto"/>
            <w:tcBorders>
              <w:top w:val="nil"/>
              <w:left w:val="nil"/>
              <w:bottom w:val="double" w:sz="6" w:space="0" w:color="auto"/>
              <w:right w:val="nil"/>
            </w:tcBorders>
            <w:shd w:val="clear" w:color="auto" w:fill="auto"/>
            <w:noWrap/>
            <w:vAlign w:val="center"/>
            <w:hideMark/>
          </w:tcPr>
          <w:p w14:paraId="04935457"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Category</w:t>
            </w:r>
          </w:p>
        </w:tc>
        <w:tc>
          <w:tcPr>
            <w:tcW w:w="0" w:type="auto"/>
            <w:tcBorders>
              <w:top w:val="nil"/>
              <w:left w:val="nil"/>
              <w:bottom w:val="double" w:sz="6" w:space="0" w:color="auto"/>
              <w:right w:val="nil"/>
            </w:tcBorders>
            <w:shd w:val="clear" w:color="auto" w:fill="auto"/>
            <w:noWrap/>
            <w:vAlign w:val="center"/>
            <w:hideMark/>
          </w:tcPr>
          <w:p w14:paraId="231733F9"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Overall</w:t>
            </w:r>
          </w:p>
        </w:tc>
        <w:tc>
          <w:tcPr>
            <w:tcW w:w="714" w:type="dxa"/>
            <w:tcBorders>
              <w:top w:val="nil"/>
              <w:left w:val="nil"/>
              <w:bottom w:val="double" w:sz="6" w:space="0" w:color="auto"/>
              <w:right w:val="nil"/>
            </w:tcBorders>
            <w:shd w:val="clear" w:color="auto" w:fill="auto"/>
            <w:noWrap/>
            <w:vAlign w:val="center"/>
            <w:hideMark/>
          </w:tcPr>
          <w:p w14:paraId="4C318AEF"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No</w:t>
            </w:r>
          </w:p>
        </w:tc>
        <w:tc>
          <w:tcPr>
            <w:tcW w:w="894" w:type="dxa"/>
            <w:tcBorders>
              <w:top w:val="nil"/>
              <w:left w:val="nil"/>
              <w:bottom w:val="double" w:sz="6" w:space="0" w:color="auto"/>
              <w:right w:val="nil"/>
            </w:tcBorders>
            <w:shd w:val="clear" w:color="auto" w:fill="auto"/>
            <w:noWrap/>
            <w:vAlign w:val="center"/>
            <w:hideMark/>
          </w:tcPr>
          <w:p w14:paraId="23ABC480"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Yes</w:t>
            </w:r>
          </w:p>
        </w:tc>
        <w:tc>
          <w:tcPr>
            <w:tcW w:w="0" w:type="auto"/>
            <w:tcBorders>
              <w:top w:val="nil"/>
              <w:left w:val="nil"/>
              <w:bottom w:val="double" w:sz="6" w:space="0" w:color="auto"/>
              <w:right w:val="nil"/>
            </w:tcBorders>
            <w:shd w:val="clear" w:color="auto" w:fill="auto"/>
            <w:noWrap/>
            <w:vAlign w:val="center"/>
            <w:hideMark/>
          </w:tcPr>
          <w:p w14:paraId="0F9E1588"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P-value</w:t>
            </w:r>
          </w:p>
        </w:tc>
      </w:tr>
      <w:tr w:rsidR="00781C1B" w:rsidRPr="00041FEB" w14:paraId="61A07CC7" w14:textId="77777777" w:rsidTr="00E07D74">
        <w:trPr>
          <w:trHeight w:val="280"/>
        </w:trPr>
        <w:tc>
          <w:tcPr>
            <w:tcW w:w="0" w:type="auto"/>
            <w:tcBorders>
              <w:top w:val="nil"/>
              <w:left w:val="nil"/>
              <w:bottom w:val="nil"/>
              <w:right w:val="nil"/>
            </w:tcBorders>
            <w:shd w:val="clear" w:color="auto" w:fill="auto"/>
            <w:noWrap/>
            <w:vAlign w:val="center"/>
            <w:hideMark/>
          </w:tcPr>
          <w:p w14:paraId="010CE4D3"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Age (years)</w:t>
            </w:r>
          </w:p>
        </w:tc>
        <w:tc>
          <w:tcPr>
            <w:tcW w:w="0" w:type="auto"/>
            <w:tcBorders>
              <w:top w:val="nil"/>
              <w:left w:val="nil"/>
              <w:bottom w:val="nil"/>
              <w:right w:val="nil"/>
            </w:tcBorders>
            <w:shd w:val="clear" w:color="auto" w:fill="auto"/>
            <w:noWrap/>
            <w:vAlign w:val="center"/>
            <w:hideMark/>
          </w:tcPr>
          <w:p w14:paraId="66B31844"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 xml:space="preserve">18-44 </w:t>
            </w:r>
          </w:p>
        </w:tc>
        <w:tc>
          <w:tcPr>
            <w:tcW w:w="0" w:type="auto"/>
            <w:tcBorders>
              <w:top w:val="nil"/>
              <w:left w:val="nil"/>
              <w:bottom w:val="nil"/>
              <w:right w:val="nil"/>
            </w:tcBorders>
            <w:shd w:val="clear" w:color="auto" w:fill="auto"/>
            <w:noWrap/>
            <w:vAlign w:val="center"/>
            <w:hideMark/>
          </w:tcPr>
          <w:p w14:paraId="7FB6C995"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67.8</w:t>
            </w:r>
          </w:p>
        </w:tc>
        <w:tc>
          <w:tcPr>
            <w:tcW w:w="714" w:type="dxa"/>
            <w:tcBorders>
              <w:top w:val="nil"/>
              <w:left w:val="nil"/>
              <w:bottom w:val="nil"/>
              <w:right w:val="nil"/>
            </w:tcBorders>
            <w:shd w:val="clear" w:color="auto" w:fill="auto"/>
            <w:noWrap/>
            <w:vAlign w:val="center"/>
            <w:hideMark/>
          </w:tcPr>
          <w:p w14:paraId="22605F7A"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67.6</w:t>
            </w:r>
          </w:p>
        </w:tc>
        <w:tc>
          <w:tcPr>
            <w:tcW w:w="894" w:type="dxa"/>
            <w:tcBorders>
              <w:top w:val="nil"/>
              <w:left w:val="nil"/>
              <w:bottom w:val="nil"/>
              <w:right w:val="nil"/>
            </w:tcBorders>
            <w:shd w:val="clear" w:color="auto" w:fill="auto"/>
            <w:noWrap/>
            <w:vAlign w:val="center"/>
            <w:hideMark/>
          </w:tcPr>
          <w:p w14:paraId="663B9905"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68.9</w:t>
            </w:r>
          </w:p>
        </w:tc>
        <w:tc>
          <w:tcPr>
            <w:tcW w:w="0" w:type="auto"/>
            <w:tcBorders>
              <w:top w:val="nil"/>
              <w:left w:val="nil"/>
              <w:bottom w:val="nil"/>
              <w:right w:val="nil"/>
            </w:tcBorders>
            <w:shd w:val="clear" w:color="auto" w:fill="auto"/>
            <w:noWrap/>
            <w:vAlign w:val="center"/>
            <w:hideMark/>
          </w:tcPr>
          <w:p w14:paraId="176A3C85"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&lt;0.001</w:t>
            </w:r>
          </w:p>
        </w:tc>
      </w:tr>
      <w:tr w:rsidR="00781C1B" w:rsidRPr="00041FEB" w14:paraId="6AB9ECAD" w14:textId="77777777" w:rsidTr="00E07D74">
        <w:trPr>
          <w:trHeight w:val="260"/>
        </w:trPr>
        <w:tc>
          <w:tcPr>
            <w:tcW w:w="0" w:type="auto"/>
            <w:tcBorders>
              <w:top w:val="nil"/>
              <w:left w:val="nil"/>
              <w:bottom w:val="nil"/>
              <w:right w:val="nil"/>
            </w:tcBorders>
            <w:shd w:val="clear" w:color="auto" w:fill="auto"/>
            <w:noWrap/>
            <w:vAlign w:val="center"/>
            <w:hideMark/>
          </w:tcPr>
          <w:p w14:paraId="64DFBC8D" w14:textId="77777777" w:rsidR="00781C1B" w:rsidRPr="00041FEB" w:rsidRDefault="00781C1B" w:rsidP="00E07D74">
            <w:pPr>
              <w:rPr>
                <w:rFonts w:eastAsia="Times New Roman" w:cs="Times New Roman"/>
                <w:color w:val="000000"/>
                <w:sz w:val="22"/>
                <w:szCs w:val="22"/>
              </w:rPr>
            </w:pPr>
          </w:p>
        </w:tc>
        <w:tc>
          <w:tcPr>
            <w:tcW w:w="0" w:type="auto"/>
            <w:tcBorders>
              <w:top w:val="nil"/>
              <w:left w:val="nil"/>
              <w:bottom w:val="nil"/>
              <w:right w:val="nil"/>
            </w:tcBorders>
            <w:shd w:val="clear" w:color="auto" w:fill="auto"/>
            <w:noWrap/>
            <w:vAlign w:val="center"/>
            <w:hideMark/>
          </w:tcPr>
          <w:p w14:paraId="76515A64"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 xml:space="preserve">45-64 </w:t>
            </w:r>
          </w:p>
        </w:tc>
        <w:tc>
          <w:tcPr>
            <w:tcW w:w="0" w:type="auto"/>
            <w:tcBorders>
              <w:top w:val="nil"/>
              <w:left w:val="nil"/>
              <w:bottom w:val="nil"/>
              <w:right w:val="nil"/>
            </w:tcBorders>
            <w:shd w:val="clear" w:color="auto" w:fill="auto"/>
            <w:noWrap/>
            <w:vAlign w:val="center"/>
            <w:hideMark/>
          </w:tcPr>
          <w:p w14:paraId="2A05A11F"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23.6</w:t>
            </w:r>
          </w:p>
        </w:tc>
        <w:tc>
          <w:tcPr>
            <w:tcW w:w="714" w:type="dxa"/>
            <w:tcBorders>
              <w:top w:val="nil"/>
              <w:left w:val="nil"/>
              <w:bottom w:val="nil"/>
              <w:right w:val="nil"/>
            </w:tcBorders>
            <w:shd w:val="clear" w:color="auto" w:fill="auto"/>
            <w:noWrap/>
            <w:vAlign w:val="center"/>
            <w:hideMark/>
          </w:tcPr>
          <w:p w14:paraId="3502E03A"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23.2</w:t>
            </w:r>
          </w:p>
        </w:tc>
        <w:tc>
          <w:tcPr>
            <w:tcW w:w="894" w:type="dxa"/>
            <w:tcBorders>
              <w:top w:val="nil"/>
              <w:left w:val="nil"/>
              <w:bottom w:val="nil"/>
              <w:right w:val="nil"/>
            </w:tcBorders>
            <w:shd w:val="clear" w:color="auto" w:fill="auto"/>
            <w:noWrap/>
            <w:vAlign w:val="center"/>
            <w:hideMark/>
          </w:tcPr>
          <w:p w14:paraId="4A60F33A"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24.9</w:t>
            </w:r>
          </w:p>
        </w:tc>
        <w:tc>
          <w:tcPr>
            <w:tcW w:w="0" w:type="auto"/>
            <w:tcBorders>
              <w:top w:val="nil"/>
              <w:left w:val="nil"/>
              <w:bottom w:val="nil"/>
              <w:right w:val="nil"/>
            </w:tcBorders>
            <w:shd w:val="clear" w:color="auto" w:fill="auto"/>
            <w:noWrap/>
            <w:vAlign w:val="center"/>
            <w:hideMark/>
          </w:tcPr>
          <w:p w14:paraId="045FCFF7" w14:textId="77777777" w:rsidR="00781C1B" w:rsidRPr="00041FEB" w:rsidRDefault="00781C1B" w:rsidP="00E07D74">
            <w:pPr>
              <w:rPr>
                <w:rFonts w:eastAsia="Times New Roman" w:cs="Times New Roman"/>
                <w:color w:val="000000"/>
                <w:sz w:val="22"/>
                <w:szCs w:val="22"/>
              </w:rPr>
            </w:pPr>
          </w:p>
        </w:tc>
      </w:tr>
      <w:tr w:rsidR="00781C1B" w:rsidRPr="00041FEB" w14:paraId="4C3DB7F4" w14:textId="77777777" w:rsidTr="00E07D74">
        <w:trPr>
          <w:trHeight w:val="260"/>
        </w:trPr>
        <w:tc>
          <w:tcPr>
            <w:tcW w:w="0" w:type="auto"/>
            <w:tcBorders>
              <w:top w:val="nil"/>
              <w:left w:val="nil"/>
              <w:bottom w:val="nil"/>
              <w:right w:val="nil"/>
            </w:tcBorders>
            <w:shd w:val="clear" w:color="auto" w:fill="auto"/>
            <w:noWrap/>
            <w:vAlign w:val="center"/>
            <w:hideMark/>
          </w:tcPr>
          <w:p w14:paraId="79B9A0A8" w14:textId="77777777" w:rsidR="00781C1B" w:rsidRPr="00041FEB" w:rsidRDefault="00781C1B" w:rsidP="00E07D74">
            <w:pPr>
              <w:rPr>
                <w:rFonts w:eastAsia="Times New Roman" w:cs="Times New Roman"/>
                <w:color w:val="000000"/>
                <w:sz w:val="22"/>
                <w:szCs w:val="22"/>
              </w:rPr>
            </w:pPr>
          </w:p>
        </w:tc>
        <w:tc>
          <w:tcPr>
            <w:tcW w:w="0" w:type="auto"/>
            <w:tcBorders>
              <w:top w:val="nil"/>
              <w:left w:val="nil"/>
              <w:bottom w:val="nil"/>
              <w:right w:val="nil"/>
            </w:tcBorders>
            <w:shd w:val="clear" w:color="auto" w:fill="auto"/>
            <w:noWrap/>
            <w:vAlign w:val="center"/>
            <w:hideMark/>
          </w:tcPr>
          <w:p w14:paraId="615537E1"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≥65</w:t>
            </w:r>
          </w:p>
        </w:tc>
        <w:tc>
          <w:tcPr>
            <w:tcW w:w="0" w:type="auto"/>
            <w:tcBorders>
              <w:top w:val="nil"/>
              <w:left w:val="nil"/>
              <w:bottom w:val="nil"/>
              <w:right w:val="nil"/>
            </w:tcBorders>
            <w:shd w:val="clear" w:color="auto" w:fill="auto"/>
            <w:noWrap/>
            <w:vAlign w:val="center"/>
            <w:hideMark/>
          </w:tcPr>
          <w:p w14:paraId="1D4D8D7B"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8.6</w:t>
            </w:r>
          </w:p>
        </w:tc>
        <w:tc>
          <w:tcPr>
            <w:tcW w:w="714" w:type="dxa"/>
            <w:tcBorders>
              <w:top w:val="nil"/>
              <w:left w:val="nil"/>
              <w:bottom w:val="nil"/>
              <w:right w:val="nil"/>
            </w:tcBorders>
            <w:shd w:val="clear" w:color="auto" w:fill="auto"/>
            <w:noWrap/>
            <w:vAlign w:val="center"/>
            <w:hideMark/>
          </w:tcPr>
          <w:p w14:paraId="433959E3"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9.2</w:t>
            </w:r>
          </w:p>
        </w:tc>
        <w:tc>
          <w:tcPr>
            <w:tcW w:w="894" w:type="dxa"/>
            <w:tcBorders>
              <w:top w:val="nil"/>
              <w:left w:val="nil"/>
              <w:bottom w:val="nil"/>
              <w:right w:val="nil"/>
            </w:tcBorders>
            <w:shd w:val="clear" w:color="auto" w:fill="auto"/>
            <w:noWrap/>
            <w:vAlign w:val="center"/>
            <w:hideMark/>
          </w:tcPr>
          <w:p w14:paraId="0A3A27C5"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6.2</w:t>
            </w:r>
          </w:p>
        </w:tc>
        <w:tc>
          <w:tcPr>
            <w:tcW w:w="0" w:type="auto"/>
            <w:tcBorders>
              <w:top w:val="nil"/>
              <w:left w:val="nil"/>
              <w:bottom w:val="nil"/>
              <w:right w:val="nil"/>
            </w:tcBorders>
            <w:shd w:val="clear" w:color="auto" w:fill="auto"/>
            <w:noWrap/>
            <w:vAlign w:val="center"/>
            <w:hideMark/>
          </w:tcPr>
          <w:p w14:paraId="74145CEC" w14:textId="77777777" w:rsidR="00781C1B" w:rsidRPr="00041FEB" w:rsidRDefault="00781C1B" w:rsidP="00E07D74">
            <w:pPr>
              <w:rPr>
                <w:rFonts w:eastAsia="Times New Roman" w:cs="Times New Roman"/>
                <w:color w:val="000000"/>
                <w:sz w:val="22"/>
                <w:szCs w:val="22"/>
              </w:rPr>
            </w:pPr>
          </w:p>
        </w:tc>
      </w:tr>
      <w:tr w:rsidR="00781C1B" w:rsidRPr="00041FEB" w14:paraId="3DF71F71" w14:textId="77777777" w:rsidTr="00E07D74">
        <w:trPr>
          <w:trHeight w:val="260"/>
        </w:trPr>
        <w:tc>
          <w:tcPr>
            <w:tcW w:w="0" w:type="auto"/>
            <w:tcBorders>
              <w:top w:val="nil"/>
              <w:left w:val="nil"/>
              <w:bottom w:val="nil"/>
              <w:right w:val="nil"/>
            </w:tcBorders>
            <w:shd w:val="clear" w:color="auto" w:fill="auto"/>
            <w:noWrap/>
            <w:vAlign w:val="center"/>
            <w:hideMark/>
          </w:tcPr>
          <w:p w14:paraId="76C6ECF8"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Sex</w:t>
            </w:r>
          </w:p>
        </w:tc>
        <w:tc>
          <w:tcPr>
            <w:tcW w:w="0" w:type="auto"/>
            <w:tcBorders>
              <w:top w:val="nil"/>
              <w:left w:val="nil"/>
              <w:bottom w:val="nil"/>
              <w:right w:val="nil"/>
            </w:tcBorders>
            <w:shd w:val="clear" w:color="auto" w:fill="auto"/>
            <w:noWrap/>
            <w:vAlign w:val="center"/>
            <w:hideMark/>
          </w:tcPr>
          <w:p w14:paraId="487DE46C"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Male</w:t>
            </w:r>
          </w:p>
        </w:tc>
        <w:tc>
          <w:tcPr>
            <w:tcW w:w="0" w:type="auto"/>
            <w:tcBorders>
              <w:top w:val="nil"/>
              <w:left w:val="nil"/>
              <w:bottom w:val="nil"/>
              <w:right w:val="nil"/>
            </w:tcBorders>
            <w:shd w:val="clear" w:color="auto" w:fill="auto"/>
            <w:noWrap/>
            <w:vAlign w:val="center"/>
            <w:hideMark/>
          </w:tcPr>
          <w:p w14:paraId="20B0E6AB"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49.2</w:t>
            </w:r>
          </w:p>
        </w:tc>
        <w:tc>
          <w:tcPr>
            <w:tcW w:w="714" w:type="dxa"/>
            <w:tcBorders>
              <w:top w:val="nil"/>
              <w:left w:val="nil"/>
              <w:bottom w:val="nil"/>
              <w:right w:val="nil"/>
            </w:tcBorders>
            <w:shd w:val="clear" w:color="auto" w:fill="auto"/>
            <w:noWrap/>
            <w:vAlign w:val="center"/>
            <w:hideMark/>
          </w:tcPr>
          <w:p w14:paraId="3D8DE305"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49.7</w:t>
            </w:r>
          </w:p>
        </w:tc>
        <w:tc>
          <w:tcPr>
            <w:tcW w:w="894" w:type="dxa"/>
            <w:tcBorders>
              <w:top w:val="nil"/>
              <w:left w:val="nil"/>
              <w:bottom w:val="nil"/>
              <w:right w:val="nil"/>
            </w:tcBorders>
            <w:shd w:val="clear" w:color="auto" w:fill="auto"/>
            <w:noWrap/>
            <w:vAlign w:val="center"/>
            <w:hideMark/>
          </w:tcPr>
          <w:p w14:paraId="074B19CD"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47.3</w:t>
            </w:r>
          </w:p>
        </w:tc>
        <w:tc>
          <w:tcPr>
            <w:tcW w:w="0" w:type="auto"/>
            <w:tcBorders>
              <w:top w:val="nil"/>
              <w:left w:val="nil"/>
              <w:bottom w:val="nil"/>
              <w:right w:val="nil"/>
            </w:tcBorders>
            <w:shd w:val="clear" w:color="auto" w:fill="auto"/>
            <w:noWrap/>
            <w:vAlign w:val="center"/>
            <w:hideMark/>
          </w:tcPr>
          <w:p w14:paraId="67297EEC"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&lt;0.001</w:t>
            </w:r>
          </w:p>
        </w:tc>
      </w:tr>
      <w:tr w:rsidR="00781C1B" w:rsidRPr="00041FEB" w14:paraId="03A0A8B6" w14:textId="77777777" w:rsidTr="00E07D74">
        <w:trPr>
          <w:trHeight w:val="260"/>
        </w:trPr>
        <w:tc>
          <w:tcPr>
            <w:tcW w:w="0" w:type="auto"/>
            <w:tcBorders>
              <w:top w:val="nil"/>
              <w:left w:val="nil"/>
              <w:bottom w:val="nil"/>
              <w:right w:val="nil"/>
            </w:tcBorders>
            <w:shd w:val="clear" w:color="auto" w:fill="auto"/>
            <w:noWrap/>
            <w:vAlign w:val="center"/>
            <w:hideMark/>
          </w:tcPr>
          <w:p w14:paraId="4C7E079E" w14:textId="77777777" w:rsidR="00781C1B" w:rsidRPr="00041FEB" w:rsidRDefault="00781C1B" w:rsidP="00E07D74">
            <w:pPr>
              <w:rPr>
                <w:rFonts w:eastAsia="Times New Roman" w:cs="Times New Roman"/>
                <w:color w:val="000000"/>
                <w:sz w:val="22"/>
                <w:szCs w:val="22"/>
              </w:rPr>
            </w:pPr>
          </w:p>
        </w:tc>
        <w:tc>
          <w:tcPr>
            <w:tcW w:w="0" w:type="auto"/>
            <w:tcBorders>
              <w:top w:val="nil"/>
              <w:left w:val="nil"/>
              <w:bottom w:val="nil"/>
              <w:right w:val="nil"/>
            </w:tcBorders>
            <w:shd w:val="clear" w:color="auto" w:fill="auto"/>
            <w:noWrap/>
            <w:vAlign w:val="center"/>
            <w:hideMark/>
          </w:tcPr>
          <w:p w14:paraId="19F722E0"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Female</w:t>
            </w:r>
          </w:p>
        </w:tc>
        <w:tc>
          <w:tcPr>
            <w:tcW w:w="0" w:type="auto"/>
            <w:tcBorders>
              <w:top w:val="nil"/>
              <w:left w:val="nil"/>
              <w:bottom w:val="nil"/>
              <w:right w:val="nil"/>
            </w:tcBorders>
            <w:shd w:val="clear" w:color="auto" w:fill="auto"/>
            <w:noWrap/>
            <w:vAlign w:val="center"/>
            <w:hideMark/>
          </w:tcPr>
          <w:p w14:paraId="3901A31F"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50.8</w:t>
            </w:r>
          </w:p>
        </w:tc>
        <w:tc>
          <w:tcPr>
            <w:tcW w:w="714" w:type="dxa"/>
            <w:tcBorders>
              <w:top w:val="nil"/>
              <w:left w:val="nil"/>
              <w:bottom w:val="nil"/>
              <w:right w:val="nil"/>
            </w:tcBorders>
            <w:shd w:val="clear" w:color="auto" w:fill="auto"/>
            <w:noWrap/>
            <w:vAlign w:val="center"/>
            <w:hideMark/>
          </w:tcPr>
          <w:p w14:paraId="0EDBBB80"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50.3</w:t>
            </w:r>
          </w:p>
        </w:tc>
        <w:tc>
          <w:tcPr>
            <w:tcW w:w="894" w:type="dxa"/>
            <w:tcBorders>
              <w:top w:val="nil"/>
              <w:left w:val="nil"/>
              <w:bottom w:val="nil"/>
              <w:right w:val="nil"/>
            </w:tcBorders>
            <w:shd w:val="clear" w:color="auto" w:fill="auto"/>
            <w:noWrap/>
            <w:vAlign w:val="center"/>
            <w:hideMark/>
          </w:tcPr>
          <w:p w14:paraId="1EB4CBCF"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52.7</w:t>
            </w:r>
          </w:p>
        </w:tc>
        <w:tc>
          <w:tcPr>
            <w:tcW w:w="0" w:type="auto"/>
            <w:tcBorders>
              <w:top w:val="nil"/>
              <w:left w:val="nil"/>
              <w:bottom w:val="nil"/>
              <w:right w:val="nil"/>
            </w:tcBorders>
            <w:shd w:val="clear" w:color="auto" w:fill="auto"/>
            <w:noWrap/>
            <w:vAlign w:val="center"/>
            <w:hideMark/>
          </w:tcPr>
          <w:p w14:paraId="18FB816B" w14:textId="77777777" w:rsidR="00781C1B" w:rsidRPr="00041FEB" w:rsidRDefault="00781C1B" w:rsidP="00E07D74">
            <w:pPr>
              <w:rPr>
                <w:rFonts w:eastAsia="Times New Roman" w:cs="Times New Roman"/>
                <w:color w:val="000000"/>
                <w:sz w:val="22"/>
                <w:szCs w:val="22"/>
              </w:rPr>
            </w:pPr>
          </w:p>
        </w:tc>
      </w:tr>
      <w:tr w:rsidR="00781C1B" w:rsidRPr="00041FEB" w14:paraId="4CB89E5F" w14:textId="77777777" w:rsidTr="00E07D74">
        <w:trPr>
          <w:trHeight w:val="260"/>
        </w:trPr>
        <w:tc>
          <w:tcPr>
            <w:tcW w:w="0" w:type="auto"/>
            <w:vMerge w:val="restart"/>
            <w:tcBorders>
              <w:top w:val="nil"/>
              <w:left w:val="nil"/>
              <w:right w:val="nil"/>
            </w:tcBorders>
            <w:shd w:val="clear" w:color="auto" w:fill="auto"/>
            <w:noWrap/>
            <w:vAlign w:val="center"/>
          </w:tcPr>
          <w:p w14:paraId="4575027E"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Education</w:t>
            </w:r>
          </w:p>
          <w:p w14:paraId="34ED7457"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 </w:t>
            </w:r>
          </w:p>
        </w:tc>
        <w:tc>
          <w:tcPr>
            <w:tcW w:w="0" w:type="auto"/>
            <w:tcBorders>
              <w:top w:val="nil"/>
              <w:left w:val="nil"/>
              <w:bottom w:val="nil"/>
              <w:right w:val="nil"/>
            </w:tcBorders>
            <w:shd w:val="clear" w:color="auto" w:fill="auto"/>
            <w:noWrap/>
            <w:vAlign w:val="center"/>
          </w:tcPr>
          <w:p w14:paraId="1494FBE9"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&lt;Secondary</w:t>
            </w:r>
          </w:p>
        </w:tc>
        <w:tc>
          <w:tcPr>
            <w:tcW w:w="0" w:type="auto"/>
            <w:tcBorders>
              <w:top w:val="nil"/>
              <w:left w:val="nil"/>
              <w:bottom w:val="nil"/>
              <w:right w:val="nil"/>
            </w:tcBorders>
            <w:shd w:val="clear" w:color="auto" w:fill="auto"/>
            <w:noWrap/>
            <w:vAlign w:val="center"/>
          </w:tcPr>
          <w:p w14:paraId="3290C601"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57.3</w:t>
            </w:r>
          </w:p>
        </w:tc>
        <w:tc>
          <w:tcPr>
            <w:tcW w:w="714" w:type="dxa"/>
            <w:tcBorders>
              <w:top w:val="nil"/>
              <w:left w:val="nil"/>
              <w:bottom w:val="nil"/>
              <w:right w:val="nil"/>
            </w:tcBorders>
            <w:shd w:val="clear" w:color="auto" w:fill="auto"/>
            <w:noWrap/>
            <w:vAlign w:val="center"/>
          </w:tcPr>
          <w:p w14:paraId="7708DC37"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58.7</w:t>
            </w:r>
          </w:p>
        </w:tc>
        <w:tc>
          <w:tcPr>
            <w:tcW w:w="894" w:type="dxa"/>
            <w:tcBorders>
              <w:top w:val="nil"/>
              <w:left w:val="nil"/>
              <w:bottom w:val="nil"/>
              <w:right w:val="nil"/>
            </w:tcBorders>
            <w:shd w:val="clear" w:color="auto" w:fill="auto"/>
            <w:noWrap/>
            <w:vAlign w:val="center"/>
          </w:tcPr>
          <w:p w14:paraId="29F5319A"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50.8</w:t>
            </w:r>
          </w:p>
        </w:tc>
        <w:tc>
          <w:tcPr>
            <w:tcW w:w="0" w:type="auto"/>
            <w:vMerge w:val="restart"/>
            <w:tcBorders>
              <w:top w:val="nil"/>
              <w:left w:val="nil"/>
              <w:right w:val="nil"/>
            </w:tcBorders>
            <w:shd w:val="clear" w:color="auto" w:fill="auto"/>
            <w:noWrap/>
            <w:vAlign w:val="center"/>
          </w:tcPr>
          <w:p w14:paraId="3E7CB218"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&lt;0.001</w:t>
            </w:r>
          </w:p>
          <w:p w14:paraId="50C911B1"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 </w:t>
            </w:r>
          </w:p>
        </w:tc>
      </w:tr>
      <w:tr w:rsidR="00781C1B" w:rsidRPr="00041FEB" w14:paraId="4CFDA390" w14:textId="77777777" w:rsidTr="00E07D74">
        <w:trPr>
          <w:trHeight w:val="260"/>
        </w:trPr>
        <w:tc>
          <w:tcPr>
            <w:tcW w:w="0" w:type="auto"/>
            <w:vMerge/>
            <w:tcBorders>
              <w:left w:val="nil"/>
              <w:bottom w:val="nil"/>
              <w:right w:val="nil"/>
            </w:tcBorders>
            <w:shd w:val="clear" w:color="auto" w:fill="auto"/>
            <w:noWrap/>
            <w:vAlign w:val="center"/>
          </w:tcPr>
          <w:p w14:paraId="61A09201" w14:textId="77777777" w:rsidR="00781C1B" w:rsidRPr="00041FEB" w:rsidRDefault="00781C1B" w:rsidP="00E07D74">
            <w:pPr>
              <w:rPr>
                <w:rFonts w:eastAsia="Times New Roman" w:cs="Times New Roman"/>
                <w:color w:val="000000"/>
                <w:sz w:val="22"/>
                <w:szCs w:val="22"/>
              </w:rPr>
            </w:pPr>
          </w:p>
        </w:tc>
        <w:tc>
          <w:tcPr>
            <w:tcW w:w="0" w:type="auto"/>
            <w:tcBorders>
              <w:top w:val="nil"/>
              <w:left w:val="nil"/>
              <w:bottom w:val="nil"/>
              <w:right w:val="nil"/>
            </w:tcBorders>
            <w:shd w:val="clear" w:color="auto" w:fill="auto"/>
            <w:noWrap/>
            <w:vAlign w:val="center"/>
          </w:tcPr>
          <w:p w14:paraId="680E14FD"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≥Secondary</w:t>
            </w:r>
          </w:p>
        </w:tc>
        <w:tc>
          <w:tcPr>
            <w:tcW w:w="0" w:type="auto"/>
            <w:tcBorders>
              <w:top w:val="nil"/>
              <w:left w:val="nil"/>
              <w:bottom w:val="nil"/>
              <w:right w:val="nil"/>
            </w:tcBorders>
            <w:shd w:val="clear" w:color="auto" w:fill="auto"/>
            <w:noWrap/>
            <w:vAlign w:val="center"/>
          </w:tcPr>
          <w:p w14:paraId="7F482BF0"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42.7</w:t>
            </w:r>
          </w:p>
        </w:tc>
        <w:tc>
          <w:tcPr>
            <w:tcW w:w="714" w:type="dxa"/>
            <w:tcBorders>
              <w:top w:val="nil"/>
              <w:left w:val="nil"/>
              <w:bottom w:val="nil"/>
              <w:right w:val="nil"/>
            </w:tcBorders>
            <w:shd w:val="clear" w:color="auto" w:fill="auto"/>
            <w:noWrap/>
            <w:vAlign w:val="center"/>
          </w:tcPr>
          <w:p w14:paraId="0ECA83F6"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41.3</w:t>
            </w:r>
          </w:p>
        </w:tc>
        <w:tc>
          <w:tcPr>
            <w:tcW w:w="894" w:type="dxa"/>
            <w:tcBorders>
              <w:top w:val="nil"/>
              <w:left w:val="nil"/>
              <w:bottom w:val="nil"/>
              <w:right w:val="nil"/>
            </w:tcBorders>
            <w:shd w:val="clear" w:color="auto" w:fill="auto"/>
            <w:noWrap/>
            <w:vAlign w:val="center"/>
          </w:tcPr>
          <w:p w14:paraId="0A352BE5"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49.2</w:t>
            </w:r>
          </w:p>
        </w:tc>
        <w:tc>
          <w:tcPr>
            <w:tcW w:w="0" w:type="auto"/>
            <w:vMerge/>
            <w:tcBorders>
              <w:left w:val="nil"/>
              <w:bottom w:val="nil"/>
              <w:right w:val="nil"/>
            </w:tcBorders>
            <w:shd w:val="clear" w:color="auto" w:fill="auto"/>
            <w:noWrap/>
            <w:vAlign w:val="center"/>
          </w:tcPr>
          <w:p w14:paraId="34E19428" w14:textId="77777777" w:rsidR="00781C1B" w:rsidRPr="00041FEB" w:rsidRDefault="00781C1B" w:rsidP="00E07D74">
            <w:pPr>
              <w:rPr>
                <w:rFonts w:eastAsia="Times New Roman" w:cs="Times New Roman"/>
                <w:color w:val="000000"/>
                <w:sz w:val="22"/>
                <w:szCs w:val="22"/>
              </w:rPr>
            </w:pPr>
          </w:p>
        </w:tc>
      </w:tr>
      <w:tr w:rsidR="00781C1B" w:rsidRPr="00041FEB" w14:paraId="7A602AE3" w14:textId="77777777" w:rsidTr="00E07D74">
        <w:trPr>
          <w:trHeight w:val="260"/>
        </w:trPr>
        <w:tc>
          <w:tcPr>
            <w:tcW w:w="0" w:type="auto"/>
            <w:tcBorders>
              <w:top w:val="nil"/>
              <w:left w:val="nil"/>
              <w:bottom w:val="nil"/>
              <w:right w:val="nil"/>
            </w:tcBorders>
            <w:shd w:val="clear" w:color="auto" w:fill="auto"/>
            <w:noWrap/>
            <w:vAlign w:val="center"/>
            <w:hideMark/>
          </w:tcPr>
          <w:p w14:paraId="3978ADC5"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Wealth</w:t>
            </w:r>
          </w:p>
        </w:tc>
        <w:tc>
          <w:tcPr>
            <w:tcW w:w="0" w:type="auto"/>
            <w:tcBorders>
              <w:top w:val="nil"/>
              <w:left w:val="nil"/>
              <w:bottom w:val="nil"/>
              <w:right w:val="nil"/>
            </w:tcBorders>
            <w:shd w:val="clear" w:color="auto" w:fill="auto"/>
            <w:noWrap/>
            <w:vAlign w:val="center"/>
            <w:hideMark/>
          </w:tcPr>
          <w:p w14:paraId="65AF2BF7"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Poorest</w:t>
            </w:r>
          </w:p>
        </w:tc>
        <w:tc>
          <w:tcPr>
            <w:tcW w:w="0" w:type="auto"/>
            <w:tcBorders>
              <w:top w:val="nil"/>
              <w:left w:val="nil"/>
              <w:bottom w:val="nil"/>
              <w:right w:val="nil"/>
            </w:tcBorders>
            <w:shd w:val="clear" w:color="auto" w:fill="auto"/>
            <w:noWrap/>
            <w:vAlign w:val="center"/>
            <w:hideMark/>
          </w:tcPr>
          <w:p w14:paraId="0C3694ED"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20.1</w:t>
            </w:r>
          </w:p>
        </w:tc>
        <w:tc>
          <w:tcPr>
            <w:tcW w:w="714" w:type="dxa"/>
            <w:tcBorders>
              <w:top w:val="nil"/>
              <w:left w:val="nil"/>
              <w:bottom w:val="nil"/>
              <w:right w:val="nil"/>
            </w:tcBorders>
            <w:shd w:val="clear" w:color="auto" w:fill="auto"/>
            <w:noWrap/>
            <w:vAlign w:val="center"/>
            <w:hideMark/>
          </w:tcPr>
          <w:p w14:paraId="24FBF4AF"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20.9</w:t>
            </w:r>
          </w:p>
        </w:tc>
        <w:tc>
          <w:tcPr>
            <w:tcW w:w="894" w:type="dxa"/>
            <w:tcBorders>
              <w:top w:val="nil"/>
              <w:left w:val="nil"/>
              <w:bottom w:val="nil"/>
              <w:right w:val="nil"/>
            </w:tcBorders>
            <w:shd w:val="clear" w:color="auto" w:fill="auto"/>
            <w:noWrap/>
            <w:vAlign w:val="center"/>
            <w:hideMark/>
          </w:tcPr>
          <w:p w14:paraId="70E693F8"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17.1</w:t>
            </w:r>
          </w:p>
        </w:tc>
        <w:tc>
          <w:tcPr>
            <w:tcW w:w="0" w:type="auto"/>
            <w:tcBorders>
              <w:top w:val="nil"/>
              <w:left w:val="nil"/>
              <w:bottom w:val="nil"/>
              <w:right w:val="nil"/>
            </w:tcBorders>
            <w:shd w:val="clear" w:color="auto" w:fill="auto"/>
            <w:noWrap/>
            <w:vAlign w:val="center"/>
            <w:hideMark/>
          </w:tcPr>
          <w:p w14:paraId="58C78C59"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&lt;0.001</w:t>
            </w:r>
          </w:p>
        </w:tc>
      </w:tr>
      <w:tr w:rsidR="00781C1B" w:rsidRPr="00041FEB" w14:paraId="60ADB37C" w14:textId="77777777" w:rsidTr="00E07D74">
        <w:trPr>
          <w:trHeight w:val="260"/>
        </w:trPr>
        <w:tc>
          <w:tcPr>
            <w:tcW w:w="0" w:type="auto"/>
            <w:tcBorders>
              <w:top w:val="nil"/>
              <w:left w:val="nil"/>
              <w:bottom w:val="nil"/>
              <w:right w:val="nil"/>
            </w:tcBorders>
            <w:shd w:val="clear" w:color="auto" w:fill="auto"/>
            <w:noWrap/>
            <w:vAlign w:val="center"/>
            <w:hideMark/>
          </w:tcPr>
          <w:p w14:paraId="565A50A2" w14:textId="77777777" w:rsidR="00781C1B" w:rsidRPr="00041FEB" w:rsidRDefault="00781C1B" w:rsidP="00E07D74">
            <w:pPr>
              <w:rPr>
                <w:rFonts w:eastAsia="Times New Roman" w:cs="Times New Roman"/>
                <w:color w:val="000000"/>
                <w:sz w:val="22"/>
                <w:szCs w:val="22"/>
              </w:rPr>
            </w:pPr>
          </w:p>
        </w:tc>
        <w:tc>
          <w:tcPr>
            <w:tcW w:w="0" w:type="auto"/>
            <w:tcBorders>
              <w:top w:val="nil"/>
              <w:left w:val="nil"/>
              <w:bottom w:val="nil"/>
              <w:right w:val="nil"/>
            </w:tcBorders>
            <w:shd w:val="clear" w:color="auto" w:fill="auto"/>
            <w:noWrap/>
            <w:vAlign w:val="center"/>
            <w:hideMark/>
          </w:tcPr>
          <w:p w14:paraId="61D42E97"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Poorer</w:t>
            </w:r>
          </w:p>
        </w:tc>
        <w:tc>
          <w:tcPr>
            <w:tcW w:w="0" w:type="auto"/>
            <w:tcBorders>
              <w:top w:val="nil"/>
              <w:left w:val="nil"/>
              <w:bottom w:val="nil"/>
              <w:right w:val="nil"/>
            </w:tcBorders>
            <w:shd w:val="clear" w:color="auto" w:fill="auto"/>
            <w:noWrap/>
            <w:vAlign w:val="center"/>
            <w:hideMark/>
          </w:tcPr>
          <w:p w14:paraId="240C4B99"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20.0</w:t>
            </w:r>
          </w:p>
        </w:tc>
        <w:tc>
          <w:tcPr>
            <w:tcW w:w="714" w:type="dxa"/>
            <w:tcBorders>
              <w:top w:val="nil"/>
              <w:left w:val="nil"/>
              <w:bottom w:val="nil"/>
              <w:right w:val="nil"/>
            </w:tcBorders>
            <w:shd w:val="clear" w:color="auto" w:fill="auto"/>
            <w:noWrap/>
            <w:vAlign w:val="center"/>
            <w:hideMark/>
          </w:tcPr>
          <w:p w14:paraId="06BCDFE9"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20.3</w:t>
            </w:r>
          </w:p>
        </w:tc>
        <w:tc>
          <w:tcPr>
            <w:tcW w:w="894" w:type="dxa"/>
            <w:tcBorders>
              <w:top w:val="nil"/>
              <w:left w:val="nil"/>
              <w:bottom w:val="nil"/>
              <w:right w:val="nil"/>
            </w:tcBorders>
            <w:shd w:val="clear" w:color="auto" w:fill="auto"/>
            <w:noWrap/>
            <w:vAlign w:val="center"/>
            <w:hideMark/>
          </w:tcPr>
          <w:p w14:paraId="16E6B162"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18.2</w:t>
            </w:r>
          </w:p>
        </w:tc>
        <w:tc>
          <w:tcPr>
            <w:tcW w:w="0" w:type="auto"/>
            <w:tcBorders>
              <w:top w:val="nil"/>
              <w:left w:val="nil"/>
              <w:bottom w:val="nil"/>
              <w:right w:val="nil"/>
            </w:tcBorders>
            <w:shd w:val="clear" w:color="auto" w:fill="auto"/>
            <w:noWrap/>
            <w:vAlign w:val="center"/>
            <w:hideMark/>
          </w:tcPr>
          <w:p w14:paraId="2B2FB7DF" w14:textId="77777777" w:rsidR="00781C1B" w:rsidRPr="00041FEB" w:rsidRDefault="00781C1B" w:rsidP="00E07D74">
            <w:pPr>
              <w:rPr>
                <w:rFonts w:eastAsia="Times New Roman" w:cs="Times New Roman"/>
                <w:color w:val="000000"/>
                <w:sz w:val="22"/>
                <w:szCs w:val="22"/>
              </w:rPr>
            </w:pPr>
          </w:p>
        </w:tc>
      </w:tr>
      <w:tr w:rsidR="00781C1B" w:rsidRPr="00041FEB" w14:paraId="50CEEA3A" w14:textId="77777777" w:rsidTr="00E07D74">
        <w:trPr>
          <w:trHeight w:val="260"/>
        </w:trPr>
        <w:tc>
          <w:tcPr>
            <w:tcW w:w="0" w:type="auto"/>
            <w:tcBorders>
              <w:top w:val="nil"/>
              <w:left w:val="nil"/>
              <w:bottom w:val="nil"/>
              <w:right w:val="nil"/>
            </w:tcBorders>
            <w:shd w:val="clear" w:color="auto" w:fill="auto"/>
            <w:noWrap/>
            <w:vAlign w:val="center"/>
            <w:hideMark/>
          </w:tcPr>
          <w:p w14:paraId="02CB9536" w14:textId="77777777" w:rsidR="00781C1B" w:rsidRPr="00041FEB" w:rsidRDefault="00781C1B" w:rsidP="00E07D74">
            <w:pPr>
              <w:rPr>
                <w:rFonts w:eastAsia="Times New Roman" w:cs="Times New Roman"/>
                <w:color w:val="000000"/>
                <w:sz w:val="22"/>
                <w:szCs w:val="22"/>
              </w:rPr>
            </w:pPr>
          </w:p>
        </w:tc>
        <w:tc>
          <w:tcPr>
            <w:tcW w:w="0" w:type="auto"/>
            <w:tcBorders>
              <w:top w:val="nil"/>
              <w:left w:val="nil"/>
              <w:bottom w:val="nil"/>
              <w:right w:val="nil"/>
            </w:tcBorders>
            <w:shd w:val="clear" w:color="auto" w:fill="auto"/>
            <w:noWrap/>
            <w:vAlign w:val="center"/>
            <w:hideMark/>
          </w:tcPr>
          <w:p w14:paraId="5727E114"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Middle</w:t>
            </w:r>
          </w:p>
        </w:tc>
        <w:tc>
          <w:tcPr>
            <w:tcW w:w="0" w:type="auto"/>
            <w:tcBorders>
              <w:top w:val="nil"/>
              <w:left w:val="nil"/>
              <w:bottom w:val="nil"/>
              <w:right w:val="nil"/>
            </w:tcBorders>
            <w:shd w:val="clear" w:color="auto" w:fill="auto"/>
            <w:noWrap/>
            <w:vAlign w:val="center"/>
            <w:hideMark/>
          </w:tcPr>
          <w:p w14:paraId="2FF29968"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19.9</w:t>
            </w:r>
          </w:p>
        </w:tc>
        <w:tc>
          <w:tcPr>
            <w:tcW w:w="714" w:type="dxa"/>
            <w:tcBorders>
              <w:top w:val="nil"/>
              <w:left w:val="nil"/>
              <w:bottom w:val="nil"/>
              <w:right w:val="nil"/>
            </w:tcBorders>
            <w:shd w:val="clear" w:color="auto" w:fill="auto"/>
            <w:noWrap/>
            <w:vAlign w:val="center"/>
            <w:hideMark/>
          </w:tcPr>
          <w:p w14:paraId="08F3ECCC"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19.9</w:t>
            </w:r>
          </w:p>
        </w:tc>
        <w:tc>
          <w:tcPr>
            <w:tcW w:w="894" w:type="dxa"/>
            <w:tcBorders>
              <w:top w:val="nil"/>
              <w:left w:val="nil"/>
              <w:bottom w:val="nil"/>
              <w:right w:val="nil"/>
            </w:tcBorders>
            <w:shd w:val="clear" w:color="auto" w:fill="auto"/>
            <w:noWrap/>
            <w:vAlign w:val="center"/>
            <w:hideMark/>
          </w:tcPr>
          <w:p w14:paraId="10D00290"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19.7</w:t>
            </w:r>
          </w:p>
        </w:tc>
        <w:tc>
          <w:tcPr>
            <w:tcW w:w="0" w:type="auto"/>
            <w:tcBorders>
              <w:top w:val="nil"/>
              <w:left w:val="nil"/>
              <w:bottom w:val="nil"/>
              <w:right w:val="nil"/>
            </w:tcBorders>
            <w:shd w:val="clear" w:color="auto" w:fill="auto"/>
            <w:noWrap/>
            <w:vAlign w:val="center"/>
            <w:hideMark/>
          </w:tcPr>
          <w:p w14:paraId="16FF077C" w14:textId="77777777" w:rsidR="00781C1B" w:rsidRPr="00041FEB" w:rsidRDefault="00781C1B" w:rsidP="00E07D74">
            <w:pPr>
              <w:rPr>
                <w:rFonts w:eastAsia="Times New Roman" w:cs="Times New Roman"/>
                <w:color w:val="000000"/>
                <w:sz w:val="22"/>
                <w:szCs w:val="22"/>
              </w:rPr>
            </w:pPr>
          </w:p>
        </w:tc>
      </w:tr>
      <w:tr w:rsidR="00781C1B" w:rsidRPr="00041FEB" w14:paraId="620D9D0A" w14:textId="77777777" w:rsidTr="00E07D74">
        <w:trPr>
          <w:trHeight w:val="260"/>
        </w:trPr>
        <w:tc>
          <w:tcPr>
            <w:tcW w:w="0" w:type="auto"/>
            <w:tcBorders>
              <w:top w:val="nil"/>
              <w:left w:val="nil"/>
              <w:bottom w:val="nil"/>
              <w:right w:val="nil"/>
            </w:tcBorders>
            <w:shd w:val="clear" w:color="auto" w:fill="auto"/>
            <w:noWrap/>
            <w:vAlign w:val="center"/>
            <w:hideMark/>
          </w:tcPr>
          <w:p w14:paraId="2CFC862B" w14:textId="77777777" w:rsidR="00781C1B" w:rsidRPr="00041FEB" w:rsidRDefault="00781C1B" w:rsidP="00E07D74">
            <w:pPr>
              <w:rPr>
                <w:rFonts w:eastAsia="Times New Roman" w:cs="Times New Roman"/>
                <w:color w:val="000000"/>
                <w:sz w:val="22"/>
                <w:szCs w:val="22"/>
              </w:rPr>
            </w:pPr>
          </w:p>
        </w:tc>
        <w:tc>
          <w:tcPr>
            <w:tcW w:w="0" w:type="auto"/>
            <w:tcBorders>
              <w:top w:val="nil"/>
              <w:left w:val="nil"/>
              <w:bottom w:val="nil"/>
              <w:right w:val="nil"/>
            </w:tcBorders>
            <w:shd w:val="clear" w:color="auto" w:fill="auto"/>
            <w:noWrap/>
            <w:vAlign w:val="center"/>
            <w:hideMark/>
          </w:tcPr>
          <w:p w14:paraId="6EB3E3F4"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Richer</w:t>
            </w:r>
          </w:p>
        </w:tc>
        <w:tc>
          <w:tcPr>
            <w:tcW w:w="0" w:type="auto"/>
            <w:tcBorders>
              <w:top w:val="nil"/>
              <w:left w:val="nil"/>
              <w:bottom w:val="nil"/>
              <w:right w:val="nil"/>
            </w:tcBorders>
            <w:shd w:val="clear" w:color="auto" w:fill="auto"/>
            <w:noWrap/>
            <w:vAlign w:val="center"/>
            <w:hideMark/>
          </w:tcPr>
          <w:p w14:paraId="063CFAA9"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20.0</w:t>
            </w:r>
          </w:p>
        </w:tc>
        <w:tc>
          <w:tcPr>
            <w:tcW w:w="714" w:type="dxa"/>
            <w:tcBorders>
              <w:top w:val="nil"/>
              <w:left w:val="nil"/>
              <w:bottom w:val="nil"/>
              <w:right w:val="nil"/>
            </w:tcBorders>
            <w:shd w:val="clear" w:color="auto" w:fill="auto"/>
            <w:noWrap/>
            <w:vAlign w:val="center"/>
            <w:hideMark/>
          </w:tcPr>
          <w:p w14:paraId="6C68D1F9"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19.8</w:t>
            </w:r>
          </w:p>
        </w:tc>
        <w:tc>
          <w:tcPr>
            <w:tcW w:w="894" w:type="dxa"/>
            <w:tcBorders>
              <w:top w:val="nil"/>
              <w:left w:val="nil"/>
              <w:bottom w:val="nil"/>
              <w:right w:val="nil"/>
            </w:tcBorders>
            <w:shd w:val="clear" w:color="auto" w:fill="auto"/>
            <w:noWrap/>
            <w:vAlign w:val="center"/>
            <w:hideMark/>
          </w:tcPr>
          <w:p w14:paraId="0C4C4096"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20.9</w:t>
            </w:r>
          </w:p>
        </w:tc>
        <w:tc>
          <w:tcPr>
            <w:tcW w:w="0" w:type="auto"/>
            <w:tcBorders>
              <w:top w:val="nil"/>
              <w:left w:val="nil"/>
              <w:bottom w:val="nil"/>
              <w:right w:val="nil"/>
            </w:tcBorders>
            <w:shd w:val="clear" w:color="auto" w:fill="auto"/>
            <w:noWrap/>
            <w:vAlign w:val="center"/>
            <w:hideMark/>
          </w:tcPr>
          <w:p w14:paraId="6456692C" w14:textId="77777777" w:rsidR="00781C1B" w:rsidRPr="00041FEB" w:rsidRDefault="00781C1B" w:rsidP="00E07D74">
            <w:pPr>
              <w:rPr>
                <w:rFonts w:eastAsia="Times New Roman" w:cs="Times New Roman"/>
                <w:color w:val="000000"/>
                <w:sz w:val="22"/>
                <w:szCs w:val="22"/>
              </w:rPr>
            </w:pPr>
          </w:p>
        </w:tc>
      </w:tr>
      <w:tr w:rsidR="00781C1B" w:rsidRPr="00041FEB" w14:paraId="212DBA56" w14:textId="77777777" w:rsidTr="00E07D74">
        <w:trPr>
          <w:trHeight w:val="260"/>
        </w:trPr>
        <w:tc>
          <w:tcPr>
            <w:tcW w:w="0" w:type="auto"/>
            <w:tcBorders>
              <w:top w:val="nil"/>
              <w:left w:val="nil"/>
              <w:bottom w:val="nil"/>
              <w:right w:val="nil"/>
            </w:tcBorders>
            <w:shd w:val="clear" w:color="auto" w:fill="auto"/>
            <w:noWrap/>
            <w:vAlign w:val="center"/>
            <w:hideMark/>
          </w:tcPr>
          <w:p w14:paraId="3F4E8397" w14:textId="77777777" w:rsidR="00781C1B" w:rsidRPr="00041FEB" w:rsidRDefault="00781C1B" w:rsidP="00E07D74">
            <w:pPr>
              <w:rPr>
                <w:rFonts w:eastAsia="Times New Roman" w:cs="Times New Roman"/>
                <w:color w:val="000000"/>
                <w:sz w:val="22"/>
                <w:szCs w:val="22"/>
              </w:rPr>
            </w:pPr>
          </w:p>
        </w:tc>
        <w:tc>
          <w:tcPr>
            <w:tcW w:w="0" w:type="auto"/>
            <w:tcBorders>
              <w:top w:val="nil"/>
              <w:left w:val="nil"/>
              <w:bottom w:val="nil"/>
              <w:right w:val="nil"/>
            </w:tcBorders>
            <w:shd w:val="clear" w:color="auto" w:fill="auto"/>
            <w:noWrap/>
            <w:vAlign w:val="center"/>
            <w:hideMark/>
          </w:tcPr>
          <w:p w14:paraId="421B1478"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Richest</w:t>
            </w:r>
          </w:p>
        </w:tc>
        <w:tc>
          <w:tcPr>
            <w:tcW w:w="0" w:type="auto"/>
            <w:tcBorders>
              <w:top w:val="nil"/>
              <w:left w:val="nil"/>
              <w:bottom w:val="nil"/>
              <w:right w:val="nil"/>
            </w:tcBorders>
            <w:shd w:val="clear" w:color="auto" w:fill="auto"/>
            <w:noWrap/>
            <w:vAlign w:val="center"/>
            <w:hideMark/>
          </w:tcPr>
          <w:p w14:paraId="23ED068E"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20.0</w:t>
            </w:r>
          </w:p>
        </w:tc>
        <w:tc>
          <w:tcPr>
            <w:tcW w:w="714" w:type="dxa"/>
            <w:tcBorders>
              <w:top w:val="nil"/>
              <w:left w:val="nil"/>
              <w:bottom w:val="nil"/>
              <w:right w:val="nil"/>
            </w:tcBorders>
            <w:shd w:val="clear" w:color="auto" w:fill="auto"/>
            <w:noWrap/>
            <w:vAlign w:val="center"/>
            <w:hideMark/>
          </w:tcPr>
          <w:p w14:paraId="57212996"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19.0</w:t>
            </w:r>
          </w:p>
        </w:tc>
        <w:tc>
          <w:tcPr>
            <w:tcW w:w="894" w:type="dxa"/>
            <w:tcBorders>
              <w:top w:val="nil"/>
              <w:left w:val="nil"/>
              <w:bottom w:val="nil"/>
              <w:right w:val="nil"/>
            </w:tcBorders>
            <w:shd w:val="clear" w:color="auto" w:fill="auto"/>
            <w:noWrap/>
            <w:vAlign w:val="center"/>
            <w:hideMark/>
          </w:tcPr>
          <w:p w14:paraId="2E453B95" w14:textId="77777777" w:rsidR="00781C1B" w:rsidRPr="00041FEB" w:rsidRDefault="00781C1B" w:rsidP="00E07D74">
            <w:pPr>
              <w:rPr>
                <w:rFonts w:eastAsia="Times New Roman" w:cs="Times New Roman"/>
                <w:color w:val="000000"/>
                <w:sz w:val="22"/>
                <w:szCs w:val="22"/>
              </w:rPr>
            </w:pPr>
            <w:r w:rsidRPr="00041FEB">
              <w:rPr>
                <w:rFonts w:eastAsia="Times New Roman" w:cs="Times New Roman"/>
                <w:color w:val="000000"/>
                <w:sz w:val="22"/>
                <w:szCs w:val="22"/>
              </w:rPr>
              <w:t>24.1</w:t>
            </w:r>
          </w:p>
        </w:tc>
        <w:tc>
          <w:tcPr>
            <w:tcW w:w="0" w:type="auto"/>
            <w:tcBorders>
              <w:top w:val="nil"/>
              <w:left w:val="nil"/>
              <w:bottom w:val="nil"/>
              <w:right w:val="nil"/>
            </w:tcBorders>
            <w:shd w:val="clear" w:color="auto" w:fill="auto"/>
            <w:noWrap/>
            <w:vAlign w:val="center"/>
            <w:hideMark/>
          </w:tcPr>
          <w:p w14:paraId="310B7FAC" w14:textId="77777777" w:rsidR="00781C1B" w:rsidRPr="00041FEB" w:rsidRDefault="00781C1B" w:rsidP="00E07D74">
            <w:pPr>
              <w:rPr>
                <w:rFonts w:eastAsia="Times New Roman" w:cs="Times New Roman"/>
                <w:color w:val="000000"/>
                <w:sz w:val="22"/>
                <w:szCs w:val="22"/>
              </w:rPr>
            </w:pPr>
          </w:p>
        </w:tc>
      </w:tr>
      <w:tr w:rsidR="003F40F5" w:rsidRPr="00041FEB" w14:paraId="0DA927EE" w14:textId="77777777" w:rsidTr="003F40F5">
        <w:trPr>
          <w:trHeight w:val="260"/>
        </w:trPr>
        <w:tc>
          <w:tcPr>
            <w:tcW w:w="0" w:type="auto"/>
            <w:tcBorders>
              <w:top w:val="nil"/>
              <w:left w:val="nil"/>
              <w:right w:val="nil"/>
            </w:tcBorders>
            <w:shd w:val="clear" w:color="auto" w:fill="auto"/>
            <w:noWrap/>
            <w:vAlign w:val="center"/>
          </w:tcPr>
          <w:p w14:paraId="15ABE475" w14:textId="67300017" w:rsidR="003F40F5" w:rsidRPr="00041FEB" w:rsidRDefault="003F40F5" w:rsidP="00E07D74">
            <w:pPr>
              <w:rPr>
                <w:rFonts w:eastAsia="Times New Roman" w:cs="Times New Roman"/>
                <w:color w:val="000000"/>
                <w:sz w:val="22"/>
                <w:szCs w:val="22"/>
              </w:rPr>
            </w:pPr>
            <w:r w:rsidRPr="00041FEB">
              <w:rPr>
                <w:rFonts w:eastAsia="Times New Roman" w:cs="Times New Roman"/>
                <w:color w:val="000000"/>
                <w:sz w:val="22"/>
                <w:szCs w:val="22"/>
              </w:rPr>
              <w:t>Employment status</w:t>
            </w:r>
          </w:p>
        </w:tc>
        <w:tc>
          <w:tcPr>
            <w:tcW w:w="0" w:type="auto"/>
            <w:tcBorders>
              <w:top w:val="nil"/>
              <w:left w:val="nil"/>
              <w:right w:val="nil"/>
            </w:tcBorders>
            <w:shd w:val="clear" w:color="auto" w:fill="auto"/>
            <w:noWrap/>
            <w:vAlign w:val="center"/>
          </w:tcPr>
          <w:p w14:paraId="7E68246E" w14:textId="65891475" w:rsidR="003F40F5" w:rsidRPr="00041FEB" w:rsidRDefault="003F40F5" w:rsidP="00E07D74">
            <w:pPr>
              <w:rPr>
                <w:rFonts w:eastAsia="Times New Roman" w:cs="Times New Roman"/>
                <w:color w:val="000000"/>
                <w:sz w:val="22"/>
                <w:szCs w:val="22"/>
              </w:rPr>
            </w:pPr>
            <w:r w:rsidRPr="00041FEB">
              <w:rPr>
                <w:rFonts w:eastAsia="Times New Roman" w:cs="Times New Roman"/>
                <w:color w:val="000000"/>
                <w:sz w:val="22"/>
                <w:szCs w:val="22"/>
              </w:rPr>
              <w:t>Employed</w:t>
            </w:r>
          </w:p>
        </w:tc>
        <w:tc>
          <w:tcPr>
            <w:tcW w:w="0" w:type="auto"/>
            <w:tcBorders>
              <w:top w:val="nil"/>
              <w:left w:val="nil"/>
              <w:right w:val="nil"/>
            </w:tcBorders>
            <w:shd w:val="clear" w:color="auto" w:fill="auto"/>
            <w:noWrap/>
            <w:vAlign w:val="center"/>
          </w:tcPr>
          <w:p w14:paraId="7C4A9E8C" w14:textId="2D4A00E5" w:rsidR="003F40F5" w:rsidRPr="00041FEB" w:rsidRDefault="00B5291F" w:rsidP="00E07D74">
            <w:pPr>
              <w:rPr>
                <w:rFonts w:eastAsia="Times New Roman" w:cs="Times New Roman"/>
                <w:color w:val="000000"/>
                <w:sz w:val="22"/>
                <w:szCs w:val="22"/>
              </w:rPr>
            </w:pPr>
            <w:r w:rsidRPr="00041FEB">
              <w:rPr>
                <w:rFonts w:eastAsia="Times New Roman" w:cs="Times New Roman"/>
                <w:color w:val="000000"/>
                <w:sz w:val="22"/>
                <w:szCs w:val="22"/>
              </w:rPr>
              <w:t>57.2</w:t>
            </w:r>
          </w:p>
        </w:tc>
        <w:tc>
          <w:tcPr>
            <w:tcW w:w="714" w:type="dxa"/>
            <w:tcBorders>
              <w:top w:val="nil"/>
              <w:left w:val="nil"/>
              <w:right w:val="nil"/>
            </w:tcBorders>
            <w:shd w:val="clear" w:color="auto" w:fill="auto"/>
            <w:noWrap/>
            <w:vAlign w:val="center"/>
          </w:tcPr>
          <w:p w14:paraId="55B1542C" w14:textId="3E86514B" w:rsidR="003F40F5" w:rsidRPr="00041FEB" w:rsidRDefault="00906916" w:rsidP="00E07D74">
            <w:pPr>
              <w:rPr>
                <w:rFonts w:eastAsia="Times New Roman" w:cs="Times New Roman"/>
                <w:color w:val="000000"/>
                <w:sz w:val="22"/>
                <w:szCs w:val="22"/>
              </w:rPr>
            </w:pPr>
            <w:r w:rsidRPr="00041FEB">
              <w:rPr>
                <w:rFonts w:eastAsia="Times New Roman" w:cs="Times New Roman"/>
                <w:color w:val="000000"/>
                <w:sz w:val="22"/>
                <w:szCs w:val="22"/>
              </w:rPr>
              <w:t>56.8</w:t>
            </w:r>
          </w:p>
        </w:tc>
        <w:tc>
          <w:tcPr>
            <w:tcW w:w="894" w:type="dxa"/>
            <w:tcBorders>
              <w:top w:val="nil"/>
              <w:left w:val="nil"/>
              <w:right w:val="nil"/>
            </w:tcBorders>
            <w:shd w:val="clear" w:color="auto" w:fill="auto"/>
            <w:noWrap/>
            <w:vAlign w:val="center"/>
          </w:tcPr>
          <w:p w14:paraId="0EF70ACE" w14:textId="3EB715EA" w:rsidR="003F40F5" w:rsidRPr="00041FEB" w:rsidRDefault="00906916" w:rsidP="00E07D74">
            <w:pPr>
              <w:rPr>
                <w:rFonts w:eastAsia="Times New Roman" w:cs="Times New Roman"/>
                <w:color w:val="000000"/>
                <w:sz w:val="22"/>
                <w:szCs w:val="22"/>
              </w:rPr>
            </w:pPr>
            <w:r w:rsidRPr="00041FEB">
              <w:rPr>
                <w:rFonts w:eastAsia="Times New Roman" w:cs="Times New Roman"/>
                <w:color w:val="000000"/>
                <w:sz w:val="22"/>
                <w:szCs w:val="22"/>
              </w:rPr>
              <w:t>58.8</w:t>
            </w:r>
          </w:p>
        </w:tc>
        <w:tc>
          <w:tcPr>
            <w:tcW w:w="0" w:type="auto"/>
            <w:tcBorders>
              <w:top w:val="nil"/>
              <w:left w:val="nil"/>
              <w:right w:val="nil"/>
            </w:tcBorders>
            <w:shd w:val="clear" w:color="auto" w:fill="auto"/>
            <w:noWrap/>
            <w:vAlign w:val="center"/>
          </w:tcPr>
          <w:p w14:paraId="36664D1D" w14:textId="5FCA62CE" w:rsidR="003F40F5" w:rsidRPr="00041FEB" w:rsidRDefault="00A70F09" w:rsidP="00E07D74">
            <w:pPr>
              <w:rPr>
                <w:rFonts w:eastAsia="Times New Roman" w:cs="Times New Roman"/>
                <w:color w:val="000000"/>
                <w:sz w:val="22"/>
                <w:szCs w:val="22"/>
              </w:rPr>
            </w:pPr>
            <w:r w:rsidRPr="00041FEB">
              <w:rPr>
                <w:rFonts w:eastAsia="Times New Roman" w:cs="Times New Roman"/>
                <w:color w:val="000000"/>
                <w:sz w:val="22"/>
                <w:szCs w:val="22"/>
              </w:rPr>
              <w:t>0.001</w:t>
            </w:r>
          </w:p>
        </w:tc>
      </w:tr>
      <w:tr w:rsidR="003F40F5" w:rsidRPr="00041FEB" w14:paraId="073290F0" w14:textId="77777777" w:rsidTr="003F40F5">
        <w:trPr>
          <w:trHeight w:val="260"/>
        </w:trPr>
        <w:tc>
          <w:tcPr>
            <w:tcW w:w="0" w:type="auto"/>
            <w:tcBorders>
              <w:top w:val="nil"/>
              <w:left w:val="nil"/>
              <w:bottom w:val="single" w:sz="4" w:space="0" w:color="auto"/>
              <w:right w:val="nil"/>
            </w:tcBorders>
            <w:shd w:val="clear" w:color="auto" w:fill="auto"/>
            <w:noWrap/>
            <w:vAlign w:val="center"/>
          </w:tcPr>
          <w:p w14:paraId="295E79D6" w14:textId="77777777" w:rsidR="003F40F5" w:rsidRPr="00041FEB" w:rsidRDefault="003F40F5" w:rsidP="00E07D74">
            <w:pPr>
              <w:rPr>
                <w:rFonts w:eastAsia="Times New Roman" w:cs="Times New Roman"/>
                <w:color w:val="000000"/>
                <w:sz w:val="22"/>
                <w:szCs w:val="22"/>
              </w:rPr>
            </w:pPr>
          </w:p>
        </w:tc>
        <w:tc>
          <w:tcPr>
            <w:tcW w:w="0" w:type="auto"/>
            <w:tcBorders>
              <w:top w:val="nil"/>
              <w:left w:val="nil"/>
              <w:bottom w:val="single" w:sz="4" w:space="0" w:color="auto"/>
              <w:right w:val="nil"/>
            </w:tcBorders>
            <w:shd w:val="clear" w:color="auto" w:fill="auto"/>
            <w:noWrap/>
            <w:vAlign w:val="center"/>
          </w:tcPr>
          <w:p w14:paraId="2874DBCA" w14:textId="39104FEB" w:rsidR="003F40F5" w:rsidRPr="00041FEB" w:rsidRDefault="003F40F5" w:rsidP="00E07D74">
            <w:pPr>
              <w:rPr>
                <w:rFonts w:eastAsia="Times New Roman" w:cs="Times New Roman"/>
                <w:color w:val="000000"/>
                <w:sz w:val="22"/>
                <w:szCs w:val="22"/>
              </w:rPr>
            </w:pPr>
            <w:r w:rsidRPr="00041FEB">
              <w:rPr>
                <w:rFonts w:eastAsia="Times New Roman" w:cs="Times New Roman"/>
                <w:color w:val="000000"/>
                <w:sz w:val="22"/>
                <w:szCs w:val="22"/>
              </w:rPr>
              <w:t>Unemployed</w:t>
            </w:r>
          </w:p>
        </w:tc>
        <w:tc>
          <w:tcPr>
            <w:tcW w:w="0" w:type="auto"/>
            <w:tcBorders>
              <w:top w:val="nil"/>
              <w:left w:val="nil"/>
              <w:bottom w:val="single" w:sz="4" w:space="0" w:color="auto"/>
              <w:right w:val="nil"/>
            </w:tcBorders>
            <w:shd w:val="clear" w:color="auto" w:fill="auto"/>
            <w:noWrap/>
            <w:vAlign w:val="center"/>
          </w:tcPr>
          <w:p w14:paraId="26208E14" w14:textId="61646922" w:rsidR="003F40F5" w:rsidRPr="00041FEB" w:rsidRDefault="00B5291F" w:rsidP="00E07D74">
            <w:pPr>
              <w:rPr>
                <w:rFonts w:eastAsia="Times New Roman" w:cs="Times New Roman"/>
                <w:color w:val="000000"/>
                <w:sz w:val="22"/>
                <w:szCs w:val="22"/>
              </w:rPr>
            </w:pPr>
            <w:r w:rsidRPr="00041FEB">
              <w:rPr>
                <w:rFonts w:eastAsia="Times New Roman" w:cs="Times New Roman"/>
                <w:color w:val="000000"/>
                <w:sz w:val="22"/>
                <w:szCs w:val="22"/>
              </w:rPr>
              <w:t>42.8</w:t>
            </w:r>
          </w:p>
        </w:tc>
        <w:tc>
          <w:tcPr>
            <w:tcW w:w="714" w:type="dxa"/>
            <w:tcBorders>
              <w:top w:val="nil"/>
              <w:left w:val="nil"/>
              <w:bottom w:val="single" w:sz="4" w:space="0" w:color="auto"/>
              <w:right w:val="nil"/>
            </w:tcBorders>
            <w:shd w:val="clear" w:color="auto" w:fill="auto"/>
            <w:noWrap/>
            <w:vAlign w:val="center"/>
          </w:tcPr>
          <w:p w14:paraId="49F769DC" w14:textId="6365154B" w:rsidR="003F40F5" w:rsidRPr="00041FEB" w:rsidRDefault="00906916" w:rsidP="00E07D74">
            <w:pPr>
              <w:rPr>
                <w:rFonts w:eastAsia="Times New Roman" w:cs="Times New Roman"/>
                <w:color w:val="000000"/>
                <w:sz w:val="22"/>
                <w:szCs w:val="22"/>
              </w:rPr>
            </w:pPr>
            <w:r w:rsidRPr="00041FEB">
              <w:rPr>
                <w:rFonts w:eastAsia="Times New Roman" w:cs="Times New Roman"/>
                <w:color w:val="000000"/>
                <w:sz w:val="22"/>
                <w:szCs w:val="22"/>
              </w:rPr>
              <w:t>43.2</w:t>
            </w:r>
          </w:p>
        </w:tc>
        <w:tc>
          <w:tcPr>
            <w:tcW w:w="894" w:type="dxa"/>
            <w:tcBorders>
              <w:top w:val="nil"/>
              <w:left w:val="nil"/>
              <w:bottom w:val="single" w:sz="4" w:space="0" w:color="auto"/>
              <w:right w:val="nil"/>
            </w:tcBorders>
            <w:shd w:val="clear" w:color="auto" w:fill="auto"/>
            <w:noWrap/>
            <w:vAlign w:val="center"/>
          </w:tcPr>
          <w:p w14:paraId="33A4F989" w14:textId="52561971" w:rsidR="003F40F5" w:rsidRPr="00041FEB" w:rsidRDefault="00906916" w:rsidP="00E07D74">
            <w:pPr>
              <w:rPr>
                <w:rFonts w:eastAsia="Times New Roman" w:cs="Times New Roman"/>
                <w:color w:val="000000"/>
                <w:sz w:val="22"/>
                <w:szCs w:val="22"/>
              </w:rPr>
            </w:pPr>
            <w:r w:rsidRPr="00041FEB">
              <w:rPr>
                <w:rFonts w:eastAsia="Times New Roman" w:cs="Times New Roman"/>
                <w:color w:val="000000"/>
                <w:sz w:val="22"/>
                <w:szCs w:val="22"/>
              </w:rPr>
              <w:t>41.2</w:t>
            </w:r>
          </w:p>
        </w:tc>
        <w:tc>
          <w:tcPr>
            <w:tcW w:w="0" w:type="auto"/>
            <w:tcBorders>
              <w:top w:val="nil"/>
              <w:left w:val="nil"/>
              <w:bottom w:val="single" w:sz="4" w:space="0" w:color="auto"/>
              <w:right w:val="nil"/>
            </w:tcBorders>
            <w:shd w:val="clear" w:color="auto" w:fill="auto"/>
            <w:noWrap/>
            <w:vAlign w:val="center"/>
          </w:tcPr>
          <w:p w14:paraId="5B05C3BA" w14:textId="77777777" w:rsidR="003F40F5" w:rsidRPr="00041FEB" w:rsidRDefault="003F40F5" w:rsidP="00E07D74">
            <w:pPr>
              <w:rPr>
                <w:rFonts w:eastAsia="Times New Roman" w:cs="Times New Roman"/>
                <w:color w:val="000000"/>
                <w:sz w:val="22"/>
                <w:szCs w:val="22"/>
              </w:rPr>
            </w:pPr>
          </w:p>
        </w:tc>
      </w:tr>
    </w:tbl>
    <w:p w14:paraId="72522857" w14:textId="620C2EA1" w:rsidR="00781C1B" w:rsidRPr="00041FEB" w:rsidRDefault="00F24F85" w:rsidP="00737B4A">
      <w:pPr>
        <w:spacing w:line="480" w:lineRule="auto"/>
        <w:rPr>
          <w:sz w:val="20"/>
          <w:szCs w:val="20"/>
        </w:rPr>
      </w:pPr>
      <w:r w:rsidRPr="00041FEB">
        <w:rPr>
          <w:sz w:val="20"/>
          <w:szCs w:val="20"/>
        </w:rPr>
        <w:t xml:space="preserve">Note. </w:t>
      </w:r>
      <w:r w:rsidR="00781C1B" w:rsidRPr="00041FEB">
        <w:rPr>
          <w:sz w:val="20"/>
          <w:szCs w:val="20"/>
        </w:rPr>
        <w:t>Data are column percentages.</w:t>
      </w:r>
    </w:p>
    <w:p w14:paraId="55544F98" w14:textId="0492C634" w:rsidR="000C6AE8" w:rsidRPr="00041FEB" w:rsidRDefault="00781C1B" w:rsidP="00737B4A">
      <w:pPr>
        <w:spacing w:line="480" w:lineRule="auto"/>
        <w:rPr>
          <w:sz w:val="20"/>
          <w:szCs w:val="20"/>
        </w:rPr>
      </w:pPr>
      <w:r w:rsidRPr="00041FEB">
        <w:rPr>
          <w:sz w:val="20"/>
          <w:szCs w:val="20"/>
        </w:rPr>
        <w:t>P-value was calculated by Chi-squared tests.</w:t>
      </w:r>
      <w:r w:rsidR="000C6AE8" w:rsidRPr="00041FEB">
        <w:rPr>
          <w:sz w:val="20"/>
          <w:szCs w:val="20"/>
        </w:rPr>
        <w:br w:type="page"/>
      </w:r>
    </w:p>
    <w:p w14:paraId="7D72248B" w14:textId="365FDD92" w:rsidR="000C6AE8" w:rsidRDefault="000C6AE8" w:rsidP="00BE4FF3">
      <w:pPr>
        <w:spacing w:line="480" w:lineRule="auto"/>
      </w:pPr>
      <w:r w:rsidRPr="00041FEB">
        <w:rPr>
          <w:b/>
        </w:rPr>
        <w:lastRenderedPageBreak/>
        <w:t>Figure 1</w:t>
      </w:r>
      <w:r w:rsidRPr="00041FEB">
        <w:t xml:space="preserve"> Prevalence of caregiving by number of chronic physical conditions</w:t>
      </w:r>
    </w:p>
    <w:p w14:paraId="16C3F558" w14:textId="2DA027D8" w:rsidR="00FF6BC6" w:rsidRDefault="00FF6BC6" w:rsidP="00BE4FF3">
      <w:pPr>
        <w:spacing w:line="480" w:lineRule="auto"/>
      </w:pPr>
      <w:r>
        <w:rPr>
          <w:noProof/>
        </w:rPr>
        <w:drawing>
          <wp:inline distT="0" distB="0" distL="0" distR="0" wp14:anchorId="092AF6AE" wp14:editId="7DE8D7DB">
            <wp:extent cx="5727700" cy="398843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27700" cy="3988435"/>
                    </a:xfrm>
                    <a:prstGeom prst="rect">
                      <a:avLst/>
                    </a:prstGeom>
                    <a:noFill/>
                    <a:ln>
                      <a:noFill/>
                    </a:ln>
                  </pic:spPr>
                </pic:pic>
              </a:graphicData>
            </a:graphic>
          </wp:inline>
        </w:drawing>
      </w:r>
    </w:p>
    <w:p w14:paraId="2858BD82" w14:textId="1CFD1E26" w:rsidR="00FF6BC6" w:rsidRDefault="00FF6BC6" w:rsidP="00BE4FF3">
      <w:pPr>
        <w:spacing w:line="480" w:lineRule="auto"/>
      </w:pPr>
    </w:p>
    <w:p w14:paraId="357A5279" w14:textId="77777777" w:rsidR="00FF6BC6" w:rsidRPr="00041FEB" w:rsidRDefault="00FF6BC6" w:rsidP="00BE4FF3">
      <w:pPr>
        <w:spacing w:line="480" w:lineRule="auto"/>
      </w:pPr>
    </w:p>
    <w:p w14:paraId="7F4BEB25" w14:textId="1F11435D" w:rsidR="000C6AE8" w:rsidRDefault="000C6AE8" w:rsidP="00BE4FF3">
      <w:pPr>
        <w:spacing w:line="480" w:lineRule="auto"/>
      </w:pPr>
    </w:p>
    <w:p w14:paraId="74520067" w14:textId="2CCE4C22" w:rsidR="00FF6BC6" w:rsidRDefault="00FF6BC6" w:rsidP="00BE4FF3">
      <w:pPr>
        <w:spacing w:line="480" w:lineRule="auto"/>
      </w:pPr>
    </w:p>
    <w:p w14:paraId="014B8E1F" w14:textId="629500F5" w:rsidR="00FF6BC6" w:rsidRDefault="00FF6BC6" w:rsidP="00BE4FF3">
      <w:pPr>
        <w:spacing w:line="480" w:lineRule="auto"/>
      </w:pPr>
    </w:p>
    <w:p w14:paraId="0952A022" w14:textId="6CE6836F" w:rsidR="00FF6BC6" w:rsidRDefault="00FF6BC6" w:rsidP="00BE4FF3">
      <w:pPr>
        <w:spacing w:line="480" w:lineRule="auto"/>
      </w:pPr>
    </w:p>
    <w:p w14:paraId="624D3B06" w14:textId="79D4D118" w:rsidR="00FF6BC6" w:rsidRDefault="00FF6BC6" w:rsidP="00BE4FF3">
      <w:pPr>
        <w:spacing w:line="480" w:lineRule="auto"/>
      </w:pPr>
    </w:p>
    <w:p w14:paraId="74667B34" w14:textId="2651A8BF" w:rsidR="00FF6BC6" w:rsidRDefault="00FF6BC6" w:rsidP="00BE4FF3">
      <w:pPr>
        <w:spacing w:line="480" w:lineRule="auto"/>
      </w:pPr>
    </w:p>
    <w:p w14:paraId="25C360C9" w14:textId="15E4053F" w:rsidR="00FF6BC6" w:rsidRDefault="00FF6BC6" w:rsidP="00BE4FF3">
      <w:pPr>
        <w:spacing w:line="480" w:lineRule="auto"/>
      </w:pPr>
    </w:p>
    <w:p w14:paraId="67A9F74F" w14:textId="449130A7" w:rsidR="00FF6BC6" w:rsidRDefault="00FF6BC6" w:rsidP="00BE4FF3">
      <w:pPr>
        <w:spacing w:line="480" w:lineRule="auto"/>
      </w:pPr>
    </w:p>
    <w:p w14:paraId="110441E6" w14:textId="68516904" w:rsidR="00FF6BC6" w:rsidRDefault="00FF6BC6" w:rsidP="00BE4FF3">
      <w:pPr>
        <w:spacing w:line="480" w:lineRule="auto"/>
      </w:pPr>
    </w:p>
    <w:p w14:paraId="1636A93B" w14:textId="77777777" w:rsidR="00FF6BC6" w:rsidRPr="00041FEB" w:rsidRDefault="00FF6BC6" w:rsidP="00BE4FF3">
      <w:pPr>
        <w:spacing w:line="480" w:lineRule="auto"/>
      </w:pPr>
    </w:p>
    <w:p w14:paraId="6C751A11" w14:textId="77777777" w:rsidR="00FF6BC6" w:rsidRDefault="00313AC1" w:rsidP="00BE4FF3">
      <w:pPr>
        <w:spacing w:line="480" w:lineRule="auto"/>
      </w:pPr>
      <w:r w:rsidRPr="00041FEB">
        <w:rPr>
          <w:b/>
        </w:rPr>
        <w:lastRenderedPageBreak/>
        <w:t>Figure 2</w:t>
      </w:r>
      <w:r w:rsidRPr="00041FEB">
        <w:t xml:space="preserve"> Prevalence of chronic physical conditions and multimorbidity among non-</w:t>
      </w:r>
    </w:p>
    <w:p w14:paraId="40FB69A3" w14:textId="77777777" w:rsidR="00FF6BC6" w:rsidRDefault="00FF6BC6" w:rsidP="00BE4FF3">
      <w:pPr>
        <w:spacing w:line="480" w:lineRule="auto"/>
      </w:pPr>
    </w:p>
    <w:p w14:paraId="0680EC09" w14:textId="1356BE56" w:rsidR="00FF6BC6" w:rsidRDefault="00FF6BC6" w:rsidP="00BE4FF3">
      <w:pPr>
        <w:spacing w:line="480" w:lineRule="auto"/>
      </w:pPr>
      <w:r>
        <w:rPr>
          <w:noProof/>
        </w:rPr>
        <w:drawing>
          <wp:inline distT="0" distB="0" distL="0" distR="0" wp14:anchorId="4C6CB60B" wp14:editId="7C3FBCE7">
            <wp:extent cx="5727700" cy="4786630"/>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7700" cy="4786630"/>
                    </a:xfrm>
                    <a:prstGeom prst="rect">
                      <a:avLst/>
                    </a:prstGeom>
                    <a:noFill/>
                    <a:ln>
                      <a:noFill/>
                    </a:ln>
                  </pic:spPr>
                </pic:pic>
              </a:graphicData>
            </a:graphic>
          </wp:inline>
        </w:drawing>
      </w:r>
    </w:p>
    <w:p w14:paraId="34BBCAA2" w14:textId="77777777" w:rsidR="00FF6BC6" w:rsidRDefault="00FF6BC6" w:rsidP="00BE4FF3">
      <w:pPr>
        <w:spacing w:line="480" w:lineRule="auto"/>
      </w:pPr>
    </w:p>
    <w:p w14:paraId="1798D07F" w14:textId="6D88D0B6" w:rsidR="00313AC1" w:rsidRPr="00041FEB" w:rsidRDefault="00313AC1" w:rsidP="00BE4FF3">
      <w:pPr>
        <w:spacing w:line="480" w:lineRule="auto"/>
      </w:pPr>
      <w:r w:rsidRPr="00041FEB">
        <w:t>caregivers and caregivers</w:t>
      </w:r>
    </w:p>
    <w:p w14:paraId="5C83488A" w14:textId="77777777" w:rsidR="00313AC1" w:rsidRPr="00041FEB" w:rsidRDefault="00313AC1" w:rsidP="00BE4FF3">
      <w:pPr>
        <w:spacing w:line="480" w:lineRule="auto"/>
        <w:rPr>
          <w:sz w:val="20"/>
          <w:szCs w:val="20"/>
        </w:rPr>
      </w:pPr>
      <w:r w:rsidRPr="00041FEB">
        <w:rPr>
          <w:sz w:val="20"/>
          <w:szCs w:val="20"/>
        </w:rPr>
        <w:t>Bars denote 95% confidence intervals.</w:t>
      </w:r>
    </w:p>
    <w:p w14:paraId="3382BD03" w14:textId="77777777" w:rsidR="00313AC1" w:rsidRPr="00041FEB" w:rsidRDefault="00313AC1" w:rsidP="00BE4FF3">
      <w:pPr>
        <w:spacing w:line="480" w:lineRule="auto"/>
        <w:rPr>
          <w:sz w:val="20"/>
          <w:szCs w:val="20"/>
        </w:rPr>
      </w:pPr>
      <w:r w:rsidRPr="00041FEB">
        <w:rPr>
          <w:sz w:val="20"/>
          <w:szCs w:val="20"/>
        </w:rPr>
        <w:t xml:space="preserve">Multimorbidity was defined as </w:t>
      </w:r>
      <w:r w:rsidRPr="00041FEB">
        <w:rPr>
          <w:rFonts w:cs="Times New Roman"/>
          <w:sz w:val="20"/>
          <w:szCs w:val="20"/>
        </w:rPr>
        <w:t>≥</w:t>
      </w:r>
      <w:r w:rsidRPr="00041FEB">
        <w:rPr>
          <w:sz w:val="20"/>
          <w:szCs w:val="20"/>
        </w:rPr>
        <w:t>2 chronic conditions.</w:t>
      </w:r>
    </w:p>
    <w:p w14:paraId="4C14ED14" w14:textId="66D5C7E7" w:rsidR="00313AC1" w:rsidRDefault="00313AC1" w:rsidP="00BE4FF3">
      <w:pPr>
        <w:spacing w:line="480" w:lineRule="auto"/>
      </w:pPr>
    </w:p>
    <w:p w14:paraId="3262DB09" w14:textId="342FF88C" w:rsidR="00FF6BC6" w:rsidRDefault="00FF6BC6" w:rsidP="00BE4FF3">
      <w:pPr>
        <w:spacing w:line="480" w:lineRule="auto"/>
      </w:pPr>
    </w:p>
    <w:p w14:paraId="2F5EEA01" w14:textId="29B607F1" w:rsidR="00FF6BC6" w:rsidRDefault="00FF6BC6" w:rsidP="00BE4FF3">
      <w:pPr>
        <w:spacing w:line="480" w:lineRule="auto"/>
      </w:pPr>
    </w:p>
    <w:p w14:paraId="475B72F4" w14:textId="47AA35DB" w:rsidR="00FF6BC6" w:rsidRDefault="00FF6BC6" w:rsidP="00BE4FF3">
      <w:pPr>
        <w:spacing w:line="480" w:lineRule="auto"/>
      </w:pPr>
    </w:p>
    <w:p w14:paraId="67E0E9B3" w14:textId="77777777" w:rsidR="00FF6BC6" w:rsidRPr="00041FEB" w:rsidRDefault="00FF6BC6" w:rsidP="00BE4FF3">
      <w:pPr>
        <w:spacing w:line="480" w:lineRule="auto"/>
      </w:pPr>
    </w:p>
    <w:p w14:paraId="60C09A83" w14:textId="4B101340" w:rsidR="00313AC1" w:rsidRDefault="00313AC1" w:rsidP="00BE4FF3">
      <w:pPr>
        <w:spacing w:line="480" w:lineRule="auto"/>
      </w:pPr>
      <w:r w:rsidRPr="00041FEB">
        <w:rPr>
          <w:b/>
        </w:rPr>
        <w:lastRenderedPageBreak/>
        <w:t xml:space="preserve">Figure 3 </w:t>
      </w:r>
      <w:r w:rsidRPr="00041FEB">
        <w:t xml:space="preserve">Association between caregiving (exposure) and multimorbidity (outcome) estimated by multivariable logistic regression </w:t>
      </w:r>
    </w:p>
    <w:p w14:paraId="42BF6E6B" w14:textId="09D3BDFF" w:rsidR="00FF6BC6" w:rsidRDefault="00FF6BC6" w:rsidP="00BE4FF3">
      <w:pPr>
        <w:spacing w:line="480" w:lineRule="auto"/>
      </w:pPr>
    </w:p>
    <w:p w14:paraId="1B2CA2B3" w14:textId="0D49C7D3" w:rsidR="00FF6BC6" w:rsidRDefault="00FF6BC6" w:rsidP="00BE4FF3">
      <w:pPr>
        <w:spacing w:line="480" w:lineRule="auto"/>
      </w:pPr>
      <w:r>
        <w:rPr>
          <w:noProof/>
        </w:rPr>
        <w:drawing>
          <wp:inline distT="0" distB="0" distL="0" distR="0" wp14:anchorId="479B7B44" wp14:editId="3661EF1F">
            <wp:extent cx="5727700" cy="4075430"/>
            <wp:effectExtent l="0" t="0" r="635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27700" cy="4075430"/>
                    </a:xfrm>
                    <a:prstGeom prst="rect">
                      <a:avLst/>
                    </a:prstGeom>
                    <a:noFill/>
                    <a:ln>
                      <a:noFill/>
                    </a:ln>
                  </pic:spPr>
                </pic:pic>
              </a:graphicData>
            </a:graphic>
          </wp:inline>
        </w:drawing>
      </w:r>
    </w:p>
    <w:p w14:paraId="66585780" w14:textId="77777777" w:rsidR="00FF6BC6" w:rsidRPr="00041FEB" w:rsidRDefault="00FF6BC6" w:rsidP="00BE4FF3">
      <w:pPr>
        <w:spacing w:line="480" w:lineRule="auto"/>
      </w:pPr>
    </w:p>
    <w:p w14:paraId="57F47D50" w14:textId="77777777" w:rsidR="00313AC1" w:rsidRPr="00041FEB" w:rsidRDefault="00313AC1" w:rsidP="00BE4FF3">
      <w:pPr>
        <w:spacing w:line="480" w:lineRule="auto"/>
        <w:rPr>
          <w:sz w:val="20"/>
          <w:szCs w:val="20"/>
        </w:rPr>
      </w:pPr>
      <w:r w:rsidRPr="00041FEB">
        <w:rPr>
          <w:sz w:val="20"/>
          <w:szCs w:val="20"/>
        </w:rPr>
        <w:t>Abbreviation: OR Odds ratio; CI Confidence interval.</w:t>
      </w:r>
    </w:p>
    <w:p w14:paraId="59784B37" w14:textId="07221F03" w:rsidR="00313AC1" w:rsidRPr="00041FEB" w:rsidRDefault="00313AC1" w:rsidP="00BE4FF3">
      <w:pPr>
        <w:spacing w:line="480" w:lineRule="auto"/>
        <w:rPr>
          <w:sz w:val="20"/>
          <w:szCs w:val="20"/>
        </w:rPr>
      </w:pPr>
      <w:r w:rsidRPr="00041FEB">
        <w:rPr>
          <w:sz w:val="20"/>
          <w:szCs w:val="20"/>
        </w:rPr>
        <w:t xml:space="preserve">Models are adjusted for age, sex, education, wealth, </w:t>
      </w:r>
      <w:r w:rsidR="00321DF5" w:rsidRPr="00041FEB">
        <w:rPr>
          <w:sz w:val="20"/>
          <w:szCs w:val="20"/>
        </w:rPr>
        <w:t xml:space="preserve">employment, </w:t>
      </w:r>
      <w:r w:rsidRPr="00041FEB">
        <w:rPr>
          <w:sz w:val="20"/>
          <w:szCs w:val="20"/>
        </w:rPr>
        <w:t xml:space="preserve">and country </w:t>
      </w:r>
      <w:proofErr w:type="gramStart"/>
      <w:r w:rsidRPr="00041FEB">
        <w:rPr>
          <w:sz w:val="20"/>
          <w:szCs w:val="20"/>
        </w:rPr>
        <w:t>with the exception of</w:t>
      </w:r>
      <w:proofErr w:type="gramEnd"/>
      <w:r w:rsidRPr="00041FEB">
        <w:rPr>
          <w:sz w:val="20"/>
          <w:szCs w:val="20"/>
        </w:rPr>
        <w:t xml:space="preserve"> samples consisting only of males or females, which were not adjusted for sex.</w:t>
      </w:r>
    </w:p>
    <w:p w14:paraId="76EA5F0F" w14:textId="77777777" w:rsidR="00313AC1" w:rsidRPr="00041FEB" w:rsidRDefault="00313AC1" w:rsidP="00BE4FF3">
      <w:pPr>
        <w:spacing w:line="480" w:lineRule="auto"/>
        <w:rPr>
          <w:sz w:val="20"/>
          <w:szCs w:val="20"/>
        </w:rPr>
      </w:pPr>
      <w:r w:rsidRPr="00041FEB">
        <w:rPr>
          <w:sz w:val="20"/>
          <w:szCs w:val="20"/>
        </w:rPr>
        <w:t xml:space="preserve">Multimorbidity was defined as </w:t>
      </w:r>
      <w:r w:rsidRPr="00041FEB">
        <w:rPr>
          <w:rFonts w:cs="Times New Roman"/>
          <w:sz w:val="20"/>
          <w:szCs w:val="20"/>
        </w:rPr>
        <w:t>≥</w:t>
      </w:r>
      <w:r w:rsidRPr="00041FEB">
        <w:rPr>
          <w:sz w:val="20"/>
          <w:szCs w:val="20"/>
        </w:rPr>
        <w:t>2 chronic conditions.</w:t>
      </w:r>
    </w:p>
    <w:p w14:paraId="234122E1" w14:textId="33A1F257" w:rsidR="00313AC1" w:rsidRPr="00041FEB" w:rsidRDefault="00313AC1" w:rsidP="00BE4FF3">
      <w:pPr>
        <w:spacing w:line="480" w:lineRule="auto"/>
      </w:pPr>
    </w:p>
    <w:p w14:paraId="0870B486" w14:textId="77777777" w:rsidR="00FF6BC6" w:rsidRDefault="00FF6BC6" w:rsidP="00BE4FF3">
      <w:pPr>
        <w:spacing w:line="480" w:lineRule="auto"/>
        <w:rPr>
          <w:b/>
        </w:rPr>
      </w:pPr>
    </w:p>
    <w:p w14:paraId="0A0674BB" w14:textId="77777777" w:rsidR="00FF6BC6" w:rsidRDefault="00FF6BC6" w:rsidP="00BE4FF3">
      <w:pPr>
        <w:spacing w:line="480" w:lineRule="auto"/>
        <w:rPr>
          <w:b/>
        </w:rPr>
      </w:pPr>
    </w:p>
    <w:p w14:paraId="5EE0AA91" w14:textId="77777777" w:rsidR="00FF6BC6" w:rsidRDefault="00FF6BC6" w:rsidP="00BE4FF3">
      <w:pPr>
        <w:spacing w:line="480" w:lineRule="auto"/>
        <w:rPr>
          <w:b/>
        </w:rPr>
      </w:pPr>
    </w:p>
    <w:p w14:paraId="4F2FD718" w14:textId="77777777" w:rsidR="00FF6BC6" w:rsidRDefault="00FF6BC6" w:rsidP="00BE4FF3">
      <w:pPr>
        <w:spacing w:line="480" w:lineRule="auto"/>
        <w:rPr>
          <w:b/>
        </w:rPr>
      </w:pPr>
    </w:p>
    <w:p w14:paraId="7EBEF8D1" w14:textId="61746ACA" w:rsidR="00313AC1" w:rsidRDefault="00313AC1" w:rsidP="00BE4FF3">
      <w:pPr>
        <w:spacing w:line="480" w:lineRule="auto"/>
      </w:pPr>
      <w:r w:rsidRPr="00041FEB">
        <w:rPr>
          <w:b/>
        </w:rPr>
        <w:lastRenderedPageBreak/>
        <w:t>Figure 4</w:t>
      </w:r>
      <w:r w:rsidRPr="00041FEB">
        <w:t xml:space="preserve"> Country-wise association between caregiving (exposure) and multimorbidity (outcome) estimated by multivariable logistic regression</w:t>
      </w:r>
    </w:p>
    <w:p w14:paraId="4A31C14A" w14:textId="330CF594" w:rsidR="00FF6BC6" w:rsidRDefault="00FF6BC6" w:rsidP="00BE4FF3">
      <w:pPr>
        <w:spacing w:line="480" w:lineRule="auto"/>
      </w:pPr>
    </w:p>
    <w:p w14:paraId="13360FE0" w14:textId="30A56938" w:rsidR="00FF6BC6" w:rsidRDefault="00FF6BC6" w:rsidP="00BE4FF3">
      <w:pPr>
        <w:spacing w:line="480" w:lineRule="auto"/>
      </w:pPr>
      <w:r>
        <w:rPr>
          <w:noProof/>
        </w:rPr>
        <w:drawing>
          <wp:inline distT="0" distB="0" distL="0" distR="0" wp14:anchorId="2B7759CA" wp14:editId="722C4AD2">
            <wp:extent cx="5727700" cy="7088505"/>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7700" cy="7088505"/>
                    </a:xfrm>
                    <a:prstGeom prst="rect">
                      <a:avLst/>
                    </a:prstGeom>
                    <a:noFill/>
                    <a:ln>
                      <a:noFill/>
                    </a:ln>
                  </pic:spPr>
                </pic:pic>
              </a:graphicData>
            </a:graphic>
          </wp:inline>
        </w:drawing>
      </w:r>
    </w:p>
    <w:p w14:paraId="6DB2E4BA" w14:textId="3156C227" w:rsidR="00FF6BC6" w:rsidRDefault="00FF6BC6" w:rsidP="00BE4FF3">
      <w:pPr>
        <w:spacing w:line="480" w:lineRule="auto"/>
      </w:pPr>
    </w:p>
    <w:p w14:paraId="68630F62" w14:textId="331A9663" w:rsidR="00FF6BC6" w:rsidRDefault="00FF6BC6" w:rsidP="00BE4FF3">
      <w:pPr>
        <w:spacing w:line="480" w:lineRule="auto"/>
      </w:pPr>
    </w:p>
    <w:p w14:paraId="7F5C6AE0" w14:textId="77777777" w:rsidR="00313AC1" w:rsidRPr="00041FEB" w:rsidRDefault="00313AC1" w:rsidP="00BE4FF3">
      <w:pPr>
        <w:spacing w:line="480" w:lineRule="auto"/>
        <w:rPr>
          <w:sz w:val="20"/>
          <w:szCs w:val="20"/>
        </w:rPr>
      </w:pPr>
      <w:r w:rsidRPr="00041FEB">
        <w:rPr>
          <w:sz w:val="20"/>
          <w:szCs w:val="20"/>
        </w:rPr>
        <w:lastRenderedPageBreak/>
        <w:t>Abbreviation: OR Odds ratio; CI Confidence interval.</w:t>
      </w:r>
    </w:p>
    <w:p w14:paraId="177D0472" w14:textId="1D57B43E" w:rsidR="00313AC1" w:rsidRPr="00041FEB" w:rsidRDefault="00313AC1" w:rsidP="00BE4FF3">
      <w:pPr>
        <w:spacing w:line="480" w:lineRule="auto"/>
        <w:rPr>
          <w:sz w:val="20"/>
          <w:szCs w:val="20"/>
        </w:rPr>
      </w:pPr>
      <w:r w:rsidRPr="00041FEB">
        <w:rPr>
          <w:sz w:val="20"/>
          <w:szCs w:val="20"/>
        </w:rPr>
        <w:t>Models are adjusted for age, sex, education, wealth</w:t>
      </w:r>
      <w:r w:rsidR="00321DF5" w:rsidRPr="00041FEB">
        <w:rPr>
          <w:sz w:val="20"/>
          <w:szCs w:val="20"/>
        </w:rPr>
        <w:t>, and employment</w:t>
      </w:r>
      <w:r w:rsidRPr="00041FEB">
        <w:rPr>
          <w:sz w:val="20"/>
          <w:szCs w:val="20"/>
        </w:rPr>
        <w:t>.</w:t>
      </w:r>
    </w:p>
    <w:p w14:paraId="322040A3" w14:textId="77777777" w:rsidR="00313AC1" w:rsidRPr="00041FEB" w:rsidRDefault="00313AC1" w:rsidP="00BE4FF3">
      <w:pPr>
        <w:spacing w:line="480" w:lineRule="auto"/>
        <w:rPr>
          <w:sz w:val="20"/>
          <w:szCs w:val="20"/>
        </w:rPr>
      </w:pPr>
      <w:r w:rsidRPr="00041FEB">
        <w:rPr>
          <w:sz w:val="20"/>
          <w:szCs w:val="20"/>
        </w:rPr>
        <w:t>Overall estimate was obtained by meta-analysis with fixed effects.</w:t>
      </w:r>
    </w:p>
    <w:p w14:paraId="66DACEDE" w14:textId="76245188" w:rsidR="00313AC1" w:rsidRDefault="00313AC1" w:rsidP="00BE4FF3">
      <w:pPr>
        <w:spacing w:line="480" w:lineRule="auto"/>
        <w:rPr>
          <w:sz w:val="20"/>
          <w:szCs w:val="20"/>
        </w:rPr>
      </w:pPr>
      <w:r w:rsidRPr="00041FEB">
        <w:rPr>
          <w:sz w:val="20"/>
          <w:szCs w:val="20"/>
        </w:rPr>
        <w:t xml:space="preserve">Multimorbidity was defined as </w:t>
      </w:r>
      <w:r w:rsidRPr="00041FEB">
        <w:rPr>
          <w:rFonts w:cs="Times New Roman"/>
          <w:sz w:val="20"/>
          <w:szCs w:val="20"/>
        </w:rPr>
        <w:t>≥</w:t>
      </w:r>
      <w:r w:rsidRPr="00041FEB">
        <w:rPr>
          <w:sz w:val="20"/>
          <w:szCs w:val="20"/>
        </w:rPr>
        <w:t>2 chronic conditions.</w:t>
      </w:r>
    </w:p>
    <w:p w14:paraId="6A58C0AB" w14:textId="21E595B4" w:rsidR="00FF6BC6" w:rsidRDefault="00FF6BC6" w:rsidP="00BE4FF3">
      <w:pPr>
        <w:spacing w:line="480" w:lineRule="auto"/>
        <w:rPr>
          <w:sz w:val="20"/>
          <w:szCs w:val="20"/>
        </w:rPr>
      </w:pPr>
    </w:p>
    <w:p w14:paraId="1336597D" w14:textId="77777777" w:rsidR="00FF6BC6" w:rsidRDefault="00FF6BC6" w:rsidP="00FF6BC6">
      <w:pPr>
        <w:spacing w:line="480" w:lineRule="auto"/>
        <w:rPr>
          <w:rFonts w:eastAsia="MS Mincho"/>
          <w:b/>
          <w:lang w:eastAsia="ja-JP"/>
        </w:rPr>
      </w:pPr>
      <w:r>
        <w:rPr>
          <w:rFonts w:eastAsia="MS Mincho"/>
          <w:b/>
          <w:lang w:eastAsia="ja-JP"/>
        </w:rPr>
        <w:t>Appendix</w:t>
      </w:r>
    </w:p>
    <w:p w14:paraId="2713C037" w14:textId="77777777" w:rsidR="00FF6BC6" w:rsidRPr="008C2BF0" w:rsidRDefault="00FF6BC6" w:rsidP="00FF6BC6">
      <w:pPr>
        <w:spacing w:line="480" w:lineRule="auto"/>
        <w:rPr>
          <w:b/>
        </w:rPr>
      </w:pPr>
    </w:p>
    <w:tbl>
      <w:tblPr>
        <w:tblW w:w="0" w:type="auto"/>
        <w:tblInd w:w="93" w:type="dxa"/>
        <w:tblLayout w:type="fixed"/>
        <w:tblLook w:val="04A0" w:firstRow="1" w:lastRow="0" w:firstColumn="1" w:lastColumn="0" w:noHBand="0" w:noVBand="1"/>
      </w:tblPr>
      <w:tblGrid>
        <w:gridCol w:w="2043"/>
        <w:gridCol w:w="821"/>
        <w:gridCol w:w="1891"/>
        <w:gridCol w:w="821"/>
      </w:tblGrid>
      <w:tr w:rsidR="00FF6BC6" w:rsidRPr="008C2BF0" w14:paraId="15DAAC77" w14:textId="77777777" w:rsidTr="00DE3FBF">
        <w:trPr>
          <w:trHeight w:val="300"/>
        </w:trPr>
        <w:tc>
          <w:tcPr>
            <w:tcW w:w="5576" w:type="dxa"/>
            <w:gridSpan w:val="4"/>
            <w:tcBorders>
              <w:top w:val="nil"/>
              <w:left w:val="nil"/>
              <w:bottom w:val="single" w:sz="4" w:space="0" w:color="auto"/>
              <w:right w:val="nil"/>
            </w:tcBorders>
            <w:shd w:val="clear" w:color="auto" w:fill="auto"/>
            <w:noWrap/>
            <w:vAlign w:val="center"/>
            <w:hideMark/>
          </w:tcPr>
          <w:p w14:paraId="3BC1D379" w14:textId="77777777" w:rsidR="00FF6BC6" w:rsidRPr="008C2BF0" w:rsidRDefault="00FF6BC6" w:rsidP="00DE3FBF">
            <w:pPr>
              <w:spacing w:line="480" w:lineRule="auto"/>
              <w:rPr>
                <w:rFonts w:eastAsia="Times New Roman" w:cs="Times New Roman"/>
                <w:color w:val="000000"/>
              </w:rPr>
            </w:pPr>
            <w:proofErr w:type="spellStart"/>
            <w:r>
              <w:rPr>
                <w:rFonts w:eastAsia="MS Mincho"/>
                <w:b/>
                <w:lang w:eastAsia="ja-JP"/>
              </w:rPr>
              <w:t>eTable</w:t>
            </w:r>
            <w:proofErr w:type="spellEnd"/>
            <w:r>
              <w:rPr>
                <w:rFonts w:eastAsia="MS Mincho"/>
                <w:b/>
                <w:lang w:eastAsia="ja-JP"/>
              </w:rPr>
              <w:t xml:space="preserve"> 1 </w:t>
            </w:r>
            <w:r w:rsidRPr="008C2BF0">
              <w:rPr>
                <w:rFonts w:eastAsia="Times New Roman" w:cs="Times New Roman"/>
                <w:color w:val="000000"/>
              </w:rPr>
              <w:t>Sample size by country</w:t>
            </w:r>
          </w:p>
        </w:tc>
      </w:tr>
      <w:tr w:rsidR="00FF6BC6" w:rsidRPr="008C2BF0" w14:paraId="183FBED4" w14:textId="77777777" w:rsidTr="00DE3FBF">
        <w:trPr>
          <w:trHeight w:val="320"/>
        </w:trPr>
        <w:tc>
          <w:tcPr>
            <w:tcW w:w="2043" w:type="dxa"/>
            <w:tcBorders>
              <w:top w:val="nil"/>
              <w:left w:val="nil"/>
              <w:bottom w:val="double" w:sz="6" w:space="0" w:color="auto"/>
              <w:right w:val="nil"/>
            </w:tcBorders>
            <w:shd w:val="clear" w:color="auto" w:fill="auto"/>
            <w:noWrap/>
            <w:vAlign w:val="center"/>
            <w:hideMark/>
          </w:tcPr>
          <w:p w14:paraId="01170D1A"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Country</w:t>
            </w:r>
          </w:p>
        </w:tc>
        <w:tc>
          <w:tcPr>
            <w:tcW w:w="821" w:type="dxa"/>
            <w:tcBorders>
              <w:top w:val="nil"/>
              <w:left w:val="nil"/>
              <w:bottom w:val="double" w:sz="6" w:space="0" w:color="auto"/>
              <w:right w:val="nil"/>
            </w:tcBorders>
            <w:shd w:val="clear" w:color="auto" w:fill="auto"/>
            <w:noWrap/>
            <w:vAlign w:val="center"/>
            <w:hideMark/>
          </w:tcPr>
          <w:p w14:paraId="6C5E56F0"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N</w:t>
            </w:r>
          </w:p>
        </w:tc>
        <w:tc>
          <w:tcPr>
            <w:tcW w:w="1891" w:type="dxa"/>
            <w:tcBorders>
              <w:top w:val="nil"/>
              <w:left w:val="nil"/>
              <w:bottom w:val="double" w:sz="6" w:space="0" w:color="auto"/>
              <w:right w:val="nil"/>
            </w:tcBorders>
            <w:shd w:val="clear" w:color="auto" w:fill="auto"/>
            <w:noWrap/>
            <w:vAlign w:val="center"/>
            <w:hideMark/>
          </w:tcPr>
          <w:p w14:paraId="7A3A33BD"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Country</w:t>
            </w:r>
          </w:p>
        </w:tc>
        <w:tc>
          <w:tcPr>
            <w:tcW w:w="821" w:type="dxa"/>
            <w:tcBorders>
              <w:top w:val="nil"/>
              <w:left w:val="nil"/>
              <w:bottom w:val="double" w:sz="6" w:space="0" w:color="auto"/>
              <w:right w:val="nil"/>
            </w:tcBorders>
            <w:shd w:val="clear" w:color="auto" w:fill="auto"/>
            <w:noWrap/>
            <w:vAlign w:val="center"/>
            <w:hideMark/>
          </w:tcPr>
          <w:p w14:paraId="25DFDD76"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N</w:t>
            </w:r>
          </w:p>
        </w:tc>
      </w:tr>
      <w:tr w:rsidR="00FF6BC6" w:rsidRPr="008C2BF0" w14:paraId="67CE2925" w14:textId="77777777" w:rsidTr="00DE3FBF">
        <w:trPr>
          <w:trHeight w:val="320"/>
        </w:trPr>
        <w:tc>
          <w:tcPr>
            <w:tcW w:w="2043" w:type="dxa"/>
            <w:tcBorders>
              <w:top w:val="nil"/>
              <w:left w:val="nil"/>
              <w:bottom w:val="nil"/>
              <w:right w:val="nil"/>
            </w:tcBorders>
            <w:shd w:val="clear" w:color="auto" w:fill="auto"/>
            <w:noWrap/>
            <w:vAlign w:val="center"/>
          </w:tcPr>
          <w:p w14:paraId="60887F04"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Bangladesh</w:t>
            </w:r>
          </w:p>
        </w:tc>
        <w:tc>
          <w:tcPr>
            <w:tcW w:w="821" w:type="dxa"/>
            <w:tcBorders>
              <w:top w:val="nil"/>
              <w:left w:val="nil"/>
              <w:bottom w:val="nil"/>
              <w:right w:val="nil"/>
            </w:tcBorders>
            <w:shd w:val="clear" w:color="auto" w:fill="auto"/>
            <w:noWrap/>
            <w:vAlign w:val="center"/>
          </w:tcPr>
          <w:p w14:paraId="6F7D988A"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5,942</w:t>
            </w:r>
          </w:p>
        </w:tc>
        <w:tc>
          <w:tcPr>
            <w:tcW w:w="1891" w:type="dxa"/>
            <w:tcBorders>
              <w:top w:val="nil"/>
              <w:left w:val="nil"/>
              <w:bottom w:val="nil"/>
              <w:right w:val="nil"/>
            </w:tcBorders>
            <w:shd w:val="clear" w:color="auto" w:fill="auto"/>
            <w:noWrap/>
            <w:vAlign w:val="center"/>
          </w:tcPr>
          <w:p w14:paraId="4051C90A"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Mali</w:t>
            </w:r>
          </w:p>
        </w:tc>
        <w:tc>
          <w:tcPr>
            <w:tcW w:w="821" w:type="dxa"/>
            <w:tcBorders>
              <w:top w:val="nil"/>
              <w:left w:val="nil"/>
              <w:bottom w:val="nil"/>
              <w:right w:val="nil"/>
            </w:tcBorders>
            <w:shd w:val="clear" w:color="auto" w:fill="auto"/>
            <w:noWrap/>
            <w:vAlign w:val="center"/>
          </w:tcPr>
          <w:p w14:paraId="1C9A557C"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4,886</w:t>
            </w:r>
          </w:p>
        </w:tc>
      </w:tr>
      <w:tr w:rsidR="00FF6BC6" w:rsidRPr="008C2BF0" w14:paraId="32CE5F66" w14:textId="77777777" w:rsidTr="00DE3FBF">
        <w:trPr>
          <w:trHeight w:val="300"/>
        </w:trPr>
        <w:tc>
          <w:tcPr>
            <w:tcW w:w="2043" w:type="dxa"/>
            <w:tcBorders>
              <w:top w:val="nil"/>
              <w:left w:val="nil"/>
              <w:bottom w:val="nil"/>
              <w:right w:val="nil"/>
            </w:tcBorders>
            <w:shd w:val="clear" w:color="auto" w:fill="auto"/>
            <w:noWrap/>
            <w:vAlign w:val="center"/>
          </w:tcPr>
          <w:p w14:paraId="6B0D6BFF"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Bosnia Herzegovina</w:t>
            </w:r>
          </w:p>
        </w:tc>
        <w:tc>
          <w:tcPr>
            <w:tcW w:w="821" w:type="dxa"/>
            <w:tcBorders>
              <w:top w:val="nil"/>
              <w:left w:val="nil"/>
              <w:bottom w:val="nil"/>
              <w:right w:val="nil"/>
            </w:tcBorders>
            <w:shd w:val="clear" w:color="auto" w:fill="auto"/>
            <w:noWrap/>
            <w:vAlign w:val="center"/>
          </w:tcPr>
          <w:p w14:paraId="7CF503A1"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1,031</w:t>
            </w:r>
          </w:p>
        </w:tc>
        <w:tc>
          <w:tcPr>
            <w:tcW w:w="1891" w:type="dxa"/>
            <w:tcBorders>
              <w:top w:val="nil"/>
              <w:left w:val="nil"/>
              <w:bottom w:val="nil"/>
              <w:right w:val="nil"/>
            </w:tcBorders>
            <w:shd w:val="clear" w:color="auto" w:fill="auto"/>
            <w:noWrap/>
            <w:vAlign w:val="center"/>
          </w:tcPr>
          <w:p w14:paraId="5E992A34"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Mauritania</w:t>
            </w:r>
          </w:p>
        </w:tc>
        <w:tc>
          <w:tcPr>
            <w:tcW w:w="821" w:type="dxa"/>
            <w:tcBorders>
              <w:top w:val="nil"/>
              <w:left w:val="nil"/>
              <w:bottom w:val="nil"/>
              <w:right w:val="nil"/>
            </w:tcBorders>
            <w:shd w:val="clear" w:color="auto" w:fill="auto"/>
            <w:noWrap/>
            <w:vAlign w:val="center"/>
          </w:tcPr>
          <w:p w14:paraId="34F4EA54"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3,902</w:t>
            </w:r>
          </w:p>
        </w:tc>
      </w:tr>
      <w:tr w:rsidR="00FF6BC6" w:rsidRPr="008C2BF0" w14:paraId="4A4087EC" w14:textId="77777777" w:rsidTr="00DE3FBF">
        <w:trPr>
          <w:trHeight w:val="300"/>
        </w:trPr>
        <w:tc>
          <w:tcPr>
            <w:tcW w:w="2043" w:type="dxa"/>
            <w:tcBorders>
              <w:top w:val="nil"/>
              <w:left w:val="nil"/>
              <w:bottom w:val="nil"/>
              <w:right w:val="nil"/>
            </w:tcBorders>
            <w:shd w:val="clear" w:color="auto" w:fill="auto"/>
            <w:noWrap/>
            <w:vAlign w:val="center"/>
          </w:tcPr>
          <w:p w14:paraId="322E9F73"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Brazil</w:t>
            </w:r>
          </w:p>
        </w:tc>
        <w:tc>
          <w:tcPr>
            <w:tcW w:w="821" w:type="dxa"/>
            <w:tcBorders>
              <w:top w:val="nil"/>
              <w:left w:val="nil"/>
              <w:bottom w:val="nil"/>
              <w:right w:val="nil"/>
            </w:tcBorders>
            <w:shd w:val="clear" w:color="auto" w:fill="auto"/>
            <w:noWrap/>
            <w:vAlign w:val="center"/>
          </w:tcPr>
          <w:p w14:paraId="41A7DEFC"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5,000</w:t>
            </w:r>
          </w:p>
        </w:tc>
        <w:tc>
          <w:tcPr>
            <w:tcW w:w="1891" w:type="dxa"/>
            <w:tcBorders>
              <w:top w:val="nil"/>
              <w:left w:val="nil"/>
              <w:bottom w:val="nil"/>
              <w:right w:val="nil"/>
            </w:tcBorders>
            <w:shd w:val="clear" w:color="auto" w:fill="auto"/>
            <w:noWrap/>
            <w:vAlign w:val="center"/>
          </w:tcPr>
          <w:p w14:paraId="60224C13"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Mauritius</w:t>
            </w:r>
          </w:p>
        </w:tc>
        <w:tc>
          <w:tcPr>
            <w:tcW w:w="821" w:type="dxa"/>
            <w:tcBorders>
              <w:top w:val="nil"/>
              <w:left w:val="nil"/>
              <w:bottom w:val="nil"/>
              <w:right w:val="nil"/>
            </w:tcBorders>
            <w:shd w:val="clear" w:color="auto" w:fill="auto"/>
            <w:noWrap/>
            <w:vAlign w:val="center"/>
          </w:tcPr>
          <w:p w14:paraId="1ECD6FA3"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3,968</w:t>
            </w:r>
          </w:p>
        </w:tc>
      </w:tr>
      <w:tr w:rsidR="00FF6BC6" w:rsidRPr="008C2BF0" w14:paraId="5F259C9B" w14:textId="77777777" w:rsidTr="00DE3FBF">
        <w:trPr>
          <w:trHeight w:val="300"/>
        </w:trPr>
        <w:tc>
          <w:tcPr>
            <w:tcW w:w="2043" w:type="dxa"/>
            <w:tcBorders>
              <w:top w:val="nil"/>
              <w:left w:val="nil"/>
              <w:bottom w:val="nil"/>
              <w:right w:val="nil"/>
            </w:tcBorders>
            <w:shd w:val="clear" w:color="auto" w:fill="auto"/>
            <w:noWrap/>
            <w:vAlign w:val="center"/>
          </w:tcPr>
          <w:p w14:paraId="28AB3C0E"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Burkina Faso</w:t>
            </w:r>
          </w:p>
        </w:tc>
        <w:tc>
          <w:tcPr>
            <w:tcW w:w="821" w:type="dxa"/>
            <w:tcBorders>
              <w:top w:val="nil"/>
              <w:left w:val="nil"/>
              <w:bottom w:val="nil"/>
              <w:right w:val="nil"/>
            </w:tcBorders>
            <w:shd w:val="clear" w:color="auto" w:fill="auto"/>
            <w:noWrap/>
            <w:vAlign w:val="center"/>
          </w:tcPr>
          <w:p w14:paraId="4C2BBE53"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4,948</w:t>
            </w:r>
          </w:p>
        </w:tc>
        <w:tc>
          <w:tcPr>
            <w:tcW w:w="1891" w:type="dxa"/>
            <w:tcBorders>
              <w:top w:val="nil"/>
              <w:left w:val="nil"/>
              <w:bottom w:val="nil"/>
              <w:right w:val="nil"/>
            </w:tcBorders>
            <w:shd w:val="clear" w:color="auto" w:fill="auto"/>
            <w:noWrap/>
            <w:vAlign w:val="center"/>
          </w:tcPr>
          <w:p w14:paraId="45315CCE"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Mexico</w:t>
            </w:r>
          </w:p>
        </w:tc>
        <w:tc>
          <w:tcPr>
            <w:tcW w:w="821" w:type="dxa"/>
            <w:tcBorders>
              <w:top w:val="nil"/>
              <w:left w:val="nil"/>
              <w:bottom w:val="nil"/>
              <w:right w:val="nil"/>
            </w:tcBorders>
            <w:shd w:val="clear" w:color="auto" w:fill="auto"/>
            <w:noWrap/>
            <w:vAlign w:val="center"/>
          </w:tcPr>
          <w:p w14:paraId="11C21ED5"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38,746</w:t>
            </w:r>
          </w:p>
        </w:tc>
      </w:tr>
      <w:tr w:rsidR="00FF6BC6" w:rsidRPr="008C2BF0" w14:paraId="0F23A119" w14:textId="77777777" w:rsidTr="00DE3FBF">
        <w:trPr>
          <w:trHeight w:val="300"/>
        </w:trPr>
        <w:tc>
          <w:tcPr>
            <w:tcW w:w="2043" w:type="dxa"/>
            <w:tcBorders>
              <w:top w:val="nil"/>
              <w:left w:val="nil"/>
              <w:bottom w:val="nil"/>
              <w:right w:val="nil"/>
            </w:tcBorders>
            <w:shd w:val="clear" w:color="auto" w:fill="auto"/>
            <w:noWrap/>
            <w:vAlign w:val="center"/>
          </w:tcPr>
          <w:p w14:paraId="40F5CE3C"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Chad</w:t>
            </w:r>
          </w:p>
        </w:tc>
        <w:tc>
          <w:tcPr>
            <w:tcW w:w="821" w:type="dxa"/>
            <w:tcBorders>
              <w:top w:val="nil"/>
              <w:left w:val="nil"/>
              <w:bottom w:val="nil"/>
              <w:right w:val="nil"/>
            </w:tcBorders>
            <w:shd w:val="clear" w:color="auto" w:fill="auto"/>
            <w:noWrap/>
            <w:vAlign w:val="center"/>
          </w:tcPr>
          <w:p w14:paraId="30F5AB2A"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4,870</w:t>
            </w:r>
          </w:p>
        </w:tc>
        <w:tc>
          <w:tcPr>
            <w:tcW w:w="1891" w:type="dxa"/>
            <w:tcBorders>
              <w:top w:val="nil"/>
              <w:left w:val="nil"/>
              <w:bottom w:val="nil"/>
              <w:right w:val="nil"/>
            </w:tcBorders>
            <w:shd w:val="clear" w:color="auto" w:fill="auto"/>
            <w:noWrap/>
            <w:vAlign w:val="center"/>
          </w:tcPr>
          <w:p w14:paraId="5BB43C27"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Morocco</w:t>
            </w:r>
          </w:p>
        </w:tc>
        <w:tc>
          <w:tcPr>
            <w:tcW w:w="821" w:type="dxa"/>
            <w:tcBorders>
              <w:top w:val="nil"/>
              <w:left w:val="nil"/>
              <w:bottom w:val="nil"/>
              <w:right w:val="nil"/>
            </w:tcBorders>
            <w:shd w:val="clear" w:color="auto" w:fill="auto"/>
            <w:noWrap/>
            <w:vAlign w:val="center"/>
          </w:tcPr>
          <w:p w14:paraId="2C749277"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5,000</w:t>
            </w:r>
          </w:p>
        </w:tc>
      </w:tr>
      <w:tr w:rsidR="00FF6BC6" w:rsidRPr="008C2BF0" w14:paraId="79BFE09B" w14:textId="77777777" w:rsidTr="00DE3FBF">
        <w:trPr>
          <w:trHeight w:val="300"/>
        </w:trPr>
        <w:tc>
          <w:tcPr>
            <w:tcW w:w="2043" w:type="dxa"/>
            <w:tcBorders>
              <w:top w:val="nil"/>
              <w:left w:val="nil"/>
              <w:bottom w:val="nil"/>
              <w:right w:val="nil"/>
            </w:tcBorders>
            <w:shd w:val="clear" w:color="auto" w:fill="auto"/>
            <w:noWrap/>
            <w:vAlign w:val="center"/>
            <w:hideMark/>
          </w:tcPr>
          <w:p w14:paraId="64E7E298"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China</w:t>
            </w:r>
          </w:p>
        </w:tc>
        <w:tc>
          <w:tcPr>
            <w:tcW w:w="821" w:type="dxa"/>
            <w:tcBorders>
              <w:top w:val="nil"/>
              <w:left w:val="nil"/>
              <w:bottom w:val="nil"/>
              <w:right w:val="nil"/>
            </w:tcBorders>
            <w:shd w:val="clear" w:color="auto" w:fill="auto"/>
            <w:noWrap/>
            <w:vAlign w:val="center"/>
            <w:hideMark/>
          </w:tcPr>
          <w:p w14:paraId="2EECC8FF"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3,994</w:t>
            </w:r>
          </w:p>
        </w:tc>
        <w:tc>
          <w:tcPr>
            <w:tcW w:w="1891" w:type="dxa"/>
            <w:tcBorders>
              <w:top w:val="nil"/>
              <w:left w:val="nil"/>
              <w:bottom w:val="nil"/>
              <w:right w:val="nil"/>
            </w:tcBorders>
            <w:shd w:val="clear" w:color="auto" w:fill="auto"/>
            <w:noWrap/>
            <w:vAlign w:val="center"/>
          </w:tcPr>
          <w:p w14:paraId="4CE7A811"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Myanmar</w:t>
            </w:r>
          </w:p>
        </w:tc>
        <w:tc>
          <w:tcPr>
            <w:tcW w:w="821" w:type="dxa"/>
            <w:tcBorders>
              <w:top w:val="nil"/>
              <w:left w:val="nil"/>
              <w:bottom w:val="nil"/>
              <w:right w:val="nil"/>
            </w:tcBorders>
            <w:shd w:val="clear" w:color="auto" w:fill="auto"/>
            <w:noWrap/>
            <w:vAlign w:val="center"/>
          </w:tcPr>
          <w:p w14:paraId="6E276E50"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6,045</w:t>
            </w:r>
          </w:p>
        </w:tc>
      </w:tr>
      <w:tr w:rsidR="00FF6BC6" w:rsidRPr="008C2BF0" w14:paraId="4C050632" w14:textId="77777777" w:rsidTr="00DE3FBF">
        <w:trPr>
          <w:trHeight w:val="300"/>
        </w:trPr>
        <w:tc>
          <w:tcPr>
            <w:tcW w:w="2043" w:type="dxa"/>
            <w:tcBorders>
              <w:top w:val="nil"/>
              <w:left w:val="nil"/>
              <w:bottom w:val="nil"/>
              <w:right w:val="nil"/>
            </w:tcBorders>
            <w:shd w:val="clear" w:color="auto" w:fill="auto"/>
            <w:noWrap/>
            <w:vAlign w:val="center"/>
            <w:hideMark/>
          </w:tcPr>
          <w:p w14:paraId="511889BA"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Comoros</w:t>
            </w:r>
          </w:p>
        </w:tc>
        <w:tc>
          <w:tcPr>
            <w:tcW w:w="821" w:type="dxa"/>
            <w:tcBorders>
              <w:top w:val="nil"/>
              <w:left w:val="nil"/>
              <w:bottom w:val="nil"/>
              <w:right w:val="nil"/>
            </w:tcBorders>
            <w:shd w:val="clear" w:color="auto" w:fill="auto"/>
            <w:noWrap/>
            <w:vAlign w:val="center"/>
            <w:hideMark/>
          </w:tcPr>
          <w:p w14:paraId="3568824E"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1,836</w:t>
            </w:r>
          </w:p>
        </w:tc>
        <w:tc>
          <w:tcPr>
            <w:tcW w:w="1891" w:type="dxa"/>
            <w:tcBorders>
              <w:top w:val="nil"/>
              <w:left w:val="nil"/>
              <w:bottom w:val="nil"/>
              <w:right w:val="nil"/>
            </w:tcBorders>
            <w:shd w:val="clear" w:color="auto" w:fill="auto"/>
            <w:noWrap/>
            <w:vAlign w:val="center"/>
          </w:tcPr>
          <w:p w14:paraId="055BCD18"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Namibia</w:t>
            </w:r>
          </w:p>
        </w:tc>
        <w:tc>
          <w:tcPr>
            <w:tcW w:w="821" w:type="dxa"/>
            <w:tcBorders>
              <w:top w:val="nil"/>
              <w:left w:val="nil"/>
              <w:bottom w:val="nil"/>
              <w:right w:val="nil"/>
            </w:tcBorders>
            <w:shd w:val="clear" w:color="auto" w:fill="auto"/>
            <w:noWrap/>
            <w:vAlign w:val="center"/>
          </w:tcPr>
          <w:p w14:paraId="2DD7D4A2"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4,379</w:t>
            </w:r>
          </w:p>
        </w:tc>
      </w:tr>
      <w:tr w:rsidR="00FF6BC6" w:rsidRPr="008C2BF0" w14:paraId="28575DBB" w14:textId="77777777" w:rsidTr="00DE3FBF">
        <w:trPr>
          <w:trHeight w:val="300"/>
        </w:trPr>
        <w:tc>
          <w:tcPr>
            <w:tcW w:w="2043" w:type="dxa"/>
            <w:tcBorders>
              <w:top w:val="nil"/>
              <w:left w:val="nil"/>
              <w:bottom w:val="nil"/>
              <w:right w:val="nil"/>
            </w:tcBorders>
            <w:shd w:val="clear" w:color="auto" w:fill="auto"/>
            <w:noWrap/>
            <w:vAlign w:val="center"/>
          </w:tcPr>
          <w:p w14:paraId="77CB809B"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Croatia</w:t>
            </w:r>
          </w:p>
        </w:tc>
        <w:tc>
          <w:tcPr>
            <w:tcW w:w="821" w:type="dxa"/>
            <w:tcBorders>
              <w:top w:val="nil"/>
              <w:left w:val="nil"/>
              <w:bottom w:val="nil"/>
              <w:right w:val="nil"/>
            </w:tcBorders>
            <w:shd w:val="clear" w:color="auto" w:fill="auto"/>
            <w:noWrap/>
            <w:vAlign w:val="center"/>
          </w:tcPr>
          <w:p w14:paraId="5511AF58"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993</w:t>
            </w:r>
          </w:p>
        </w:tc>
        <w:tc>
          <w:tcPr>
            <w:tcW w:w="1891" w:type="dxa"/>
            <w:tcBorders>
              <w:top w:val="nil"/>
              <w:left w:val="nil"/>
              <w:bottom w:val="nil"/>
              <w:right w:val="nil"/>
            </w:tcBorders>
            <w:shd w:val="clear" w:color="auto" w:fill="auto"/>
            <w:noWrap/>
            <w:vAlign w:val="center"/>
          </w:tcPr>
          <w:p w14:paraId="2280B8AF"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Nepal</w:t>
            </w:r>
          </w:p>
        </w:tc>
        <w:tc>
          <w:tcPr>
            <w:tcW w:w="821" w:type="dxa"/>
            <w:tcBorders>
              <w:top w:val="nil"/>
              <w:left w:val="nil"/>
              <w:bottom w:val="nil"/>
              <w:right w:val="nil"/>
            </w:tcBorders>
            <w:shd w:val="clear" w:color="auto" w:fill="auto"/>
            <w:noWrap/>
            <w:vAlign w:val="center"/>
          </w:tcPr>
          <w:p w14:paraId="3F39D2C3"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8,820</w:t>
            </w:r>
          </w:p>
        </w:tc>
      </w:tr>
      <w:tr w:rsidR="00FF6BC6" w:rsidRPr="008C2BF0" w14:paraId="002832C9" w14:textId="77777777" w:rsidTr="00DE3FBF">
        <w:trPr>
          <w:trHeight w:val="300"/>
        </w:trPr>
        <w:tc>
          <w:tcPr>
            <w:tcW w:w="2043" w:type="dxa"/>
            <w:tcBorders>
              <w:top w:val="nil"/>
              <w:left w:val="nil"/>
              <w:bottom w:val="nil"/>
              <w:right w:val="nil"/>
            </w:tcBorders>
            <w:shd w:val="clear" w:color="auto" w:fill="auto"/>
            <w:noWrap/>
            <w:vAlign w:val="center"/>
            <w:hideMark/>
          </w:tcPr>
          <w:p w14:paraId="3AB38F13"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Czech Republic</w:t>
            </w:r>
          </w:p>
        </w:tc>
        <w:tc>
          <w:tcPr>
            <w:tcW w:w="821" w:type="dxa"/>
            <w:tcBorders>
              <w:top w:val="nil"/>
              <w:left w:val="nil"/>
              <w:bottom w:val="nil"/>
              <w:right w:val="nil"/>
            </w:tcBorders>
            <w:shd w:val="clear" w:color="auto" w:fill="auto"/>
            <w:noWrap/>
            <w:vAlign w:val="center"/>
            <w:hideMark/>
          </w:tcPr>
          <w:p w14:paraId="158491F7"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949</w:t>
            </w:r>
          </w:p>
        </w:tc>
        <w:tc>
          <w:tcPr>
            <w:tcW w:w="1891" w:type="dxa"/>
            <w:tcBorders>
              <w:top w:val="nil"/>
              <w:left w:val="nil"/>
              <w:bottom w:val="nil"/>
              <w:right w:val="nil"/>
            </w:tcBorders>
            <w:shd w:val="clear" w:color="auto" w:fill="auto"/>
            <w:noWrap/>
            <w:vAlign w:val="center"/>
          </w:tcPr>
          <w:p w14:paraId="19E05DD7"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Pakistan</w:t>
            </w:r>
          </w:p>
        </w:tc>
        <w:tc>
          <w:tcPr>
            <w:tcW w:w="821" w:type="dxa"/>
            <w:tcBorders>
              <w:top w:val="nil"/>
              <w:left w:val="nil"/>
              <w:bottom w:val="nil"/>
              <w:right w:val="nil"/>
            </w:tcBorders>
            <w:shd w:val="clear" w:color="auto" w:fill="auto"/>
            <w:noWrap/>
            <w:vAlign w:val="center"/>
          </w:tcPr>
          <w:p w14:paraId="4F7CC1EB"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6,501</w:t>
            </w:r>
          </w:p>
        </w:tc>
      </w:tr>
      <w:tr w:rsidR="00FF6BC6" w:rsidRPr="008C2BF0" w14:paraId="1862A12C" w14:textId="77777777" w:rsidTr="00DE3FBF">
        <w:trPr>
          <w:trHeight w:val="300"/>
        </w:trPr>
        <w:tc>
          <w:tcPr>
            <w:tcW w:w="2043" w:type="dxa"/>
            <w:tcBorders>
              <w:top w:val="nil"/>
              <w:left w:val="nil"/>
              <w:bottom w:val="nil"/>
              <w:right w:val="nil"/>
            </w:tcBorders>
            <w:shd w:val="clear" w:color="auto" w:fill="auto"/>
            <w:noWrap/>
            <w:vAlign w:val="center"/>
            <w:hideMark/>
          </w:tcPr>
          <w:p w14:paraId="2130F767"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Dominican Republic</w:t>
            </w:r>
          </w:p>
        </w:tc>
        <w:tc>
          <w:tcPr>
            <w:tcW w:w="821" w:type="dxa"/>
            <w:tcBorders>
              <w:top w:val="nil"/>
              <w:left w:val="nil"/>
              <w:bottom w:val="nil"/>
              <w:right w:val="nil"/>
            </w:tcBorders>
            <w:shd w:val="clear" w:color="auto" w:fill="auto"/>
            <w:noWrap/>
            <w:vAlign w:val="center"/>
            <w:hideMark/>
          </w:tcPr>
          <w:p w14:paraId="6E8FEE9A"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5,027</w:t>
            </w:r>
          </w:p>
        </w:tc>
        <w:tc>
          <w:tcPr>
            <w:tcW w:w="1891" w:type="dxa"/>
            <w:tcBorders>
              <w:top w:val="nil"/>
              <w:left w:val="nil"/>
              <w:bottom w:val="nil"/>
              <w:right w:val="nil"/>
            </w:tcBorders>
            <w:shd w:val="clear" w:color="auto" w:fill="auto"/>
            <w:noWrap/>
            <w:vAlign w:val="center"/>
          </w:tcPr>
          <w:p w14:paraId="22C17D69"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Paraguay</w:t>
            </w:r>
          </w:p>
        </w:tc>
        <w:tc>
          <w:tcPr>
            <w:tcW w:w="821" w:type="dxa"/>
            <w:tcBorders>
              <w:top w:val="nil"/>
              <w:left w:val="nil"/>
              <w:bottom w:val="nil"/>
              <w:right w:val="nil"/>
            </w:tcBorders>
            <w:shd w:val="clear" w:color="auto" w:fill="auto"/>
            <w:noWrap/>
            <w:vAlign w:val="center"/>
          </w:tcPr>
          <w:p w14:paraId="73F4FB89"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5,288</w:t>
            </w:r>
          </w:p>
        </w:tc>
      </w:tr>
      <w:tr w:rsidR="00FF6BC6" w:rsidRPr="008C2BF0" w14:paraId="391E27C0" w14:textId="77777777" w:rsidTr="00DE3FBF">
        <w:trPr>
          <w:trHeight w:val="300"/>
        </w:trPr>
        <w:tc>
          <w:tcPr>
            <w:tcW w:w="2043" w:type="dxa"/>
            <w:tcBorders>
              <w:top w:val="nil"/>
              <w:left w:val="nil"/>
              <w:bottom w:val="nil"/>
              <w:right w:val="nil"/>
            </w:tcBorders>
            <w:shd w:val="clear" w:color="auto" w:fill="auto"/>
            <w:noWrap/>
            <w:vAlign w:val="center"/>
            <w:hideMark/>
          </w:tcPr>
          <w:p w14:paraId="1ACDC5C4"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Ecuador</w:t>
            </w:r>
          </w:p>
        </w:tc>
        <w:tc>
          <w:tcPr>
            <w:tcW w:w="821" w:type="dxa"/>
            <w:tcBorders>
              <w:top w:val="nil"/>
              <w:left w:val="nil"/>
              <w:bottom w:val="nil"/>
              <w:right w:val="nil"/>
            </w:tcBorders>
            <w:shd w:val="clear" w:color="auto" w:fill="auto"/>
            <w:noWrap/>
            <w:vAlign w:val="center"/>
            <w:hideMark/>
          </w:tcPr>
          <w:p w14:paraId="6328AD31"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5,675</w:t>
            </w:r>
          </w:p>
        </w:tc>
        <w:tc>
          <w:tcPr>
            <w:tcW w:w="1891" w:type="dxa"/>
            <w:tcBorders>
              <w:top w:val="nil"/>
              <w:left w:val="nil"/>
              <w:bottom w:val="nil"/>
              <w:right w:val="nil"/>
            </w:tcBorders>
            <w:shd w:val="clear" w:color="auto" w:fill="auto"/>
            <w:noWrap/>
            <w:vAlign w:val="center"/>
          </w:tcPr>
          <w:p w14:paraId="2A892B76"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Philippines</w:t>
            </w:r>
          </w:p>
        </w:tc>
        <w:tc>
          <w:tcPr>
            <w:tcW w:w="821" w:type="dxa"/>
            <w:tcBorders>
              <w:top w:val="nil"/>
              <w:left w:val="nil"/>
              <w:bottom w:val="nil"/>
              <w:right w:val="nil"/>
            </w:tcBorders>
            <w:shd w:val="clear" w:color="auto" w:fill="auto"/>
            <w:noWrap/>
            <w:vAlign w:val="center"/>
          </w:tcPr>
          <w:p w14:paraId="6B550E9A"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10,083</w:t>
            </w:r>
          </w:p>
        </w:tc>
      </w:tr>
      <w:tr w:rsidR="00FF6BC6" w:rsidRPr="008C2BF0" w14:paraId="2AE95C8D" w14:textId="77777777" w:rsidTr="00DE3FBF">
        <w:trPr>
          <w:trHeight w:val="300"/>
        </w:trPr>
        <w:tc>
          <w:tcPr>
            <w:tcW w:w="2043" w:type="dxa"/>
            <w:tcBorders>
              <w:top w:val="nil"/>
              <w:left w:val="nil"/>
              <w:bottom w:val="nil"/>
              <w:right w:val="nil"/>
            </w:tcBorders>
            <w:shd w:val="clear" w:color="auto" w:fill="auto"/>
            <w:noWrap/>
            <w:vAlign w:val="center"/>
            <w:hideMark/>
          </w:tcPr>
          <w:p w14:paraId="54E7C9B0"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Estonia</w:t>
            </w:r>
          </w:p>
        </w:tc>
        <w:tc>
          <w:tcPr>
            <w:tcW w:w="821" w:type="dxa"/>
            <w:tcBorders>
              <w:top w:val="nil"/>
              <w:left w:val="nil"/>
              <w:bottom w:val="nil"/>
              <w:right w:val="nil"/>
            </w:tcBorders>
            <w:shd w:val="clear" w:color="auto" w:fill="auto"/>
            <w:noWrap/>
            <w:vAlign w:val="center"/>
            <w:hideMark/>
          </w:tcPr>
          <w:p w14:paraId="5B315614"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1,020</w:t>
            </w:r>
          </w:p>
        </w:tc>
        <w:tc>
          <w:tcPr>
            <w:tcW w:w="1891" w:type="dxa"/>
            <w:tcBorders>
              <w:top w:val="nil"/>
              <w:left w:val="nil"/>
              <w:bottom w:val="nil"/>
              <w:right w:val="nil"/>
            </w:tcBorders>
            <w:shd w:val="clear" w:color="auto" w:fill="auto"/>
            <w:noWrap/>
            <w:vAlign w:val="center"/>
          </w:tcPr>
          <w:p w14:paraId="0EC021BF"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Republic of Congo</w:t>
            </w:r>
          </w:p>
        </w:tc>
        <w:tc>
          <w:tcPr>
            <w:tcW w:w="821" w:type="dxa"/>
            <w:tcBorders>
              <w:top w:val="nil"/>
              <w:left w:val="nil"/>
              <w:bottom w:val="nil"/>
              <w:right w:val="nil"/>
            </w:tcBorders>
            <w:shd w:val="clear" w:color="auto" w:fill="auto"/>
            <w:noWrap/>
            <w:vAlign w:val="center"/>
          </w:tcPr>
          <w:p w14:paraId="7BDB661D"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3,075</w:t>
            </w:r>
          </w:p>
        </w:tc>
      </w:tr>
      <w:tr w:rsidR="00FF6BC6" w:rsidRPr="008C2BF0" w14:paraId="60A62A12" w14:textId="77777777" w:rsidTr="00DE3FBF">
        <w:trPr>
          <w:trHeight w:val="300"/>
        </w:trPr>
        <w:tc>
          <w:tcPr>
            <w:tcW w:w="2043" w:type="dxa"/>
            <w:tcBorders>
              <w:top w:val="nil"/>
              <w:left w:val="nil"/>
              <w:bottom w:val="nil"/>
              <w:right w:val="nil"/>
            </w:tcBorders>
            <w:shd w:val="clear" w:color="auto" w:fill="auto"/>
            <w:noWrap/>
            <w:vAlign w:val="center"/>
            <w:hideMark/>
          </w:tcPr>
          <w:p w14:paraId="559043FF"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Ethiopia</w:t>
            </w:r>
          </w:p>
        </w:tc>
        <w:tc>
          <w:tcPr>
            <w:tcW w:w="821" w:type="dxa"/>
            <w:tcBorders>
              <w:top w:val="nil"/>
              <w:left w:val="nil"/>
              <w:bottom w:val="nil"/>
              <w:right w:val="nil"/>
            </w:tcBorders>
            <w:shd w:val="clear" w:color="auto" w:fill="auto"/>
            <w:noWrap/>
            <w:vAlign w:val="center"/>
            <w:hideMark/>
          </w:tcPr>
          <w:p w14:paraId="1A8D5F03"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5,089</w:t>
            </w:r>
          </w:p>
        </w:tc>
        <w:tc>
          <w:tcPr>
            <w:tcW w:w="1891" w:type="dxa"/>
            <w:tcBorders>
              <w:top w:val="nil"/>
              <w:left w:val="nil"/>
              <w:bottom w:val="nil"/>
              <w:right w:val="nil"/>
            </w:tcBorders>
            <w:shd w:val="clear" w:color="auto" w:fill="auto"/>
            <w:noWrap/>
            <w:vAlign w:val="center"/>
          </w:tcPr>
          <w:p w14:paraId="3C82B39B"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Russia</w:t>
            </w:r>
          </w:p>
        </w:tc>
        <w:tc>
          <w:tcPr>
            <w:tcW w:w="821" w:type="dxa"/>
            <w:tcBorders>
              <w:top w:val="nil"/>
              <w:left w:val="nil"/>
              <w:bottom w:val="nil"/>
              <w:right w:val="nil"/>
            </w:tcBorders>
            <w:shd w:val="clear" w:color="auto" w:fill="auto"/>
            <w:noWrap/>
            <w:vAlign w:val="center"/>
          </w:tcPr>
          <w:p w14:paraId="7D312004"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4,427</w:t>
            </w:r>
          </w:p>
        </w:tc>
      </w:tr>
      <w:tr w:rsidR="00FF6BC6" w:rsidRPr="008C2BF0" w14:paraId="7551305D" w14:textId="77777777" w:rsidTr="00DE3FBF">
        <w:trPr>
          <w:trHeight w:val="300"/>
        </w:trPr>
        <w:tc>
          <w:tcPr>
            <w:tcW w:w="2043" w:type="dxa"/>
            <w:tcBorders>
              <w:top w:val="nil"/>
              <w:left w:val="nil"/>
              <w:bottom w:val="nil"/>
              <w:right w:val="nil"/>
            </w:tcBorders>
            <w:shd w:val="clear" w:color="auto" w:fill="auto"/>
            <w:noWrap/>
            <w:vAlign w:val="center"/>
            <w:hideMark/>
          </w:tcPr>
          <w:p w14:paraId="61A8CEAD"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Georgia</w:t>
            </w:r>
          </w:p>
        </w:tc>
        <w:tc>
          <w:tcPr>
            <w:tcW w:w="821" w:type="dxa"/>
            <w:tcBorders>
              <w:top w:val="nil"/>
              <w:left w:val="nil"/>
              <w:bottom w:val="nil"/>
              <w:right w:val="nil"/>
            </w:tcBorders>
            <w:shd w:val="clear" w:color="auto" w:fill="auto"/>
            <w:noWrap/>
            <w:vAlign w:val="center"/>
            <w:hideMark/>
          </w:tcPr>
          <w:p w14:paraId="240DB065"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2,950</w:t>
            </w:r>
          </w:p>
        </w:tc>
        <w:tc>
          <w:tcPr>
            <w:tcW w:w="1891" w:type="dxa"/>
            <w:tcBorders>
              <w:top w:val="nil"/>
              <w:left w:val="nil"/>
              <w:bottom w:val="nil"/>
              <w:right w:val="nil"/>
            </w:tcBorders>
            <w:shd w:val="clear" w:color="auto" w:fill="auto"/>
            <w:noWrap/>
            <w:vAlign w:val="center"/>
          </w:tcPr>
          <w:p w14:paraId="3C34DB99"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Senegal</w:t>
            </w:r>
          </w:p>
        </w:tc>
        <w:tc>
          <w:tcPr>
            <w:tcW w:w="821" w:type="dxa"/>
            <w:tcBorders>
              <w:top w:val="nil"/>
              <w:left w:val="nil"/>
              <w:bottom w:val="nil"/>
              <w:right w:val="nil"/>
            </w:tcBorders>
            <w:shd w:val="clear" w:color="auto" w:fill="auto"/>
            <w:noWrap/>
            <w:vAlign w:val="center"/>
          </w:tcPr>
          <w:p w14:paraId="52D94C4E"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3,461</w:t>
            </w:r>
          </w:p>
        </w:tc>
      </w:tr>
      <w:tr w:rsidR="00FF6BC6" w:rsidRPr="008C2BF0" w14:paraId="6E078458" w14:textId="77777777" w:rsidTr="00DE3FBF">
        <w:trPr>
          <w:trHeight w:val="300"/>
        </w:trPr>
        <w:tc>
          <w:tcPr>
            <w:tcW w:w="2043" w:type="dxa"/>
            <w:tcBorders>
              <w:top w:val="nil"/>
              <w:left w:val="nil"/>
              <w:bottom w:val="nil"/>
              <w:right w:val="nil"/>
            </w:tcBorders>
            <w:shd w:val="clear" w:color="auto" w:fill="auto"/>
            <w:noWrap/>
            <w:vAlign w:val="center"/>
            <w:hideMark/>
          </w:tcPr>
          <w:p w14:paraId="46B94C6E"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Ghana</w:t>
            </w:r>
          </w:p>
        </w:tc>
        <w:tc>
          <w:tcPr>
            <w:tcW w:w="821" w:type="dxa"/>
            <w:tcBorders>
              <w:top w:val="nil"/>
              <w:left w:val="nil"/>
              <w:bottom w:val="nil"/>
              <w:right w:val="nil"/>
            </w:tcBorders>
            <w:shd w:val="clear" w:color="auto" w:fill="auto"/>
            <w:noWrap/>
            <w:vAlign w:val="center"/>
            <w:hideMark/>
          </w:tcPr>
          <w:p w14:paraId="4DB6007C"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4,165</w:t>
            </w:r>
          </w:p>
        </w:tc>
        <w:tc>
          <w:tcPr>
            <w:tcW w:w="1891" w:type="dxa"/>
            <w:tcBorders>
              <w:top w:val="nil"/>
              <w:left w:val="nil"/>
              <w:bottom w:val="nil"/>
              <w:right w:val="nil"/>
            </w:tcBorders>
            <w:shd w:val="clear" w:color="auto" w:fill="auto"/>
            <w:noWrap/>
            <w:vAlign w:val="center"/>
          </w:tcPr>
          <w:p w14:paraId="5A3D7DCC"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Slovakia</w:t>
            </w:r>
          </w:p>
        </w:tc>
        <w:tc>
          <w:tcPr>
            <w:tcW w:w="821" w:type="dxa"/>
            <w:tcBorders>
              <w:top w:val="nil"/>
              <w:left w:val="nil"/>
              <w:bottom w:val="nil"/>
              <w:right w:val="nil"/>
            </w:tcBorders>
            <w:shd w:val="clear" w:color="auto" w:fill="auto"/>
            <w:noWrap/>
            <w:vAlign w:val="center"/>
          </w:tcPr>
          <w:p w14:paraId="040FD268"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2,535</w:t>
            </w:r>
          </w:p>
        </w:tc>
      </w:tr>
      <w:tr w:rsidR="00FF6BC6" w:rsidRPr="008C2BF0" w14:paraId="5F2E0EED" w14:textId="77777777" w:rsidTr="00DE3FBF">
        <w:trPr>
          <w:trHeight w:val="300"/>
        </w:trPr>
        <w:tc>
          <w:tcPr>
            <w:tcW w:w="2043" w:type="dxa"/>
            <w:tcBorders>
              <w:top w:val="nil"/>
              <w:left w:val="nil"/>
              <w:bottom w:val="nil"/>
              <w:right w:val="nil"/>
            </w:tcBorders>
            <w:shd w:val="clear" w:color="auto" w:fill="auto"/>
            <w:noWrap/>
            <w:vAlign w:val="center"/>
            <w:hideMark/>
          </w:tcPr>
          <w:p w14:paraId="316D1663"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Hungary</w:t>
            </w:r>
          </w:p>
        </w:tc>
        <w:tc>
          <w:tcPr>
            <w:tcW w:w="821" w:type="dxa"/>
            <w:tcBorders>
              <w:top w:val="nil"/>
              <w:left w:val="nil"/>
              <w:bottom w:val="nil"/>
              <w:right w:val="nil"/>
            </w:tcBorders>
            <w:shd w:val="clear" w:color="auto" w:fill="auto"/>
            <w:noWrap/>
            <w:vAlign w:val="center"/>
            <w:hideMark/>
          </w:tcPr>
          <w:p w14:paraId="41009587"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1,419</w:t>
            </w:r>
          </w:p>
        </w:tc>
        <w:tc>
          <w:tcPr>
            <w:tcW w:w="1891" w:type="dxa"/>
            <w:tcBorders>
              <w:top w:val="nil"/>
              <w:left w:val="nil"/>
              <w:bottom w:val="nil"/>
              <w:right w:val="nil"/>
            </w:tcBorders>
            <w:shd w:val="clear" w:color="auto" w:fill="auto"/>
            <w:noWrap/>
            <w:vAlign w:val="center"/>
          </w:tcPr>
          <w:p w14:paraId="4E753369"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South Africa</w:t>
            </w:r>
          </w:p>
        </w:tc>
        <w:tc>
          <w:tcPr>
            <w:tcW w:w="821" w:type="dxa"/>
            <w:tcBorders>
              <w:top w:val="nil"/>
              <w:left w:val="nil"/>
              <w:bottom w:val="nil"/>
              <w:right w:val="nil"/>
            </w:tcBorders>
            <w:shd w:val="clear" w:color="auto" w:fill="auto"/>
            <w:noWrap/>
            <w:vAlign w:val="center"/>
          </w:tcPr>
          <w:p w14:paraId="0142150C"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2,629</w:t>
            </w:r>
          </w:p>
        </w:tc>
      </w:tr>
      <w:tr w:rsidR="00FF6BC6" w:rsidRPr="008C2BF0" w14:paraId="63C4FB81" w14:textId="77777777" w:rsidTr="00DE3FBF">
        <w:trPr>
          <w:trHeight w:val="300"/>
        </w:trPr>
        <w:tc>
          <w:tcPr>
            <w:tcW w:w="2043" w:type="dxa"/>
            <w:tcBorders>
              <w:top w:val="nil"/>
              <w:left w:val="nil"/>
              <w:bottom w:val="nil"/>
              <w:right w:val="nil"/>
            </w:tcBorders>
            <w:shd w:val="clear" w:color="auto" w:fill="auto"/>
            <w:noWrap/>
            <w:vAlign w:val="center"/>
            <w:hideMark/>
          </w:tcPr>
          <w:p w14:paraId="04FF8254"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India</w:t>
            </w:r>
          </w:p>
        </w:tc>
        <w:tc>
          <w:tcPr>
            <w:tcW w:w="821" w:type="dxa"/>
            <w:tcBorders>
              <w:top w:val="nil"/>
              <w:left w:val="nil"/>
              <w:bottom w:val="nil"/>
              <w:right w:val="nil"/>
            </w:tcBorders>
            <w:shd w:val="clear" w:color="auto" w:fill="auto"/>
            <w:noWrap/>
            <w:vAlign w:val="center"/>
            <w:hideMark/>
          </w:tcPr>
          <w:p w14:paraId="5937827E"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10,687</w:t>
            </w:r>
          </w:p>
        </w:tc>
        <w:tc>
          <w:tcPr>
            <w:tcW w:w="1891" w:type="dxa"/>
            <w:tcBorders>
              <w:top w:val="nil"/>
              <w:left w:val="nil"/>
              <w:bottom w:val="nil"/>
              <w:right w:val="nil"/>
            </w:tcBorders>
            <w:shd w:val="clear" w:color="auto" w:fill="auto"/>
            <w:noWrap/>
            <w:vAlign w:val="center"/>
          </w:tcPr>
          <w:p w14:paraId="4195FB88"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Sri Lanka</w:t>
            </w:r>
          </w:p>
        </w:tc>
        <w:tc>
          <w:tcPr>
            <w:tcW w:w="821" w:type="dxa"/>
            <w:tcBorders>
              <w:top w:val="nil"/>
              <w:left w:val="nil"/>
              <w:bottom w:val="nil"/>
              <w:right w:val="nil"/>
            </w:tcBorders>
            <w:shd w:val="clear" w:color="auto" w:fill="auto"/>
            <w:noWrap/>
            <w:vAlign w:val="center"/>
          </w:tcPr>
          <w:p w14:paraId="31DF6F7E"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6,805</w:t>
            </w:r>
          </w:p>
        </w:tc>
      </w:tr>
      <w:tr w:rsidR="00FF6BC6" w:rsidRPr="008C2BF0" w14:paraId="1F5F2336" w14:textId="77777777" w:rsidTr="00DE3FBF">
        <w:trPr>
          <w:trHeight w:val="300"/>
        </w:trPr>
        <w:tc>
          <w:tcPr>
            <w:tcW w:w="2043" w:type="dxa"/>
            <w:tcBorders>
              <w:top w:val="nil"/>
              <w:left w:val="nil"/>
              <w:bottom w:val="nil"/>
              <w:right w:val="nil"/>
            </w:tcBorders>
            <w:shd w:val="clear" w:color="auto" w:fill="auto"/>
            <w:noWrap/>
            <w:vAlign w:val="center"/>
          </w:tcPr>
          <w:p w14:paraId="16F16FB0"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Ivory Coast</w:t>
            </w:r>
          </w:p>
        </w:tc>
        <w:tc>
          <w:tcPr>
            <w:tcW w:w="821" w:type="dxa"/>
            <w:tcBorders>
              <w:top w:val="nil"/>
              <w:left w:val="nil"/>
              <w:bottom w:val="nil"/>
              <w:right w:val="nil"/>
            </w:tcBorders>
            <w:shd w:val="clear" w:color="auto" w:fill="auto"/>
            <w:noWrap/>
            <w:vAlign w:val="center"/>
          </w:tcPr>
          <w:p w14:paraId="47567506"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3,251</w:t>
            </w:r>
          </w:p>
        </w:tc>
        <w:tc>
          <w:tcPr>
            <w:tcW w:w="1891" w:type="dxa"/>
            <w:tcBorders>
              <w:top w:val="nil"/>
              <w:left w:val="nil"/>
              <w:bottom w:val="nil"/>
              <w:right w:val="nil"/>
            </w:tcBorders>
            <w:shd w:val="clear" w:color="auto" w:fill="auto"/>
            <w:noWrap/>
            <w:vAlign w:val="center"/>
          </w:tcPr>
          <w:p w14:paraId="5AD448F6"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Swaziland</w:t>
            </w:r>
          </w:p>
        </w:tc>
        <w:tc>
          <w:tcPr>
            <w:tcW w:w="821" w:type="dxa"/>
            <w:tcBorders>
              <w:top w:val="nil"/>
              <w:left w:val="nil"/>
              <w:bottom w:val="nil"/>
              <w:right w:val="nil"/>
            </w:tcBorders>
            <w:shd w:val="clear" w:color="auto" w:fill="auto"/>
            <w:noWrap/>
            <w:vAlign w:val="center"/>
          </w:tcPr>
          <w:p w14:paraId="1CFFE0C8"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3,117</w:t>
            </w:r>
          </w:p>
        </w:tc>
      </w:tr>
      <w:tr w:rsidR="00FF6BC6" w:rsidRPr="008C2BF0" w14:paraId="3167A7AB" w14:textId="77777777" w:rsidTr="00DE3FBF">
        <w:trPr>
          <w:trHeight w:val="300"/>
        </w:trPr>
        <w:tc>
          <w:tcPr>
            <w:tcW w:w="2043" w:type="dxa"/>
            <w:tcBorders>
              <w:top w:val="nil"/>
              <w:left w:val="nil"/>
              <w:bottom w:val="nil"/>
              <w:right w:val="nil"/>
            </w:tcBorders>
            <w:shd w:val="clear" w:color="auto" w:fill="auto"/>
            <w:noWrap/>
            <w:vAlign w:val="center"/>
            <w:hideMark/>
          </w:tcPr>
          <w:p w14:paraId="1FD69E31"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Kazakhstan</w:t>
            </w:r>
          </w:p>
        </w:tc>
        <w:tc>
          <w:tcPr>
            <w:tcW w:w="821" w:type="dxa"/>
            <w:tcBorders>
              <w:top w:val="nil"/>
              <w:left w:val="nil"/>
              <w:bottom w:val="nil"/>
              <w:right w:val="nil"/>
            </w:tcBorders>
            <w:shd w:val="clear" w:color="auto" w:fill="auto"/>
            <w:noWrap/>
            <w:vAlign w:val="center"/>
            <w:hideMark/>
          </w:tcPr>
          <w:p w14:paraId="077F93E6"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4,499</w:t>
            </w:r>
          </w:p>
        </w:tc>
        <w:tc>
          <w:tcPr>
            <w:tcW w:w="1891" w:type="dxa"/>
            <w:tcBorders>
              <w:top w:val="nil"/>
              <w:left w:val="nil"/>
              <w:bottom w:val="nil"/>
              <w:right w:val="nil"/>
            </w:tcBorders>
            <w:shd w:val="clear" w:color="auto" w:fill="auto"/>
            <w:noWrap/>
            <w:vAlign w:val="center"/>
          </w:tcPr>
          <w:p w14:paraId="445986B7"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Tunisia</w:t>
            </w:r>
          </w:p>
        </w:tc>
        <w:tc>
          <w:tcPr>
            <w:tcW w:w="821" w:type="dxa"/>
            <w:tcBorders>
              <w:top w:val="nil"/>
              <w:left w:val="nil"/>
              <w:bottom w:val="nil"/>
              <w:right w:val="nil"/>
            </w:tcBorders>
            <w:shd w:val="clear" w:color="auto" w:fill="auto"/>
            <w:noWrap/>
            <w:vAlign w:val="center"/>
          </w:tcPr>
          <w:p w14:paraId="3992021B"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5,202</w:t>
            </w:r>
          </w:p>
        </w:tc>
      </w:tr>
      <w:tr w:rsidR="00FF6BC6" w:rsidRPr="008C2BF0" w14:paraId="1F1AA0AD" w14:textId="77777777" w:rsidTr="00DE3FBF">
        <w:trPr>
          <w:trHeight w:val="300"/>
        </w:trPr>
        <w:tc>
          <w:tcPr>
            <w:tcW w:w="2043" w:type="dxa"/>
            <w:tcBorders>
              <w:top w:val="nil"/>
              <w:left w:val="nil"/>
              <w:bottom w:val="nil"/>
              <w:right w:val="nil"/>
            </w:tcBorders>
            <w:shd w:val="clear" w:color="auto" w:fill="auto"/>
            <w:noWrap/>
            <w:vAlign w:val="center"/>
            <w:hideMark/>
          </w:tcPr>
          <w:p w14:paraId="70980723"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Kenya</w:t>
            </w:r>
          </w:p>
        </w:tc>
        <w:tc>
          <w:tcPr>
            <w:tcW w:w="821" w:type="dxa"/>
            <w:tcBorders>
              <w:top w:val="nil"/>
              <w:left w:val="nil"/>
              <w:bottom w:val="nil"/>
              <w:right w:val="nil"/>
            </w:tcBorders>
            <w:shd w:val="clear" w:color="auto" w:fill="auto"/>
            <w:noWrap/>
            <w:vAlign w:val="center"/>
            <w:hideMark/>
          </w:tcPr>
          <w:p w14:paraId="1356B684"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4,640</w:t>
            </w:r>
          </w:p>
        </w:tc>
        <w:tc>
          <w:tcPr>
            <w:tcW w:w="1891" w:type="dxa"/>
            <w:tcBorders>
              <w:top w:val="nil"/>
              <w:left w:val="nil"/>
              <w:bottom w:val="nil"/>
              <w:right w:val="nil"/>
            </w:tcBorders>
            <w:shd w:val="clear" w:color="auto" w:fill="auto"/>
            <w:noWrap/>
            <w:vAlign w:val="center"/>
          </w:tcPr>
          <w:p w14:paraId="00A48F8B"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Ukraine</w:t>
            </w:r>
          </w:p>
        </w:tc>
        <w:tc>
          <w:tcPr>
            <w:tcW w:w="821" w:type="dxa"/>
            <w:tcBorders>
              <w:top w:val="nil"/>
              <w:left w:val="nil"/>
              <w:bottom w:val="nil"/>
              <w:right w:val="nil"/>
            </w:tcBorders>
            <w:shd w:val="clear" w:color="auto" w:fill="auto"/>
            <w:noWrap/>
            <w:vAlign w:val="center"/>
          </w:tcPr>
          <w:p w14:paraId="442373B4"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2,860</w:t>
            </w:r>
          </w:p>
        </w:tc>
      </w:tr>
      <w:tr w:rsidR="00FF6BC6" w:rsidRPr="008C2BF0" w14:paraId="49D54309" w14:textId="77777777" w:rsidTr="00DE3FBF">
        <w:trPr>
          <w:trHeight w:val="300"/>
        </w:trPr>
        <w:tc>
          <w:tcPr>
            <w:tcW w:w="2043" w:type="dxa"/>
            <w:tcBorders>
              <w:top w:val="nil"/>
              <w:left w:val="nil"/>
              <w:bottom w:val="nil"/>
              <w:right w:val="nil"/>
            </w:tcBorders>
            <w:shd w:val="clear" w:color="auto" w:fill="auto"/>
            <w:noWrap/>
            <w:vAlign w:val="center"/>
            <w:hideMark/>
          </w:tcPr>
          <w:p w14:paraId="5B92DB72"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Laos</w:t>
            </w:r>
          </w:p>
        </w:tc>
        <w:tc>
          <w:tcPr>
            <w:tcW w:w="821" w:type="dxa"/>
            <w:tcBorders>
              <w:top w:val="nil"/>
              <w:left w:val="nil"/>
              <w:bottom w:val="nil"/>
              <w:right w:val="nil"/>
            </w:tcBorders>
            <w:shd w:val="clear" w:color="auto" w:fill="auto"/>
            <w:noWrap/>
            <w:vAlign w:val="center"/>
            <w:hideMark/>
          </w:tcPr>
          <w:p w14:paraId="2BF99303"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4,988</w:t>
            </w:r>
          </w:p>
        </w:tc>
        <w:tc>
          <w:tcPr>
            <w:tcW w:w="1891" w:type="dxa"/>
            <w:tcBorders>
              <w:top w:val="nil"/>
              <w:left w:val="nil"/>
              <w:bottom w:val="nil"/>
              <w:right w:val="nil"/>
            </w:tcBorders>
            <w:shd w:val="clear" w:color="auto" w:fill="auto"/>
            <w:noWrap/>
            <w:vAlign w:val="center"/>
          </w:tcPr>
          <w:p w14:paraId="20899177"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Uruguay</w:t>
            </w:r>
          </w:p>
        </w:tc>
        <w:tc>
          <w:tcPr>
            <w:tcW w:w="821" w:type="dxa"/>
            <w:tcBorders>
              <w:top w:val="nil"/>
              <w:left w:val="nil"/>
              <w:bottom w:val="nil"/>
              <w:right w:val="nil"/>
            </w:tcBorders>
            <w:shd w:val="clear" w:color="auto" w:fill="auto"/>
            <w:noWrap/>
            <w:vAlign w:val="center"/>
          </w:tcPr>
          <w:p w14:paraId="589E3E9F"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2,996</w:t>
            </w:r>
          </w:p>
        </w:tc>
      </w:tr>
      <w:tr w:rsidR="00FF6BC6" w:rsidRPr="008C2BF0" w14:paraId="389D690B" w14:textId="77777777" w:rsidTr="00DE3FBF">
        <w:trPr>
          <w:trHeight w:val="300"/>
        </w:trPr>
        <w:tc>
          <w:tcPr>
            <w:tcW w:w="2043" w:type="dxa"/>
            <w:tcBorders>
              <w:top w:val="nil"/>
              <w:left w:val="nil"/>
              <w:bottom w:val="nil"/>
              <w:right w:val="nil"/>
            </w:tcBorders>
            <w:shd w:val="clear" w:color="auto" w:fill="auto"/>
            <w:noWrap/>
            <w:vAlign w:val="center"/>
            <w:hideMark/>
          </w:tcPr>
          <w:p w14:paraId="157991FB"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Latvia</w:t>
            </w:r>
          </w:p>
        </w:tc>
        <w:tc>
          <w:tcPr>
            <w:tcW w:w="821" w:type="dxa"/>
            <w:tcBorders>
              <w:top w:val="nil"/>
              <w:left w:val="nil"/>
              <w:bottom w:val="nil"/>
              <w:right w:val="nil"/>
            </w:tcBorders>
            <w:shd w:val="clear" w:color="auto" w:fill="auto"/>
            <w:noWrap/>
            <w:vAlign w:val="center"/>
            <w:hideMark/>
          </w:tcPr>
          <w:p w14:paraId="73E1F843"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929</w:t>
            </w:r>
          </w:p>
        </w:tc>
        <w:tc>
          <w:tcPr>
            <w:tcW w:w="1891" w:type="dxa"/>
            <w:tcBorders>
              <w:top w:val="nil"/>
              <w:left w:val="nil"/>
              <w:bottom w:val="nil"/>
              <w:right w:val="nil"/>
            </w:tcBorders>
            <w:shd w:val="clear" w:color="auto" w:fill="auto"/>
            <w:noWrap/>
            <w:vAlign w:val="center"/>
          </w:tcPr>
          <w:p w14:paraId="3EFE1761"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Vietnam</w:t>
            </w:r>
          </w:p>
        </w:tc>
        <w:tc>
          <w:tcPr>
            <w:tcW w:w="821" w:type="dxa"/>
            <w:tcBorders>
              <w:top w:val="nil"/>
              <w:left w:val="nil"/>
              <w:bottom w:val="nil"/>
              <w:right w:val="nil"/>
            </w:tcBorders>
            <w:shd w:val="clear" w:color="auto" w:fill="auto"/>
            <w:noWrap/>
            <w:vAlign w:val="center"/>
          </w:tcPr>
          <w:p w14:paraId="34D3B397"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4,174</w:t>
            </w:r>
          </w:p>
        </w:tc>
      </w:tr>
      <w:tr w:rsidR="00FF6BC6" w:rsidRPr="008C2BF0" w14:paraId="3FFBC2BA" w14:textId="77777777" w:rsidTr="00DE3FBF">
        <w:trPr>
          <w:trHeight w:val="300"/>
        </w:trPr>
        <w:tc>
          <w:tcPr>
            <w:tcW w:w="2043" w:type="dxa"/>
            <w:tcBorders>
              <w:top w:val="nil"/>
              <w:left w:val="nil"/>
              <w:bottom w:val="nil"/>
              <w:right w:val="nil"/>
            </w:tcBorders>
            <w:shd w:val="clear" w:color="auto" w:fill="auto"/>
            <w:noWrap/>
            <w:vAlign w:val="center"/>
          </w:tcPr>
          <w:p w14:paraId="09D3A5E3"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Malawi</w:t>
            </w:r>
          </w:p>
        </w:tc>
        <w:tc>
          <w:tcPr>
            <w:tcW w:w="821" w:type="dxa"/>
            <w:tcBorders>
              <w:top w:val="nil"/>
              <w:left w:val="nil"/>
              <w:bottom w:val="nil"/>
              <w:right w:val="nil"/>
            </w:tcBorders>
            <w:shd w:val="clear" w:color="auto" w:fill="auto"/>
            <w:noWrap/>
            <w:vAlign w:val="center"/>
          </w:tcPr>
          <w:p w14:paraId="178FB59B"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5,551</w:t>
            </w:r>
          </w:p>
        </w:tc>
        <w:tc>
          <w:tcPr>
            <w:tcW w:w="1891" w:type="dxa"/>
            <w:tcBorders>
              <w:top w:val="nil"/>
              <w:left w:val="nil"/>
              <w:bottom w:val="nil"/>
              <w:right w:val="nil"/>
            </w:tcBorders>
            <w:shd w:val="clear" w:color="auto" w:fill="auto"/>
            <w:noWrap/>
            <w:vAlign w:val="center"/>
          </w:tcPr>
          <w:p w14:paraId="7F36C15D"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Zambia</w:t>
            </w:r>
          </w:p>
        </w:tc>
        <w:tc>
          <w:tcPr>
            <w:tcW w:w="821" w:type="dxa"/>
            <w:tcBorders>
              <w:top w:val="nil"/>
              <w:left w:val="nil"/>
              <w:bottom w:val="nil"/>
              <w:right w:val="nil"/>
            </w:tcBorders>
            <w:shd w:val="clear" w:color="auto" w:fill="auto"/>
            <w:noWrap/>
            <w:vAlign w:val="center"/>
          </w:tcPr>
          <w:p w14:paraId="72A5069E"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4,165</w:t>
            </w:r>
          </w:p>
        </w:tc>
      </w:tr>
      <w:tr w:rsidR="00FF6BC6" w:rsidRPr="003905B6" w14:paraId="0D796D02" w14:textId="77777777" w:rsidTr="00DE3FBF">
        <w:trPr>
          <w:trHeight w:val="300"/>
        </w:trPr>
        <w:tc>
          <w:tcPr>
            <w:tcW w:w="2043" w:type="dxa"/>
            <w:tcBorders>
              <w:top w:val="nil"/>
              <w:left w:val="nil"/>
              <w:bottom w:val="single" w:sz="4" w:space="0" w:color="auto"/>
              <w:right w:val="nil"/>
            </w:tcBorders>
            <w:shd w:val="clear" w:color="auto" w:fill="auto"/>
            <w:noWrap/>
            <w:vAlign w:val="center"/>
          </w:tcPr>
          <w:p w14:paraId="386A1FA1"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Malaysia</w:t>
            </w:r>
          </w:p>
        </w:tc>
        <w:tc>
          <w:tcPr>
            <w:tcW w:w="821" w:type="dxa"/>
            <w:tcBorders>
              <w:top w:val="nil"/>
              <w:left w:val="nil"/>
              <w:bottom w:val="single" w:sz="4" w:space="0" w:color="auto"/>
              <w:right w:val="nil"/>
            </w:tcBorders>
            <w:shd w:val="clear" w:color="auto" w:fill="auto"/>
            <w:noWrap/>
            <w:vAlign w:val="center"/>
          </w:tcPr>
          <w:p w14:paraId="5A4C36F5"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6,145</w:t>
            </w:r>
          </w:p>
        </w:tc>
        <w:tc>
          <w:tcPr>
            <w:tcW w:w="1891" w:type="dxa"/>
            <w:tcBorders>
              <w:top w:val="nil"/>
              <w:left w:val="nil"/>
              <w:bottom w:val="single" w:sz="4" w:space="0" w:color="auto"/>
              <w:right w:val="nil"/>
            </w:tcBorders>
            <w:shd w:val="clear" w:color="auto" w:fill="auto"/>
            <w:noWrap/>
            <w:vAlign w:val="center"/>
          </w:tcPr>
          <w:p w14:paraId="38E53C2E" w14:textId="77777777" w:rsidR="00FF6BC6" w:rsidRPr="008C2BF0" w:rsidRDefault="00FF6BC6" w:rsidP="00DE3FBF">
            <w:pPr>
              <w:rPr>
                <w:rFonts w:eastAsia="Times New Roman" w:cs="Times New Roman"/>
                <w:color w:val="000000"/>
                <w:sz w:val="22"/>
                <w:szCs w:val="22"/>
              </w:rPr>
            </w:pPr>
            <w:r w:rsidRPr="008C2BF0">
              <w:rPr>
                <w:rFonts w:eastAsia="Times New Roman" w:cs="Times New Roman"/>
                <w:color w:val="000000"/>
                <w:sz w:val="22"/>
                <w:szCs w:val="22"/>
              </w:rPr>
              <w:t>Zimbabwe</w:t>
            </w:r>
          </w:p>
        </w:tc>
        <w:tc>
          <w:tcPr>
            <w:tcW w:w="821" w:type="dxa"/>
            <w:tcBorders>
              <w:top w:val="nil"/>
              <w:left w:val="nil"/>
              <w:bottom w:val="single" w:sz="4" w:space="0" w:color="auto"/>
              <w:right w:val="nil"/>
            </w:tcBorders>
            <w:shd w:val="clear" w:color="auto" w:fill="auto"/>
            <w:noWrap/>
            <w:vAlign w:val="center"/>
          </w:tcPr>
          <w:p w14:paraId="4D428F1F" w14:textId="77777777" w:rsidR="00FF6BC6" w:rsidRPr="003905B6" w:rsidRDefault="00FF6BC6" w:rsidP="00DE3FBF">
            <w:pPr>
              <w:rPr>
                <w:rFonts w:eastAsia="Times New Roman" w:cs="Times New Roman"/>
                <w:color w:val="000000"/>
                <w:sz w:val="22"/>
                <w:szCs w:val="22"/>
              </w:rPr>
            </w:pPr>
            <w:r w:rsidRPr="008C2BF0">
              <w:rPr>
                <w:rFonts w:eastAsia="Times New Roman" w:cs="Times New Roman"/>
                <w:color w:val="000000"/>
                <w:sz w:val="22"/>
                <w:szCs w:val="22"/>
              </w:rPr>
              <w:t>4,290</w:t>
            </w:r>
          </w:p>
        </w:tc>
      </w:tr>
    </w:tbl>
    <w:p w14:paraId="0657A9EA" w14:textId="77777777" w:rsidR="00FF6BC6" w:rsidRPr="003905B6" w:rsidRDefault="00FF6BC6" w:rsidP="00FF6BC6">
      <w:pPr>
        <w:rPr>
          <w:sz w:val="20"/>
          <w:szCs w:val="20"/>
        </w:rPr>
      </w:pPr>
    </w:p>
    <w:p w14:paraId="6C1E34B8" w14:textId="77777777" w:rsidR="00FF6BC6" w:rsidRDefault="00FF6BC6" w:rsidP="00FF6BC6"/>
    <w:p w14:paraId="7FACE624" w14:textId="6A6EE19E" w:rsidR="00FF6BC6" w:rsidRDefault="00FF6BC6" w:rsidP="00BE4FF3">
      <w:pPr>
        <w:spacing w:line="480" w:lineRule="auto"/>
        <w:rPr>
          <w:sz w:val="20"/>
          <w:szCs w:val="20"/>
        </w:rPr>
      </w:pPr>
      <w:bookmarkStart w:id="0" w:name="_GoBack"/>
      <w:bookmarkEnd w:id="0"/>
    </w:p>
    <w:p w14:paraId="3AD263B5" w14:textId="625DB22E" w:rsidR="00FF6BC6" w:rsidRDefault="00FF6BC6" w:rsidP="00BE4FF3">
      <w:pPr>
        <w:spacing w:line="480" w:lineRule="auto"/>
        <w:rPr>
          <w:sz w:val="20"/>
          <w:szCs w:val="20"/>
        </w:rPr>
      </w:pPr>
    </w:p>
    <w:p w14:paraId="3F89833A" w14:textId="2364563C" w:rsidR="00FF6BC6" w:rsidRDefault="00FF6BC6" w:rsidP="00BE4FF3">
      <w:pPr>
        <w:spacing w:line="480" w:lineRule="auto"/>
        <w:rPr>
          <w:sz w:val="20"/>
          <w:szCs w:val="20"/>
        </w:rPr>
      </w:pPr>
    </w:p>
    <w:p w14:paraId="5B4D0500" w14:textId="4EB8ABC0" w:rsidR="00FF6BC6" w:rsidRDefault="00FF6BC6" w:rsidP="00BE4FF3">
      <w:pPr>
        <w:spacing w:line="480" w:lineRule="auto"/>
        <w:rPr>
          <w:sz w:val="20"/>
          <w:szCs w:val="20"/>
        </w:rPr>
      </w:pPr>
    </w:p>
    <w:p w14:paraId="1DA1D2BF" w14:textId="092698A2" w:rsidR="00FF6BC6" w:rsidRDefault="00FF6BC6" w:rsidP="00BE4FF3">
      <w:pPr>
        <w:spacing w:line="480" w:lineRule="auto"/>
        <w:rPr>
          <w:sz w:val="20"/>
          <w:szCs w:val="20"/>
        </w:rPr>
      </w:pPr>
    </w:p>
    <w:p w14:paraId="28BA3E8B" w14:textId="70E6D684" w:rsidR="00FF6BC6" w:rsidRDefault="00FF6BC6" w:rsidP="00BE4FF3">
      <w:pPr>
        <w:spacing w:line="480" w:lineRule="auto"/>
        <w:rPr>
          <w:sz w:val="20"/>
          <w:szCs w:val="20"/>
        </w:rPr>
      </w:pPr>
    </w:p>
    <w:p w14:paraId="62C08BA0" w14:textId="28769C35" w:rsidR="00FF6BC6" w:rsidRDefault="00FF6BC6" w:rsidP="00BE4FF3">
      <w:pPr>
        <w:spacing w:line="480" w:lineRule="auto"/>
        <w:rPr>
          <w:sz w:val="20"/>
          <w:szCs w:val="20"/>
        </w:rPr>
      </w:pPr>
    </w:p>
    <w:p w14:paraId="69536D6D" w14:textId="77777777" w:rsidR="00FF6BC6" w:rsidRPr="00313AC1" w:rsidRDefault="00FF6BC6" w:rsidP="00BE4FF3">
      <w:pPr>
        <w:spacing w:line="480" w:lineRule="auto"/>
        <w:rPr>
          <w:sz w:val="20"/>
          <w:szCs w:val="20"/>
        </w:rPr>
      </w:pPr>
    </w:p>
    <w:sectPr w:rsidR="00FF6BC6" w:rsidRPr="00313AC1" w:rsidSect="00BD54A8">
      <w:pgSz w:w="11900" w:h="16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0411DF" w14:textId="77777777" w:rsidR="00CA3242" w:rsidRDefault="00CA3242" w:rsidP="00C11AAA">
      <w:r>
        <w:separator/>
      </w:r>
    </w:p>
  </w:endnote>
  <w:endnote w:type="continuationSeparator" w:id="0">
    <w:p w14:paraId="0075B476" w14:textId="77777777" w:rsidR="00CA3242" w:rsidRDefault="00CA3242" w:rsidP="00C11A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Lucida Grande">
    <w:charset w:val="00"/>
    <w:family w:val="swiss"/>
    <w:pitch w:val="variable"/>
    <w:sig w:usb0="E1000AEF" w:usb1="5000A1FF" w:usb2="00000000" w:usb3="00000000" w:csb0="000001B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BCCDF" w14:textId="77777777" w:rsidR="00F74410" w:rsidRDefault="00F74410" w:rsidP="0067329F">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530BC7D" w14:textId="77777777" w:rsidR="00F74410" w:rsidRDefault="00F74410" w:rsidP="00C11AA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D6AC5" w14:textId="48839B13" w:rsidR="00F74410" w:rsidRDefault="00F74410" w:rsidP="0067329F">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F775EA">
      <w:rPr>
        <w:rStyle w:val="PageNumber"/>
        <w:noProof/>
      </w:rPr>
      <w:t>15</w:t>
    </w:r>
    <w:r>
      <w:rPr>
        <w:rStyle w:val="PageNumber"/>
      </w:rPr>
      <w:fldChar w:fldCharType="end"/>
    </w:r>
  </w:p>
  <w:p w14:paraId="039425DE" w14:textId="77777777" w:rsidR="00F74410" w:rsidRDefault="00F74410" w:rsidP="00C11AAA">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182740" w14:textId="77777777" w:rsidR="00CA3242" w:rsidRDefault="00CA3242" w:rsidP="00C11AAA">
      <w:r>
        <w:separator/>
      </w:r>
    </w:p>
  </w:footnote>
  <w:footnote w:type="continuationSeparator" w:id="0">
    <w:p w14:paraId="06D8CEDE" w14:textId="77777777" w:rsidR="00CA3242" w:rsidRDefault="00CA3242" w:rsidP="00C11A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CA23BC"/>
    <w:multiLevelType w:val="hybridMultilevel"/>
    <w:tmpl w:val="24A05E6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301611F"/>
    <w:multiLevelType w:val="multilevel"/>
    <w:tmpl w:val="3ABE0D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50C3F18"/>
    <w:multiLevelType w:val="hybridMultilevel"/>
    <w:tmpl w:val="46047B9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Acta Psych Scandinavica Copy&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E073FB"/>
    <w:rsid w:val="00003656"/>
    <w:rsid w:val="00010948"/>
    <w:rsid w:val="00012014"/>
    <w:rsid w:val="000154C0"/>
    <w:rsid w:val="000204F6"/>
    <w:rsid w:val="000316B8"/>
    <w:rsid w:val="00031A4A"/>
    <w:rsid w:val="00031FC7"/>
    <w:rsid w:val="00034C0A"/>
    <w:rsid w:val="00036D3E"/>
    <w:rsid w:val="000379F4"/>
    <w:rsid w:val="000402EA"/>
    <w:rsid w:val="00041FEB"/>
    <w:rsid w:val="00042625"/>
    <w:rsid w:val="000437F6"/>
    <w:rsid w:val="00045568"/>
    <w:rsid w:val="00047767"/>
    <w:rsid w:val="00050548"/>
    <w:rsid w:val="00052544"/>
    <w:rsid w:val="00055B57"/>
    <w:rsid w:val="00061F4A"/>
    <w:rsid w:val="00062ECD"/>
    <w:rsid w:val="000708F5"/>
    <w:rsid w:val="00073223"/>
    <w:rsid w:val="00074391"/>
    <w:rsid w:val="00083146"/>
    <w:rsid w:val="00083629"/>
    <w:rsid w:val="00083B62"/>
    <w:rsid w:val="00084F9F"/>
    <w:rsid w:val="00087D17"/>
    <w:rsid w:val="00090001"/>
    <w:rsid w:val="00092118"/>
    <w:rsid w:val="000A2496"/>
    <w:rsid w:val="000B36D8"/>
    <w:rsid w:val="000B441E"/>
    <w:rsid w:val="000B556F"/>
    <w:rsid w:val="000C018E"/>
    <w:rsid w:val="000C3075"/>
    <w:rsid w:val="000C3DDA"/>
    <w:rsid w:val="000C6AE8"/>
    <w:rsid w:val="000D3348"/>
    <w:rsid w:val="000D3CDD"/>
    <w:rsid w:val="000D6DD1"/>
    <w:rsid w:val="000E0ABF"/>
    <w:rsid w:val="000F373E"/>
    <w:rsid w:val="000F4120"/>
    <w:rsid w:val="000F4EDD"/>
    <w:rsid w:val="00102D90"/>
    <w:rsid w:val="00103511"/>
    <w:rsid w:val="00103B8E"/>
    <w:rsid w:val="00103C1A"/>
    <w:rsid w:val="001075BF"/>
    <w:rsid w:val="00110609"/>
    <w:rsid w:val="001113A7"/>
    <w:rsid w:val="0011190C"/>
    <w:rsid w:val="001121F7"/>
    <w:rsid w:val="00114C0A"/>
    <w:rsid w:val="001220CA"/>
    <w:rsid w:val="00123D34"/>
    <w:rsid w:val="00123E59"/>
    <w:rsid w:val="00127186"/>
    <w:rsid w:val="00127ACA"/>
    <w:rsid w:val="00132409"/>
    <w:rsid w:val="00132FE1"/>
    <w:rsid w:val="00142EEF"/>
    <w:rsid w:val="00144AF4"/>
    <w:rsid w:val="00150028"/>
    <w:rsid w:val="001531AE"/>
    <w:rsid w:val="00153303"/>
    <w:rsid w:val="001559CB"/>
    <w:rsid w:val="00156E9A"/>
    <w:rsid w:val="001641D8"/>
    <w:rsid w:val="00164998"/>
    <w:rsid w:val="001670B2"/>
    <w:rsid w:val="0016789D"/>
    <w:rsid w:val="00172646"/>
    <w:rsid w:val="00173C21"/>
    <w:rsid w:val="00175CE9"/>
    <w:rsid w:val="00182129"/>
    <w:rsid w:val="00191C0B"/>
    <w:rsid w:val="00193260"/>
    <w:rsid w:val="00193AD1"/>
    <w:rsid w:val="001966A6"/>
    <w:rsid w:val="00197B80"/>
    <w:rsid w:val="001A290B"/>
    <w:rsid w:val="001A3F5B"/>
    <w:rsid w:val="001A6A15"/>
    <w:rsid w:val="001B0026"/>
    <w:rsid w:val="001B0D63"/>
    <w:rsid w:val="001B406E"/>
    <w:rsid w:val="001B5F8C"/>
    <w:rsid w:val="001C19FC"/>
    <w:rsid w:val="001C2710"/>
    <w:rsid w:val="001C30BE"/>
    <w:rsid w:val="001D10E3"/>
    <w:rsid w:val="001E2E12"/>
    <w:rsid w:val="001E3E88"/>
    <w:rsid w:val="001F0C65"/>
    <w:rsid w:val="001F6688"/>
    <w:rsid w:val="002009C9"/>
    <w:rsid w:val="0020787E"/>
    <w:rsid w:val="00212CDA"/>
    <w:rsid w:val="00214A78"/>
    <w:rsid w:val="0022012F"/>
    <w:rsid w:val="00220727"/>
    <w:rsid w:val="00223135"/>
    <w:rsid w:val="00223C67"/>
    <w:rsid w:val="00225BE5"/>
    <w:rsid w:val="0023067D"/>
    <w:rsid w:val="002312D1"/>
    <w:rsid w:val="00231A41"/>
    <w:rsid w:val="00232831"/>
    <w:rsid w:val="00235B01"/>
    <w:rsid w:val="00235BB6"/>
    <w:rsid w:val="002372A0"/>
    <w:rsid w:val="002372BA"/>
    <w:rsid w:val="00242AB3"/>
    <w:rsid w:val="00245668"/>
    <w:rsid w:val="00257138"/>
    <w:rsid w:val="00263D47"/>
    <w:rsid w:val="00273F89"/>
    <w:rsid w:val="00274880"/>
    <w:rsid w:val="0027573A"/>
    <w:rsid w:val="002837A2"/>
    <w:rsid w:val="00283A30"/>
    <w:rsid w:val="00290B8E"/>
    <w:rsid w:val="00291629"/>
    <w:rsid w:val="002924A3"/>
    <w:rsid w:val="00294EE3"/>
    <w:rsid w:val="00294F78"/>
    <w:rsid w:val="002A17CD"/>
    <w:rsid w:val="002A4639"/>
    <w:rsid w:val="002A467D"/>
    <w:rsid w:val="002A48C5"/>
    <w:rsid w:val="002A6CB0"/>
    <w:rsid w:val="002A753B"/>
    <w:rsid w:val="002B306A"/>
    <w:rsid w:val="002B630C"/>
    <w:rsid w:val="002C29DB"/>
    <w:rsid w:val="002C52EC"/>
    <w:rsid w:val="002C7604"/>
    <w:rsid w:val="002D13A0"/>
    <w:rsid w:val="002D1866"/>
    <w:rsid w:val="002D42FA"/>
    <w:rsid w:val="002D7F20"/>
    <w:rsid w:val="002E2AC9"/>
    <w:rsid w:val="002E3B69"/>
    <w:rsid w:val="002E3EB2"/>
    <w:rsid w:val="002E42CC"/>
    <w:rsid w:val="002F0E3F"/>
    <w:rsid w:val="002F20CA"/>
    <w:rsid w:val="002F6B59"/>
    <w:rsid w:val="0030260B"/>
    <w:rsid w:val="00303ACF"/>
    <w:rsid w:val="0031122D"/>
    <w:rsid w:val="003137E2"/>
    <w:rsid w:val="00313AC1"/>
    <w:rsid w:val="00314689"/>
    <w:rsid w:val="00314B18"/>
    <w:rsid w:val="00315651"/>
    <w:rsid w:val="00316F22"/>
    <w:rsid w:val="00321DF5"/>
    <w:rsid w:val="003239A0"/>
    <w:rsid w:val="00325DDD"/>
    <w:rsid w:val="00330977"/>
    <w:rsid w:val="00332BE4"/>
    <w:rsid w:val="00334276"/>
    <w:rsid w:val="003370DF"/>
    <w:rsid w:val="00340658"/>
    <w:rsid w:val="00341380"/>
    <w:rsid w:val="003413CD"/>
    <w:rsid w:val="00343D0F"/>
    <w:rsid w:val="00343D12"/>
    <w:rsid w:val="00343E08"/>
    <w:rsid w:val="003503CD"/>
    <w:rsid w:val="00354327"/>
    <w:rsid w:val="0035577A"/>
    <w:rsid w:val="0035628D"/>
    <w:rsid w:val="003626AD"/>
    <w:rsid w:val="00363231"/>
    <w:rsid w:val="003652D9"/>
    <w:rsid w:val="00366B54"/>
    <w:rsid w:val="00370B33"/>
    <w:rsid w:val="00371792"/>
    <w:rsid w:val="003732A5"/>
    <w:rsid w:val="00375BFC"/>
    <w:rsid w:val="00376871"/>
    <w:rsid w:val="00386C6B"/>
    <w:rsid w:val="003905B6"/>
    <w:rsid w:val="0039244A"/>
    <w:rsid w:val="00392656"/>
    <w:rsid w:val="00394A69"/>
    <w:rsid w:val="00396288"/>
    <w:rsid w:val="0039645F"/>
    <w:rsid w:val="003B00F2"/>
    <w:rsid w:val="003B32A3"/>
    <w:rsid w:val="003C6063"/>
    <w:rsid w:val="003D0270"/>
    <w:rsid w:val="003E0DA9"/>
    <w:rsid w:val="003E66F1"/>
    <w:rsid w:val="003E7208"/>
    <w:rsid w:val="003F177F"/>
    <w:rsid w:val="003F40F5"/>
    <w:rsid w:val="003F4C42"/>
    <w:rsid w:val="00400C1A"/>
    <w:rsid w:val="00401C83"/>
    <w:rsid w:val="00405CAF"/>
    <w:rsid w:val="00406014"/>
    <w:rsid w:val="00411A86"/>
    <w:rsid w:val="00413CF9"/>
    <w:rsid w:val="00420559"/>
    <w:rsid w:val="00421C01"/>
    <w:rsid w:val="00424323"/>
    <w:rsid w:val="00425271"/>
    <w:rsid w:val="00426BA2"/>
    <w:rsid w:val="004277CE"/>
    <w:rsid w:val="0043233D"/>
    <w:rsid w:val="004361F8"/>
    <w:rsid w:val="00452769"/>
    <w:rsid w:val="00453875"/>
    <w:rsid w:val="00460936"/>
    <w:rsid w:val="00462633"/>
    <w:rsid w:val="004630EB"/>
    <w:rsid w:val="00463425"/>
    <w:rsid w:val="00465882"/>
    <w:rsid w:val="004666D8"/>
    <w:rsid w:val="00472EBA"/>
    <w:rsid w:val="00481704"/>
    <w:rsid w:val="004847B7"/>
    <w:rsid w:val="004854E0"/>
    <w:rsid w:val="004913B5"/>
    <w:rsid w:val="00493537"/>
    <w:rsid w:val="0049670A"/>
    <w:rsid w:val="00496A69"/>
    <w:rsid w:val="00496CF3"/>
    <w:rsid w:val="004A022F"/>
    <w:rsid w:val="004A4025"/>
    <w:rsid w:val="004A507E"/>
    <w:rsid w:val="004A5987"/>
    <w:rsid w:val="004B0E79"/>
    <w:rsid w:val="004B435A"/>
    <w:rsid w:val="004B7742"/>
    <w:rsid w:val="004C1D68"/>
    <w:rsid w:val="004C60EF"/>
    <w:rsid w:val="004C6E0D"/>
    <w:rsid w:val="004C766F"/>
    <w:rsid w:val="004D1B65"/>
    <w:rsid w:val="004D3261"/>
    <w:rsid w:val="004D4187"/>
    <w:rsid w:val="004D789B"/>
    <w:rsid w:val="004E3B32"/>
    <w:rsid w:val="004E7CFC"/>
    <w:rsid w:val="004F23E7"/>
    <w:rsid w:val="004F4CA0"/>
    <w:rsid w:val="00500102"/>
    <w:rsid w:val="005015FA"/>
    <w:rsid w:val="00501904"/>
    <w:rsid w:val="00501C61"/>
    <w:rsid w:val="00504A24"/>
    <w:rsid w:val="00506640"/>
    <w:rsid w:val="005069A5"/>
    <w:rsid w:val="00516B20"/>
    <w:rsid w:val="00517701"/>
    <w:rsid w:val="00517830"/>
    <w:rsid w:val="00520A73"/>
    <w:rsid w:val="005210B1"/>
    <w:rsid w:val="00525732"/>
    <w:rsid w:val="00526371"/>
    <w:rsid w:val="00531568"/>
    <w:rsid w:val="00532A22"/>
    <w:rsid w:val="00536D3D"/>
    <w:rsid w:val="00542C4E"/>
    <w:rsid w:val="0054405F"/>
    <w:rsid w:val="005440B9"/>
    <w:rsid w:val="00545C6B"/>
    <w:rsid w:val="005461B7"/>
    <w:rsid w:val="005473A3"/>
    <w:rsid w:val="00547B74"/>
    <w:rsid w:val="00550354"/>
    <w:rsid w:val="0055088A"/>
    <w:rsid w:val="00551931"/>
    <w:rsid w:val="0055413A"/>
    <w:rsid w:val="0055761F"/>
    <w:rsid w:val="005578B6"/>
    <w:rsid w:val="00561DF8"/>
    <w:rsid w:val="00562B18"/>
    <w:rsid w:val="0056638D"/>
    <w:rsid w:val="00570888"/>
    <w:rsid w:val="00573A6D"/>
    <w:rsid w:val="005824CC"/>
    <w:rsid w:val="00583B87"/>
    <w:rsid w:val="00583BA9"/>
    <w:rsid w:val="00585A33"/>
    <w:rsid w:val="00585D19"/>
    <w:rsid w:val="0059011A"/>
    <w:rsid w:val="00593107"/>
    <w:rsid w:val="00593FFA"/>
    <w:rsid w:val="005951CC"/>
    <w:rsid w:val="005959A0"/>
    <w:rsid w:val="00595C92"/>
    <w:rsid w:val="005969C3"/>
    <w:rsid w:val="005A1006"/>
    <w:rsid w:val="005A32B6"/>
    <w:rsid w:val="005A5709"/>
    <w:rsid w:val="005A6233"/>
    <w:rsid w:val="005B1C82"/>
    <w:rsid w:val="005B23D0"/>
    <w:rsid w:val="005C05FD"/>
    <w:rsid w:val="005C3B54"/>
    <w:rsid w:val="005C61BB"/>
    <w:rsid w:val="005C75B2"/>
    <w:rsid w:val="005D0048"/>
    <w:rsid w:val="005D38DA"/>
    <w:rsid w:val="005E5944"/>
    <w:rsid w:val="005E6E73"/>
    <w:rsid w:val="00600E56"/>
    <w:rsid w:val="00602F24"/>
    <w:rsid w:val="00605508"/>
    <w:rsid w:val="00610717"/>
    <w:rsid w:val="00611138"/>
    <w:rsid w:val="00617BE9"/>
    <w:rsid w:val="00624265"/>
    <w:rsid w:val="00634081"/>
    <w:rsid w:val="006341CF"/>
    <w:rsid w:val="006359E7"/>
    <w:rsid w:val="00640DF1"/>
    <w:rsid w:val="006442E9"/>
    <w:rsid w:val="00647CDC"/>
    <w:rsid w:val="00652D3D"/>
    <w:rsid w:val="0065560A"/>
    <w:rsid w:val="006624E1"/>
    <w:rsid w:val="00665675"/>
    <w:rsid w:val="006719BE"/>
    <w:rsid w:val="00671E33"/>
    <w:rsid w:val="00672F23"/>
    <w:rsid w:val="0067329F"/>
    <w:rsid w:val="00677427"/>
    <w:rsid w:val="006834A6"/>
    <w:rsid w:val="00685573"/>
    <w:rsid w:val="006A49D7"/>
    <w:rsid w:val="006A5F86"/>
    <w:rsid w:val="006A6499"/>
    <w:rsid w:val="006B0F4E"/>
    <w:rsid w:val="006B12DE"/>
    <w:rsid w:val="006B3E21"/>
    <w:rsid w:val="006D162A"/>
    <w:rsid w:val="006D26BE"/>
    <w:rsid w:val="006D7081"/>
    <w:rsid w:val="006E03DB"/>
    <w:rsid w:val="006E3D47"/>
    <w:rsid w:val="006E544B"/>
    <w:rsid w:val="006E74C6"/>
    <w:rsid w:val="006F15F9"/>
    <w:rsid w:val="006F1D83"/>
    <w:rsid w:val="006F30DC"/>
    <w:rsid w:val="00701536"/>
    <w:rsid w:val="007045B4"/>
    <w:rsid w:val="00705071"/>
    <w:rsid w:val="00713315"/>
    <w:rsid w:val="007158F4"/>
    <w:rsid w:val="0072199D"/>
    <w:rsid w:val="007241ED"/>
    <w:rsid w:val="00730B4C"/>
    <w:rsid w:val="0073757B"/>
    <w:rsid w:val="00737B4A"/>
    <w:rsid w:val="00737D6F"/>
    <w:rsid w:val="007449EF"/>
    <w:rsid w:val="00744F8B"/>
    <w:rsid w:val="007526B2"/>
    <w:rsid w:val="00753263"/>
    <w:rsid w:val="00753747"/>
    <w:rsid w:val="007564B4"/>
    <w:rsid w:val="007622D4"/>
    <w:rsid w:val="00765764"/>
    <w:rsid w:val="007728CD"/>
    <w:rsid w:val="00777819"/>
    <w:rsid w:val="00781C1B"/>
    <w:rsid w:val="00782268"/>
    <w:rsid w:val="00791EC1"/>
    <w:rsid w:val="00793EAB"/>
    <w:rsid w:val="00795352"/>
    <w:rsid w:val="00797E07"/>
    <w:rsid w:val="007A59A0"/>
    <w:rsid w:val="007B194A"/>
    <w:rsid w:val="007B49E5"/>
    <w:rsid w:val="007B56C5"/>
    <w:rsid w:val="007B56F7"/>
    <w:rsid w:val="007B6CE2"/>
    <w:rsid w:val="007B7F84"/>
    <w:rsid w:val="007C1A50"/>
    <w:rsid w:val="007C5E85"/>
    <w:rsid w:val="007C74EE"/>
    <w:rsid w:val="007D7E69"/>
    <w:rsid w:val="007E2291"/>
    <w:rsid w:val="007E5C8D"/>
    <w:rsid w:val="007E69C6"/>
    <w:rsid w:val="007E6DD3"/>
    <w:rsid w:val="007F0DFC"/>
    <w:rsid w:val="007F16C4"/>
    <w:rsid w:val="007F279F"/>
    <w:rsid w:val="00802C2B"/>
    <w:rsid w:val="0080781E"/>
    <w:rsid w:val="00815471"/>
    <w:rsid w:val="0082182E"/>
    <w:rsid w:val="00821F7D"/>
    <w:rsid w:val="00823863"/>
    <w:rsid w:val="00827459"/>
    <w:rsid w:val="00827721"/>
    <w:rsid w:val="0084088A"/>
    <w:rsid w:val="00841715"/>
    <w:rsid w:val="008421C2"/>
    <w:rsid w:val="00842A58"/>
    <w:rsid w:val="0084555C"/>
    <w:rsid w:val="00845A90"/>
    <w:rsid w:val="00851495"/>
    <w:rsid w:val="00853084"/>
    <w:rsid w:val="008565A9"/>
    <w:rsid w:val="0086514A"/>
    <w:rsid w:val="0087098A"/>
    <w:rsid w:val="00880511"/>
    <w:rsid w:val="00881E70"/>
    <w:rsid w:val="00886D1F"/>
    <w:rsid w:val="008909EA"/>
    <w:rsid w:val="00890D10"/>
    <w:rsid w:val="00896840"/>
    <w:rsid w:val="00897AAA"/>
    <w:rsid w:val="008A2E82"/>
    <w:rsid w:val="008A3F1D"/>
    <w:rsid w:val="008A68CA"/>
    <w:rsid w:val="008A6AF6"/>
    <w:rsid w:val="008B47B1"/>
    <w:rsid w:val="008B5155"/>
    <w:rsid w:val="008C2BF0"/>
    <w:rsid w:val="008C406B"/>
    <w:rsid w:val="008D482D"/>
    <w:rsid w:val="008D4FA1"/>
    <w:rsid w:val="008D6634"/>
    <w:rsid w:val="008D72BD"/>
    <w:rsid w:val="008E3632"/>
    <w:rsid w:val="008E5FE7"/>
    <w:rsid w:val="008E6416"/>
    <w:rsid w:val="008F3AD1"/>
    <w:rsid w:val="008F4E65"/>
    <w:rsid w:val="008F5112"/>
    <w:rsid w:val="008F7A81"/>
    <w:rsid w:val="00906916"/>
    <w:rsid w:val="00907A7C"/>
    <w:rsid w:val="0091234B"/>
    <w:rsid w:val="009152C6"/>
    <w:rsid w:val="0092620B"/>
    <w:rsid w:val="00927A9E"/>
    <w:rsid w:val="0093159C"/>
    <w:rsid w:val="00932813"/>
    <w:rsid w:val="0093292E"/>
    <w:rsid w:val="00932F6C"/>
    <w:rsid w:val="009345FC"/>
    <w:rsid w:val="00936A56"/>
    <w:rsid w:val="00940402"/>
    <w:rsid w:val="00942C84"/>
    <w:rsid w:val="0094381D"/>
    <w:rsid w:val="00947DC2"/>
    <w:rsid w:val="00951218"/>
    <w:rsid w:val="00952106"/>
    <w:rsid w:val="00952B7E"/>
    <w:rsid w:val="00952C96"/>
    <w:rsid w:val="00954E9E"/>
    <w:rsid w:val="00956BA0"/>
    <w:rsid w:val="0096087D"/>
    <w:rsid w:val="00961F16"/>
    <w:rsid w:val="00966831"/>
    <w:rsid w:val="009709C4"/>
    <w:rsid w:val="009769C0"/>
    <w:rsid w:val="009821E6"/>
    <w:rsid w:val="009845CC"/>
    <w:rsid w:val="0098571A"/>
    <w:rsid w:val="00987864"/>
    <w:rsid w:val="009A1CFE"/>
    <w:rsid w:val="009A5549"/>
    <w:rsid w:val="009A67F2"/>
    <w:rsid w:val="009B07CA"/>
    <w:rsid w:val="009B0CDA"/>
    <w:rsid w:val="009B2A48"/>
    <w:rsid w:val="009B34D6"/>
    <w:rsid w:val="009B648A"/>
    <w:rsid w:val="009B7123"/>
    <w:rsid w:val="009C0345"/>
    <w:rsid w:val="009C2D57"/>
    <w:rsid w:val="009C3E2A"/>
    <w:rsid w:val="009D20D9"/>
    <w:rsid w:val="009D2BBA"/>
    <w:rsid w:val="009D3A8C"/>
    <w:rsid w:val="009D3C2E"/>
    <w:rsid w:val="009D3F45"/>
    <w:rsid w:val="009D50D0"/>
    <w:rsid w:val="009D75E1"/>
    <w:rsid w:val="009E1867"/>
    <w:rsid w:val="009F033B"/>
    <w:rsid w:val="009F0442"/>
    <w:rsid w:val="009F1F99"/>
    <w:rsid w:val="009F2CFB"/>
    <w:rsid w:val="009F4B88"/>
    <w:rsid w:val="009F5D7D"/>
    <w:rsid w:val="00A0093A"/>
    <w:rsid w:val="00A01C18"/>
    <w:rsid w:val="00A05CC9"/>
    <w:rsid w:val="00A11113"/>
    <w:rsid w:val="00A11C0C"/>
    <w:rsid w:val="00A13263"/>
    <w:rsid w:val="00A2173D"/>
    <w:rsid w:val="00A2241F"/>
    <w:rsid w:val="00A2531D"/>
    <w:rsid w:val="00A25A50"/>
    <w:rsid w:val="00A32A9A"/>
    <w:rsid w:val="00A33112"/>
    <w:rsid w:val="00A37080"/>
    <w:rsid w:val="00A42188"/>
    <w:rsid w:val="00A43B23"/>
    <w:rsid w:val="00A43E29"/>
    <w:rsid w:val="00A449AC"/>
    <w:rsid w:val="00A52E58"/>
    <w:rsid w:val="00A624C5"/>
    <w:rsid w:val="00A64B79"/>
    <w:rsid w:val="00A66DDF"/>
    <w:rsid w:val="00A66F98"/>
    <w:rsid w:val="00A67759"/>
    <w:rsid w:val="00A70165"/>
    <w:rsid w:val="00A70F09"/>
    <w:rsid w:val="00A713F9"/>
    <w:rsid w:val="00A722C1"/>
    <w:rsid w:val="00A75659"/>
    <w:rsid w:val="00A8088B"/>
    <w:rsid w:val="00A81975"/>
    <w:rsid w:val="00A8269A"/>
    <w:rsid w:val="00A8577C"/>
    <w:rsid w:val="00A85C53"/>
    <w:rsid w:val="00A863F5"/>
    <w:rsid w:val="00A907A4"/>
    <w:rsid w:val="00A945EA"/>
    <w:rsid w:val="00A94824"/>
    <w:rsid w:val="00A960B7"/>
    <w:rsid w:val="00A97DB0"/>
    <w:rsid w:val="00AA2C9A"/>
    <w:rsid w:val="00AA583B"/>
    <w:rsid w:val="00AA69D5"/>
    <w:rsid w:val="00AA76B9"/>
    <w:rsid w:val="00AB18A3"/>
    <w:rsid w:val="00AB18B9"/>
    <w:rsid w:val="00AB2F4F"/>
    <w:rsid w:val="00AB3ED1"/>
    <w:rsid w:val="00AB6DE3"/>
    <w:rsid w:val="00AC5BCC"/>
    <w:rsid w:val="00AC6F89"/>
    <w:rsid w:val="00AF2EB2"/>
    <w:rsid w:val="00AF36D5"/>
    <w:rsid w:val="00AF5733"/>
    <w:rsid w:val="00AF641B"/>
    <w:rsid w:val="00B039DD"/>
    <w:rsid w:val="00B13395"/>
    <w:rsid w:val="00B134DD"/>
    <w:rsid w:val="00B14231"/>
    <w:rsid w:val="00B15BCB"/>
    <w:rsid w:val="00B220B9"/>
    <w:rsid w:val="00B240E7"/>
    <w:rsid w:val="00B26E89"/>
    <w:rsid w:val="00B314C2"/>
    <w:rsid w:val="00B32FE9"/>
    <w:rsid w:val="00B4148F"/>
    <w:rsid w:val="00B42812"/>
    <w:rsid w:val="00B446BA"/>
    <w:rsid w:val="00B44A2B"/>
    <w:rsid w:val="00B44AE2"/>
    <w:rsid w:val="00B47089"/>
    <w:rsid w:val="00B503B0"/>
    <w:rsid w:val="00B513CA"/>
    <w:rsid w:val="00B5291F"/>
    <w:rsid w:val="00B5377E"/>
    <w:rsid w:val="00B5486C"/>
    <w:rsid w:val="00B571DB"/>
    <w:rsid w:val="00B60BD3"/>
    <w:rsid w:val="00B6385E"/>
    <w:rsid w:val="00B63E45"/>
    <w:rsid w:val="00B64ED5"/>
    <w:rsid w:val="00B7070F"/>
    <w:rsid w:val="00B73794"/>
    <w:rsid w:val="00B8159F"/>
    <w:rsid w:val="00B81A34"/>
    <w:rsid w:val="00B82172"/>
    <w:rsid w:val="00B84EDB"/>
    <w:rsid w:val="00B86CA4"/>
    <w:rsid w:val="00B90039"/>
    <w:rsid w:val="00B91B9A"/>
    <w:rsid w:val="00B95CAA"/>
    <w:rsid w:val="00BA103F"/>
    <w:rsid w:val="00BA16A9"/>
    <w:rsid w:val="00BA2A15"/>
    <w:rsid w:val="00BA3261"/>
    <w:rsid w:val="00BA4358"/>
    <w:rsid w:val="00BA6FC9"/>
    <w:rsid w:val="00BB63E7"/>
    <w:rsid w:val="00BC0B4B"/>
    <w:rsid w:val="00BC4F22"/>
    <w:rsid w:val="00BC50AC"/>
    <w:rsid w:val="00BC7481"/>
    <w:rsid w:val="00BD54A8"/>
    <w:rsid w:val="00BD550C"/>
    <w:rsid w:val="00BD5B8D"/>
    <w:rsid w:val="00BE403D"/>
    <w:rsid w:val="00BE4FF3"/>
    <w:rsid w:val="00BE629C"/>
    <w:rsid w:val="00BF4007"/>
    <w:rsid w:val="00BF5019"/>
    <w:rsid w:val="00BF7575"/>
    <w:rsid w:val="00C019C2"/>
    <w:rsid w:val="00C064BF"/>
    <w:rsid w:val="00C06E09"/>
    <w:rsid w:val="00C07CFF"/>
    <w:rsid w:val="00C07EC2"/>
    <w:rsid w:val="00C11AAA"/>
    <w:rsid w:val="00C12370"/>
    <w:rsid w:val="00C136E7"/>
    <w:rsid w:val="00C16A7E"/>
    <w:rsid w:val="00C204E2"/>
    <w:rsid w:val="00C20CD8"/>
    <w:rsid w:val="00C21D28"/>
    <w:rsid w:val="00C21EE3"/>
    <w:rsid w:val="00C226F8"/>
    <w:rsid w:val="00C23771"/>
    <w:rsid w:val="00C246DF"/>
    <w:rsid w:val="00C27678"/>
    <w:rsid w:val="00C33320"/>
    <w:rsid w:val="00C3445B"/>
    <w:rsid w:val="00C3573F"/>
    <w:rsid w:val="00C35D59"/>
    <w:rsid w:val="00C36512"/>
    <w:rsid w:val="00C36F65"/>
    <w:rsid w:val="00C37897"/>
    <w:rsid w:val="00C45405"/>
    <w:rsid w:val="00C5056F"/>
    <w:rsid w:val="00C52872"/>
    <w:rsid w:val="00C52A15"/>
    <w:rsid w:val="00C545D4"/>
    <w:rsid w:val="00C55D79"/>
    <w:rsid w:val="00C73278"/>
    <w:rsid w:val="00C74650"/>
    <w:rsid w:val="00C76111"/>
    <w:rsid w:val="00C77E46"/>
    <w:rsid w:val="00C8088D"/>
    <w:rsid w:val="00C812D0"/>
    <w:rsid w:val="00C83564"/>
    <w:rsid w:val="00C84BD1"/>
    <w:rsid w:val="00C90FF7"/>
    <w:rsid w:val="00C96E4F"/>
    <w:rsid w:val="00CA3242"/>
    <w:rsid w:val="00CA3A01"/>
    <w:rsid w:val="00CA3C2B"/>
    <w:rsid w:val="00CB26DC"/>
    <w:rsid w:val="00CB3735"/>
    <w:rsid w:val="00CB3EF7"/>
    <w:rsid w:val="00CB5918"/>
    <w:rsid w:val="00CB76E8"/>
    <w:rsid w:val="00CC0571"/>
    <w:rsid w:val="00CC097D"/>
    <w:rsid w:val="00CD0365"/>
    <w:rsid w:val="00CE4AFF"/>
    <w:rsid w:val="00CE7405"/>
    <w:rsid w:val="00CF6A55"/>
    <w:rsid w:val="00D013A3"/>
    <w:rsid w:val="00D10C04"/>
    <w:rsid w:val="00D149BD"/>
    <w:rsid w:val="00D1517B"/>
    <w:rsid w:val="00D16464"/>
    <w:rsid w:val="00D16769"/>
    <w:rsid w:val="00D203C8"/>
    <w:rsid w:val="00D218D5"/>
    <w:rsid w:val="00D22507"/>
    <w:rsid w:val="00D22B5E"/>
    <w:rsid w:val="00D30997"/>
    <w:rsid w:val="00D35F84"/>
    <w:rsid w:val="00D37990"/>
    <w:rsid w:val="00D379B3"/>
    <w:rsid w:val="00D43C14"/>
    <w:rsid w:val="00D47E3F"/>
    <w:rsid w:val="00D51A7B"/>
    <w:rsid w:val="00D61350"/>
    <w:rsid w:val="00D7006E"/>
    <w:rsid w:val="00D73002"/>
    <w:rsid w:val="00D76C2A"/>
    <w:rsid w:val="00D7720C"/>
    <w:rsid w:val="00D86588"/>
    <w:rsid w:val="00D87761"/>
    <w:rsid w:val="00D87ECA"/>
    <w:rsid w:val="00D90B49"/>
    <w:rsid w:val="00D91A24"/>
    <w:rsid w:val="00D92CC0"/>
    <w:rsid w:val="00D96454"/>
    <w:rsid w:val="00DA06D7"/>
    <w:rsid w:val="00DA239C"/>
    <w:rsid w:val="00DA480F"/>
    <w:rsid w:val="00DA6681"/>
    <w:rsid w:val="00DA73AC"/>
    <w:rsid w:val="00DB54AF"/>
    <w:rsid w:val="00DB5CFF"/>
    <w:rsid w:val="00DB6833"/>
    <w:rsid w:val="00DB7086"/>
    <w:rsid w:val="00DB74AB"/>
    <w:rsid w:val="00DC3433"/>
    <w:rsid w:val="00DC52A2"/>
    <w:rsid w:val="00DC58F7"/>
    <w:rsid w:val="00DD089F"/>
    <w:rsid w:val="00DD27E4"/>
    <w:rsid w:val="00DD5644"/>
    <w:rsid w:val="00DD6C61"/>
    <w:rsid w:val="00DE36DC"/>
    <w:rsid w:val="00DE571F"/>
    <w:rsid w:val="00DE603D"/>
    <w:rsid w:val="00DE7A99"/>
    <w:rsid w:val="00DE7B14"/>
    <w:rsid w:val="00DF2399"/>
    <w:rsid w:val="00E002CD"/>
    <w:rsid w:val="00E0136F"/>
    <w:rsid w:val="00E05CF1"/>
    <w:rsid w:val="00E073FB"/>
    <w:rsid w:val="00E07D74"/>
    <w:rsid w:val="00E07E68"/>
    <w:rsid w:val="00E13682"/>
    <w:rsid w:val="00E1416A"/>
    <w:rsid w:val="00E14D21"/>
    <w:rsid w:val="00E22975"/>
    <w:rsid w:val="00E24D43"/>
    <w:rsid w:val="00E25B00"/>
    <w:rsid w:val="00E30535"/>
    <w:rsid w:val="00E373C7"/>
    <w:rsid w:val="00E427CC"/>
    <w:rsid w:val="00E5165F"/>
    <w:rsid w:val="00E52002"/>
    <w:rsid w:val="00E562E2"/>
    <w:rsid w:val="00E573E7"/>
    <w:rsid w:val="00E658C4"/>
    <w:rsid w:val="00E77AA5"/>
    <w:rsid w:val="00E86BEF"/>
    <w:rsid w:val="00E87905"/>
    <w:rsid w:val="00E87A2C"/>
    <w:rsid w:val="00E87BD2"/>
    <w:rsid w:val="00E92779"/>
    <w:rsid w:val="00E931E5"/>
    <w:rsid w:val="00E939F0"/>
    <w:rsid w:val="00EA007C"/>
    <w:rsid w:val="00EA1073"/>
    <w:rsid w:val="00EA2E1C"/>
    <w:rsid w:val="00EA424A"/>
    <w:rsid w:val="00EA47B1"/>
    <w:rsid w:val="00EA5D31"/>
    <w:rsid w:val="00EB2B80"/>
    <w:rsid w:val="00EB3693"/>
    <w:rsid w:val="00EB4FE4"/>
    <w:rsid w:val="00EB6AFB"/>
    <w:rsid w:val="00EC1776"/>
    <w:rsid w:val="00EC3A84"/>
    <w:rsid w:val="00EC471E"/>
    <w:rsid w:val="00EC496A"/>
    <w:rsid w:val="00EC4B01"/>
    <w:rsid w:val="00EC510D"/>
    <w:rsid w:val="00EC6CD4"/>
    <w:rsid w:val="00ED6945"/>
    <w:rsid w:val="00ED74D8"/>
    <w:rsid w:val="00ED7A3A"/>
    <w:rsid w:val="00EE34D9"/>
    <w:rsid w:val="00EE5623"/>
    <w:rsid w:val="00EE7921"/>
    <w:rsid w:val="00EF21BA"/>
    <w:rsid w:val="00EF446C"/>
    <w:rsid w:val="00EF6B13"/>
    <w:rsid w:val="00EF6FCD"/>
    <w:rsid w:val="00F01CCD"/>
    <w:rsid w:val="00F116DB"/>
    <w:rsid w:val="00F12F32"/>
    <w:rsid w:val="00F15D24"/>
    <w:rsid w:val="00F24F85"/>
    <w:rsid w:val="00F30CE0"/>
    <w:rsid w:val="00F36011"/>
    <w:rsid w:val="00F407E0"/>
    <w:rsid w:val="00F4653E"/>
    <w:rsid w:val="00F53F1E"/>
    <w:rsid w:val="00F53F29"/>
    <w:rsid w:val="00F5534B"/>
    <w:rsid w:val="00F5627E"/>
    <w:rsid w:val="00F601C6"/>
    <w:rsid w:val="00F62D20"/>
    <w:rsid w:val="00F67E8B"/>
    <w:rsid w:val="00F709A8"/>
    <w:rsid w:val="00F70D6A"/>
    <w:rsid w:val="00F70DE9"/>
    <w:rsid w:val="00F71A94"/>
    <w:rsid w:val="00F74410"/>
    <w:rsid w:val="00F775EA"/>
    <w:rsid w:val="00F776AE"/>
    <w:rsid w:val="00F8079A"/>
    <w:rsid w:val="00F81C29"/>
    <w:rsid w:val="00F82F02"/>
    <w:rsid w:val="00F832B7"/>
    <w:rsid w:val="00F84268"/>
    <w:rsid w:val="00F849DB"/>
    <w:rsid w:val="00F84C51"/>
    <w:rsid w:val="00F85975"/>
    <w:rsid w:val="00F85C94"/>
    <w:rsid w:val="00F86E18"/>
    <w:rsid w:val="00F93431"/>
    <w:rsid w:val="00F966BC"/>
    <w:rsid w:val="00F96D86"/>
    <w:rsid w:val="00FA211E"/>
    <w:rsid w:val="00FA3C9F"/>
    <w:rsid w:val="00FA7A61"/>
    <w:rsid w:val="00FB64C7"/>
    <w:rsid w:val="00FB66C6"/>
    <w:rsid w:val="00FC147D"/>
    <w:rsid w:val="00FC191B"/>
    <w:rsid w:val="00FC3A68"/>
    <w:rsid w:val="00FD091B"/>
    <w:rsid w:val="00FD0949"/>
    <w:rsid w:val="00FD274F"/>
    <w:rsid w:val="00FD27A6"/>
    <w:rsid w:val="00FD727F"/>
    <w:rsid w:val="00FE0A71"/>
    <w:rsid w:val="00FE3979"/>
    <w:rsid w:val="00FE70E5"/>
    <w:rsid w:val="00FE7810"/>
    <w:rsid w:val="00FE7AA8"/>
    <w:rsid w:val="00FF39DC"/>
    <w:rsid w:val="00FF4047"/>
    <w:rsid w:val="00FF6BC6"/>
    <w:rsid w:val="00FF7EA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D4AF0E2"/>
  <w14:defaultImageDpi w14:val="300"/>
  <w15:docId w15:val="{DC55AA1D-643E-D643-8FF9-78E1540CCA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0E0ABF"/>
    <w:pPr>
      <w:spacing w:before="100" w:beforeAutospacing="1" w:after="100" w:afterAutospacing="1"/>
      <w:outlineLvl w:val="0"/>
    </w:pPr>
    <w:rPr>
      <w:rFonts w:ascii="Times" w:hAnsi="Times"/>
      <w:b/>
      <w:bCs/>
      <w:kern w:val="36"/>
      <w:sz w:val="48"/>
      <w:szCs w:val="48"/>
      <w:lang w:val="en-GB"/>
    </w:rPr>
  </w:style>
  <w:style w:type="paragraph" w:styleId="Heading3">
    <w:name w:val="heading 3"/>
    <w:basedOn w:val="Normal"/>
    <w:next w:val="Normal"/>
    <w:link w:val="Heading3Char"/>
    <w:uiPriority w:val="9"/>
    <w:unhideWhenUsed/>
    <w:qFormat/>
    <w:rsid w:val="002A48C5"/>
    <w:pPr>
      <w:keepNext/>
      <w:keepLines/>
      <w:spacing w:before="40"/>
      <w:outlineLvl w:val="2"/>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BA3261"/>
    <w:rPr>
      <w:color w:val="0563C1"/>
      <w:u w:val="single"/>
    </w:rPr>
  </w:style>
  <w:style w:type="paragraph" w:customStyle="1" w:styleId="EndNoteBibliographyTitle">
    <w:name w:val="EndNote Bibliography Title"/>
    <w:basedOn w:val="Normal"/>
    <w:rsid w:val="00C812D0"/>
    <w:pPr>
      <w:jc w:val="center"/>
    </w:pPr>
    <w:rPr>
      <w:rFonts w:cs="Times New Roman"/>
    </w:rPr>
  </w:style>
  <w:style w:type="paragraph" w:customStyle="1" w:styleId="EndNoteBibliography">
    <w:name w:val="EndNote Bibliography"/>
    <w:basedOn w:val="Normal"/>
    <w:rsid w:val="00C812D0"/>
    <w:rPr>
      <w:rFonts w:cs="Times New Roman"/>
    </w:rPr>
  </w:style>
  <w:style w:type="paragraph" w:customStyle="1" w:styleId="BodyA">
    <w:name w:val="Body A"/>
    <w:rsid w:val="00425271"/>
    <w:pPr>
      <w:pBdr>
        <w:top w:val="nil"/>
        <w:left w:val="nil"/>
        <w:bottom w:val="nil"/>
        <w:right w:val="nil"/>
        <w:between w:val="nil"/>
        <w:bar w:val="nil"/>
      </w:pBdr>
    </w:pPr>
    <w:rPr>
      <w:rFonts w:eastAsia="Arial Unicode MS" w:hAnsi="Arial Unicode MS" w:cs="Arial Unicode MS"/>
      <w:color w:val="000000"/>
      <w:u w:color="000000"/>
      <w:bdr w:val="nil"/>
    </w:rPr>
  </w:style>
  <w:style w:type="paragraph" w:styleId="BalloonText">
    <w:name w:val="Balloon Text"/>
    <w:basedOn w:val="Normal"/>
    <w:link w:val="BalloonTextChar"/>
    <w:uiPriority w:val="99"/>
    <w:semiHidden/>
    <w:unhideWhenUsed/>
    <w:rsid w:val="00E14D2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14D21"/>
    <w:rPr>
      <w:rFonts w:ascii="Lucida Grande" w:hAnsi="Lucida Grande" w:cs="Lucida Grande"/>
      <w:sz w:val="18"/>
      <w:szCs w:val="18"/>
    </w:rPr>
  </w:style>
  <w:style w:type="paragraph" w:styleId="Footer">
    <w:name w:val="footer"/>
    <w:basedOn w:val="Normal"/>
    <w:link w:val="FooterChar"/>
    <w:uiPriority w:val="99"/>
    <w:unhideWhenUsed/>
    <w:rsid w:val="00C11AAA"/>
    <w:pPr>
      <w:tabs>
        <w:tab w:val="center" w:pos="4320"/>
        <w:tab w:val="right" w:pos="8640"/>
      </w:tabs>
    </w:pPr>
  </w:style>
  <w:style w:type="character" w:customStyle="1" w:styleId="FooterChar">
    <w:name w:val="Footer Char"/>
    <w:basedOn w:val="DefaultParagraphFont"/>
    <w:link w:val="Footer"/>
    <w:uiPriority w:val="99"/>
    <w:rsid w:val="00C11AAA"/>
  </w:style>
  <w:style w:type="character" w:styleId="PageNumber">
    <w:name w:val="page number"/>
    <w:basedOn w:val="DefaultParagraphFont"/>
    <w:uiPriority w:val="99"/>
    <w:semiHidden/>
    <w:unhideWhenUsed/>
    <w:rsid w:val="00C11AAA"/>
  </w:style>
  <w:style w:type="character" w:customStyle="1" w:styleId="Heading1Char">
    <w:name w:val="Heading 1 Char"/>
    <w:basedOn w:val="DefaultParagraphFont"/>
    <w:link w:val="Heading1"/>
    <w:uiPriority w:val="9"/>
    <w:rsid w:val="000E0ABF"/>
    <w:rPr>
      <w:rFonts w:ascii="Times" w:hAnsi="Times"/>
      <w:b/>
      <w:bCs/>
      <w:kern w:val="36"/>
      <w:sz w:val="48"/>
      <w:szCs w:val="48"/>
      <w:lang w:val="en-GB"/>
    </w:rPr>
  </w:style>
  <w:style w:type="character" w:customStyle="1" w:styleId="highlight">
    <w:name w:val="highlight"/>
    <w:basedOn w:val="DefaultParagraphFont"/>
    <w:rsid w:val="000E0ABF"/>
  </w:style>
  <w:style w:type="paragraph" w:customStyle="1" w:styleId="Bibliography1">
    <w:name w:val="Bibliography1"/>
    <w:basedOn w:val="Normal"/>
    <w:link w:val="BibliographyCar"/>
    <w:rsid w:val="003E0DA9"/>
    <w:pPr>
      <w:tabs>
        <w:tab w:val="left" w:pos="500"/>
      </w:tabs>
      <w:spacing w:after="240"/>
      <w:ind w:left="504" w:hanging="504"/>
    </w:pPr>
  </w:style>
  <w:style w:type="character" w:customStyle="1" w:styleId="BibliographyCar">
    <w:name w:val="Bibliography Car"/>
    <w:basedOn w:val="DefaultParagraphFont"/>
    <w:link w:val="Bibliography1"/>
    <w:rsid w:val="003E0DA9"/>
  </w:style>
  <w:style w:type="character" w:styleId="CommentReference">
    <w:name w:val="annotation reference"/>
    <w:basedOn w:val="DefaultParagraphFont"/>
    <w:uiPriority w:val="99"/>
    <w:semiHidden/>
    <w:unhideWhenUsed/>
    <w:rsid w:val="00DC3433"/>
    <w:rPr>
      <w:sz w:val="18"/>
      <w:szCs w:val="18"/>
    </w:rPr>
  </w:style>
  <w:style w:type="paragraph" w:styleId="CommentText">
    <w:name w:val="annotation text"/>
    <w:basedOn w:val="Normal"/>
    <w:link w:val="CommentTextChar"/>
    <w:uiPriority w:val="99"/>
    <w:semiHidden/>
    <w:unhideWhenUsed/>
    <w:rsid w:val="00DC3433"/>
  </w:style>
  <w:style w:type="character" w:customStyle="1" w:styleId="CommentTextChar">
    <w:name w:val="Comment Text Char"/>
    <w:basedOn w:val="DefaultParagraphFont"/>
    <w:link w:val="CommentText"/>
    <w:uiPriority w:val="99"/>
    <w:semiHidden/>
    <w:rsid w:val="00DC3433"/>
  </w:style>
  <w:style w:type="paragraph" w:styleId="CommentSubject">
    <w:name w:val="annotation subject"/>
    <w:basedOn w:val="CommentText"/>
    <w:next w:val="CommentText"/>
    <w:link w:val="CommentSubjectChar"/>
    <w:uiPriority w:val="99"/>
    <w:semiHidden/>
    <w:unhideWhenUsed/>
    <w:rsid w:val="00DC3433"/>
    <w:rPr>
      <w:b/>
      <w:bCs/>
      <w:sz w:val="20"/>
      <w:szCs w:val="20"/>
    </w:rPr>
  </w:style>
  <w:style w:type="character" w:customStyle="1" w:styleId="CommentSubjectChar">
    <w:name w:val="Comment Subject Char"/>
    <w:basedOn w:val="CommentTextChar"/>
    <w:link w:val="CommentSubject"/>
    <w:uiPriority w:val="99"/>
    <w:semiHidden/>
    <w:rsid w:val="00DC3433"/>
    <w:rPr>
      <w:b/>
      <w:bCs/>
      <w:sz w:val="20"/>
      <w:szCs w:val="20"/>
    </w:rPr>
  </w:style>
  <w:style w:type="paragraph" w:styleId="Title">
    <w:name w:val="Title"/>
    <w:aliases w:val="title"/>
    <w:basedOn w:val="Normal"/>
    <w:link w:val="TitleChar"/>
    <w:uiPriority w:val="10"/>
    <w:qFormat/>
    <w:rsid w:val="0091234B"/>
    <w:pPr>
      <w:spacing w:before="100" w:beforeAutospacing="1" w:after="100" w:afterAutospacing="1"/>
    </w:pPr>
    <w:rPr>
      <w:rFonts w:cs="Times New Roman"/>
      <w:sz w:val="20"/>
      <w:szCs w:val="20"/>
      <w:lang w:val="en-GB"/>
    </w:rPr>
  </w:style>
  <w:style w:type="character" w:customStyle="1" w:styleId="TitleChar">
    <w:name w:val="Title Char"/>
    <w:aliases w:val="title Char"/>
    <w:basedOn w:val="DefaultParagraphFont"/>
    <w:link w:val="Title"/>
    <w:uiPriority w:val="10"/>
    <w:rsid w:val="0091234B"/>
    <w:rPr>
      <w:rFonts w:cs="Times New Roman"/>
      <w:sz w:val="20"/>
      <w:szCs w:val="20"/>
      <w:lang w:val="en-GB"/>
    </w:rPr>
  </w:style>
  <w:style w:type="paragraph" w:customStyle="1" w:styleId="desc">
    <w:name w:val="desc"/>
    <w:basedOn w:val="Normal"/>
    <w:rsid w:val="0091234B"/>
    <w:pPr>
      <w:spacing w:before="100" w:beforeAutospacing="1" w:after="100" w:afterAutospacing="1"/>
    </w:pPr>
    <w:rPr>
      <w:rFonts w:cs="Times New Roman"/>
      <w:sz w:val="20"/>
      <w:szCs w:val="20"/>
      <w:lang w:val="en-GB"/>
    </w:rPr>
  </w:style>
  <w:style w:type="paragraph" w:customStyle="1" w:styleId="details">
    <w:name w:val="details"/>
    <w:basedOn w:val="Normal"/>
    <w:rsid w:val="0091234B"/>
    <w:pPr>
      <w:spacing w:before="100" w:beforeAutospacing="1" w:after="100" w:afterAutospacing="1"/>
    </w:pPr>
    <w:rPr>
      <w:rFonts w:cs="Times New Roman"/>
      <w:sz w:val="20"/>
      <w:szCs w:val="20"/>
      <w:lang w:val="en-GB"/>
    </w:rPr>
  </w:style>
  <w:style w:type="character" w:customStyle="1" w:styleId="jrnl">
    <w:name w:val="jrnl"/>
    <w:basedOn w:val="DefaultParagraphFont"/>
    <w:rsid w:val="0091234B"/>
  </w:style>
  <w:style w:type="paragraph" w:styleId="Revision">
    <w:name w:val="Revision"/>
    <w:hidden/>
    <w:uiPriority w:val="99"/>
    <w:semiHidden/>
    <w:rsid w:val="0091234B"/>
  </w:style>
  <w:style w:type="paragraph" w:styleId="ListParagraph">
    <w:name w:val="List Paragraph"/>
    <w:basedOn w:val="Normal"/>
    <w:uiPriority w:val="34"/>
    <w:qFormat/>
    <w:rsid w:val="009D3A8C"/>
    <w:pPr>
      <w:ind w:left="720"/>
      <w:contextualSpacing/>
    </w:pPr>
  </w:style>
  <w:style w:type="character" w:customStyle="1" w:styleId="cit-auth">
    <w:name w:val="cit-auth"/>
    <w:basedOn w:val="DefaultParagraphFont"/>
    <w:rsid w:val="0035628D"/>
  </w:style>
  <w:style w:type="character" w:customStyle="1" w:styleId="cit-name-surname">
    <w:name w:val="cit-name-surname"/>
    <w:basedOn w:val="DefaultParagraphFont"/>
    <w:rsid w:val="0035628D"/>
  </w:style>
  <w:style w:type="character" w:customStyle="1" w:styleId="cit-name-given-names">
    <w:name w:val="cit-name-given-names"/>
    <w:basedOn w:val="DefaultParagraphFont"/>
    <w:rsid w:val="0035628D"/>
  </w:style>
  <w:style w:type="character" w:styleId="HTMLCite">
    <w:name w:val="HTML Cite"/>
    <w:basedOn w:val="DefaultParagraphFont"/>
    <w:uiPriority w:val="99"/>
    <w:semiHidden/>
    <w:unhideWhenUsed/>
    <w:rsid w:val="0035628D"/>
    <w:rPr>
      <w:i/>
      <w:iCs/>
    </w:rPr>
  </w:style>
  <w:style w:type="character" w:customStyle="1" w:styleId="cit-article-title">
    <w:name w:val="cit-article-title"/>
    <w:basedOn w:val="DefaultParagraphFont"/>
    <w:rsid w:val="0035628D"/>
  </w:style>
  <w:style w:type="character" w:customStyle="1" w:styleId="cit-pub-date">
    <w:name w:val="cit-pub-date"/>
    <w:basedOn w:val="DefaultParagraphFont"/>
    <w:rsid w:val="0035628D"/>
  </w:style>
  <w:style w:type="character" w:customStyle="1" w:styleId="cit-vol">
    <w:name w:val="cit-vol"/>
    <w:basedOn w:val="DefaultParagraphFont"/>
    <w:rsid w:val="0035628D"/>
  </w:style>
  <w:style w:type="character" w:customStyle="1" w:styleId="cit-fpage">
    <w:name w:val="cit-fpage"/>
    <w:basedOn w:val="DefaultParagraphFont"/>
    <w:rsid w:val="0035628D"/>
  </w:style>
  <w:style w:type="character" w:customStyle="1" w:styleId="cit-lpage">
    <w:name w:val="cit-lpage"/>
    <w:basedOn w:val="DefaultParagraphFont"/>
    <w:rsid w:val="0035628D"/>
  </w:style>
  <w:style w:type="character" w:customStyle="1" w:styleId="Heading3Char">
    <w:name w:val="Heading 3 Char"/>
    <w:basedOn w:val="DefaultParagraphFont"/>
    <w:link w:val="Heading3"/>
    <w:uiPriority w:val="9"/>
    <w:rsid w:val="002A48C5"/>
    <w:rPr>
      <w:rFonts w:asciiTheme="majorHAnsi" w:eastAsiaTheme="majorEastAsia" w:hAnsiTheme="majorHAnsi" w:cstheme="majorBidi"/>
      <w:color w:val="243F60" w:themeColor="accent1" w:themeShade="7F"/>
    </w:rPr>
  </w:style>
  <w:style w:type="paragraph" w:customStyle="1" w:styleId="Bibliographie1">
    <w:name w:val="Bibliographie1"/>
    <w:basedOn w:val="Normal"/>
    <w:link w:val="BibliographyCar1"/>
    <w:rsid w:val="00BA2A15"/>
    <w:pPr>
      <w:spacing w:after="240"/>
    </w:pPr>
    <w:rPr>
      <w:bCs/>
    </w:rPr>
  </w:style>
  <w:style w:type="character" w:customStyle="1" w:styleId="BibliographyCar1">
    <w:name w:val="Bibliography Car1"/>
    <w:basedOn w:val="DefaultParagraphFont"/>
    <w:link w:val="Bibliographie1"/>
    <w:rsid w:val="00BA2A15"/>
    <w:rPr>
      <w:bCs/>
    </w:rPr>
  </w:style>
  <w:style w:type="character" w:styleId="LineNumber">
    <w:name w:val="line number"/>
    <w:basedOn w:val="DefaultParagraphFont"/>
    <w:uiPriority w:val="99"/>
    <w:semiHidden/>
    <w:unhideWhenUsed/>
    <w:rsid w:val="00FC3A68"/>
  </w:style>
  <w:style w:type="paragraph" w:customStyle="1" w:styleId="Bibliography2">
    <w:name w:val="Bibliography2"/>
    <w:basedOn w:val="Normal"/>
    <w:link w:val="BibliographyCar2"/>
    <w:rsid w:val="00DB54AF"/>
    <w:pPr>
      <w:tabs>
        <w:tab w:val="left" w:pos="500"/>
      </w:tabs>
      <w:spacing w:after="240"/>
      <w:ind w:left="504" w:hanging="504"/>
    </w:pPr>
    <w:rPr>
      <w:bCs/>
    </w:rPr>
  </w:style>
  <w:style w:type="character" w:customStyle="1" w:styleId="BibliographyCar2">
    <w:name w:val="Bibliography Car2"/>
    <w:basedOn w:val="DefaultParagraphFont"/>
    <w:link w:val="Bibliography2"/>
    <w:rsid w:val="00DB54AF"/>
    <w:rPr>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007193">
      <w:bodyDiv w:val="1"/>
      <w:marLeft w:val="0"/>
      <w:marRight w:val="0"/>
      <w:marTop w:val="0"/>
      <w:marBottom w:val="0"/>
      <w:divBdr>
        <w:top w:val="none" w:sz="0" w:space="0" w:color="auto"/>
        <w:left w:val="none" w:sz="0" w:space="0" w:color="auto"/>
        <w:bottom w:val="none" w:sz="0" w:space="0" w:color="auto"/>
        <w:right w:val="none" w:sz="0" w:space="0" w:color="auto"/>
      </w:divBdr>
    </w:div>
    <w:div w:id="98524008">
      <w:bodyDiv w:val="1"/>
      <w:marLeft w:val="0"/>
      <w:marRight w:val="0"/>
      <w:marTop w:val="0"/>
      <w:marBottom w:val="0"/>
      <w:divBdr>
        <w:top w:val="none" w:sz="0" w:space="0" w:color="auto"/>
        <w:left w:val="none" w:sz="0" w:space="0" w:color="auto"/>
        <w:bottom w:val="none" w:sz="0" w:space="0" w:color="auto"/>
        <w:right w:val="none" w:sz="0" w:space="0" w:color="auto"/>
      </w:divBdr>
    </w:div>
    <w:div w:id="138695171">
      <w:bodyDiv w:val="1"/>
      <w:marLeft w:val="0"/>
      <w:marRight w:val="0"/>
      <w:marTop w:val="0"/>
      <w:marBottom w:val="0"/>
      <w:divBdr>
        <w:top w:val="none" w:sz="0" w:space="0" w:color="auto"/>
        <w:left w:val="none" w:sz="0" w:space="0" w:color="auto"/>
        <w:bottom w:val="none" w:sz="0" w:space="0" w:color="auto"/>
        <w:right w:val="none" w:sz="0" w:space="0" w:color="auto"/>
      </w:divBdr>
      <w:divsChild>
        <w:div w:id="1601253056">
          <w:marLeft w:val="0"/>
          <w:marRight w:val="0"/>
          <w:marTop w:val="0"/>
          <w:marBottom w:val="0"/>
          <w:divBdr>
            <w:top w:val="none" w:sz="0" w:space="0" w:color="auto"/>
            <w:left w:val="none" w:sz="0" w:space="0" w:color="auto"/>
            <w:bottom w:val="none" w:sz="0" w:space="0" w:color="auto"/>
            <w:right w:val="none" w:sz="0" w:space="0" w:color="auto"/>
          </w:divBdr>
        </w:div>
        <w:div w:id="103962560">
          <w:marLeft w:val="0"/>
          <w:marRight w:val="0"/>
          <w:marTop w:val="0"/>
          <w:marBottom w:val="0"/>
          <w:divBdr>
            <w:top w:val="none" w:sz="0" w:space="0" w:color="auto"/>
            <w:left w:val="none" w:sz="0" w:space="0" w:color="auto"/>
            <w:bottom w:val="none" w:sz="0" w:space="0" w:color="auto"/>
            <w:right w:val="none" w:sz="0" w:space="0" w:color="auto"/>
          </w:divBdr>
        </w:div>
      </w:divsChild>
    </w:div>
    <w:div w:id="306519975">
      <w:bodyDiv w:val="1"/>
      <w:marLeft w:val="0"/>
      <w:marRight w:val="0"/>
      <w:marTop w:val="0"/>
      <w:marBottom w:val="0"/>
      <w:divBdr>
        <w:top w:val="none" w:sz="0" w:space="0" w:color="auto"/>
        <w:left w:val="none" w:sz="0" w:space="0" w:color="auto"/>
        <w:bottom w:val="none" w:sz="0" w:space="0" w:color="auto"/>
        <w:right w:val="none" w:sz="0" w:space="0" w:color="auto"/>
      </w:divBdr>
    </w:div>
    <w:div w:id="320307079">
      <w:bodyDiv w:val="1"/>
      <w:marLeft w:val="0"/>
      <w:marRight w:val="0"/>
      <w:marTop w:val="0"/>
      <w:marBottom w:val="0"/>
      <w:divBdr>
        <w:top w:val="none" w:sz="0" w:space="0" w:color="auto"/>
        <w:left w:val="none" w:sz="0" w:space="0" w:color="auto"/>
        <w:bottom w:val="none" w:sz="0" w:space="0" w:color="auto"/>
        <w:right w:val="none" w:sz="0" w:space="0" w:color="auto"/>
      </w:divBdr>
    </w:div>
    <w:div w:id="476653723">
      <w:bodyDiv w:val="1"/>
      <w:marLeft w:val="0"/>
      <w:marRight w:val="0"/>
      <w:marTop w:val="0"/>
      <w:marBottom w:val="0"/>
      <w:divBdr>
        <w:top w:val="none" w:sz="0" w:space="0" w:color="auto"/>
        <w:left w:val="none" w:sz="0" w:space="0" w:color="auto"/>
        <w:bottom w:val="none" w:sz="0" w:space="0" w:color="auto"/>
        <w:right w:val="none" w:sz="0" w:space="0" w:color="auto"/>
      </w:divBdr>
      <w:divsChild>
        <w:div w:id="127555379">
          <w:marLeft w:val="0"/>
          <w:marRight w:val="0"/>
          <w:marTop w:val="0"/>
          <w:marBottom w:val="0"/>
          <w:divBdr>
            <w:top w:val="none" w:sz="0" w:space="0" w:color="auto"/>
            <w:left w:val="none" w:sz="0" w:space="0" w:color="auto"/>
            <w:bottom w:val="none" w:sz="0" w:space="0" w:color="auto"/>
            <w:right w:val="none" w:sz="0" w:space="0" w:color="auto"/>
          </w:divBdr>
        </w:div>
        <w:div w:id="1953895813">
          <w:marLeft w:val="0"/>
          <w:marRight w:val="0"/>
          <w:marTop w:val="0"/>
          <w:marBottom w:val="0"/>
          <w:divBdr>
            <w:top w:val="none" w:sz="0" w:space="0" w:color="auto"/>
            <w:left w:val="none" w:sz="0" w:space="0" w:color="auto"/>
            <w:bottom w:val="none" w:sz="0" w:space="0" w:color="auto"/>
            <w:right w:val="none" w:sz="0" w:space="0" w:color="auto"/>
          </w:divBdr>
        </w:div>
      </w:divsChild>
    </w:div>
    <w:div w:id="529757096">
      <w:bodyDiv w:val="1"/>
      <w:marLeft w:val="0"/>
      <w:marRight w:val="0"/>
      <w:marTop w:val="0"/>
      <w:marBottom w:val="0"/>
      <w:divBdr>
        <w:top w:val="none" w:sz="0" w:space="0" w:color="auto"/>
        <w:left w:val="none" w:sz="0" w:space="0" w:color="auto"/>
        <w:bottom w:val="none" w:sz="0" w:space="0" w:color="auto"/>
        <w:right w:val="none" w:sz="0" w:space="0" w:color="auto"/>
      </w:divBdr>
    </w:div>
    <w:div w:id="674381035">
      <w:bodyDiv w:val="1"/>
      <w:marLeft w:val="0"/>
      <w:marRight w:val="0"/>
      <w:marTop w:val="0"/>
      <w:marBottom w:val="0"/>
      <w:divBdr>
        <w:top w:val="none" w:sz="0" w:space="0" w:color="auto"/>
        <w:left w:val="none" w:sz="0" w:space="0" w:color="auto"/>
        <w:bottom w:val="none" w:sz="0" w:space="0" w:color="auto"/>
        <w:right w:val="none" w:sz="0" w:space="0" w:color="auto"/>
      </w:divBdr>
      <w:divsChild>
        <w:div w:id="328825038">
          <w:marLeft w:val="0"/>
          <w:marRight w:val="0"/>
          <w:marTop w:val="0"/>
          <w:marBottom w:val="0"/>
          <w:divBdr>
            <w:top w:val="none" w:sz="0" w:space="0" w:color="auto"/>
            <w:left w:val="none" w:sz="0" w:space="0" w:color="auto"/>
            <w:bottom w:val="none" w:sz="0" w:space="0" w:color="auto"/>
            <w:right w:val="none" w:sz="0" w:space="0" w:color="auto"/>
          </w:divBdr>
        </w:div>
      </w:divsChild>
    </w:div>
    <w:div w:id="864712921">
      <w:bodyDiv w:val="1"/>
      <w:marLeft w:val="0"/>
      <w:marRight w:val="0"/>
      <w:marTop w:val="0"/>
      <w:marBottom w:val="0"/>
      <w:divBdr>
        <w:top w:val="none" w:sz="0" w:space="0" w:color="auto"/>
        <w:left w:val="none" w:sz="0" w:space="0" w:color="auto"/>
        <w:bottom w:val="none" w:sz="0" w:space="0" w:color="auto"/>
        <w:right w:val="none" w:sz="0" w:space="0" w:color="auto"/>
      </w:divBdr>
    </w:div>
    <w:div w:id="972489771">
      <w:bodyDiv w:val="1"/>
      <w:marLeft w:val="0"/>
      <w:marRight w:val="0"/>
      <w:marTop w:val="0"/>
      <w:marBottom w:val="0"/>
      <w:divBdr>
        <w:top w:val="none" w:sz="0" w:space="0" w:color="auto"/>
        <w:left w:val="none" w:sz="0" w:space="0" w:color="auto"/>
        <w:bottom w:val="none" w:sz="0" w:space="0" w:color="auto"/>
        <w:right w:val="none" w:sz="0" w:space="0" w:color="auto"/>
      </w:divBdr>
      <w:divsChild>
        <w:div w:id="1502818866">
          <w:marLeft w:val="0"/>
          <w:marRight w:val="0"/>
          <w:marTop w:val="0"/>
          <w:marBottom w:val="0"/>
          <w:divBdr>
            <w:top w:val="none" w:sz="0" w:space="0" w:color="auto"/>
            <w:left w:val="none" w:sz="0" w:space="0" w:color="auto"/>
            <w:bottom w:val="none" w:sz="0" w:space="0" w:color="auto"/>
            <w:right w:val="none" w:sz="0" w:space="0" w:color="auto"/>
          </w:divBdr>
          <w:divsChild>
            <w:div w:id="1088816704">
              <w:marLeft w:val="0"/>
              <w:marRight w:val="0"/>
              <w:marTop w:val="0"/>
              <w:marBottom w:val="0"/>
              <w:divBdr>
                <w:top w:val="none" w:sz="0" w:space="0" w:color="auto"/>
                <w:left w:val="none" w:sz="0" w:space="0" w:color="auto"/>
                <w:bottom w:val="none" w:sz="0" w:space="0" w:color="auto"/>
                <w:right w:val="none" w:sz="0" w:space="0" w:color="auto"/>
              </w:divBdr>
              <w:divsChild>
                <w:div w:id="1255283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479616">
      <w:bodyDiv w:val="1"/>
      <w:marLeft w:val="0"/>
      <w:marRight w:val="0"/>
      <w:marTop w:val="0"/>
      <w:marBottom w:val="0"/>
      <w:divBdr>
        <w:top w:val="none" w:sz="0" w:space="0" w:color="auto"/>
        <w:left w:val="none" w:sz="0" w:space="0" w:color="auto"/>
        <w:bottom w:val="none" w:sz="0" w:space="0" w:color="auto"/>
        <w:right w:val="none" w:sz="0" w:space="0" w:color="auto"/>
      </w:divBdr>
    </w:div>
    <w:div w:id="1032270747">
      <w:bodyDiv w:val="1"/>
      <w:marLeft w:val="0"/>
      <w:marRight w:val="0"/>
      <w:marTop w:val="0"/>
      <w:marBottom w:val="0"/>
      <w:divBdr>
        <w:top w:val="none" w:sz="0" w:space="0" w:color="auto"/>
        <w:left w:val="none" w:sz="0" w:space="0" w:color="auto"/>
        <w:bottom w:val="none" w:sz="0" w:space="0" w:color="auto"/>
        <w:right w:val="none" w:sz="0" w:space="0" w:color="auto"/>
      </w:divBdr>
      <w:divsChild>
        <w:div w:id="658269681">
          <w:marLeft w:val="0"/>
          <w:marRight w:val="0"/>
          <w:marTop w:val="0"/>
          <w:marBottom w:val="0"/>
          <w:divBdr>
            <w:top w:val="none" w:sz="0" w:space="0" w:color="auto"/>
            <w:left w:val="none" w:sz="0" w:space="0" w:color="auto"/>
            <w:bottom w:val="none" w:sz="0" w:space="0" w:color="auto"/>
            <w:right w:val="none" w:sz="0" w:space="0" w:color="auto"/>
          </w:divBdr>
        </w:div>
        <w:div w:id="1996302077">
          <w:marLeft w:val="0"/>
          <w:marRight w:val="0"/>
          <w:marTop w:val="0"/>
          <w:marBottom w:val="0"/>
          <w:divBdr>
            <w:top w:val="none" w:sz="0" w:space="0" w:color="auto"/>
            <w:left w:val="none" w:sz="0" w:space="0" w:color="auto"/>
            <w:bottom w:val="none" w:sz="0" w:space="0" w:color="auto"/>
            <w:right w:val="none" w:sz="0" w:space="0" w:color="auto"/>
          </w:divBdr>
        </w:div>
      </w:divsChild>
    </w:div>
    <w:div w:id="1286930885">
      <w:bodyDiv w:val="1"/>
      <w:marLeft w:val="0"/>
      <w:marRight w:val="0"/>
      <w:marTop w:val="0"/>
      <w:marBottom w:val="0"/>
      <w:divBdr>
        <w:top w:val="none" w:sz="0" w:space="0" w:color="auto"/>
        <w:left w:val="none" w:sz="0" w:space="0" w:color="auto"/>
        <w:bottom w:val="none" w:sz="0" w:space="0" w:color="auto"/>
        <w:right w:val="none" w:sz="0" w:space="0" w:color="auto"/>
      </w:divBdr>
    </w:div>
    <w:div w:id="1306083933">
      <w:bodyDiv w:val="1"/>
      <w:marLeft w:val="0"/>
      <w:marRight w:val="0"/>
      <w:marTop w:val="0"/>
      <w:marBottom w:val="0"/>
      <w:divBdr>
        <w:top w:val="none" w:sz="0" w:space="0" w:color="auto"/>
        <w:left w:val="none" w:sz="0" w:space="0" w:color="auto"/>
        <w:bottom w:val="none" w:sz="0" w:space="0" w:color="auto"/>
        <w:right w:val="none" w:sz="0" w:space="0" w:color="auto"/>
      </w:divBdr>
    </w:div>
    <w:div w:id="1322388485">
      <w:bodyDiv w:val="1"/>
      <w:marLeft w:val="0"/>
      <w:marRight w:val="0"/>
      <w:marTop w:val="0"/>
      <w:marBottom w:val="0"/>
      <w:divBdr>
        <w:top w:val="none" w:sz="0" w:space="0" w:color="auto"/>
        <w:left w:val="none" w:sz="0" w:space="0" w:color="auto"/>
        <w:bottom w:val="none" w:sz="0" w:space="0" w:color="auto"/>
        <w:right w:val="none" w:sz="0" w:space="0" w:color="auto"/>
      </w:divBdr>
      <w:divsChild>
        <w:div w:id="1803419991">
          <w:marLeft w:val="0"/>
          <w:marRight w:val="0"/>
          <w:marTop w:val="0"/>
          <w:marBottom w:val="0"/>
          <w:divBdr>
            <w:top w:val="none" w:sz="0" w:space="0" w:color="auto"/>
            <w:left w:val="none" w:sz="0" w:space="0" w:color="auto"/>
            <w:bottom w:val="none" w:sz="0" w:space="0" w:color="auto"/>
            <w:right w:val="none" w:sz="0" w:space="0" w:color="auto"/>
          </w:divBdr>
        </w:div>
        <w:div w:id="1870022409">
          <w:marLeft w:val="0"/>
          <w:marRight w:val="0"/>
          <w:marTop w:val="0"/>
          <w:marBottom w:val="0"/>
          <w:divBdr>
            <w:top w:val="none" w:sz="0" w:space="0" w:color="auto"/>
            <w:left w:val="none" w:sz="0" w:space="0" w:color="auto"/>
            <w:bottom w:val="none" w:sz="0" w:space="0" w:color="auto"/>
            <w:right w:val="none" w:sz="0" w:space="0" w:color="auto"/>
          </w:divBdr>
        </w:div>
      </w:divsChild>
    </w:div>
    <w:div w:id="1401705972">
      <w:bodyDiv w:val="1"/>
      <w:marLeft w:val="0"/>
      <w:marRight w:val="0"/>
      <w:marTop w:val="0"/>
      <w:marBottom w:val="0"/>
      <w:divBdr>
        <w:top w:val="none" w:sz="0" w:space="0" w:color="auto"/>
        <w:left w:val="none" w:sz="0" w:space="0" w:color="auto"/>
        <w:bottom w:val="none" w:sz="0" w:space="0" w:color="auto"/>
        <w:right w:val="none" w:sz="0" w:space="0" w:color="auto"/>
      </w:divBdr>
      <w:divsChild>
        <w:div w:id="919563787">
          <w:marLeft w:val="0"/>
          <w:marRight w:val="0"/>
          <w:marTop w:val="0"/>
          <w:marBottom w:val="0"/>
          <w:divBdr>
            <w:top w:val="none" w:sz="0" w:space="0" w:color="auto"/>
            <w:left w:val="none" w:sz="0" w:space="0" w:color="auto"/>
            <w:bottom w:val="none" w:sz="0" w:space="0" w:color="auto"/>
            <w:right w:val="none" w:sz="0" w:space="0" w:color="auto"/>
          </w:divBdr>
        </w:div>
      </w:divsChild>
    </w:div>
    <w:div w:id="1429233751">
      <w:bodyDiv w:val="1"/>
      <w:marLeft w:val="0"/>
      <w:marRight w:val="0"/>
      <w:marTop w:val="0"/>
      <w:marBottom w:val="0"/>
      <w:divBdr>
        <w:top w:val="none" w:sz="0" w:space="0" w:color="auto"/>
        <w:left w:val="none" w:sz="0" w:space="0" w:color="auto"/>
        <w:bottom w:val="none" w:sz="0" w:space="0" w:color="auto"/>
        <w:right w:val="none" w:sz="0" w:space="0" w:color="auto"/>
      </w:divBdr>
    </w:div>
    <w:div w:id="1831678600">
      <w:bodyDiv w:val="1"/>
      <w:marLeft w:val="0"/>
      <w:marRight w:val="0"/>
      <w:marTop w:val="0"/>
      <w:marBottom w:val="0"/>
      <w:divBdr>
        <w:top w:val="none" w:sz="0" w:space="0" w:color="auto"/>
        <w:left w:val="none" w:sz="0" w:space="0" w:color="auto"/>
        <w:bottom w:val="none" w:sz="0" w:space="0" w:color="auto"/>
        <w:right w:val="none" w:sz="0" w:space="0" w:color="auto"/>
      </w:divBdr>
    </w:div>
    <w:div w:id="1945456608">
      <w:bodyDiv w:val="1"/>
      <w:marLeft w:val="0"/>
      <w:marRight w:val="0"/>
      <w:marTop w:val="0"/>
      <w:marBottom w:val="0"/>
      <w:divBdr>
        <w:top w:val="none" w:sz="0" w:space="0" w:color="auto"/>
        <w:left w:val="none" w:sz="0" w:space="0" w:color="auto"/>
        <w:bottom w:val="none" w:sz="0" w:space="0" w:color="auto"/>
        <w:right w:val="none" w:sz="0" w:space="0" w:color="auto"/>
      </w:divBdr>
    </w:div>
    <w:div w:id="2044287937">
      <w:bodyDiv w:val="1"/>
      <w:marLeft w:val="0"/>
      <w:marRight w:val="0"/>
      <w:marTop w:val="0"/>
      <w:marBottom w:val="0"/>
      <w:divBdr>
        <w:top w:val="none" w:sz="0" w:space="0" w:color="auto"/>
        <w:left w:val="none" w:sz="0" w:space="0" w:color="auto"/>
        <w:bottom w:val="none" w:sz="0" w:space="0" w:color="auto"/>
        <w:right w:val="none" w:sz="0" w:space="0" w:color="auto"/>
      </w:divBdr>
      <w:divsChild>
        <w:div w:id="78721780">
          <w:marLeft w:val="0"/>
          <w:marRight w:val="0"/>
          <w:marTop w:val="0"/>
          <w:marBottom w:val="0"/>
          <w:divBdr>
            <w:top w:val="none" w:sz="0" w:space="0" w:color="auto"/>
            <w:left w:val="none" w:sz="0" w:space="0" w:color="auto"/>
            <w:bottom w:val="none" w:sz="0" w:space="0" w:color="auto"/>
            <w:right w:val="none" w:sz="0" w:space="0" w:color="auto"/>
          </w:divBdr>
        </w:div>
        <w:div w:id="1642036106">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4.tiff"/><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image" Target="media/image3.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tif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1.tiff"/><Relationship Id="rId4" Type="http://schemas.openxmlformats.org/officeDocument/2006/relationships/webSettings" Target="webSettings.xml"/><Relationship Id="rId9" Type="http://schemas.openxmlformats.org/officeDocument/2006/relationships/hyperlink" Target="http://www.who.int/healthinfo/survey/en/"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30</Pages>
  <Words>29039</Words>
  <Characters>165524</Characters>
  <Application>Microsoft Office Word</Application>
  <DocSecurity>0</DocSecurity>
  <Lines>1379</Lines>
  <Paragraphs>388</Paragraphs>
  <ScaleCrop>false</ScaleCrop>
  <HeadingPairs>
    <vt:vector size="6" baseType="variant">
      <vt:variant>
        <vt:lpstr>Title</vt:lpstr>
      </vt:variant>
      <vt:variant>
        <vt:i4>1</vt:i4>
      </vt:variant>
      <vt:variant>
        <vt:lpstr>Titre</vt:lpstr>
      </vt:variant>
      <vt:variant>
        <vt:i4>1</vt:i4>
      </vt:variant>
      <vt:variant>
        <vt:lpstr>제목</vt:lpstr>
      </vt:variant>
      <vt:variant>
        <vt:i4>1</vt:i4>
      </vt:variant>
    </vt:vector>
  </HeadingPairs>
  <TitlesOfParts>
    <vt:vector size="3" baseType="lpstr">
      <vt:lpstr/>
      <vt:lpstr/>
      <vt:lpstr/>
    </vt:vector>
  </TitlesOfParts>
  <Company/>
  <LinksUpToDate>false</LinksUpToDate>
  <CharactersWithSpaces>194175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 Koyanagi</dc:creator>
  <cp:keywords/>
  <dc:description/>
  <cp:lastModifiedBy>Lee Smith</cp:lastModifiedBy>
  <cp:revision>2</cp:revision>
  <cp:lastPrinted>2019-12-19T13:56:00Z</cp:lastPrinted>
  <dcterms:created xsi:type="dcterms:W3CDTF">2020-01-06T20:43:00Z</dcterms:created>
  <dcterms:modified xsi:type="dcterms:W3CDTF">2020-01-06T20:43:00Z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zotero-version="5.0.78"&gt;&lt;session id="f0IN1YHn"/&gt;&lt;style id="http://www.zotero.org/styles/the-journals-of-gerontology-series-a" hasBibliography="1" bibliographyStyleHasBeenSet="1"/&gt;&lt;prefs&gt;&lt;pref name="fieldType" value="Field"/&gt;&lt;pref na</vt:lpwstr>
  </property>
  <property fmtid="{D5CDD505-2E9C-101B-9397-08002B2CF9AE}" pid="3" name="ZOTERO_PREF_2">
    <vt:lpwstr>me="automaticJournalAbbreviations" value="true"/&gt;&lt;/prefs&gt;&lt;/data&gt;</vt:lpwstr>
  </property>
</Properties>
</file>