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C3946E" w14:textId="77777777" w:rsidR="00751037" w:rsidRPr="0036632E" w:rsidRDefault="00751037" w:rsidP="0036632E">
      <w:pPr>
        <w:pStyle w:val="Title"/>
      </w:pPr>
      <w:r w:rsidRPr="0036632E">
        <w:t>Relationship between sexual orientation and psychotic experiences in the general population in England</w:t>
      </w:r>
    </w:p>
    <w:p w14:paraId="222202CD" w14:textId="77777777" w:rsidR="00751037" w:rsidRPr="008D3E74" w:rsidRDefault="00751037" w:rsidP="000050E5">
      <w:pPr>
        <w:spacing w:line="480" w:lineRule="auto"/>
        <w:rPr>
          <w:rFonts w:ascii="Arial" w:hAnsi="Arial" w:cs="Arial"/>
        </w:rPr>
      </w:pPr>
    </w:p>
    <w:p w14:paraId="0DD226DA" w14:textId="77777777" w:rsidR="00751037" w:rsidRPr="008D3E74" w:rsidRDefault="00751037" w:rsidP="000050E5">
      <w:pPr>
        <w:spacing w:line="480" w:lineRule="auto"/>
        <w:jc w:val="both"/>
        <w:rPr>
          <w:rFonts w:ascii="Arial" w:hAnsi="Arial" w:cs="Arial"/>
        </w:rPr>
      </w:pPr>
      <w:r w:rsidRPr="008D3E74">
        <w:rPr>
          <w:rFonts w:ascii="Arial" w:hAnsi="Arial" w:cs="Arial"/>
          <w:i/>
        </w:rPr>
        <w:t>Short title:</w:t>
      </w:r>
      <w:r w:rsidRPr="008D3E74">
        <w:rPr>
          <w:rFonts w:ascii="Arial" w:hAnsi="Arial" w:cs="Arial"/>
        </w:rPr>
        <w:t xml:space="preserve"> Sexual orientation and psychotic experiences</w:t>
      </w:r>
    </w:p>
    <w:p w14:paraId="52292B66" w14:textId="77777777" w:rsidR="00751037" w:rsidRPr="008D3E74" w:rsidRDefault="00751037" w:rsidP="000050E5">
      <w:pPr>
        <w:spacing w:line="480" w:lineRule="auto"/>
        <w:jc w:val="both"/>
        <w:rPr>
          <w:rFonts w:ascii="Arial" w:hAnsi="Arial" w:cs="Arial"/>
        </w:rPr>
      </w:pPr>
    </w:p>
    <w:p w14:paraId="1072B65C" w14:textId="26CDF9C7" w:rsidR="00751037" w:rsidRPr="008D3E74" w:rsidRDefault="00751037" w:rsidP="000050E5">
      <w:pPr>
        <w:spacing w:line="480" w:lineRule="auto"/>
        <w:jc w:val="both"/>
        <w:rPr>
          <w:rFonts w:ascii="Arial" w:hAnsi="Arial" w:cs="Arial"/>
        </w:rPr>
      </w:pPr>
      <w:r w:rsidRPr="008D3E74">
        <w:rPr>
          <w:rFonts w:ascii="Arial" w:hAnsi="Arial" w:cs="Arial"/>
        </w:rPr>
        <w:t xml:space="preserve">Louis Jacob, </w:t>
      </w:r>
      <w:proofErr w:type="spellStart"/>
      <w:r w:rsidRPr="008D3E74">
        <w:rPr>
          <w:rFonts w:ascii="Arial" w:hAnsi="Arial" w:cs="Arial"/>
        </w:rPr>
        <w:t>PhD</w:t>
      </w:r>
      <w:r w:rsidRPr="008D3E74">
        <w:rPr>
          <w:rFonts w:ascii="Arial" w:hAnsi="Arial" w:cs="Arial"/>
          <w:vertAlign w:val="superscript"/>
        </w:rPr>
        <w:t>a</w:t>
      </w:r>
      <w:r w:rsidR="00B8462A" w:rsidRPr="008D3E74">
        <w:rPr>
          <w:rFonts w:ascii="Arial" w:hAnsi="Arial" w:cs="Arial"/>
          <w:vertAlign w:val="superscript"/>
        </w:rPr>
        <w:t>,b</w:t>
      </w:r>
      <w:proofErr w:type="spellEnd"/>
      <w:r w:rsidRPr="008D3E74">
        <w:rPr>
          <w:rFonts w:ascii="Arial" w:hAnsi="Arial" w:cs="Arial"/>
          <w:vertAlign w:val="superscript"/>
        </w:rPr>
        <w:t>*</w:t>
      </w:r>
      <w:r w:rsidRPr="008D3E74">
        <w:rPr>
          <w:rFonts w:ascii="Arial" w:hAnsi="Arial" w:cs="Arial"/>
        </w:rPr>
        <w:t xml:space="preserve">; Lee Smith, </w:t>
      </w:r>
      <w:proofErr w:type="spellStart"/>
      <w:r w:rsidRPr="008D3E74">
        <w:rPr>
          <w:rFonts w:ascii="Arial" w:hAnsi="Arial" w:cs="Arial"/>
        </w:rPr>
        <w:t>PhD</w:t>
      </w:r>
      <w:r w:rsidR="00465321" w:rsidRPr="008D3E74">
        <w:rPr>
          <w:rFonts w:ascii="Arial" w:hAnsi="Arial" w:cs="Arial"/>
          <w:vertAlign w:val="superscript"/>
        </w:rPr>
        <w:t>c</w:t>
      </w:r>
      <w:proofErr w:type="spellEnd"/>
      <w:r w:rsidRPr="008D3E74">
        <w:rPr>
          <w:rFonts w:ascii="Arial" w:hAnsi="Arial" w:cs="Arial"/>
        </w:rPr>
        <w:t xml:space="preserve">; Daragh McDermott, </w:t>
      </w:r>
      <w:proofErr w:type="spellStart"/>
      <w:r w:rsidRPr="008D3E74">
        <w:rPr>
          <w:rFonts w:ascii="Arial" w:hAnsi="Arial" w:cs="Arial"/>
        </w:rPr>
        <w:t>PhD</w:t>
      </w:r>
      <w:r w:rsidR="00581084" w:rsidRPr="008D3E74">
        <w:rPr>
          <w:rFonts w:ascii="Arial" w:hAnsi="Arial" w:cs="Arial"/>
          <w:vertAlign w:val="superscript"/>
        </w:rPr>
        <w:t>d</w:t>
      </w:r>
      <w:proofErr w:type="spellEnd"/>
      <w:r w:rsidRPr="008D3E74">
        <w:rPr>
          <w:rFonts w:ascii="Arial" w:hAnsi="Arial" w:cs="Arial"/>
        </w:rPr>
        <w:t xml:space="preserve">; </w:t>
      </w:r>
      <w:proofErr w:type="spellStart"/>
      <w:r w:rsidRPr="008D3E74">
        <w:rPr>
          <w:rFonts w:ascii="Arial" w:hAnsi="Arial" w:cs="Arial"/>
        </w:rPr>
        <w:t>Josep</w:t>
      </w:r>
      <w:proofErr w:type="spellEnd"/>
      <w:r w:rsidRPr="008D3E74">
        <w:rPr>
          <w:rFonts w:ascii="Arial" w:hAnsi="Arial" w:cs="Arial"/>
        </w:rPr>
        <w:t xml:space="preserve"> Maria </w:t>
      </w:r>
      <w:proofErr w:type="spellStart"/>
      <w:r w:rsidRPr="008D3E74">
        <w:rPr>
          <w:rFonts w:ascii="Arial" w:hAnsi="Arial" w:cs="Arial"/>
        </w:rPr>
        <w:t>Haro</w:t>
      </w:r>
      <w:proofErr w:type="spellEnd"/>
      <w:r w:rsidRPr="008D3E74">
        <w:rPr>
          <w:rFonts w:ascii="Arial" w:hAnsi="Arial" w:cs="Arial"/>
        </w:rPr>
        <w:t>, MD-</w:t>
      </w:r>
      <w:proofErr w:type="spellStart"/>
      <w:r w:rsidRPr="008D3E74">
        <w:rPr>
          <w:rFonts w:ascii="Arial" w:hAnsi="Arial" w:cs="Arial"/>
        </w:rPr>
        <w:t>PhD</w:t>
      </w:r>
      <w:r w:rsidR="00910273" w:rsidRPr="008D3E74">
        <w:rPr>
          <w:rFonts w:ascii="Arial" w:hAnsi="Arial" w:cs="Arial"/>
          <w:vertAlign w:val="superscript"/>
        </w:rPr>
        <w:t>b</w:t>
      </w:r>
      <w:proofErr w:type="spellEnd"/>
      <w:r w:rsidRPr="008D3E74">
        <w:rPr>
          <w:rFonts w:ascii="Arial" w:hAnsi="Arial" w:cs="Arial"/>
        </w:rPr>
        <w:t xml:space="preserve">; Andrew Stickley, </w:t>
      </w:r>
      <w:proofErr w:type="spellStart"/>
      <w:r w:rsidRPr="008D3E74">
        <w:rPr>
          <w:rFonts w:ascii="Arial" w:hAnsi="Arial" w:cs="Arial"/>
        </w:rPr>
        <w:t>PhD</w:t>
      </w:r>
      <w:r w:rsidRPr="008D3E74">
        <w:rPr>
          <w:rFonts w:ascii="Arial" w:hAnsi="Arial" w:cs="Arial"/>
          <w:vertAlign w:val="superscript"/>
        </w:rPr>
        <w:t>e</w:t>
      </w:r>
      <w:proofErr w:type="spellEnd"/>
      <w:r w:rsidRPr="008D3E74">
        <w:rPr>
          <w:rFonts w:ascii="Arial" w:hAnsi="Arial" w:cs="Arial"/>
        </w:rPr>
        <w:t xml:space="preserve">; Ai </w:t>
      </w:r>
      <w:proofErr w:type="spellStart"/>
      <w:r w:rsidRPr="008D3E74">
        <w:rPr>
          <w:rFonts w:ascii="Arial" w:hAnsi="Arial" w:cs="Arial"/>
        </w:rPr>
        <w:t>Koyanagi</w:t>
      </w:r>
      <w:proofErr w:type="spellEnd"/>
      <w:r w:rsidRPr="008D3E74">
        <w:rPr>
          <w:rFonts w:ascii="Arial" w:hAnsi="Arial" w:cs="Arial"/>
        </w:rPr>
        <w:t>, MD-</w:t>
      </w:r>
      <w:proofErr w:type="spellStart"/>
      <w:r w:rsidRPr="008D3E74">
        <w:rPr>
          <w:rFonts w:ascii="Arial" w:hAnsi="Arial" w:cs="Arial"/>
        </w:rPr>
        <w:t>PhD</w:t>
      </w:r>
      <w:r w:rsidR="00305C4D" w:rsidRPr="008D3E74">
        <w:rPr>
          <w:rFonts w:ascii="Arial" w:hAnsi="Arial" w:cs="Arial"/>
          <w:vertAlign w:val="superscript"/>
        </w:rPr>
        <w:t>b</w:t>
      </w:r>
      <w:r w:rsidRPr="008D3E74">
        <w:rPr>
          <w:rFonts w:ascii="Arial" w:hAnsi="Arial" w:cs="Arial"/>
          <w:vertAlign w:val="superscript"/>
        </w:rPr>
        <w:t>,f</w:t>
      </w:r>
      <w:proofErr w:type="spellEnd"/>
    </w:p>
    <w:p w14:paraId="1BCA93C8" w14:textId="77777777" w:rsidR="00751037" w:rsidRPr="008D3E74" w:rsidRDefault="00751037" w:rsidP="000050E5">
      <w:pPr>
        <w:spacing w:line="480" w:lineRule="auto"/>
        <w:jc w:val="both"/>
        <w:rPr>
          <w:rFonts w:ascii="Arial" w:hAnsi="Arial" w:cs="Arial"/>
          <w:vertAlign w:val="superscript"/>
        </w:rPr>
      </w:pPr>
    </w:p>
    <w:p w14:paraId="45942783" w14:textId="58F57174" w:rsidR="00751037" w:rsidRPr="008D3E74" w:rsidRDefault="00751037" w:rsidP="000050E5">
      <w:pPr>
        <w:spacing w:line="480" w:lineRule="auto"/>
        <w:jc w:val="both"/>
        <w:rPr>
          <w:rFonts w:ascii="Arial" w:hAnsi="Arial" w:cs="Arial"/>
        </w:rPr>
      </w:pPr>
      <w:r w:rsidRPr="008D3E74">
        <w:rPr>
          <w:rFonts w:ascii="Arial" w:hAnsi="Arial" w:cs="Arial"/>
          <w:vertAlign w:val="superscript"/>
        </w:rPr>
        <w:t>a</w:t>
      </w:r>
      <w:r w:rsidRPr="008D3E74">
        <w:rPr>
          <w:rFonts w:ascii="Arial" w:hAnsi="Arial" w:cs="Arial"/>
        </w:rPr>
        <w:t xml:space="preserve"> Faculty of Medicine, University of Versailles Saint-Quentin-</w:t>
      </w:r>
      <w:proofErr w:type="spellStart"/>
      <w:r w:rsidRPr="008D3E74">
        <w:rPr>
          <w:rFonts w:ascii="Arial" w:hAnsi="Arial" w:cs="Arial"/>
        </w:rPr>
        <w:t>en</w:t>
      </w:r>
      <w:proofErr w:type="spellEnd"/>
      <w:r w:rsidRPr="008D3E74">
        <w:rPr>
          <w:rFonts w:ascii="Arial" w:hAnsi="Arial" w:cs="Arial"/>
        </w:rPr>
        <w:t xml:space="preserve">-Yvelines, </w:t>
      </w:r>
      <w:proofErr w:type="spellStart"/>
      <w:r w:rsidRPr="008D3E74">
        <w:rPr>
          <w:rFonts w:ascii="Arial" w:hAnsi="Arial" w:cs="Arial"/>
        </w:rPr>
        <w:t>Montigny</w:t>
      </w:r>
      <w:proofErr w:type="spellEnd"/>
      <w:r w:rsidRPr="008D3E74">
        <w:rPr>
          <w:rFonts w:ascii="Arial" w:hAnsi="Arial" w:cs="Arial"/>
        </w:rPr>
        <w:t>-le-Bretonneux 78180, France</w:t>
      </w:r>
    </w:p>
    <w:p w14:paraId="5B0E4887" w14:textId="2D5AA9B3" w:rsidR="00B8462A" w:rsidRPr="008D3E74" w:rsidRDefault="00B8462A" w:rsidP="000050E5">
      <w:pPr>
        <w:spacing w:line="480" w:lineRule="auto"/>
        <w:jc w:val="both"/>
        <w:rPr>
          <w:rFonts w:ascii="Arial" w:hAnsi="Arial" w:cs="Arial"/>
        </w:rPr>
      </w:pPr>
      <w:r w:rsidRPr="008D3E74">
        <w:rPr>
          <w:rFonts w:ascii="Arial" w:hAnsi="Arial" w:cs="Arial"/>
          <w:vertAlign w:val="superscript"/>
        </w:rPr>
        <w:t xml:space="preserve">b </w:t>
      </w:r>
      <w:r w:rsidR="00506C12" w:rsidRPr="008D3E74">
        <w:rPr>
          <w:rFonts w:ascii="Arial" w:hAnsi="Arial" w:cs="Arial"/>
        </w:rPr>
        <w:t xml:space="preserve">Research and development unit, </w:t>
      </w:r>
      <w:r w:rsidRPr="008D3E74">
        <w:rPr>
          <w:rFonts w:ascii="Arial" w:hAnsi="Arial" w:cs="Arial"/>
        </w:rPr>
        <w:t xml:space="preserve">Parc </w:t>
      </w:r>
      <w:proofErr w:type="spellStart"/>
      <w:r w:rsidRPr="008D3E74">
        <w:rPr>
          <w:rFonts w:ascii="Arial" w:hAnsi="Arial" w:cs="Arial"/>
        </w:rPr>
        <w:t>Sanitari</w:t>
      </w:r>
      <w:proofErr w:type="spellEnd"/>
      <w:r w:rsidRPr="008D3E74">
        <w:rPr>
          <w:rFonts w:ascii="Arial" w:hAnsi="Arial" w:cs="Arial"/>
        </w:rPr>
        <w:t xml:space="preserve"> Sant Joan de </w:t>
      </w:r>
      <w:proofErr w:type="spellStart"/>
      <w:r w:rsidRPr="008D3E74">
        <w:rPr>
          <w:rFonts w:ascii="Arial" w:hAnsi="Arial" w:cs="Arial"/>
        </w:rPr>
        <w:t>Déu</w:t>
      </w:r>
      <w:proofErr w:type="spellEnd"/>
      <w:r w:rsidRPr="008D3E74">
        <w:rPr>
          <w:rFonts w:ascii="Arial" w:hAnsi="Arial" w:cs="Arial"/>
        </w:rPr>
        <w:t xml:space="preserve">, CIBERSAM, Dr. Antoni Pujadas, 42, Sant </w:t>
      </w:r>
      <w:proofErr w:type="spellStart"/>
      <w:r w:rsidRPr="008D3E74">
        <w:rPr>
          <w:rFonts w:ascii="Arial" w:hAnsi="Arial" w:cs="Arial"/>
        </w:rPr>
        <w:t>Boi</w:t>
      </w:r>
      <w:proofErr w:type="spellEnd"/>
      <w:r w:rsidRPr="008D3E74">
        <w:rPr>
          <w:rFonts w:ascii="Arial" w:hAnsi="Arial" w:cs="Arial"/>
        </w:rPr>
        <w:t xml:space="preserve"> de </w:t>
      </w:r>
      <w:proofErr w:type="spellStart"/>
      <w:r w:rsidRPr="008D3E74">
        <w:rPr>
          <w:rFonts w:ascii="Arial" w:hAnsi="Arial" w:cs="Arial"/>
        </w:rPr>
        <w:t>Llobregat</w:t>
      </w:r>
      <w:proofErr w:type="spellEnd"/>
      <w:r w:rsidRPr="008D3E74">
        <w:rPr>
          <w:rFonts w:ascii="Arial" w:hAnsi="Arial" w:cs="Arial"/>
        </w:rPr>
        <w:t>, Barcelona 08830, Spain</w:t>
      </w:r>
    </w:p>
    <w:p w14:paraId="5FBCADD8" w14:textId="4DD72513" w:rsidR="00751037" w:rsidRPr="008D3E74" w:rsidRDefault="00DB74EE" w:rsidP="000050E5">
      <w:pPr>
        <w:spacing w:line="480" w:lineRule="auto"/>
        <w:jc w:val="both"/>
        <w:rPr>
          <w:rFonts w:ascii="Arial" w:hAnsi="Arial" w:cs="Arial"/>
        </w:rPr>
      </w:pPr>
      <w:r w:rsidRPr="008D3E74">
        <w:rPr>
          <w:rFonts w:ascii="Arial" w:hAnsi="Arial" w:cs="Arial"/>
          <w:vertAlign w:val="superscript"/>
        </w:rPr>
        <w:t>c</w:t>
      </w:r>
      <w:r w:rsidR="00751037" w:rsidRPr="008D3E74">
        <w:rPr>
          <w:rFonts w:ascii="Arial" w:hAnsi="Arial" w:cs="Arial"/>
        </w:rPr>
        <w:t xml:space="preserve"> Cambridge Centre for Sport and Exercise Sciences, Anglia Ruskin University, Cambridge, United Kingdom</w:t>
      </w:r>
    </w:p>
    <w:p w14:paraId="64662ED4" w14:textId="679D0257" w:rsidR="00751037" w:rsidRPr="008D3E74" w:rsidRDefault="0021720C" w:rsidP="000050E5">
      <w:pPr>
        <w:pStyle w:val="NormalWeb"/>
        <w:spacing w:before="0" w:beforeAutospacing="0" w:after="0" w:afterAutospacing="0" w:line="480" w:lineRule="auto"/>
        <w:jc w:val="both"/>
        <w:rPr>
          <w:rFonts w:ascii="Arial" w:hAnsi="Arial" w:cs="Arial"/>
          <w:lang w:val="en-US"/>
        </w:rPr>
      </w:pPr>
      <w:r w:rsidRPr="008D3E74">
        <w:rPr>
          <w:rFonts w:ascii="Arial" w:hAnsi="Arial" w:cs="Arial"/>
          <w:vertAlign w:val="superscript"/>
          <w:lang w:val="en-US"/>
        </w:rPr>
        <w:t>d</w:t>
      </w:r>
      <w:r w:rsidR="00751037" w:rsidRPr="008D3E74">
        <w:rPr>
          <w:rFonts w:ascii="Arial" w:hAnsi="Arial" w:cs="Arial"/>
          <w:lang w:val="en-US"/>
        </w:rPr>
        <w:t xml:space="preserve"> School of Psychology and Sport Science, Anglia Ruskin University, Cambridge, United Kingdom </w:t>
      </w:r>
    </w:p>
    <w:p w14:paraId="320F6FD3" w14:textId="77777777" w:rsidR="00751037" w:rsidRPr="008D3E74" w:rsidRDefault="00751037" w:rsidP="000050E5">
      <w:pPr>
        <w:spacing w:line="480" w:lineRule="auto"/>
        <w:jc w:val="both"/>
        <w:rPr>
          <w:rFonts w:ascii="Arial" w:hAnsi="Arial" w:cs="Arial"/>
        </w:rPr>
      </w:pPr>
      <w:r w:rsidRPr="008D3E74">
        <w:rPr>
          <w:rFonts w:ascii="Arial" w:hAnsi="Arial" w:cs="Arial"/>
          <w:vertAlign w:val="superscript"/>
        </w:rPr>
        <w:t>e</w:t>
      </w:r>
      <w:r w:rsidRPr="008D3E74">
        <w:rPr>
          <w:rFonts w:ascii="Arial" w:hAnsi="Arial" w:cs="Arial"/>
        </w:rPr>
        <w:t xml:space="preserve"> Department of Preventive Intervention for Psychiatric Disorders, National Institute of Mental Health, National Center of Neurology and Psychiatry, </w:t>
      </w:r>
      <w:proofErr w:type="spellStart"/>
      <w:r w:rsidRPr="008D3E74">
        <w:rPr>
          <w:rFonts w:ascii="Arial" w:hAnsi="Arial" w:cs="Arial"/>
        </w:rPr>
        <w:t>Kodaira</w:t>
      </w:r>
      <w:proofErr w:type="spellEnd"/>
      <w:r w:rsidRPr="008D3E74">
        <w:rPr>
          <w:rFonts w:ascii="Arial" w:hAnsi="Arial" w:cs="Arial"/>
        </w:rPr>
        <w:t>, Tokyo, Japan</w:t>
      </w:r>
    </w:p>
    <w:p w14:paraId="1541BA09" w14:textId="77777777" w:rsidR="00751037" w:rsidRPr="008D3E74" w:rsidRDefault="00751037" w:rsidP="000050E5">
      <w:pPr>
        <w:spacing w:line="480" w:lineRule="auto"/>
        <w:jc w:val="both"/>
        <w:rPr>
          <w:rFonts w:ascii="Arial" w:hAnsi="Arial" w:cs="Arial"/>
        </w:rPr>
      </w:pPr>
      <w:r w:rsidRPr="008D3E74">
        <w:rPr>
          <w:rFonts w:ascii="Arial" w:hAnsi="Arial" w:cs="Arial"/>
          <w:vertAlign w:val="superscript"/>
        </w:rPr>
        <w:t>f</w:t>
      </w:r>
      <w:r w:rsidRPr="008D3E74">
        <w:rPr>
          <w:rFonts w:ascii="Arial" w:hAnsi="Arial" w:cs="Arial"/>
        </w:rPr>
        <w:t xml:space="preserve"> </w:t>
      </w:r>
      <w:r w:rsidRPr="008D3E74">
        <w:rPr>
          <w:rFonts w:ascii="Arial" w:hAnsi="Arial"/>
        </w:rPr>
        <w:t xml:space="preserve">ICREA, Pg. </w:t>
      </w:r>
      <w:proofErr w:type="spellStart"/>
      <w:r w:rsidRPr="008D3E74">
        <w:rPr>
          <w:rFonts w:ascii="Arial" w:hAnsi="Arial"/>
        </w:rPr>
        <w:t>Lluis</w:t>
      </w:r>
      <w:proofErr w:type="spellEnd"/>
      <w:r w:rsidRPr="008D3E74">
        <w:rPr>
          <w:rFonts w:ascii="Arial" w:hAnsi="Arial"/>
        </w:rPr>
        <w:t xml:space="preserve"> </w:t>
      </w:r>
      <w:proofErr w:type="spellStart"/>
      <w:r w:rsidRPr="008D3E74">
        <w:rPr>
          <w:rFonts w:ascii="Arial" w:hAnsi="Arial"/>
        </w:rPr>
        <w:t>Companys</w:t>
      </w:r>
      <w:proofErr w:type="spellEnd"/>
      <w:r w:rsidRPr="008D3E74">
        <w:rPr>
          <w:rFonts w:ascii="Arial" w:hAnsi="Arial"/>
        </w:rPr>
        <w:t xml:space="preserve"> 23, Barcelona, Spain</w:t>
      </w:r>
    </w:p>
    <w:p w14:paraId="158AB095" w14:textId="77777777" w:rsidR="00751037" w:rsidRPr="008D3E74" w:rsidRDefault="00751037" w:rsidP="000050E5">
      <w:pPr>
        <w:spacing w:line="480" w:lineRule="auto"/>
        <w:rPr>
          <w:rFonts w:ascii="Arial" w:hAnsi="Arial" w:cs="Arial"/>
        </w:rPr>
      </w:pPr>
    </w:p>
    <w:p w14:paraId="04A4F848" w14:textId="77777777" w:rsidR="00751037" w:rsidRPr="008D3E74" w:rsidRDefault="00751037" w:rsidP="000050E5">
      <w:pPr>
        <w:spacing w:line="480" w:lineRule="auto"/>
        <w:rPr>
          <w:rFonts w:ascii="Arial" w:hAnsi="Arial" w:cs="Arial"/>
          <w:lang w:val="fr-FR"/>
        </w:rPr>
      </w:pPr>
      <w:r w:rsidRPr="008D3E74">
        <w:rPr>
          <w:rFonts w:ascii="Arial" w:hAnsi="Arial" w:cs="Arial"/>
          <w:b/>
          <w:iCs/>
          <w:lang w:val="fr-FR"/>
        </w:rPr>
        <w:t xml:space="preserve">* </w:t>
      </w:r>
      <w:proofErr w:type="spellStart"/>
      <w:proofErr w:type="gramStart"/>
      <w:r w:rsidRPr="008D3E74">
        <w:rPr>
          <w:rFonts w:ascii="Arial" w:hAnsi="Arial" w:cs="Arial"/>
          <w:b/>
          <w:iCs/>
          <w:lang w:val="fr-FR"/>
        </w:rPr>
        <w:t>Correspondence</w:t>
      </w:r>
      <w:proofErr w:type="spellEnd"/>
      <w:r w:rsidRPr="008D3E74">
        <w:rPr>
          <w:rFonts w:ascii="Arial" w:hAnsi="Arial" w:cs="Arial"/>
          <w:lang w:val="fr-FR"/>
        </w:rPr>
        <w:t>:</w:t>
      </w:r>
      <w:proofErr w:type="gramEnd"/>
    </w:p>
    <w:p w14:paraId="47D5A5D1" w14:textId="77777777" w:rsidR="00751037" w:rsidRPr="008D3E74" w:rsidRDefault="00751037" w:rsidP="000050E5">
      <w:pPr>
        <w:spacing w:line="480" w:lineRule="auto"/>
        <w:rPr>
          <w:rFonts w:ascii="Arial" w:hAnsi="Arial" w:cs="Arial"/>
          <w:noProof/>
          <w:lang w:val="fr-FR" w:eastAsia="de-DE"/>
        </w:rPr>
      </w:pPr>
      <w:r w:rsidRPr="008D3E74">
        <w:rPr>
          <w:rFonts w:ascii="Arial" w:hAnsi="Arial" w:cs="Arial"/>
          <w:bCs/>
          <w:noProof/>
          <w:lang w:val="fr-FR" w:eastAsia="de-DE"/>
        </w:rPr>
        <w:t>Dr. Louis Jacob</w:t>
      </w:r>
      <w:r w:rsidRPr="008D3E74">
        <w:rPr>
          <w:rFonts w:ascii="Arial" w:hAnsi="Arial" w:cs="Arial"/>
          <w:noProof/>
          <w:lang w:val="fr-FR" w:eastAsia="de-DE"/>
        </w:rPr>
        <w:br/>
        <w:t xml:space="preserve">Faculty of Medicine, </w:t>
      </w:r>
      <w:proofErr w:type="spellStart"/>
      <w:r w:rsidRPr="008D3E74">
        <w:rPr>
          <w:rFonts w:ascii="Arial" w:hAnsi="Arial" w:cs="Arial"/>
          <w:lang w:val="fr-FR"/>
        </w:rPr>
        <w:t>University</w:t>
      </w:r>
      <w:proofErr w:type="spellEnd"/>
      <w:r w:rsidRPr="008D3E74">
        <w:rPr>
          <w:rFonts w:ascii="Arial" w:hAnsi="Arial" w:cs="Arial"/>
          <w:lang w:val="fr-FR"/>
        </w:rPr>
        <w:t xml:space="preserve"> of Versailles Saint-Quentin-en-Yvelines</w:t>
      </w:r>
    </w:p>
    <w:p w14:paraId="6A471D96" w14:textId="77777777" w:rsidR="00751037" w:rsidRPr="008D3E74" w:rsidRDefault="00751037" w:rsidP="000050E5">
      <w:pPr>
        <w:spacing w:line="480" w:lineRule="auto"/>
        <w:rPr>
          <w:rFonts w:ascii="Arial" w:hAnsi="Arial" w:cs="Arial"/>
          <w:noProof/>
          <w:lang w:val="fr-FR" w:eastAsia="de-DE"/>
        </w:rPr>
      </w:pPr>
      <w:r w:rsidRPr="008D3E74">
        <w:rPr>
          <w:rFonts w:ascii="Arial" w:hAnsi="Arial" w:cs="Arial"/>
          <w:noProof/>
          <w:lang w:val="fr-FR" w:eastAsia="de-DE"/>
        </w:rPr>
        <w:t xml:space="preserve">2 avenue de la Source de la Bièvre, </w:t>
      </w:r>
      <w:r w:rsidRPr="008D3E74">
        <w:rPr>
          <w:rFonts w:ascii="Arial" w:hAnsi="Arial" w:cs="Arial"/>
          <w:lang w:val="fr-FR"/>
        </w:rPr>
        <w:t>Montigny-le-Bretonneux 78180</w:t>
      </w:r>
    </w:p>
    <w:p w14:paraId="4546FB74" w14:textId="77777777" w:rsidR="00751037" w:rsidRPr="008D3E74" w:rsidRDefault="00751037" w:rsidP="000050E5">
      <w:pPr>
        <w:spacing w:line="480" w:lineRule="auto"/>
        <w:rPr>
          <w:rFonts w:ascii="Arial" w:hAnsi="Arial" w:cs="Arial"/>
          <w:noProof/>
          <w:lang w:val="fr-FR" w:eastAsia="de-DE"/>
        </w:rPr>
      </w:pPr>
      <w:r w:rsidRPr="008D3E74">
        <w:rPr>
          <w:rFonts w:ascii="Arial" w:hAnsi="Arial" w:cs="Arial"/>
          <w:noProof/>
          <w:lang w:val="fr-FR" w:eastAsia="de-DE"/>
        </w:rPr>
        <w:lastRenderedPageBreak/>
        <w:t>France</w:t>
      </w:r>
    </w:p>
    <w:p w14:paraId="4F296390" w14:textId="77777777" w:rsidR="00751037" w:rsidRPr="008D3E74" w:rsidRDefault="00751037" w:rsidP="000050E5">
      <w:pPr>
        <w:spacing w:line="480" w:lineRule="auto"/>
        <w:rPr>
          <w:rFonts w:ascii="Arial" w:hAnsi="Arial" w:cs="Arial"/>
          <w:noProof/>
          <w:lang w:val="fr-FR" w:eastAsia="de-DE"/>
        </w:rPr>
      </w:pPr>
      <w:r w:rsidRPr="008D3E74">
        <w:rPr>
          <w:rFonts w:ascii="Arial" w:hAnsi="Arial" w:cs="Arial"/>
          <w:noProof/>
          <w:lang w:val="fr-FR" w:eastAsia="de-DE"/>
        </w:rPr>
        <w:t>Tel.: +33-(0)6-27-88-37-06</w:t>
      </w:r>
    </w:p>
    <w:p w14:paraId="01DD5DAA" w14:textId="77777777" w:rsidR="00751037" w:rsidRPr="008D3E74" w:rsidRDefault="00751037" w:rsidP="000050E5">
      <w:pPr>
        <w:spacing w:line="480" w:lineRule="auto"/>
        <w:rPr>
          <w:rFonts w:ascii="Arial" w:hAnsi="Arial" w:cs="Arial"/>
          <w:lang w:val="fr-FR"/>
        </w:rPr>
      </w:pPr>
      <w:r w:rsidRPr="008D3E74">
        <w:rPr>
          <w:rFonts w:ascii="Arial" w:hAnsi="Arial" w:cs="Arial"/>
          <w:noProof/>
          <w:lang w:val="fr-FR" w:eastAsia="de-DE"/>
        </w:rPr>
        <w:t>louis.jacob.contacts@gmail.com</w:t>
      </w:r>
    </w:p>
    <w:p w14:paraId="245EE7C6" w14:textId="77777777" w:rsidR="00751037" w:rsidRPr="008D3E74" w:rsidRDefault="00751037" w:rsidP="000050E5">
      <w:pPr>
        <w:spacing w:line="480" w:lineRule="auto"/>
        <w:rPr>
          <w:rFonts w:ascii="Arial" w:hAnsi="Arial" w:cs="Arial"/>
          <w:lang w:val="fr-FR"/>
        </w:rPr>
      </w:pPr>
    </w:p>
    <w:p w14:paraId="67EE666E" w14:textId="77777777" w:rsidR="00751037" w:rsidRPr="008D3E74" w:rsidRDefault="00751037" w:rsidP="000050E5">
      <w:pPr>
        <w:spacing w:line="480" w:lineRule="auto"/>
        <w:jc w:val="both"/>
        <w:rPr>
          <w:rFonts w:ascii="Arial" w:hAnsi="Arial" w:cs="Arial"/>
        </w:rPr>
      </w:pPr>
      <w:r w:rsidRPr="008D3E74">
        <w:rPr>
          <w:rFonts w:ascii="Arial" w:hAnsi="Arial" w:cs="Arial"/>
          <w:b/>
        </w:rPr>
        <w:t>Table count:</w:t>
      </w:r>
      <w:r w:rsidRPr="008D3E74">
        <w:rPr>
          <w:rFonts w:ascii="Arial" w:hAnsi="Arial" w:cs="Arial"/>
        </w:rPr>
        <w:t xml:space="preserve"> 2</w:t>
      </w:r>
    </w:p>
    <w:p w14:paraId="3FDC7017" w14:textId="77777777" w:rsidR="00751037" w:rsidRPr="008D3E74" w:rsidRDefault="00751037" w:rsidP="000050E5">
      <w:pPr>
        <w:spacing w:line="480" w:lineRule="auto"/>
        <w:jc w:val="both"/>
        <w:rPr>
          <w:rFonts w:ascii="Arial" w:hAnsi="Arial" w:cs="Arial"/>
        </w:rPr>
      </w:pPr>
      <w:r w:rsidRPr="008D3E74">
        <w:rPr>
          <w:rFonts w:ascii="Arial" w:hAnsi="Arial" w:cs="Arial"/>
          <w:b/>
        </w:rPr>
        <w:t>Figure count:</w:t>
      </w:r>
      <w:r w:rsidRPr="008D3E74">
        <w:rPr>
          <w:rFonts w:ascii="Arial" w:hAnsi="Arial" w:cs="Arial"/>
        </w:rPr>
        <w:t xml:space="preserve"> 1</w:t>
      </w:r>
    </w:p>
    <w:p w14:paraId="06C4EBF0" w14:textId="380EC9BF" w:rsidR="00751037" w:rsidRPr="008D3E74" w:rsidRDefault="00751037" w:rsidP="000050E5">
      <w:pPr>
        <w:spacing w:line="480" w:lineRule="auto"/>
        <w:jc w:val="both"/>
        <w:rPr>
          <w:rFonts w:ascii="Arial" w:hAnsi="Arial" w:cs="Arial"/>
        </w:rPr>
      </w:pPr>
      <w:r w:rsidRPr="008D3E74">
        <w:rPr>
          <w:rFonts w:ascii="Arial" w:hAnsi="Arial" w:cs="Arial"/>
          <w:b/>
        </w:rPr>
        <w:t>Number of appendixes:</w:t>
      </w:r>
      <w:r w:rsidRPr="008D3E74">
        <w:rPr>
          <w:rFonts w:ascii="Arial" w:hAnsi="Arial" w:cs="Arial"/>
        </w:rPr>
        <w:t xml:space="preserve"> </w:t>
      </w:r>
      <w:r w:rsidR="00116FF6" w:rsidRPr="008D3E74">
        <w:rPr>
          <w:rFonts w:ascii="Arial" w:hAnsi="Arial" w:cs="Arial"/>
        </w:rPr>
        <w:t>3</w:t>
      </w:r>
    </w:p>
    <w:p w14:paraId="4B9C17E6" w14:textId="28D4C970" w:rsidR="00751037" w:rsidRPr="008D3E74" w:rsidRDefault="00751037" w:rsidP="000050E5">
      <w:pPr>
        <w:spacing w:line="480" w:lineRule="auto"/>
        <w:jc w:val="both"/>
        <w:rPr>
          <w:rFonts w:ascii="Arial" w:hAnsi="Arial" w:cs="Arial"/>
        </w:rPr>
      </w:pPr>
      <w:r w:rsidRPr="008D3E74">
        <w:rPr>
          <w:rFonts w:ascii="Arial" w:hAnsi="Arial" w:cs="Arial"/>
          <w:b/>
        </w:rPr>
        <w:t xml:space="preserve">Number of words in the main body of the article: </w:t>
      </w:r>
      <w:r w:rsidR="00E315BD" w:rsidRPr="008D3E74">
        <w:rPr>
          <w:rFonts w:ascii="Arial" w:hAnsi="Arial" w:cs="Arial"/>
        </w:rPr>
        <w:t>4</w:t>
      </w:r>
      <w:r w:rsidR="00A92EED" w:rsidRPr="008D3E74">
        <w:rPr>
          <w:rFonts w:ascii="Arial" w:hAnsi="Arial" w:cs="Arial"/>
        </w:rPr>
        <w:t>6</w:t>
      </w:r>
      <w:r w:rsidR="00037C5A" w:rsidRPr="008D3E74">
        <w:rPr>
          <w:rFonts w:ascii="Arial" w:hAnsi="Arial" w:cs="Arial"/>
        </w:rPr>
        <w:t>72</w:t>
      </w:r>
    </w:p>
    <w:p w14:paraId="3E4DB7DC" w14:textId="3F28A928" w:rsidR="00751037" w:rsidRPr="008D3E74" w:rsidRDefault="00751037" w:rsidP="000050E5">
      <w:pPr>
        <w:spacing w:line="480" w:lineRule="auto"/>
        <w:jc w:val="both"/>
        <w:rPr>
          <w:rFonts w:ascii="Arial" w:hAnsi="Arial" w:cs="Arial"/>
        </w:rPr>
      </w:pPr>
      <w:r w:rsidRPr="008D3E74">
        <w:rPr>
          <w:rFonts w:ascii="Arial" w:hAnsi="Arial" w:cs="Arial"/>
          <w:b/>
        </w:rPr>
        <w:t xml:space="preserve">Number of words in the abstract: </w:t>
      </w:r>
      <w:r w:rsidR="00CD34B8" w:rsidRPr="008D3E74">
        <w:rPr>
          <w:rFonts w:ascii="Arial" w:hAnsi="Arial" w:cs="Arial"/>
        </w:rPr>
        <w:t>24</w:t>
      </w:r>
      <w:r w:rsidR="00B07F94" w:rsidRPr="008D3E74">
        <w:rPr>
          <w:rFonts w:ascii="Arial" w:hAnsi="Arial" w:cs="Arial"/>
        </w:rPr>
        <w:t>1</w:t>
      </w:r>
    </w:p>
    <w:p w14:paraId="46933C94" w14:textId="77777777" w:rsidR="00751037" w:rsidRPr="008D3E74" w:rsidRDefault="00751037" w:rsidP="000050E5">
      <w:pPr>
        <w:spacing w:line="480" w:lineRule="auto"/>
        <w:jc w:val="both"/>
        <w:rPr>
          <w:rFonts w:ascii="Arial" w:hAnsi="Arial" w:cs="Arial"/>
        </w:rPr>
      </w:pPr>
      <w:r w:rsidRPr="008D3E74">
        <w:rPr>
          <w:rFonts w:ascii="Arial" w:hAnsi="Arial" w:cs="Arial"/>
          <w:b/>
        </w:rPr>
        <w:t>Number of characters in the title (with spaces):</w:t>
      </w:r>
      <w:r w:rsidRPr="008D3E74">
        <w:rPr>
          <w:rFonts w:ascii="Arial" w:hAnsi="Arial" w:cs="Arial"/>
        </w:rPr>
        <w:t xml:space="preserve"> 102</w:t>
      </w:r>
    </w:p>
    <w:p w14:paraId="1987C273" w14:textId="77777777" w:rsidR="00751037" w:rsidRPr="008D3E74" w:rsidRDefault="00751037" w:rsidP="000050E5">
      <w:pPr>
        <w:spacing w:line="480" w:lineRule="auto"/>
        <w:jc w:val="both"/>
        <w:rPr>
          <w:rFonts w:ascii="Arial" w:hAnsi="Arial" w:cs="Arial"/>
          <w:i/>
        </w:rPr>
      </w:pPr>
      <w:r w:rsidRPr="008D3E74">
        <w:rPr>
          <w:rFonts w:ascii="Arial" w:hAnsi="Arial" w:cs="Arial"/>
          <w:b/>
        </w:rPr>
        <w:t>Number of characters in the short title (with spaces):</w:t>
      </w:r>
      <w:r w:rsidRPr="008D3E74">
        <w:rPr>
          <w:rFonts w:ascii="Arial" w:hAnsi="Arial" w:cs="Arial"/>
        </w:rPr>
        <w:t xml:space="preserve"> 44</w:t>
      </w:r>
    </w:p>
    <w:p w14:paraId="083B709A" w14:textId="7F81E271" w:rsidR="00751037" w:rsidRPr="008D3E74" w:rsidRDefault="00751037" w:rsidP="000050E5">
      <w:pPr>
        <w:spacing w:line="480" w:lineRule="auto"/>
        <w:jc w:val="both"/>
        <w:rPr>
          <w:rFonts w:ascii="Arial" w:hAnsi="Arial" w:cs="Arial"/>
        </w:rPr>
      </w:pPr>
      <w:r w:rsidRPr="008D3E74">
        <w:rPr>
          <w:rFonts w:ascii="Arial" w:hAnsi="Arial" w:cs="Arial"/>
          <w:b/>
        </w:rPr>
        <w:t>Number of references:</w:t>
      </w:r>
      <w:r w:rsidRPr="008D3E74">
        <w:rPr>
          <w:rFonts w:ascii="Arial" w:hAnsi="Arial" w:cs="Arial"/>
        </w:rPr>
        <w:t xml:space="preserve"> </w:t>
      </w:r>
      <w:r w:rsidR="00D24EE2" w:rsidRPr="008D3E74">
        <w:rPr>
          <w:rFonts w:ascii="Arial" w:hAnsi="Arial" w:cs="Arial"/>
        </w:rPr>
        <w:t>55</w:t>
      </w:r>
    </w:p>
    <w:p w14:paraId="163543A3" w14:textId="77777777" w:rsidR="00751037" w:rsidRPr="008D3E74" w:rsidRDefault="00751037" w:rsidP="000050E5">
      <w:pPr>
        <w:spacing w:line="480" w:lineRule="auto"/>
        <w:rPr>
          <w:rFonts w:ascii="Arial" w:hAnsi="Arial" w:cs="Arial"/>
          <w:b/>
        </w:rPr>
      </w:pPr>
      <w:r w:rsidRPr="008D3E74">
        <w:rPr>
          <w:rFonts w:ascii="Arial" w:hAnsi="Arial" w:cs="Arial"/>
          <w:b/>
        </w:rPr>
        <w:br w:type="page"/>
      </w:r>
    </w:p>
    <w:p w14:paraId="7111A0ED" w14:textId="568DBA69" w:rsidR="00DB3BB7" w:rsidRPr="0036632E" w:rsidRDefault="00626101" w:rsidP="0036632E">
      <w:pPr>
        <w:pStyle w:val="Heading1"/>
      </w:pPr>
      <w:r w:rsidRPr="0036632E">
        <w:lastRenderedPageBreak/>
        <w:t>Abstract</w:t>
      </w:r>
    </w:p>
    <w:p w14:paraId="4911861B" w14:textId="65056AB0" w:rsidR="008D1F17" w:rsidRPr="008D3E74" w:rsidRDefault="008D1F17" w:rsidP="000050E5">
      <w:pPr>
        <w:spacing w:line="480" w:lineRule="auto"/>
        <w:jc w:val="both"/>
        <w:rPr>
          <w:rFonts w:ascii="Arial" w:hAnsi="Arial" w:cs="Arial"/>
        </w:rPr>
      </w:pPr>
    </w:p>
    <w:p w14:paraId="1BDAC0CD" w14:textId="44D95D76" w:rsidR="00DE367C" w:rsidRPr="008D3E74" w:rsidRDefault="00A90365" w:rsidP="000050E5">
      <w:pPr>
        <w:spacing w:line="480" w:lineRule="auto"/>
        <w:jc w:val="both"/>
        <w:rPr>
          <w:rFonts w:ascii="Arial" w:hAnsi="Arial" w:cs="Arial"/>
        </w:rPr>
      </w:pPr>
      <w:r w:rsidRPr="008D3E74">
        <w:rPr>
          <w:rFonts w:ascii="Arial" w:hAnsi="Arial" w:cs="Arial"/>
          <w:i/>
        </w:rPr>
        <w:t>Background</w:t>
      </w:r>
      <w:r w:rsidR="00DE367C" w:rsidRPr="008D3E74">
        <w:rPr>
          <w:rFonts w:ascii="Arial" w:hAnsi="Arial" w:cs="Arial"/>
          <w:i/>
        </w:rPr>
        <w:t>:</w:t>
      </w:r>
      <w:r w:rsidR="00DE367C" w:rsidRPr="008D3E74">
        <w:rPr>
          <w:rFonts w:ascii="Arial" w:hAnsi="Arial" w:cs="Arial"/>
        </w:rPr>
        <w:t xml:space="preserve"> </w:t>
      </w:r>
      <w:r w:rsidR="003037C9" w:rsidRPr="008D3E74">
        <w:rPr>
          <w:rFonts w:ascii="Arial" w:hAnsi="Arial" w:cs="Arial"/>
        </w:rPr>
        <w:t>Non-heterosexual individuals are at high risk for a variety of factors associated with the emergence of psychotic experiences</w:t>
      </w:r>
      <w:r w:rsidR="00B751F0" w:rsidRPr="008D3E74">
        <w:rPr>
          <w:rFonts w:ascii="Arial" w:hAnsi="Arial" w:cs="Arial"/>
        </w:rPr>
        <w:t xml:space="preserve"> (PEs)</w:t>
      </w:r>
      <w:r w:rsidR="003037C9" w:rsidRPr="008D3E74">
        <w:rPr>
          <w:rFonts w:ascii="Arial" w:hAnsi="Arial" w:cs="Arial"/>
        </w:rPr>
        <w:t xml:space="preserve"> (e.g., common mental disorders, substance use, stress). </w:t>
      </w:r>
      <w:r w:rsidR="00215488" w:rsidRPr="008D3E74">
        <w:rPr>
          <w:rFonts w:ascii="Arial" w:hAnsi="Arial" w:cs="Arial"/>
        </w:rPr>
        <w:t>However, t</w:t>
      </w:r>
      <w:r w:rsidR="008601E8" w:rsidRPr="008D3E74">
        <w:rPr>
          <w:rFonts w:ascii="Arial" w:hAnsi="Arial" w:cs="Arial"/>
        </w:rPr>
        <w:t xml:space="preserve">here is a scarcity of data on the association between sexual orientation and </w:t>
      </w:r>
      <w:r w:rsidR="00B751F0" w:rsidRPr="008D3E74">
        <w:rPr>
          <w:rFonts w:ascii="Arial" w:hAnsi="Arial" w:cs="Arial"/>
        </w:rPr>
        <w:t>PEs</w:t>
      </w:r>
      <w:r w:rsidR="008601E8" w:rsidRPr="008D3E74">
        <w:rPr>
          <w:rFonts w:ascii="Arial" w:hAnsi="Arial" w:cs="Arial"/>
        </w:rPr>
        <w:t>. Therefore, t</w:t>
      </w:r>
      <w:r w:rsidR="00E062C6" w:rsidRPr="008D3E74">
        <w:rPr>
          <w:rFonts w:ascii="Arial" w:hAnsi="Arial" w:cs="Arial"/>
        </w:rPr>
        <w:t>he aim of this study was t</w:t>
      </w:r>
      <w:r w:rsidR="00DE367C" w:rsidRPr="008D3E74">
        <w:rPr>
          <w:rFonts w:ascii="Arial" w:hAnsi="Arial" w:cs="Arial"/>
        </w:rPr>
        <w:t xml:space="preserve">o </w:t>
      </w:r>
      <w:r w:rsidR="00CA0FF0" w:rsidRPr="008D3E74">
        <w:rPr>
          <w:rFonts w:ascii="Arial" w:hAnsi="Arial" w:cs="Arial"/>
        </w:rPr>
        <w:t>examine</w:t>
      </w:r>
      <w:r w:rsidR="00DE367C" w:rsidRPr="008D3E74">
        <w:rPr>
          <w:rFonts w:ascii="Arial" w:hAnsi="Arial" w:cs="Arial"/>
        </w:rPr>
        <w:t xml:space="preserve"> the sexual orientation</w:t>
      </w:r>
      <w:r w:rsidR="008601E8" w:rsidRPr="008D3E74">
        <w:rPr>
          <w:rFonts w:ascii="Arial" w:hAnsi="Arial" w:cs="Arial"/>
        </w:rPr>
        <w:t>-PE relationship</w:t>
      </w:r>
      <w:r w:rsidR="00DE367C" w:rsidRPr="008D3E74">
        <w:rPr>
          <w:rFonts w:ascii="Arial" w:hAnsi="Arial" w:cs="Arial"/>
        </w:rPr>
        <w:t xml:space="preserve">, and to identify </w:t>
      </w:r>
      <w:r w:rsidR="00CA0FF0" w:rsidRPr="008D3E74">
        <w:rPr>
          <w:rFonts w:ascii="Arial" w:hAnsi="Arial" w:cs="Arial"/>
        </w:rPr>
        <w:t xml:space="preserve">potential </w:t>
      </w:r>
      <w:r w:rsidR="00DE367C" w:rsidRPr="008D3E74">
        <w:rPr>
          <w:rFonts w:ascii="Arial" w:hAnsi="Arial" w:cs="Arial"/>
        </w:rPr>
        <w:t>mediators in this relationship.</w:t>
      </w:r>
    </w:p>
    <w:p w14:paraId="35A3A9A4" w14:textId="2D345A36" w:rsidR="00FA4533" w:rsidRPr="008D3E74" w:rsidRDefault="00FA4533" w:rsidP="000050E5">
      <w:pPr>
        <w:spacing w:line="480" w:lineRule="auto"/>
        <w:jc w:val="both"/>
        <w:rPr>
          <w:rFonts w:ascii="Arial" w:hAnsi="Arial" w:cs="Arial"/>
        </w:rPr>
      </w:pPr>
      <w:r w:rsidRPr="008D3E74">
        <w:rPr>
          <w:rFonts w:ascii="Arial" w:hAnsi="Arial" w:cs="Arial"/>
          <w:i/>
        </w:rPr>
        <w:t>Methods:</w:t>
      </w:r>
      <w:r w:rsidRPr="008D3E74">
        <w:rPr>
          <w:rFonts w:ascii="Arial" w:hAnsi="Arial" w:cs="Arial"/>
        </w:rPr>
        <w:t xml:space="preserve"> This study used </w:t>
      </w:r>
      <w:r w:rsidR="00074878" w:rsidRPr="008D3E74">
        <w:rPr>
          <w:rFonts w:ascii="Arial" w:hAnsi="Arial" w:cs="Arial"/>
        </w:rPr>
        <w:t xml:space="preserve">nationally representative </w:t>
      </w:r>
      <w:r w:rsidRPr="008D3E74">
        <w:rPr>
          <w:rFonts w:ascii="Arial" w:hAnsi="Arial" w:cs="Arial"/>
        </w:rPr>
        <w:t xml:space="preserve">cross-sectional data </w:t>
      </w:r>
      <w:r w:rsidR="00A4242C" w:rsidRPr="008D3E74">
        <w:rPr>
          <w:rFonts w:ascii="Arial" w:hAnsi="Arial" w:cs="Arial"/>
        </w:rPr>
        <w:t>from</w:t>
      </w:r>
      <w:r w:rsidR="00074878" w:rsidRPr="008D3E74">
        <w:rPr>
          <w:rFonts w:ascii="Arial" w:hAnsi="Arial" w:cs="Arial"/>
        </w:rPr>
        <w:t xml:space="preserve"> </w:t>
      </w:r>
      <w:r w:rsidRPr="008D3E74">
        <w:rPr>
          <w:rFonts w:ascii="Arial" w:hAnsi="Arial" w:cs="Arial"/>
        </w:rPr>
        <w:t xml:space="preserve">the 2007 Adult Psychiatric Morbidity Survey (APMS). </w:t>
      </w:r>
      <w:r w:rsidR="00365171" w:rsidRPr="008D3E74">
        <w:rPr>
          <w:rFonts w:ascii="Arial" w:hAnsi="Arial" w:cs="Arial"/>
        </w:rPr>
        <w:t>S</w:t>
      </w:r>
      <w:r w:rsidRPr="008D3E74">
        <w:rPr>
          <w:rFonts w:ascii="Arial" w:hAnsi="Arial" w:cs="Arial"/>
        </w:rPr>
        <w:t xml:space="preserve">exual orientation was dichotomized into heterosexual and non-heterosexual. </w:t>
      </w:r>
      <w:r w:rsidR="00CE2DFC" w:rsidRPr="008D3E74">
        <w:rPr>
          <w:rFonts w:ascii="Arial" w:hAnsi="Arial" w:cs="Arial"/>
        </w:rPr>
        <w:t xml:space="preserve">Past 12-month PE was assessed with the Psychosis Screening Questionnaire. Regression and mediation analyses were conducted to analyze the association between sexual orientation and PEs, and to identify potential mediators involved in this relationship. </w:t>
      </w:r>
    </w:p>
    <w:p w14:paraId="101EE050" w14:textId="0CFF7711" w:rsidR="00CE2DFC" w:rsidRPr="008D3E74" w:rsidRDefault="00CE2DFC" w:rsidP="000050E5">
      <w:pPr>
        <w:spacing w:line="480" w:lineRule="auto"/>
        <w:jc w:val="both"/>
        <w:rPr>
          <w:rFonts w:ascii="Arial" w:hAnsi="Arial" w:cs="Arial"/>
        </w:rPr>
      </w:pPr>
      <w:r w:rsidRPr="008D3E74">
        <w:rPr>
          <w:rFonts w:ascii="Arial" w:hAnsi="Arial" w:cs="Arial"/>
          <w:i/>
        </w:rPr>
        <w:t>Results:</w:t>
      </w:r>
      <w:r w:rsidRPr="008D3E74">
        <w:rPr>
          <w:rFonts w:ascii="Arial" w:hAnsi="Arial" w:cs="Arial"/>
        </w:rPr>
        <w:t xml:space="preserve"> </w:t>
      </w:r>
      <w:r w:rsidR="00074878" w:rsidRPr="008D3E74">
        <w:rPr>
          <w:rFonts w:ascii="Arial" w:hAnsi="Arial" w:cs="Arial"/>
        </w:rPr>
        <w:t xml:space="preserve">The final sample consisted of </w:t>
      </w:r>
      <w:r w:rsidR="00B42D9D" w:rsidRPr="008D3E74">
        <w:rPr>
          <w:rFonts w:ascii="Arial" w:hAnsi="Arial" w:cs="Arial"/>
        </w:rPr>
        <w:t>7275</w:t>
      </w:r>
      <w:r w:rsidR="00074878" w:rsidRPr="008D3E74">
        <w:rPr>
          <w:rFonts w:ascii="Arial" w:hAnsi="Arial" w:cs="Arial"/>
        </w:rPr>
        <w:t xml:space="preserve"> individuals </w:t>
      </w:r>
      <w:r w:rsidR="00365171" w:rsidRPr="008D3E74">
        <w:rPr>
          <w:rFonts w:ascii="Arial" w:hAnsi="Arial" w:cs="Arial"/>
        </w:rPr>
        <w:t>aged ≥16 years</w:t>
      </w:r>
      <w:r w:rsidR="00034836" w:rsidRPr="008D3E74">
        <w:rPr>
          <w:rFonts w:ascii="Arial" w:hAnsi="Arial" w:cs="Arial"/>
        </w:rPr>
        <w:t xml:space="preserve">. </w:t>
      </w:r>
      <w:r w:rsidRPr="008D3E74">
        <w:rPr>
          <w:rFonts w:ascii="Arial" w:hAnsi="Arial" w:cs="Arial"/>
        </w:rPr>
        <w:t>The prevalence of non-heterosexual orientation and any PE was 7.1% and 5.5%, respectively.</w:t>
      </w:r>
      <w:r w:rsidR="00EF4304" w:rsidRPr="008D3E74">
        <w:rPr>
          <w:rFonts w:ascii="Arial" w:hAnsi="Arial" w:cs="Arial"/>
        </w:rPr>
        <w:t xml:space="preserve"> After adjusting for sex, age, </w:t>
      </w:r>
      <w:r w:rsidR="005A2B34" w:rsidRPr="008D3E74">
        <w:rPr>
          <w:rFonts w:ascii="Arial" w:hAnsi="Arial" w:cs="Arial"/>
        </w:rPr>
        <w:t xml:space="preserve">and </w:t>
      </w:r>
      <w:r w:rsidR="00EF4304" w:rsidRPr="008D3E74">
        <w:rPr>
          <w:rFonts w:ascii="Arial" w:hAnsi="Arial" w:cs="Arial"/>
        </w:rPr>
        <w:t xml:space="preserve">ethnicity, non-heterosexual orientation was positively </w:t>
      </w:r>
      <w:r w:rsidR="001A6296" w:rsidRPr="008D3E74">
        <w:rPr>
          <w:rFonts w:ascii="Arial" w:hAnsi="Arial" w:cs="Arial"/>
        </w:rPr>
        <w:t xml:space="preserve">associated </w:t>
      </w:r>
      <w:r w:rsidR="00EF4304" w:rsidRPr="008D3E74">
        <w:rPr>
          <w:rFonts w:ascii="Arial" w:hAnsi="Arial" w:cs="Arial"/>
        </w:rPr>
        <w:t>with any PE (OR=1.</w:t>
      </w:r>
      <w:r w:rsidR="00E0153C" w:rsidRPr="008D3E74">
        <w:rPr>
          <w:rFonts w:ascii="Arial" w:hAnsi="Arial" w:cs="Arial"/>
        </w:rPr>
        <w:t>99</w:t>
      </w:r>
      <w:r w:rsidR="00034836" w:rsidRPr="008D3E74">
        <w:rPr>
          <w:rFonts w:ascii="Arial" w:hAnsi="Arial" w:cs="Arial"/>
        </w:rPr>
        <w:t>; 95%CI=1.</w:t>
      </w:r>
      <w:r w:rsidR="005F3D61" w:rsidRPr="008D3E74">
        <w:rPr>
          <w:rFonts w:ascii="Arial" w:hAnsi="Arial" w:cs="Arial"/>
        </w:rPr>
        <w:t>34</w:t>
      </w:r>
      <w:r w:rsidR="00034836" w:rsidRPr="008D3E74">
        <w:rPr>
          <w:rFonts w:ascii="Arial" w:hAnsi="Arial" w:cs="Arial"/>
        </w:rPr>
        <w:t>-2.</w:t>
      </w:r>
      <w:r w:rsidR="00B50D52" w:rsidRPr="008D3E74">
        <w:rPr>
          <w:rFonts w:ascii="Arial" w:hAnsi="Arial" w:cs="Arial"/>
        </w:rPr>
        <w:t>93</w:t>
      </w:r>
      <w:r w:rsidR="00EF4304" w:rsidRPr="008D3E74">
        <w:rPr>
          <w:rFonts w:ascii="Arial" w:hAnsi="Arial" w:cs="Arial"/>
        </w:rPr>
        <w:t xml:space="preserve">). The </w:t>
      </w:r>
      <w:r w:rsidR="003C1EF5" w:rsidRPr="008D3E74">
        <w:rPr>
          <w:rFonts w:ascii="Arial" w:hAnsi="Arial" w:cs="Arial"/>
        </w:rPr>
        <w:t xml:space="preserve">strongest </w:t>
      </w:r>
      <w:r w:rsidR="00EF4304" w:rsidRPr="008D3E74">
        <w:rPr>
          <w:rFonts w:ascii="Arial" w:hAnsi="Arial" w:cs="Arial"/>
        </w:rPr>
        <w:t>mediators involved in this relationship were</w:t>
      </w:r>
      <w:r w:rsidR="007E4665" w:rsidRPr="008D3E74">
        <w:rPr>
          <w:rFonts w:ascii="Arial" w:hAnsi="Arial" w:cs="Arial"/>
        </w:rPr>
        <w:t xml:space="preserve"> </w:t>
      </w:r>
      <w:r w:rsidR="00F26DC3" w:rsidRPr="008D3E74">
        <w:rPr>
          <w:rFonts w:ascii="Arial" w:hAnsi="Arial" w:cs="Arial"/>
        </w:rPr>
        <w:t>BPD traits (mediated percentage=33.5%), loneliness (29.1%) and stressful life events (25.4%)</w:t>
      </w:r>
      <w:r w:rsidR="00EF4304" w:rsidRPr="008D3E74">
        <w:rPr>
          <w:rFonts w:ascii="Arial" w:hAnsi="Arial" w:cs="Arial"/>
        </w:rPr>
        <w:t>.</w:t>
      </w:r>
    </w:p>
    <w:p w14:paraId="4D7F07DB" w14:textId="688E7DA2" w:rsidR="00DE367C" w:rsidRPr="008D3E74" w:rsidRDefault="00EF4304" w:rsidP="000050E5">
      <w:pPr>
        <w:spacing w:line="480" w:lineRule="auto"/>
        <w:jc w:val="both"/>
        <w:rPr>
          <w:rFonts w:ascii="Arial" w:hAnsi="Arial" w:cs="Arial"/>
        </w:rPr>
      </w:pPr>
      <w:r w:rsidRPr="008D3E74">
        <w:rPr>
          <w:rFonts w:ascii="Arial" w:hAnsi="Arial" w:cs="Arial"/>
          <w:i/>
        </w:rPr>
        <w:t>Conclusions:</w:t>
      </w:r>
      <w:r w:rsidRPr="008D3E74">
        <w:rPr>
          <w:rFonts w:ascii="Arial" w:hAnsi="Arial" w:cs="Arial"/>
        </w:rPr>
        <w:t xml:space="preserve"> </w:t>
      </w:r>
      <w:r w:rsidR="00040860" w:rsidRPr="008D3E74">
        <w:rPr>
          <w:rFonts w:ascii="Arial" w:hAnsi="Arial" w:cs="Arial"/>
        </w:rPr>
        <w:t>These findings suggest that there is a positive relationship between sexual orientation and PEs in the general population in England, and</w:t>
      </w:r>
      <w:r w:rsidR="003C1EF5" w:rsidRPr="008D3E74">
        <w:rPr>
          <w:rFonts w:ascii="Arial" w:hAnsi="Arial" w:cs="Arial"/>
        </w:rPr>
        <w:t xml:space="preserve"> that underlying mechanisms may involve</w:t>
      </w:r>
      <w:r w:rsidR="007E38DB" w:rsidRPr="008D3E74">
        <w:rPr>
          <w:rFonts w:ascii="Arial" w:hAnsi="Arial" w:cs="Arial"/>
        </w:rPr>
        <w:t xml:space="preserve"> </w:t>
      </w:r>
      <w:r w:rsidR="00A66A55" w:rsidRPr="008D3E74">
        <w:rPr>
          <w:rFonts w:ascii="Arial" w:hAnsi="Arial" w:cs="Arial"/>
        </w:rPr>
        <w:t xml:space="preserve">BPD traits, </w:t>
      </w:r>
      <w:r w:rsidR="007E38DB" w:rsidRPr="008D3E74">
        <w:rPr>
          <w:rFonts w:ascii="Arial" w:hAnsi="Arial" w:cs="Arial"/>
        </w:rPr>
        <w:t>loneliness</w:t>
      </w:r>
      <w:r w:rsidR="00A66A55" w:rsidRPr="008D3E74">
        <w:rPr>
          <w:rFonts w:ascii="Arial" w:hAnsi="Arial" w:cs="Arial"/>
        </w:rPr>
        <w:t xml:space="preserve"> and</w:t>
      </w:r>
      <w:r w:rsidR="003C1EF5" w:rsidRPr="008D3E74">
        <w:rPr>
          <w:rFonts w:ascii="Arial" w:hAnsi="Arial" w:cs="Arial"/>
        </w:rPr>
        <w:t xml:space="preserve"> </w:t>
      </w:r>
      <w:r w:rsidR="00040860" w:rsidRPr="008D3E74">
        <w:rPr>
          <w:rFonts w:ascii="Arial" w:hAnsi="Arial" w:cs="Arial"/>
        </w:rPr>
        <w:t xml:space="preserve">stressful </w:t>
      </w:r>
      <w:r w:rsidR="00040860" w:rsidRPr="008D3E74">
        <w:rPr>
          <w:rFonts w:ascii="Arial" w:hAnsi="Arial" w:cs="Arial"/>
        </w:rPr>
        <w:lastRenderedPageBreak/>
        <w:t xml:space="preserve">life events. </w:t>
      </w:r>
      <w:r w:rsidR="000C2D9A" w:rsidRPr="008D3E74">
        <w:rPr>
          <w:rFonts w:ascii="Arial" w:hAnsi="Arial" w:cs="Arial"/>
        </w:rPr>
        <w:t xml:space="preserve">Future studies </w:t>
      </w:r>
      <w:r w:rsidR="0074595B" w:rsidRPr="008D3E74">
        <w:rPr>
          <w:rFonts w:ascii="Arial" w:hAnsi="Arial" w:cs="Arial"/>
        </w:rPr>
        <w:t>with a</w:t>
      </w:r>
      <w:r w:rsidR="000C2D9A" w:rsidRPr="008D3E74">
        <w:rPr>
          <w:rFonts w:ascii="Arial" w:hAnsi="Arial" w:cs="Arial"/>
        </w:rPr>
        <w:t xml:space="preserve"> longitudinal design are warranted to shed more light on how these factors are implicated in the association between sexual orientation and PE</w:t>
      </w:r>
      <w:r w:rsidR="001A6D22" w:rsidRPr="008D3E74">
        <w:rPr>
          <w:rFonts w:ascii="Arial" w:hAnsi="Arial" w:cs="Arial"/>
        </w:rPr>
        <w:t>s</w:t>
      </w:r>
      <w:r w:rsidR="000C2D9A" w:rsidRPr="008D3E74">
        <w:rPr>
          <w:rFonts w:ascii="Arial" w:hAnsi="Arial" w:cs="Arial"/>
        </w:rPr>
        <w:t>.</w:t>
      </w:r>
    </w:p>
    <w:p w14:paraId="7852D542" w14:textId="77777777" w:rsidR="007171EB" w:rsidRPr="008D3E74" w:rsidRDefault="007171EB" w:rsidP="000050E5">
      <w:pPr>
        <w:spacing w:line="480" w:lineRule="auto"/>
        <w:jc w:val="both"/>
        <w:rPr>
          <w:rFonts w:ascii="Arial" w:hAnsi="Arial" w:cs="Arial"/>
          <w:b/>
        </w:rPr>
      </w:pPr>
    </w:p>
    <w:p w14:paraId="37AEBF9E" w14:textId="20BC714A" w:rsidR="00264207" w:rsidRPr="008D3E74" w:rsidRDefault="00626101" w:rsidP="000050E5">
      <w:pPr>
        <w:spacing w:line="480" w:lineRule="auto"/>
        <w:jc w:val="both"/>
        <w:rPr>
          <w:rFonts w:ascii="Arial" w:hAnsi="Arial" w:cs="Arial"/>
        </w:rPr>
      </w:pPr>
      <w:r w:rsidRPr="008D3E74">
        <w:rPr>
          <w:rFonts w:ascii="Arial" w:hAnsi="Arial" w:cs="Arial"/>
          <w:b/>
        </w:rPr>
        <w:t>Keywords:</w:t>
      </w:r>
      <w:r w:rsidRPr="008D3E74">
        <w:rPr>
          <w:rFonts w:ascii="Arial" w:hAnsi="Arial" w:cs="Arial"/>
        </w:rPr>
        <w:t xml:space="preserve"> </w:t>
      </w:r>
      <w:r w:rsidR="00C0317E" w:rsidRPr="008D3E74">
        <w:rPr>
          <w:rFonts w:ascii="Arial" w:hAnsi="Arial" w:cs="Arial"/>
        </w:rPr>
        <w:t xml:space="preserve">sexual orientation; psychotic experiences; mediation analysis; </w:t>
      </w:r>
      <w:r w:rsidR="00BB6BED" w:rsidRPr="008D3E74">
        <w:rPr>
          <w:rFonts w:ascii="Arial" w:hAnsi="Arial" w:cs="Arial"/>
        </w:rPr>
        <w:t xml:space="preserve">English </w:t>
      </w:r>
      <w:r w:rsidR="00C0317E" w:rsidRPr="008D3E74">
        <w:rPr>
          <w:rFonts w:ascii="Arial" w:hAnsi="Arial" w:cs="Arial"/>
        </w:rPr>
        <w:t>nationally representative survey.</w:t>
      </w:r>
    </w:p>
    <w:p w14:paraId="0E170DD2" w14:textId="45F9EB23" w:rsidR="00C545C5" w:rsidRPr="008D3E74" w:rsidRDefault="00C545C5" w:rsidP="000050E5">
      <w:pPr>
        <w:spacing w:line="480" w:lineRule="auto"/>
        <w:jc w:val="both"/>
        <w:rPr>
          <w:rFonts w:ascii="Arial" w:hAnsi="Arial" w:cs="Arial"/>
          <w:b/>
        </w:rPr>
      </w:pPr>
      <w:r w:rsidRPr="008D3E74">
        <w:rPr>
          <w:rFonts w:ascii="Arial" w:hAnsi="Arial" w:cs="Arial"/>
          <w:b/>
        </w:rPr>
        <w:br w:type="page"/>
      </w:r>
    </w:p>
    <w:p w14:paraId="07056848" w14:textId="11BCABCA" w:rsidR="00A52632" w:rsidRPr="008D3E74" w:rsidRDefault="00A52632" w:rsidP="0036632E">
      <w:pPr>
        <w:pStyle w:val="Heading1"/>
      </w:pPr>
      <w:r w:rsidRPr="008D3E74">
        <w:lastRenderedPageBreak/>
        <w:t>Introduction</w:t>
      </w:r>
    </w:p>
    <w:p w14:paraId="758E1CDF" w14:textId="6A3B3074" w:rsidR="00E601FD" w:rsidRPr="008D3E74" w:rsidRDefault="00E601FD" w:rsidP="000050E5">
      <w:pPr>
        <w:spacing w:line="480" w:lineRule="auto"/>
        <w:rPr>
          <w:rFonts w:ascii="Arial" w:hAnsi="Arial" w:cs="Arial"/>
        </w:rPr>
      </w:pPr>
    </w:p>
    <w:p w14:paraId="17FF40D2" w14:textId="4CC69B56" w:rsidR="00815A0A" w:rsidRPr="008D3E74" w:rsidRDefault="00815A0A" w:rsidP="000050E5">
      <w:pPr>
        <w:spacing w:line="480" w:lineRule="auto"/>
        <w:jc w:val="both"/>
        <w:rPr>
          <w:rFonts w:ascii="Arial" w:hAnsi="Arial" w:cs="Arial"/>
        </w:rPr>
      </w:pPr>
      <w:r w:rsidRPr="008D3E74">
        <w:rPr>
          <w:rFonts w:ascii="Arial" w:hAnsi="Arial" w:cs="Arial"/>
        </w:rPr>
        <w:t>Psychotic experiences (PEs) are hallucination</w:t>
      </w:r>
      <w:r w:rsidR="00BF4626" w:rsidRPr="008D3E74">
        <w:rPr>
          <w:rFonts w:ascii="Arial" w:hAnsi="Arial" w:cs="Arial"/>
        </w:rPr>
        <w:t>s</w:t>
      </w:r>
      <w:r w:rsidRPr="008D3E74">
        <w:rPr>
          <w:rFonts w:ascii="Arial" w:hAnsi="Arial" w:cs="Arial"/>
        </w:rPr>
        <w:t xml:space="preserve"> and delusion</w:t>
      </w:r>
      <w:r w:rsidR="00BF4626" w:rsidRPr="008D3E74">
        <w:rPr>
          <w:rFonts w:ascii="Arial" w:hAnsi="Arial" w:cs="Arial"/>
        </w:rPr>
        <w:t>s</w:t>
      </w:r>
      <w:r w:rsidRPr="008D3E74">
        <w:rPr>
          <w:rFonts w:ascii="Arial" w:hAnsi="Arial" w:cs="Arial"/>
        </w:rPr>
        <w:t xml:space="preserve"> </w:t>
      </w:r>
      <w:r w:rsidR="00BF4626" w:rsidRPr="008D3E74">
        <w:rPr>
          <w:rFonts w:ascii="Arial" w:hAnsi="Arial" w:cs="Arial"/>
        </w:rPr>
        <w:t xml:space="preserve">that do </w:t>
      </w:r>
      <w:r w:rsidRPr="008D3E74">
        <w:rPr>
          <w:rFonts w:ascii="Arial" w:hAnsi="Arial" w:cs="Arial"/>
        </w:rPr>
        <w:t>not reach the clinical threshold for a psychosis diagnosis</w:t>
      </w:r>
      <w:r w:rsidR="002107D7" w:rsidRPr="008D3E74">
        <w:rPr>
          <w:rFonts w:ascii="Arial" w:hAnsi="Arial" w:cs="Arial"/>
        </w:rPr>
        <w:t xml:space="preserve"> </w:t>
      </w:r>
      <w:r w:rsidRPr="008D3E74">
        <w:rPr>
          <w:rFonts w:ascii="Arial" w:hAnsi="Arial" w:cs="Arial"/>
        </w:rPr>
        <w:fldChar w:fldCharType="begin"/>
      </w:r>
      <w:r w:rsidR="00754C02" w:rsidRPr="008D3E74">
        <w:rPr>
          <w:rFonts w:ascii="Arial" w:hAnsi="Arial" w:cs="Arial"/>
        </w:rPr>
        <w:instrText xml:space="preserve"> ADDIN ZOTERO_ITEM CSL_CITATION {"citationID":"PhUpJY2Y","properties":{"formattedCitation":"(DeVylder {\\i{}et al.} 2017)","plainCitation":"(DeVylder et al. 2017)","noteIndex":0},"citationItems":[{"id":1111,"uris":["http://zotero.org/users/local/hhPVnw6l/items/D9TXQXST"],"uri":["http://zotero.org/users/local/hhPVnw6l/items/D9TXQXST"],"itemData":{"id":1111,"type":"article-journal","title":"Psychotic Experiences in the Context of Police Victimization: Data From the Survey of Police-Public Encounters","container-title":"Schizophrenia Bulletin","page":"993-1001","volume":"43","issue":"5","source":"PubMed","abstract":"Social defeat has been proposed as the common mechanism underlying several well-replicated risk factors for sub-threshold psychotic experiences (PEs) identified in epidemiological research. Victimization by the police may likewise be socially defeating among vulnerable individuals and, therefore, may be associated with elevated risk for PEs. However, no prior studies have examined the relation between police victimization and PEs. We tested the hypothesis that exposure to police victimization (ie, physical, sexual, psychological, and neglect) would be associated with increased odds for PEs in the Survey of Police-Public Encounters data (N = 1615), a general population sample of adults from 4 US cities. Respondents who reported each type of police victimization were more likely to report PEs in logistic regression analyses (all P &lt; .01), most of which were significant even when adjusting for demographic variables, psychological distress, and self-reported crime involvement (adjusted OR range: 1.30 to 7.16). Furthermore, the prevalence of PEs increased with greater exposure to police victimization in a linear dose-response relation, OR (95% CI) = 1.44 (1.24-1.66). These findings suggest that police victimization is a clinically important and previously unreported risk factor for PEs in the urban US population. These findings support the need for community-based outreach efforts and greater police training to reduce the prevalence of this exposure, particularly in socially disadvantaged urban communities.","DOI":"10.1093/schbul/sbx038","ISSN":"1745-1701","note":"PMID: 28369639\nPMCID: PMC5581896","title-short":"Psychotic Experiences in the Context of Police Victimization","journalAbbreviation":"Schizophr Bull","language":"eng","author":[{"family":"DeVylder","given":"Jordan E."},{"family":"Cogburn","given":"Courtney"},{"family":"Oh","given":"Hans Y."},{"family":"Anglin","given":"Deidre"},{"family":"Smith","given":"Melissa Edmondson"},{"family":"Sharpe","given":"Tanya"},{"family":"Jun","given":"Hyun-Jin"},{"family":"Schiffman","given":"Jason"},{"family":"Lukens","given":"Ellen"},{"family":"Link","given":"Bruce"}],"issued":{"date-parts":[["2017"]],"season":"01"}}}],"schema":"https://github.com/citation-style-language/schema/raw/master/csl-citation.json"} </w:instrText>
      </w:r>
      <w:r w:rsidRPr="008D3E74">
        <w:rPr>
          <w:rFonts w:ascii="Arial" w:hAnsi="Arial" w:cs="Arial"/>
        </w:rPr>
        <w:fldChar w:fldCharType="separate"/>
      </w:r>
      <w:r w:rsidR="00754C02" w:rsidRPr="008D3E74">
        <w:rPr>
          <w:rFonts w:ascii="Arial" w:hAnsi="Arial" w:cs="Arial"/>
        </w:rPr>
        <w:t xml:space="preserve">(DeVylder </w:t>
      </w:r>
      <w:r w:rsidR="00754C02" w:rsidRPr="008D3E74">
        <w:rPr>
          <w:rFonts w:ascii="Arial" w:hAnsi="Arial" w:cs="Arial"/>
          <w:i/>
          <w:iCs/>
        </w:rPr>
        <w:t>et al.</w:t>
      </w:r>
      <w:r w:rsidR="00754C02" w:rsidRPr="008D3E74">
        <w:rPr>
          <w:rFonts w:ascii="Arial" w:hAnsi="Arial" w:cs="Arial"/>
        </w:rPr>
        <w:t xml:space="preserve"> 2017)</w:t>
      </w:r>
      <w:r w:rsidRPr="008D3E74">
        <w:rPr>
          <w:rFonts w:ascii="Arial" w:hAnsi="Arial" w:cs="Arial"/>
        </w:rPr>
        <w:fldChar w:fldCharType="end"/>
      </w:r>
      <w:r w:rsidR="002107D7" w:rsidRPr="008D3E74">
        <w:rPr>
          <w:rFonts w:ascii="Arial" w:hAnsi="Arial" w:cs="Arial"/>
        </w:rPr>
        <w:t>.</w:t>
      </w:r>
      <w:r w:rsidRPr="008D3E74">
        <w:rPr>
          <w:rFonts w:ascii="Arial" w:hAnsi="Arial" w:cs="Arial"/>
        </w:rPr>
        <w:t xml:space="preserve"> The annual incidence and prevalence </w:t>
      </w:r>
      <w:r w:rsidR="00264207" w:rsidRPr="008D3E74">
        <w:rPr>
          <w:rFonts w:ascii="Arial" w:hAnsi="Arial" w:cs="Arial"/>
        </w:rPr>
        <w:t xml:space="preserve">of PEs have been reported to be </w:t>
      </w:r>
      <w:r w:rsidRPr="008D3E74">
        <w:rPr>
          <w:rFonts w:ascii="Arial" w:hAnsi="Arial" w:cs="Arial"/>
        </w:rPr>
        <w:t>2.5% and 7.2%, respectively</w:t>
      </w:r>
      <w:r w:rsidR="002107D7" w:rsidRPr="008D3E74">
        <w:rPr>
          <w:rFonts w:ascii="Arial" w:hAnsi="Arial" w:cs="Arial"/>
        </w:rPr>
        <w:t xml:space="preserve"> </w:t>
      </w:r>
      <w:r w:rsidRPr="008D3E74">
        <w:rPr>
          <w:rFonts w:ascii="Arial" w:hAnsi="Arial" w:cs="Arial"/>
        </w:rPr>
        <w:fldChar w:fldCharType="begin"/>
      </w:r>
      <w:r w:rsidR="00754C02" w:rsidRPr="008D3E74">
        <w:rPr>
          <w:rFonts w:ascii="Arial" w:hAnsi="Arial" w:cs="Arial"/>
        </w:rPr>
        <w:instrText xml:space="preserve"> ADDIN ZOTERO_ITEM CSL_CITATION {"citationID":"rSIdvtCS","properties":{"formattedCitation":"(Linscott &amp; van Os 2013)","plainCitation":"(Linscott &amp; van Os 2013)","noteIndex":0},"citationItems":[{"id":1114,"uris":["http://zotero.org/users/local/hhPVnw6l/items/BRJB9H5S"],"uri":["http://zotero.org/users/local/hhPVnw6l/items/BRJB9H5S"],"itemData":{"id":1114,"type":"article-journal","title":"An updated and conservative systematic review and meta-analysis of epidemiological evidence on psychotic experiences in children and adults: on the pathway from proneness to persistence to dimensional expression across mental disorders","container-title":"Psychological Medicine","page":"1133-1149","volume":"43","issue":"6","source":"PubMed","abstract":"BACKGROUND: The psychosis-proneness-persistence-impairment model of psychotic disorder incorporates notions of both phenomenological and temporal continuity (persistence) of psychotic experiences (PE), but not structural continuity. Specific testable propositions of phenomenological continuity and persistence are identified. Method Propositions are tested by systematic reviews of the epidemiology of PE, persistence of PE and disorder outcomes, and meta-analyses (including Monte Carlo permutation sampling, MCPS) of reported rates and odds ratios (ORs).\nRESULTS: Estimates of the incidence and prevalence of PE obtained from 61 cohorts revealed a median annual incidence of 2.5% and a prevalence of 7.2%. Meta-analysis of risk factors identified age, minority or migrant status, income, education, employment, marital status, alcohol use, cannabis use, stress, urbanicity and family history of mental illness as important predictors of PE. The mode of assessment accounted for significant variance in the observed rates. Across cohorts, the probability of persistence was very strongly related to the rate of PE at baseline. Of those who report PE, </w:instrText>
      </w:r>
      <w:r w:rsidR="00754C02" w:rsidRPr="008D3E74">
        <w:rPr>
          <w:rFonts w:ascii="Cambria Math" w:hAnsi="Cambria Math" w:cs="Cambria Math"/>
        </w:rPr>
        <w:instrText>∼</w:instrText>
      </w:r>
      <w:r w:rsidR="00754C02" w:rsidRPr="008D3E74">
        <w:rPr>
          <w:rFonts w:ascii="Arial" w:hAnsi="Arial" w:cs="Arial"/>
        </w:rPr>
        <w:instrText xml:space="preserve">20% go on to experience persistent PE whereas for </w:instrText>
      </w:r>
      <w:r w:rsidR="00754C02" w:rsidRPr="008D3E74">
        <w:rPr>
          <w:rFonts w:ascii="Cambria Math" w:hAnsi="Cambria Math" w:cs="Cambria Math"/>
        </w:rPr>
        <w:instrText>∼</w:instrText>
      </w:r>
      <w:r w:rsidR="00754C02" w:rsidRPr="008D3E74">
        <w:rPr>
          <w:rFonts w:ascii="Arial" w:hAnsi="Arial" w:cs="Arial"/>
        </w:rPr>
        <w:instrText xml:space="preserve">80%, PE remit over time. Of those with baseline PE, 7.4% develop a psychotic disorder outcome.\nCONCLUSIONS: Compelling support is found for the phenomenological and temporal continuity between PE and psychotic disorder and for the fundamental proposition that this relationship is probabilistic. However, imprecision in epidemiological research design, measurement limitations and the epiphenomenological nature of PE invite further robust scrutiny of the continuity theory.","DOI":"10.1017/S0033291712001626","ISSN":"1469-8978","note":"PMID: 22850401","title-short":"An updated and conservative systematic review and meta-analysis of epidemiological evidence on psychotic experiences in children and adults","journalAbbreviation":"Psychol Med","language":"eng","author":[{"family":"Linscott","given":"R. J."},{"family":"Os","given":"J.","non-dropping-particle":"van"}],"issued":{"date-parts":[["2013",6]]}}}],"schema":"https://github.com/citation-style-language/schema/raw/master/csl-citation.json"} </w:instrText>
      </w:r>
      <w:r w:rsidRPr="008D3E74">
        <w:rPr>
          <w:rFonts w:ascii="Arial" w:hAnsi="Arial" w:cs="Arial"/>
        </w:rPr>
        <w:fldChar w:fldCharType="separate"/>
      </w:r>
      <w:r w:rsidR="00754C02" w:rsidRPr="008D3E74">
        <w:rPr>
          <w:rFonts w:ascii="Arial" w:hAnsi="Arial" w:cs="Arial"/>
        </w:rPr>
        <w:t>(Linscott &amp; van Os 2013)</w:t>
      </w:r>
      <w:r w:rsidRPr="008D3E74">
        <w:rPr>
          <w:rFonts w:ascii="Arial" w:hAnsi="Arial" w:cs="Arial"/>
        </w:rPr>
        <w:fldChar w:fldCharType="end"/>
      </w:r>
      <w:r w:rsidR="002107D7" w:rsidRPr="008D3E74">
        <w:rPr>
          <w:rFonts w:ascii="Arial" w:hAnsi="Arial" w:cs="Arial"/>
        </w:rPr>
        <w:t>.</w:t>
      </w:r>
      <w:r w:rsidR="00077C4C" w:rsidRPr="008D3E74">
        <w:rPr>
          <w:rFonts w:ascii="Arial" w:hAnsi="Arial" w:cs="Arial"/>
        </w:rPr>
        <w:t xml:space="preserve"> PEs are associated with </w:t>
      </w:r>
      <w:r w:rsidR="00B15D85" w:rsidRPr="008D3E74">
        <w:rPr>
          <w:rFonts w:ascii="Arial" w:hAnsi="Arial" w:cs="Arial"/>
        </w:rPr>
        <w:t>a</w:t>
      </w:r>
      <w:r w:rsidR="00BE61AA" w:rsidRPr="008D3E74">
        <w:rPr>
          <w:rFonts w:ascii="Arial" w:hAnsi="Arial" w:cs="Arial"/>
        </w:rPr>
        <w:t>n</w:t>
      </w:r>
      <w:r w:rsidR="00B15D85" w:rsidRPr="008D3E74">
        <w:rPr>
          <w:rFonts w:ascii="Arial" w:hAnsi="Arial" w:cs="Arial"/>
        </w:rPr>
        <w:t xml:space="preserve"> </w:t>
      </w:r>
      <w:r w:rsidR="0092438C" w:rsidRPr="008D3E74">
        <w:rPr>
          <w:rFonts w:ascii="Arial" w:hAnsi="Arial" w:cs="Arial"/>
        </w:rPr>
        <w:t>increased risk for psychotic disorders</w:t>
      </w:r>
      <w:r w:rsidR="002107D7" w:rsidRPr="008D3E74">
        <w:rPr>
          <w:rFonts w:ascii="Arial" w:hAnsi="Arial" w:cs="Arial"/>
        </w:rPr>
        <w:t xml:space="preserve"> </w:t>
      </w:r>
      <w:r w:rsidR="00065637" w:rsidRPr="008D3E74">
        <w:rPr>
          <w:rFonts w:ascii="Arial" w:hAnsi="Arial" w:cs="Arial"/>
        </w:rPr>
        <w:fldChar w:fldCharType="begin"/>
      </w:r>
      <w:r w:rsidR="00754C02" w:rsidRPr="008D3E74">
        <w:rPr>
          <w:rFonts w:ascii="Arial" w:hAnsi="Arial" w:cs="Arial"/>
        </w:rPr>
        <w:instrText xml:space="preserve"> ADDIN ZOTERO_ITEM CSL_CITATION {"citationID":"fzbBiiXq","properties":{"formattedCitation":"(Kaymaz {\\i{}et al.} 2012)","plainCitation":"(Kaymaz et al. 2012)","noteIndex":0},"citationItems":[{"id":1256,"uris":["http://zotero.org/users/local/hhPVnw6l/items/K7BABKP4"],"uri":["http://zotero.org/users/local/hhPVnw6l/items/K7BABKP4"],"itemData":{"id":1256,"type":"article-journal","title":"Do subthreshold psychotic experiences predict clinical outcomes in unselected non-help-seeking population-based samples? A systematic review and meta-analysis, enriched with new results","container-title":"Psychological Medicine","page":"2239-2253","volume":"42","issue":"11","source":"PubMed","abstract":"BACKGROUND: The base rate of transition from subthreshold psychotic experiences (the exposure) to clinical psychotic disorder (the outcome) in unselected, representative and non-help-seeking population-based samples is unknown.\nMETHOD: A systematic review and meta-analysis was conducted of representative, longitudinal population-based cohorts with baseline assessment of subthreshold psychotic experiences and follow-up assessment of psychotic and non-psychotic clinical outcomes.\nRESULTS: Six cohorts were identified with a 3-24-year follow-up of baseline subthreshold self-reported psychotic experiences. The yearly risk of conversion to a clinical psychotic outcome in exposed individuals (0.56%) was 3.5 times higher than for individuals without psychotic experiences (0.16%) and there was meta-analytic evidence of dose-response with severity/persistence of psychotic experiences. Individual studies also suggest a role for motivational impairment and social dysfunction. The evidence for conversion to non-psychotic outcome was weaker, although findings were similar in direction.\nCONCLUSIONS: Subthreshold self-reported psychotic experiences in epidemiological non-help-seeking samples index psychometric risk for psychotic disorder, with strong modifier effects of severity/persistence. These data can serve as the population reference for selected and variable samples of help-seeking individuals at ultra-high risk, for whom much higher transition rates have been indicated.","DOI":"10.1017/S0033291711002911","ISSN":"1469-8978","note":"PMID: 22260930","title-short":"Do subthreshold psychotic experiences predict clinical outcomes in unselected non-help-seeking population-based samples?","journalAbbreviation":"Psychol Med","language":"eng","author":[{"family":"Kaymaz","given":"N."},{"family":"Drukker","given":"M."},{"family":"Lieb","given":"R."},{"family":"Wittchen","given":"H.-U."},{"family":"Werbeloff","given":"N."},{"family":"Weiser","given":"M."},{"family":"Lataster","given":"T."},{"family":"Os","given":"J.","non-dropping-particle":"van"}],"issued":{"date-parts":[["2012",11]]}}}],"schema":"https://github.com/citation-style-language/schema/raw/master/csl-citation.json"} </w:instrText>
      </w:r>
      <w:r w:rsidR="00065637" w:rsidRPr="008D3E74">
        <w:rPr>
          <w:rFonts w:ascii="Arial" w:hAnsi="Arial" w:cs="Arial"/>
        </w:rPr>
        <w:fldChar w:fldCharType="separate"/>
      </w:r>
      <w:r w:rsidR="00754C02" w:rsidRPr="008D3E74">
        <w:rPr>
          <w:rFonts w:ascii="Arial" w:hAnsi="Arial" w:cs="Arial"/>
        </w:rPr>
        <w:t xml:space="preserve">(Kaymaz </w:t>
      </w:r>
      <w:r w:rsidR="00754C02" w:rsidRPr="008D3E74">
        <w:rPr>
          <w:rFonts w:ascii="Arial" w:hAnsi="Arial" w:cs="Arial"/>
          <w:i/>
          <w:iCs/>
        </w:rPr>
        <w:t>et al.</w:t>
      </w:r>
      <w:r w:rsidR="00754C02" w:rsidRPr="008D3E74">
        <w:rPr>
          <w:rFonts w:ascii="Arial" w:hAnsi="Arial" w:cs="Arial"/>
        </w:rPr>
        <w:t xml:space="preserve"> 2012)</w:t>
      </w:r>
      <w:r w:rsidR="00065637" w:rsidRPr="008D3E74">
        <w:rPr>
          <w:rFonts w:ascii="Arial" w:hAnsi="Arial" w:cs="Arial"/>
        </w:rPr>
        <w:fldChar w:fldCharType="end"/>
      </w:r>
      <w:r w:rsidR="002107D7" w:rsidRPr="008D3E74">
        <w:rPr>
          <w:rFonts w:ascii="Arial" w:hAnsi="Arial" w:cs="Arial"/>
        </w:rPr>
        <w:t>,</w:t>
      </w:r>
      <w:r w:rsidR="0092438C" w:rsidRPr="008D3E74">
        <w:rPr>
          <w:rFonts w:ascii="Arial" w:hAnsi="Arial" w:cs="Arial"/>
        </w:rPr>
        <w:t xml:space="preserve"> </w:t>
      </w:r>
      <w:r w:rsidR="00F82A44" w:rsidRPr="008D3E74">
        <w:rPr>
          <w:rFonts w:ascii="Arial" w:hAnsi="Arial" w:cs="Arial"/>
        </w:rPr>
        <w:t xml:space="preserve">as well as </w:t>
      </w:r>
      <w:r w:rsidR="00EF6F3F" w:rsidRPr="008D3E74">
        <w:rPr>
          <w:rFonts w:ascii="Arial" w:hAnsi="Arial" w:cs="Arial"/>
        </w:rPr>
        <w:t xml:space="preserve">several physical conditions (e.g., </w:t>
      </w:r>
      <w:r w:rsidR="009A5CF8" w:rsidRPr="008D3E74">
        <w:rPr>
          <w:rFonts w:ascii="Arial" w:hAnsi="Arial" w:cs="Arial"/>
        </w:rPr>
        <w:t>angina, asthma, arthritis</w:t>
      </w:r>
      <w:r w:rsidR="00EF6F3F" w:rsidRPr="008D3E74">
        <w:rPr>
          <w:rFonts w:ascii="Arial" w:hAnsi="Arial" w:cs="Arial"/>
        </w:rPr>
        <w:t>)</w:t>
      </w:r>
      <w:r w:rsidR="002107D7" w:rsidRPr="008D3E74">
        <w:rPr>
          <w:rFonts w:ascii="Arial" w:hAnsi="Arial" w:cs="Arial"/>
        </w:rPr>
        <w:t xml:space="preserve"> </w:t>
      </w:r>
      <w:r w:rsidR="00EF6F3F" w:rsidRPr="008D3E74">
        <w:rPr>
          <w:rFonts w:ascii="Arial" w:hAnsi="Arial" w:cs="Arial"/>
        </w:rPr>
        <w:fldChar w:fldCharType="begin"/>
      </w:r>
      <w:r w:rsidR="00754C02" w:rsidRPr="008D3E74">
        <w:rPr>
          <w:rFonts w:ascii="Arial" w:hAnsi="Arial" w:cs="Arial"/>
        </w:rPr>
        <w:instrText xml:space="preserve"> ADDIN ZOTERO_ITEM CSL_CITATION {"citationID":"mdhsOG2B","properties":{"formattedCitation":"(Moreno {\\i{}et al.} 2013)","plainCitation":"(Moreno et al. 2013)","noteIndex":0},"citationItems":[{"id":1119,"uris":["http://zotero.org/users/local/hhPVnw6l/items/PHYUWWXB"],"uri":["http://zotero.org/users/local/hhPVnw6l/items/PHYUWWXB"],"itemData":{"id":1119,"type":"article-journal","title":"Psychotic symptoms are associated with physical health problems independently of a mental disorder diagnosis: results from the WHO World Health Survey","container-title":"World Psychiatry","page":"251-257","volume":"12","issue":"3","source":"PubMed Central","abstract":"This study explored whether physical health problems are related to psychotic symptoms independently of a mental disorder diagnosis. A total of 224,254 subjects recruited for the World Health Organization World Health Survey were subdivided into those with both a lifetime diagnosis of psychosis and at least one psychotic symptom in the 12 months prior to the evaluation, those with at least one psychotic symptom in the past 12 months but no lifetime diagnosis</w:instrText>
      </w:r>
      <w:r w:rsidR="00754C02" w:rsidRPr="008D3E74">
        <w:rPr>
          <w:rFonts w:ascii="Arial" w:hAnsi="Arial" w:cs="Arial"/>
          <w:lang w:val="fr-FR"/>
        </w:rPr>
        <w:instrText xml:space="preserve"> of psychosis, and those without psychotic symptoms in the past 12 months and without a lifetime diagnosis of psychosis. The three groups were compared for the presence of medical conditions, health problems, and access to health care. Medical conditions and health problems (angina, asthma, arthritis, tuberculosis, vision or hearing problems, mouth/teeth problems, alcohol consumption, smoking, and accidents), medication consumption, and hospital admissions (but not regular health care visits) were more frequent in individuals with psychotic symptoms but no psychosis diagnosis, compared to those with no symptoms and no diagnosis. The number of medical conditions increased with the number of psychotic symptoms. Given the sample analyzed, this trend seems to be independent from the socio-economic development of the country or the specific health care system.","DOI":"10.1002/wps.20070","ISSN":"1723-8617","note":"PMID: 24096791\nPMCID: PMC3799256","title-short":"Psychotic symptoms are associated with physical health problems independently of a mental disorder diagnosis","journalAbbreviation":"World Psychiatry","author":[{"family":"Moreno","given":"Carmen"},{"family":"Nuevo","given":"Roberto"},{"family":"Chatterji","given":"Somnath"},{"family":"Verdes","given":"Emese"},{"family":"Arango","given":"Celso"},{"family":"Ayuso-Mateos","given":"José Luis"}],"issued":{"date-parts":[["2013",10]]}}}],"schema":"https://github.com/citation-style-language/schema/raw/master/csl-citation.json"} </w:instrText>
      </w:r>
      <w:r w:rsidR="00EF6F3F" w:rsidRPr="008D3E74">
        <w:rPr>
          <w:rFonts w:ascii="Arial" w:hAnsi="Arial" w:cs="Arial"/>
        </w:rPr>
        <w:fldChar w:fldCharType="separate"/>
      </w:r>
      <w:r w:rsidR="00754C02" w:rsidRPr="008D3E74">
        <w:rPr>
          <w:rFonts w:ascii="Arial" w:hAnsi="Arial" w:cs="Arial"/>
          <w:lang w:val="fr-FR"/>
        </w:rPr>
        <w:t xml:space="preserve">(Moreno </w:t>
      </w:r>
      <w:r w:rsidR="00754C02" w:rsidRPr="008D3E74">
        <w:rPr>
          <w:rFonts w:ascii="Arial" w:hAnsi="Arial" w:cs="Arial"/>
          <w:i/>
          <w:iCs/>
          <w:lang w:val="fr-FR"/>
        </w:rPr>
        <w:t>et al.</w:t>
      </w:r>
      <w:r w:rsidR="00754C02" w:rsidRPr="008D3E74">
        <w:rPr>
          <w:rFonts w:ascii="Arial" w:hAnsi="Arial" w:cs="Arial"/>
          <w:lang w:val="fr-FR"/>
        </w:rPr>
        <w:t xml:space="preserve"> 2013)</w:t>
      </w:r>
      <w:r w:rsidR="00EF6F3F" w:rsidRPr="008D3E74">
        <w:rPr>
          <w:rFonts w:ascii="Arial" w:hAnsi="Arial" w:cs="Arial"/>
        </w:rPr>
        <w:fldChar w:fldCharType="end"/>
      </w:r>
      <w:r w:rsidR="002107D7" w:rsidRPr="008D3E74">
        <w:rPr>
          <w:rFonts w:ascii="Arial" w:hAnsi="Arial" w:cs="Arial"/>
          <w:lang w:val="fr-FR"/>
        </w:rPr>
        <w:t>,</w:t>
      </w:r>
      <w:r w:rsidR="004D12B4" w:rsidRPr="008D3E74">
        <w:rPr>
          <w:rFonts w:ascii="Arial" w:hAnsi="Arial" w:cs="Arial"/>
          <w:lang w:val="fr-FR"/>
        </w:rPr>
        <w:t xml:space="preserve"> </w:t>
      </w:r>
      <w:proofErr w:type="spellStart"/>
      <w:r w:rsidR="004D12B4" w:rsidRPr="008D3E74">
        <w:rPr>
          <w:rFonts w:ascii="Arial" w:hAnsi="Arial" w:cs="Arial"/>
          <w:lang w:val="fr-FR"/>
        </w:rPr>
        <w:t>disability</w:t>
      </w:r>
      <w:proofErr w:type="spellEnd"/>
      <w:r w:rsidR="002107D7" w:rsidRPr="008D3E74">
        <w:rPr>
          <w:rFonts w:ascii="Arial" w:hAnsi="Arial" w:cs="Arial"/>
          <w:lang w:val="fr-FR"/>
        </w:rPr>
        <w:t xml:space="preserve"> </w:t>
      </w:r>
      <w:r w:rsidR="004D12B4" w:rsidRPr="008D3E74">
        <w:rPr>
          <w:rFonts w:ascii="Arial" w:hAnsi="Arial" w:cs="Arial"/>
        </w:rPr>
        <w:fldChar w:fldCharType="begin"/>
      </w:r>
      <w:r w:rsidR="00754C02" w:rsidRPr="008D3E74">
        <w:rPr>
          <w:rFonts w:ascii="Arial" w:hAnsi="Arial" w:cs="Arial"/>
          <w:lang w:val="fr-FR"/>
        </w:rPr>
        <w:instrText xml:space="preserve"> ADDIN ZOTERO_ITEM CSL_CITATION {"citationID":"klLAqt02","properties":{"formattedCitation":"(Oh {\\i{}et al.} 2018)","plainCitation":"(Oh et al. 2018)","noteIndex":0},"citationItems":[{"id":1199,"uris":["http://zotero.org/users/local/hhPVnw6l/items/PQWSQIYX"],"uri":["http://zotero.org/users/local/hhPVnw6l/items/PQWSQIYX"],"itemData":{"id":1199,"type":"article-journal","title":"Psychotic experiences and disability: Findings from the Collaborative Psychiatric Epidemiology Surveys","container-title":"Schizophrenia Research","page":"343-347","volume":"193","source":"PubMed","abstract":"Psychotic experiences are associated with a number of poor clinical outcomes, including multimorbid psychopathology, suicidal behavior, and poor treatment response. We wished to investigate the relationship between psychotic experiences and disability, including the following domains: cognition, mobility, self-care, social interaction, role functioning, and days out of role. We used three nationally representative and racially/ethnically diverse samples of the general US adult population: the National Comorbidity Survey Replication (NCS-R), the National Latino and Asian American Survey (NLAAS), and the National Survey of American Life (NSAL). Multi-variable logistic regression analyses were used to assess the associations between lifetime psychotic experiences (visual and auditory hallucinatory experiences and delusional ideation; WHO Composite International Diagnostic Interview psychosis screen) and 30-day impairments in functioning across disability domains (using the WHO Disability Assessment Schedule II). In all three samples, models were adjusted for socio-demographics and co-occurring psychiatric disorders. In the NCS-R, models were also adjusted for chronic health conditions. Across all three studies, our adjusted models showed that people with disability had anywhere from about 1.5 to over 3 times the odds of reporting lifetime psychotic experiences, depending on the domain. This was true for each disability domain, except self-care in the NLAAS and in the NSAL. Psychotic experiences are markers of risk for disability across a wide range of domains. This may explain the elevated rates of service utilization among individuals who report psychotic experiences and supports the need to assess for and respond to psychotic experiences even in the absence of psychotic disorder.","DOI":"10.1016/j.schres.2017.07.049","ISSN":"1573-2509","note":"PMID: 28797526\nPMCID: PMC5912340","title-short":"Psychotic experiences and disability","journalAbbreviation":"Schizophr. Res.","language":"eng","author":[{"family":"Oh","given":"Hans"},{"family":"Koyanagi","given":"Ai"},{"family":"Kelleher","given":"Ian"},{"family":"DeVylder","given":"Jordan"}],"issued":{"date-parts":[["2018"]]}}}],"schema":"https://github.com/citation-style-language/schema/raw/master/csl-citation.json"} </w:instrText>
      </w:r>
      <w:r w:rsidR="004D12B4" w:rsidRPr="008D3E74">
        <w:rPr>
          <w:rFonts w:ascii="Arial" w:hAnsi="Arial" w:cs="Arial"/>
        </w:rPr>
        <w:fldChar w:fldCharType="separate"/>
      </w:r>
      <w:r w:rsidR="00754C02" w:rsidRPr="008D3E74">
        <w:rPr>
          <w:rFonts w:ascii="Arial" w:hAnsi="Arial" w:cs="Arial"/>
          <w:lang w:val="fr-FR"/>
        </w:rPr>
        <w:t xml:space="preserve">(Oh </w:t>
      </w:r>
      <w:r w:rsidR="00754C02" w:rsidRPr="008D3E74">
        <w:rPr>
          <w:rFonts w:ascii="Arial" w:hAnsi="Arial" w:cs="Arial"/>
          <w:i/>
          <w:iCs/>
          <w:lang w:val="fr-FR"/>
        </w:rPr>
        <w:t>et al.</w:t>
      </w:r>
      <w:r w:rsidR="00754C02" w:rsidRPr="008D3E74">
        <w:rPr>
          <w:rFonts w:ascii="Arial" w:hAnsi="Arial" w:cs="Arial"/>
          <w:lang w:val="fr-FR"/>
        </w:rPr>
        <w:t xml:space="preserve"> 2018)</w:t>
      </w:r>
      <w:r w:rsidR="004D12B4" w:rsidRPr="008D3E74">
        <w:rPr>
          <w:rFonts w:ascii="Arial" w:hAnsi="Arial" w:cs="Arial"/>
        </w:rPr>
        <w:fldChar w:fldCharType="end"/>
      </w:r>
      <w:r w:rsidR="00077C4C" w:rsidRPr="008D3E74">
        <w:rPr>
          <w:rFonts w:ascii="Arial" w:hAnsi="Arial" w:cs="Arial"/>
          <w:lang w:val="fr-FR"/>
        </w:rPr>
        <w:t xml:space="preserve"> and all-cause </w:t>
      </w:r>
      <w:proofErr w:type="spellStart"/>
      <w:r w:rsidR="00077C4C" w:rsidRPr="008D3E74">
        <w:rPr>
          <w:rFonts w:ascii="Arial" w:hAnsi="Arial" w:cs="Arial"/>
          <w:lang w:val="fr-FR"/>
        </w:rPr>
        <w:t>mortality</w:t>
      </w:r>
      <w:proofErr w:type="spellEnd"/>
      <w:r w:rsidR="002107D7" w:rsidRPr="008D3E74">
        <w:rPr>
          <w:rFonts w:ascii="Arial" w:hAnsi="Arial" w:cs="Arial"/>
          <w:lang w:val="fr-FR"/>
        </w:rPr>
        <w:t xml:space="preserve"> </w:t>
      </w:r>
      <w:r w:rsidR="00077C4C" w:rsidRPr="008D3E74">
        <w:rPr>
          <w:rFonts w:ascii="Arial" w:hAnsi="Arial" w:cs="Arial"/>
        </w:rPr>
        <w:fldChar w:fldCharType="begin"/>
      </w:r>
      <w:r w:rsidR="00754C02" w:rsidRPr="008D3E74">
        <w:rPr>
          <w:rFonts w:ascii="Arial" w:hAnsi="Arial" w:cs="Arial"/>
          <w:lang w:val="fr-FR"/>
        </w:rPr>
        <w:instrText xml:space="preserve"> ADDIN ZOTERO_ITEM CSL_CITATION {"citationID":"ebqiQQwY","properties":{"formattedCitation":"(Sharifi {\\i{}et al.} 2015)","plainCitation":"(Sharifi et al. 2015)","noteIndex":0},"citationItems":[{"id":1116,"uris":["http://zotero.org/users/local/hhPVnw6l/items/L4HEQ2LB"],"uri":["http://zotero.org/users/local/hhPVnw6l/items/L4HEQ2LB"],"itemData":{"id":1116,"type":"article-journal","title":"Psychotic experiences and risk of death in the general population: 24–27 year follow-up of the Epidemiologic Catchment Area study","container-title":"The British Journal of Psychiatry","page":"30-36","volume":"207","issue":"1","source":"PubMed Central","abstract":"Background\n        , Psychotic experiences are common in the general population and are associated with adverse psychiatric and social outcomes, even in the absence of a psychotic disorder., \n          Aims\n        , To examine the association between psychotic experiences and mortality over a 24–27 year period., \n          Method\n        , We used data on 15 049 adult participants from four sites of the Epidemiologic Catchment Area baseline survey in the USA in the early 1980s, linked to the National Death Index and other sources of vital status up until 2007. Psychotic experiences were assessed by the Diagnostic Interview Schedule., \n          Results\n        , Lifetime psychotic experiences at baseline (n = 855; weighted prevalence, 5.5%) were significantly associated with all-caus</w:instrText>
      </w:r>
      <w:r w:rsidR="00754C02" w:rsidRPr="008D3E74">
        <w:rPr>
          <w:rFonts w:ascii="Arial" w:hAnsi="Arial" w:cs="Arial"/>
        </w:rPr>
        <w:instrText xml:space="preserve">e mortality at follow-up after adjustment for sociodemographic characteristics and psychiatric diagnoses, including schizophrenia spectrum disorders (P&lt;0.05). Baseline psychotic experiences were associated with over 5 years' shorter median survival time. Among the underlying causes of death, suicide had a particularly high hazard ratio (9.16, 95% CI 3.19–26.29)., \n          Conclusions\n        , Future research needs to explore the association of psychotic experiences with physical health and lifestyle factors that may mediate the relationship of psychotic experiences with mortality.","DOI":"10.1192/bjp.bp.113.143198","ISSN":"0007-1250","note":"PMID: 25953893\nPMCID: PMC4486819","title-short":"Psychotic experiences and risk of death in the general population","journalAbbreviation":"Br J Psychiatry","author":[{"family":"Sharifi","given":"Vandad"},{"family":"Eaton","given":"William W."},{"family":"Wu","given":"Li Tzy"},{"family":"Roth","given":"Kimberly B."},{"family":"Burchett","given":"Bruce M."},{"family":"Mojtabai","given":"Ramin"}],"issued":{"date-parts":[["2015",7]]}}}],"schema":"https://github.com/citation-style-language/schema/raw/master/csl-citation.json"} </w:instrText>
      </w:r>
      <w:r w:rsidR="00077C4C" w:rsidRPr="008D3E74">
        <w:rPr>
          <w:rFonts w:ascii="Arial" w:hAnsi="Arial" w:cs="Arial"/>
        </w:rPr>
        <w:fldChar w:fldCharType="separate"/>
      </w:r>
      <w:r w:rsidR="00754C02" w:rsidRPr="008D3E74">
        <w:rPr>
          <w:rFonts w:ascii="Arial" w:hAnsi="Arial" w:cs="Arial"/>
        </w:rPr>
        <w:t xml:space="preserve">(Sharifi </w:t>
      </w:r>
      <w:r w:rsidR="00754C02" w:rsidRPr="008D3E74">
        <w:rPr>
          <w:rFonts w:ascii="Arial" w:hAnsi="Arial" w:cs="Arial"/>
          <w:i/>
          <w:iCs/>
        </w:rPr>
        <w:t>et al.</w:t>
      </w:r>
      <w:r w:rsidR="00754C02" w:rsidRPr="008D3E74">
        <w:rPr>
          <w:rFonts w:ascii="Arial" w:hAnsi="Arial" w:cs="Arial"/>
        </w:rPr>
        <w:t xml:space="preserve"> 2015)</w:t>
      </w:r>
      <w:r w:rsidR="00077C4C" w:rsidRPr="008D3E74">
        <w:rPr>
          <w:rFonts w:ascii="Arial" w:hAnsi="Arial" w:cs="Arial"/>
        </w:rPr>
        <w:fldChar w:fldCharType="end"/>
      </w:r>
      <w:r w:rsidR="002107D7" w:rsidRPr="008D3E74">
        <w:rPr>
          <w:rFonts w:ascii="Arial" w:hAnsi="Arial" w:cs="Arial"/>
        </w:rPr>
        <w:t>.</w:t>
      </w:r>
      <w:r w:rsidR="00587286" w:rsidRPr="008D3E74">
        <w:rPr>
          <w:rFonts w:ascii="Arial" w:hAnsi="Arial" w:cs="Arial"/>
        </w:rPr>
        <w:t xml:space="preserve"> Therefore, identifying risk factors for PEs is a public health priority.</w:t>
      </w:r>
    </w:p>
    <w:p w14:paraId="6C3A3994" w14:textId="10BFE239" w:rsidR="00587286" w:rsidRPr="008D3E74" w:rsidRDefault="00587286" w:rsidP="000050E5">
      <w:pPr>
        <w:spacing w:line="480" w:lineRule="auto"/>
        <w:jc w:val="both"/>
        <w:rPr>
          <w:rFonts w:ascii="Arial" w:hAnsi="Arial" w:cs="Arial"/>
        </w:rPr>
      </w:pPr>
    </w:p>
    <w:p w14:paraId="07659641" w14:textId="518A38D7" w:rsidR="00D033AD" w:rsidRPr="008D3E74" w:rsidRDefault="006D5F62" w:rsidP="000050E5">
      <w:pPr>
        <w:spacing w:line="480" w:lineRule="auto"/>
        <w:jc w:val="both"/>
        <w:rPr>
          <w:rFonts w:ascii="Arial" w:hAnsi="Arial" w:cs="Arial"/>
        </w:rPr>
      </w:pPr>
      <w:r w:rsidRPr="008D3E74">
        <w:rPr>
          <w:rFonts w:ascii="Arial" w:hAnsi="Arial" w:cs="Arial"/>
        </w:rPr>
        <w:t>One potential risk factor that</w:t>
      </w:r>
      <w:r w:rsidR="00482C69" w:rsidRPr="008D3E74">
        <w:rPr>
          <w:rFonts w:ascii="Arial" w:hAnsi="Arial" w:cs="Arial"/>
        </w:rPr>
        <w:t xml:space="preserve"> has been little studied to date is sexual orientation. </w:t>
      </w:r>
      <w:r w:rsidR="00D06356" w:rsidRPr="008D3E74">
        <w:rPr>
          <w:rFonts w:ascii="Arial" w:hAnsi="Arial" w:cs="Arial"/>
        </w:rPr>
        <w:t>I</w:t>
      </w:r>
      <w:r w:rsidR="00482C69" w:rsidRPr="008D3E74">
        <w:rPr>
          <w:rFonts w:ascii="Arial" w:hAnsi="Arial" w:cs="Arial"/>
        </w:rPr>
        <w:t>ndividuals</w:t>
      </w:r>
      <w:r w:rsidR="00D06356" w:rsidRPr="008D3E74">
        <w:rPr>
          <w:rFonts w:ascii="Arial" w:hAnsi="Arial" w:cs="Arial"/>
        </w:rPr>
        <w:t xml:space="preserve"> with a non-heterosexual identity</w:t>
      </w:r>
      <w:r w:rsidR="002C76BF" w:rsidRPr="008D3E74">
        <w:rPr>
          <w:rFonts w:ascii="Arial" w:hAnsi="Arial" w:cs="Arial"/>
        </w:rPr>
        <w:t xml:space="preserve"> </w:t>
      </w:r>
      <w:r w:rsidR="00482C69" w:rsidRPr="008D3E74">
        <w:rPr>
          <w:rFonts w:ascii="Arial" w:hAnsi="Arial" w:cs="Arial"/>
        </w:rPr>
        <w:t xml:space="preserve">are known to be at high risk for a </w:t>
      </w:r>
      <w:r w:rsidR="00832D69" w:rsidRPr="008D3E74">
        <w:rPr>
          <w:rFonts w:ascii="Arial" w:hAnsi="Arial" w:cs="Arial"/>
        </w:rPr>
        <w:t>variety of factors that have been associated with the emergence of PEs [e.g., common mental disorders (CMDs)</w:t>
      </w:r>
      <w:r w:rsidR="00354212" w:rsidRPr="008D3E74">
        <w:rPr>
          <w:rFonts w:ascii="Arial" w:hAnsi="Arial" w:cs="Arial"/>
        </w:rPr>
        <w:t xml:space="preserve"> </w:t>
      </w:r>
      <w:r w:rsidR="00B240B3" w:rsidRPr="008D3E74">
        <w:rPr>
          <w:rFonts w:ascii="Arial" w:hAnsi="Arial" w:cs="Arial"/>
        </w:rPr>
        <w:fldChar w:fldCharType="begin"/>
      </w:r>
      <w:r w:rsidR="00754C02" w:rsidRPr="008D3E74">
        <w:rPr>
          <w:rFonts w:ascii="Arial" w:hAnsi="Arial" w:cs="Arial"/>
        </w:rPr>
        <w:instrText xml:space="preserve"> ADDIN ZOTERO_ITEM CSL_CITATION {"citationID":"orr3EiS0","properties":{"formattedCitation":"(Pakula &amp; Shoveller 2013)","plainCitation":"(Pakula &amp; Shoveller 2013)","noteIndex":0},"citationItems":[{"id":1148,"uris":["http://zotero.org/users/local/hhPVnw6l/items/EXFVAFNW"],"uri":["http://zotero.org/users/local/hhPVnw6l/items/EXFVAFNW"],"itemData":{"id":1148,"type":"article-journal","title":"Sexual orientation and self-reported mood disorder diagnosis among Canadian adults","container-title":"BMC Public Health","page":"209","volume":"13","source":"PubMed Central","abstract":"Background\nThe prevalence and correlates of mood disorders among people who self-identify as lesbian, gay or bisexual (LGB) are not well understood. Therefore, the current analysis was undertaken to estimate the prevalence and correlates of self-reported mood disorders among a nationally representative sample of Canadian adults (ages 18 to 59 years). Stratified analyses by age and sex were also performed.\n\nMethods\nUsing data from the 2007–2008 Canadian Community Health Survey, logistic regression techniques were used to determine whether sexual orientation was associated with self-reported mood disorders.\n\nResults\nAmong respondents who identified as LGB, 17.1% self-reported having a current mood disorder while 6.9% of heterosexuals reported having a current mood disorder. After adjusting for potential confounders, LGB-respondents remained more likely to report mood disorder as compared to heterosexual respondents (AOR: 2.93; 95% CI: 2.55-3.37). Gay and bisexual males were at elevated odds of reporting mood disorders (3.48; 95% CI: 2.81–4.31), compared to heterosexual males. Young LGB respondents (ages 18–29) had higher odds (3.75; 95% CI: 2.96–4.74), compared to same-age heterosexuals.\n\nConclusions\nThese results demonstrate elevated prevalence of mood disorders among LGB survey respondents compared to heterosexual respondents. Interventions and programming are needed to promote the mental health and well being of people who identify as LGB, especially those who belong to particular subgroups (e.g., men who are gay or bisexual; young people who are LGB).","DOI":"10.1186/1471-2458-13-209","ISSN":"1471-2458","note":"PMID: 23510500\nPMCID: PMC3599883","journalAbbreviation":"BMC Public Health","author":[{"family":"Pakula","given":"Basia"},{"family":"Shoveller","given":"Jean A"}],"issued":{"date-parts":[["2013",3,8]]}}}],"schema":"https://github.com/citation-style-language/schema/raw/master/csl-citation.json"} </w:instrText>
      </w:r>
      <w:r w:rsidR="00B240B3" w:rsidRPr="008D3E74">
        <w:rPr>
          <w:rFonts w:ascii="Arial" w:hAnsi="Arial" w:cs="Arial"/>
        </w:rPr>
        <w:fldChar w:fldCharType="separate"/>
      </w:r>
      <w:r w:rsidR="00754C02" w:rsidRPr="008D3E74">
        <w:rPr>
          <w:rFonts w:ascii="Arial" w:hAnsi="Arial" w:cs="Arial"/>
        </w:rPr>
        <w:t>(Pakula &amp; Shoveller 2013)</w:t>
      </w:r>
      <w:r w:rsidR="00B240B3" w:rsidRPr="008D3E74">
        <w:rPr>
          <w:rFonts w:ascii="Arial" w:hAnsi="Arial" w:cs="Arial"/>
        </w:rPr>
        <w:fldChar w:fldCharType="end"/>
      </w:r>
      <w:r w:rsidR="002107D7" w:rsidRPr="008D3E74">
        <w:rPr>
          <w:rFonts w:ascii="Arial" w:hAnsi="Arial" w:cs="Arial"/>
        </w:rPr>
        <w:t>,</w:t>
      </w:r>
      <w:r w:rsidR="00832D69" w:rsidRPr="008D3E74">
        <w:rPr>
          <w:rFonts w:ascii="Arial" w:hAnsi="Arial" w:cs="Arial"/>
        </w:rPr>
        <w:t xml:space="preserve"> substance use</w:t>
      </w:r>
      <w:r w:rsidR="002107D7" w:rsidRPr="008D3E74">
        <w:rPr>
          <w:rFonts w:ascii="Arial" w:hAnsi="Arial" w:cs="Arial"/>
        </w:rPr>
        <w:t xml:space="preserve"> </w:t>
      </w:r>
      <w:r w:rsidR="005A6BF9" w:rsidRPr="008D3E74">
        <w:rPr>
          <w:rFonts w:ascii="Arial" w:hAnsi="Arial" w:cs="Arial"/>
        </w:rPr>
        <w:fldChar w:fldCharType="begin"/>
      </w:r>
      <w:r w:rsidR="00754C02" w:rsidRPr="008D3E74">
        <w:rPr>
          <w:rFonts w:ascii="Arial" w:hAnsi="Arial" w:cs="Arial"/>
        </w:rPr>
        <w:instrText xml:space="preserve"> ADDIN ZOTERO_ITEM CSL_CITATION {"citationID":"DYPLMhzq","properties":{"formattedCitation":"(Hagger-Johnson {\\i{}et al.} 2013)","plainCitation":"(Hagger-Johnson et al. 2013)","noteIndex":0},"citationItems":[{"id":1154,"uris":["http://zotero.org/users/local/hhPVnw6l/items/YR997BM9"],"uri":["http://zotero.org/users/local/hhPVnw6l/items/YR997BM9"],"itemData":{"id":1154,"type":"article-journal","title":"Sexual orientation identity in relation to smoking history and alcohol use at age 18/19: cross-sectional associations from the Longitudinal Study of Young People in England (LSYPE)","container-title":"BMJ Open","page":"e002810","volume":"3","issue":"8","source":"bmjopen.bmj.com","abstract":"Objectives Information about the health behaviours of minority groups is essential for addressing health inequalities. We evaluated the association among lesbian, gay or bisexual (LGB) sexual orientation identity and smoking and alcohol use in young people in England.\nDesign Data drawn from wave 6 of the Longitudinal Study of Young People in England (LSYPE).\nSetting Self-completion questionnaires during home visits, face-to-face interviews and web-based questionnaires.\nParticipants Data from 7698 participants (3762 men) with information on sexual orientation identity and health behaviours at age 18/19.\nOutcome measures Cigarette smoking history, alcohol drinking frequency and risky single occasion drinking (RSOD).\nResults LGB identity was reported by 3.1% of participants (55 gay, 33 lesbian, 35 bisexual male, 111 bisexual female), 3.5% when adjusting for the survey design. Adjusting for a range of covariates, identification as lesbian/gay was found to be associated with smoking (OR=2.23, 95% CI 1.42 to 3.51), alcohol drinking &gt;2 days/week (OR=1.99, 95% CI 1.25 to 3.17) and RSOD (OR=1.80, 95% CI 1.13 to 2.86) more than weekly. Bisexual identity was associated with smoking history (OR=1.84, 95% CI 1.30 to 2.61) but not alcohol drinking &gt;2 days/week (OR=1.20, 95% CI 0.79 to 1.81) or RSOD (OR=1.04, 95% CI 0.71 to 2.86).\nConclusions In a sample of more than 7600 young people aged 18/19 years in England, lesbian/gay identity is associated with cigarette smoking, drinking alcohol frequency and RSOD. Bisexual identity is associated with smoking but not RSOD or frequent alcohol drinking.","DOI":"10.1136/bmjopen-2013-002810","ISSN":"2044-6055, 2044-6055","note":"PMID: 23985386","title-short":"Sexual orientation identity in relation to smoking history and alcohol use at age 18/19","language":"en","author":[{"family":"Hagger-Johnson","given":"Gareth"},{"family":"Taibjee","given":"Rafik"},{"family":"Semlyen","given":"Joanna"},{"family":"Fitchie","given":"Isla"},{"family":"Fish","given":"Julie"},{"family":"Meads","given":"Catherine"},{"family":"Varney","given":"Justin"}],"issued":{"date-parts":[["2013",8,1]]}}}],"schema":"https://github.com/citation-style-language/schema/raw/master/csl-citation.json"} </w:instrText>
      </w:r>
      <w:r w:rsidR="005A6BF9" w:rsidRPr="008D3E74">
        <w:rPr>
          <w:rFonts w:ascii="Arial" w:hAnsi="Arial" w:cs="Arial"/>
        </w:rPr>
        <w:fldChar w:fldCharType="separate"/>
      </w:r>
      <w:r w:rsidR="00754C02" w:rsidRPr="008D3E74">
        <w:rPr>
          <w:rFonts w:ascii="Arial" w:hAnsi="Arial" w:cs="Arial"/>
        </w:rPr>
        <w:t xml:space="preserve">(Hagger-Johnson </w:t>
      </w:r>
      <w:r w:rsidR="00754C02" w:rsidRPr="008D3E74">
        <w:rPr>
          <w:rFonts w:ascii="Arial" w:hAnsi="Arial" w:cs="Arial"/>
          <w:i/>
          <w:iCs/>
        </w:rPr>
        <w:t>et al.</w:t>
      </w:r>
      <w:r w:rsidR="00754C02" w:rsidRPr="008D3E74">
        <w:rPr>
          <w:rFonts w:ascii="Arial" w:hAnsi="Arial" w:cs="Arial"/>
        </w:rPr>
        <w:t xml:space="preserve"> 2013)</w:t>
      </w:r>
      <w:r w:rsidR="005A6BF9" w:rsidRPr="008D3E74">
        <w:rPr>
          <w:rFonts w:ascii="Arial" w:hAnsi="Arial" w:cs="Arial"/>
        </w:rPr>
        <w:fldChar w:fldCharType="end"/>
      </w:r>
      <w:r w:rsidR="002107D7" w:rsidRPr="008D3E74">
        <w:rPr>
          <w:rFonts w:ascii="Arial" w:hAnsi="Arial" w:cs="Arial"/>
        </w:rPr>
        <w:t>,</w:t>
      </w:r>
      <w:r w:rsidR="00832D69" w:rsidRPr="008D3E74">
        <w:rPr>
          <w:rFonts w:ascii="Arial" w:hAnsi="Arial" w:cs="Arial"/>
        </w:rPr>
        <w:t xml:space="preserve"> stress</w:t>
      </w:r>
      <w:r w:rsidR="002107D7" w:rsidRPr="008D3E74">
        <w:rPr>
          <w:rFonts w:ascii="Arial" w:hAnsi="Arial" w:cs="Arial"/>
        </w:rPr>
        <w:t xml:space="preserve"> </w:t>
      </w:r>
      <w:r w:rsidR="00C90F86" w:rsidRPr="008D3E74">
        <w:rPr>
          <w:rFonts w:ascii="Arial" w:hAnsi="Arial" w:cs="Arial"/>
        </w:rPr>
        <w:fldChar w:fldCharType="begin"/>
      </w:r>
      <w:r w:rsidR="00754C02" w:rsidRPr="008D3E74">
        <w:rPr>
          <w:rFonts w:ascii="Arial" w:hAnsi="Arial" w:cs="Arial"/>
        </w:rPr>
        <w:instrText xml:space="preserve"> ADDIN ZOTERO_ITEM CSL_CITATION {"citationID":"Tm6K0X4h","properties":{"formattedCitation":"(Krueger {\\i{}et al.} 2018)","plainCitation":"(Krueger et al. 2018)","noteIndex":0},"citationItems":[{"id":1176,"uris":["http://zotero.org/users/local/hhPVnw6l/items/AXWQRWUT"],"uri":["http://zotero.org/users/local/hhPVnw6l/items/AXWQRWUT"],"itemData":{"id":1176,"type":"article-journal","title":"Sexual Orientation Group Differences in Perceived Stress and Depressive Symptoms Among Young Adults in the United States","container-title":"LGBT Health","page":"242-249","volume":"5","issue":"4","source":"PubMed Central","abstract":"Purpose: Overall, sexual minorities have poorer mental health than heterosexual individuals, and stress is thought to underlie such disparities. However, sexual minorities include both those identifying as lesbian, gay, or bisexual (LGB) and many who do not (e.g., individuals identifying as mostly heterosexual, or as heterosexual but with discordant same-sex attractions or behaviors), and little is known about the mental health or stress experiences of non-LGB identified sexual minorities. This study assessed perceived stress and depressive symptom differences between concordant heterosexual individuals and three groups of sexual minority young adults (LGB, mostly heterosexual, and discordant heterosexual individuals)., Methods: Data were from the National Longitudinal Study of Adolescent to Adult Health, Wave IV (2008–2009). Descriptive and bivariate statistics were estimated. Path analyses assessed whether perceived stress mediated differences in depressive symptomatology. Analyses were weighted and gender-stratified., Results: Mostly heterosexual individuals comprised the largest sexual minority group, for both men (3.58%) and women (15.88%). All sexual minority groups reported significantly more depressive symptoms than concordant heterosexual individuals, for both men and women (all P &lt; 0.05). Among women, all sexual minority groups reported significantly higher perceived stress than concordant heterosexual individuals (all P &lt; 0.05), which partially mediated elevations in depressive symptomatology (all P &lt; 0.05). Mostly-heterosexual-identified men reported significantly higher perceived stress than concordant heterosexual men (P &lt; 0.01), which partially mediated elevations in depressive symptomatology (P &lt; 0.01)., Conclusions: Our results underscore the importance of assessing sexual orientation comprehensively to fully understand sexual minority health disparities. Additional research should examine the stressors specific to different sexual minority groups.","DOI":"10.1089/lgbt.2017.0228","ISSN":"2325-8292","note":"PMID: 29741980\nPMCID: PMC5994153","journalAbbreviation":"LGBT Health","author":[{"family":"Krueger","given":"Evan A."},{"family":"Meyer","given":"Ilan H."},{"family":"Upchurch","given":"Dawn M."}],"issued":{"date-parts":[["2018",6,1]]}}}],"schema":"https://github.com/citation-style-language/schema/raw/master/csl-citation.json"} </w:instrText>
      </w:r>
      <w:r w:rsidR="00C90F86" w:rsidRPr="008D3E74">
        <w:rPr>
          <w:rFonts w:ascii="Arial" w:hAnsi="Arial" w:cs="Arial"/>
        </w:rPr>
        <w:fldChar w:fldCharType="separate"/>
      </w:r>
      <w:r w:rsidR="00754C02" w:rsidRPr="008D3E74">
        <w:rPr>
          <w:rFonts w:ascii="Arial" w:hAnsi="Arial" w:cs="Arial"/>
        </w:rPr>
        <w:t xml:space="preserve">(Krueger </w:t>
      </w:r>
      <w:r w:rsidR="00754C02" w:rsidRPr="008D3E74">
        <w:rPr>
          <w:rFonts w:ascii="Arial" w:hAnsi="Arial" w:cs="Arial"/>
          <w:i/>
          <w:iCs/>
        </w:rPr>
        <w:t>et al.</w:t>
      </w:r>
      <w:r w:rsidR="00754C02" w:rsidRPr="008D3E74">
        <w:rPr>
          <w:rFonts w:ascii="Arial" w:hAnsi="Arial" w:cs="Arial"/>
        </w:rPr>
        <w:t xml:space="preserve"> 2018)</w:t>
      </w:r>
      <w:r w:rsidR="00C90F86" w:rsidRPr="008D3E74">
        <w:rPr>
          <w:rFonts w:ascii="Arial" w:hAnsi="Arial" w:cs="Arial"/>
        </w:rPr>
        <w:fldChar w:fldCharType="end"/>
      </w:r>
      <w:r w:rsidR="00832D69" w:rsidRPr="008D3E74">
        <w:rPr>
          <w:rFonts w:ascii="Arial" w:hAnsi="Arial" w:cs="Arial"/>
        </w:rPr>
        <w:t xml:space="preserve">]. </w:t>
      </w:r>
      <w:r w:rsidR="00482C69" w:rsidRPr="008D3E74">
        <w:rPr>
          <w:rFonts w:ascii="Arial" w:hAnsi="Arial" w:cs="Arial"/>
        </w:rPr>
        <w:t xml:space="preserve">However, </w:t>
      </w:r>
      <w:r w:rsidR="00ED6545" w:rsidRPr="008D3E74">
        <w:rPr>
          <w:rFonts w:ascii="Arial" w:hAnsi="Arial" w:cs="Arial"/>
        </w:rPr>
        <w:t xml:space="preserve">to the best of our knowledge, </w:t>
      </w:r>
      <w:r w:rsidR="00482C69" w:rsidRPr="008D3E74">
        <w:rPr>
          <w:rFonts w:ascii="Arial" w:hAnsi="Arial" w:cs="Arial"/>
        </w:rPr>
        <w:t xml:space="preserve">there is </w:t>
      </w:r>
      <w:r w:rsidR="00ED6545" w:rsidRPr="008D3E74">
        <w:rPr>
          <w:rFonts w:ascii="Arial" w:hAnsi="Arial" w:cs="Arial"/>
        </w:rPr>
        <w:t xml:space="preserve">only one </w:t>
      </w:r>
      <w:r w:rsidR="00482C69" w:rsidRPr="008D3E74">
        <w:rPr>
          <w:rFonts w:ascii="Arial" w:hAnsi="Arial" w:cs="Arial"/>
        </w:rPr>
        <w:t xml:space="preserve">previous </w:t>
      </w:r>
      <w:r w:rsidR="00ED6545" w:rsidRPr="008D3E74">
        <w:rPr>
          <w:rFonts w:ascii="Arial" w:hAnsi="Arial" w:cs="Arial"/>
        </w:rPr>
        <w:t xml:space="preserve">study </w:t>
      </w:r>
      <w:r w:rsidR="000C33A2" w:rsidRPr="008D3E74">
        <w:rPr>
          <w:rFonts w:ascii="Arial" w:hAnsi="Arial" w:cs="Arial"/>
        </w:rPr>
        <w:t xml:space="preserve">that </w:t>
      </w:r>
      <w:r w:rsidR="00ED6545" w:rsidRPr="008D3E74">
        <w:rPr>
          <w:rFonts w:ascii="Arial" w:hAnsi="Arial" w:cs="Arial"/>
        </w:rPr>
        <w:t xml:space="preserve">has investigated </w:t>
      </w:r>
      <w:r w:rsidR="00482C69" w:rsidRPr="008D3E74">
        <w:rPr>
          <w:rFonts w:ascii="Arial" w:hAnsi="Arial" w:cs="Arial"/>
        </w:rPr>
        <w:t xml:space="preserve">the association between </w:t>
      </w:r>
      <w:r w:rsidR="00ED6545" w:rsidRPr="008D3E74">
        <w:rPr>
          <w:rFonts w:ascii="Arial" w:hAnsi="Arial" w:cs="Arial"/>
        </w:rPr>
        <w:t>sexual orientation and PEs</w:t>
      </w:r>
      <w:r w:rsidR="002107D7" w:rsidRPr="008D3E74">
        <w:rPr>
          <w:rFonts w:ascii="Arial" w:hAnsi="Arial" w:cs="Arial"/>
        </w:rPr>
        <w:t xml:space="preserve"> </w:t>
      </w:r>
      <w:r w:rsidR="00304A47" w:rsidRPr="008D3E74">
        <w:rPr>
          <w:rFonts w:ascii="Arial" w:hAnsi="Arial" w:cs="Arial"/>
        </w:rPr>
        <w:fldChar w:fldCharType="begin"/>
      </w:r>
      <w:r w:rsidR="00754C02" w:rsidRPr="008D3E74">
        <w:rPr>
          <w:rFonts w:ascii="Arial" w:hAnsi="Arial" w:cs="Arial"/>
        </w:rPr>
        <w:instrText xml:space="preserve"> ADDIN ZOTERO_ITEM CSL_CITATION {"citationID":"qd7XaFJj","properties":{"formattedCitation":"(Gevonden {\\i{}et al.} 2014)","plainCitation":"(Gevonden et al. 2014)","noteIndex":0},"citationItems":[{"id":1124,"uris":["http://zotero.org/users/local/hhPVnw6l/items/GA8SRVT5"],"uri":["http://zotero.org/users/local/hhPVnw6l/items/GA8SRVT5"],"itemData":{"id":1124,"type":"article-journal","title":"Sexual minority status and psychotic symptoms: findings from the Netherlands Mental Health Survey and Incidence Studies (NEMESIS)","container-title":"Psychological Medicine","page":"421-433","volume":"44","issue":"2","source":"Cambridge Core","abstract":"Background\nEthnic minority position is associated with increased risk for psychotic outcomes, which may be mediated by experiences of social exclusion, defeat and discrimination. Sexual minorities are subject to similar stressors. The aim of this study is to examine whether sexual minorities are at increased risk for psychotic symptoms and to explore mediating pathways.\n\n\nMethod\nA cross-sectional survey was performed assessing cumulative incidence of psychotic symptoms with the Composite International Diagnostic Interview in two separate random general population samples (NEMESIS-1 and NEMESIS-2). Participants were sexually active and aged 18–64 years (n = 5927, n = 5308). Being lesbian, gay or bisexual (LGB) was defined as having sexual relations with at least one same-sex partner during the past year. Lifetime experience of any psychotic symptom was analysed using logistic regression, adjusted for gender, educational level, urbanicity, foreign-born parents, living without a partner, cannabis use and other drug use.\n\n\nResults\nThe rate of any psychotic symptom was elevated in the LGB population as compared with the heterosexual population both in NEMESIS-1 [odds ratio (OR) 2.56, 95% confidence interval (CI) 1.71–3.84] and NEMESIS-2 (OR 2.30, 95% CI 1.42–3.71). Childhood trauma, bullying and experience of discrimination partly mediated the association.\n\n\nConclusions\nThe finding that LGB orientation is associated with psychotic symptoms adds to the growing body of literature linking minority status with psychosis and other mental health problems, and suggests that exposure to minority stress represents an important mechanism.","DOI":"10.1017/S0033291713000718","ISSN":"0033-2917, 1469-8978","title-short":"Sexual minority status and psychotic symptoms","language":"en","author":[{"family":"Gevonden","given":"M. J."},{"family":"Selten","given":"J. P."},{"family":"Myin-Germeys","given":"I."},{"family":"Graaf","given":"R.","dropping-particle":"de"},{"family":"Have","given":"M.","dropping-particle":"ten"},{"family":"Dorsselaer","given":"S.","dropping-particle":"van"},{"family":"Os","given":"J.","dropping-particle":"van"},{"family":"Veling","given":"W."}],"issued":{"date-parts":[["2014",1]]}}}],"schema":"https://github.com/citation-style-language/schema/raw/master/csl-citation.json"} </w:instrText>
      </w:r>
      <w:r w:rsidR="00304A47" w:rsidRPr="008D3E74">
        <w:rPr>
          <w:rFonts w:ascii="Arial" w:hAnsi="Arial" w:cs="Arial"/>
        </w:rPr>
        <w:fldChar w:fldCharType="separate"/>
      </w:r>
      <w:r w:rsidR="00754C02" w:rsidRPr="008D3E74">
        <w:rPr>
          <w:rFonts w:ascii="Arial" w:hAnsi="Arial" w:cs="Arial"/>
        </w:rPr>
        <w:t xml:space="preserve">(Gevonden </w:t>
      </w:r>
      <w:r w:rsidR="00754C02" w:rsidRPr="008D3E74">
        <w:rPr>
          <w:rFonts w:ascii="Arial" w:hAnsi="Arial" w:cs="Arial"/>
          <w:i/>
          <w:iCs/>
        </w:rPr>
        <w:t>et al.</w:t>
      </w:r>
      <w:r w:rsidR="00754C02" w:rsidRPr="008D3E74">
        <w:rPr>
          <w:rFonts w:ascii="Arial" w:hAnsi="Arial" w:cs="Arial"/>
        </w:rPr>
        <w:t xml:space="preserve"> 2014)</w:t>
      </w:r>
      <w:r w:rsidR="00304A47" w:rsidRPr="008D3E74">
        <w:rPr>
          <w:rFonts w:ascii="Arial" w:hAnsi="Arial" w:cs="Arial"/>
        </w:rPr>
        <w:fldChar w:fldCharType="end"/>
      </w:r>
      <w:r w:rsidR="002107D7" w:rsidRPr="008D3E74">
        <w:rPr>
          <w:rFonts w:ascii="Arial" w:hAnsi="Arial" w:cs="Arial"/>
        </w:rPr>
        <w:t>.</w:t>
      </w:r>
      <w:r w:rsidR="00ED6545" w:rsidRPr="008D3E74">
        <w:rPr>
          <w:rFonts w:ascii="Arial" w:hAnsi="Arial" w:cs="Arial"/>
        </w:rPr>
        <w:t xml:space="preserve"> </w:t>
      </w:r>
      <w:r w:rsidR="00482C69" w:rsidRPr="008D3E74">
        <w:rPr>
          <w:rFonts w:ascii="Arial" w:hAnsi="Arial" w:cs="Arial"/>
        </w:rPr>
        <w:t>T</w:t>
      </w:r>
      <w:r w:rsidR="0087332A" w:rsidRPr="008D3E74">
        <w:rPr>
          <w:rFonts w:ascii="Arial" w:hAnsi="Arial" w:cs="Arial"/>
        </w:rPr>
        <w:t>his</w:t>
      </w:r>
      <w:r w:rsidR="00ED6545" w:rsidRPr="008D3E74">
        <w:rPr>
          <w:rFonts w:ascii="Arial" w:hAnsi="Arial" w:cs="Arial"/>
        </w:rPr>
        <w:t xml:space="preserve"> Dutch </w:t>
      </w:r>
      <w:r w:rsidR="0092438C" w:rsidRPr="008D3E74">
        <w:rPr>
          <w:rFonts w:ascii="Arial" w:hAnsi="Arial" w:cs="Arial"/>
        </w:rPr>
        <w:t xml:space="preserve">study </w:t>
      </w:r>
      <w:r w:rsidR="00ED6545" w:rsidRPr="008D3E74">
        <w:rPr>
          <w:rFonts w:ascii="Arial" w:hAnsi="Arial" w:cs="Arial"/>
        </w:rPr>
        <w:t xml:space="preserve">including </w:t>
      </w:r>
      <w:r w:rsidR="003A468F" w:rsidRPr="008D3E74">
        <w:rPr>
          <w:rFonts w:ascii="Arial" w:hAnsi="Arial" w:cs="Arial"/>
        </w:rPr>
        <w:t>more than</w:t>
      </w:r>
      <w:r w:rsidR="00ED6545" w:rsidRPr="008D3E74">
        <w:rPr>
          <w:rFonts w:ascii="Arial" w:hAnsi="Arial" w:cs="Arial"/>
        </w:rPr>
        <w:t xml:space="preserve"> 112</w:t>
      </w:r>
      <w:r w:rsidR="003A468F" w:rsidRPr="008D3E74">
        <w:rPr>
          <w:rFonts w:ascii="Arial" w:hAnsi="Arial" w:cs="Arial"/>
        </w:rPr>
        <w:t>00</w:t>
      </w:r>
      <w:r w:rsidR="00ED6545" w:rsidRPr="008D3E74">
        <w:rPr>
          <w:rFonts w:ascii="Arial" w:hAnsi="Arial" w:cs="Arial"/>
        </w:rPr>
        <w:t xml:space="preserve"> participants </w:t>
      </w:r>
      <w:r w:rsidR="00482C69" w:rsidRPr="008D3E74">
        <w:rPr>
          <w:rFonts w:ascii="Arial" w:hAnsi="Arial" w:cs="Arial"/>
        </w:rPr>
        <w:t xml:space="preserve">found </w:t>
      </w:r>
      <w:r w:rsidR="00ED6545" w:rsidRPr="008D3E74">
        <w:rPr>
          <w:rFonts w:ascii="Arial" w:hAnsi="Arial" w:cs="Arial"/>
        </w:rPr>
        <w:t>that lesbian, gay and bisexual</w:t>
      </w:r>
      <w:r w:rsidR="00DE6394" w:rsidRPr="008D3E74">
        <w:rPr>
          <w:rFonts w:ascii="Arial" w:hAnsi="Arial" w:cs="Arial"/>
        </w:rPr>
        <w:t xml:space="preserve"> individuals</w:t>
      </w:r>
      <w:r w:rsidR="00ED6545" w:rsidRPr="008D3E74">
        <w:rPr>
          <w:rFonts w:ascii="Arial" w:hAnsi="Arial" w:cs="Arial"/>
        </w:rPr>
        <w:t xml:space="preserve"> were more likely to </w:t>
      </w:r>
      <w:r w:rsidR="00AF4C61" w:rsidRPr="008D3E74">
        <w:rPr>
          <w:rFonts w:ascii="Arial" w:hAnsi="Arial" w:cs="Arial"/>
        </w:rPr>
        <w:t>report</w:t>
      </w:r>
      <w:r w:rsidR="00ED6545" w:rsidRPr="008D3E74">
        <w:rPr>
          <w:rFonts w:ascii="Arial" w:hAnsi="Arial" w:cs="Arial"/>
        </w:rPr>
        <w:t xml:space="preserve"> at least one psychotic symptom </w:t>
      </w:r>
      <w:r w:rsidR="00AF4C61" w:rsidRPr="008D3E74">
        <w:rPr>
          <w:rFonts w:ascii="Arial" w:hAnsi="Arial" w:cs="Arial"/>
        </w:rPr>
        <w:t>compared to</w:t>
      </w:r>
      <w:r w:rsidR="00ED6545" w:rsidRPr="008D3E74">
        <w:rPr>
          <w:rFonts w:ascii="Arial" w:hAnsi="Arial" w:cs="Arial"/>
        </w:rPr>
        <w:t xml:space="preserve"> heterosexuals</w:t>
      </w:r>
      <w:r w:rsidR="00D94C76" w:rsidRPr="008D3E74">
        <w:rPr>
          <w:rFonts w:ascii="Arial" w:hAnsi="Arial" w:cs="Arial"/>
        </w:rPr>
        <w:t xml:space="preserve"> </w:t>
      </w:r>
      <w:r w:rsidR="00CD2E96" w:rsidRPr="008D3E74">
        <w:rPr>
          <w:rFonts w:ascii="Arial" w:hAnsi="Arial" w:cs="Arial"/>
        </w:rPr>
        <w:t>[</w:t>
      </w:r>
      <w:r w:rsidR="00D94C76" w:rsidRPr="008D3E74">
        <w:rPr>
          <w:rFonts w:ascii="Arial" w:hAnsi="Arial" w:cs="Arial"/>
        </w:rPr>
        <w:t>odds ratios</w:t>
      </w:r>
      <w:r w:rsidR="00CD2E96" w:rsidRPr="008D3E74">
        <w:rPr>
          <w:rFonts w:ascii="Arial" w:hAnsi="Arial" w:cs="Arial"/>
        </w:rPr>
        <w:t xml:space="preserve"> (OR)</w:t>
      </w:r>
      <w:r w:rsidR="0098360D" w:rsidRPr="008D3E74">
        <w:rPr>
          <w:rFonts w:ascii="Arial" w:hAnsi="Arial" w:cs="Arial"/>
        </w:rPr>
        <w:t>=2.30-</w:t>
      </w:r>
      <w:r w:rsidR="00D94C76" w:rsidRPr="008D3E74">
        <w:rPr>
          <w:rFonts w:ascii="Arial" w:hAnsi="Arial" w:cs="Arial"/>
        </w:rPr>
        <w:t>2.56</w:t>
      </w:r>
      <w:r w:rsidR="00CD2E96" w:rsidRPr="008D3E74">
        <w:rPr>
          <w:rFonts w:ascii="Arial" w:hAnsi="Arial" w:cs="Arial"/>
        </w:rPr>
        <w:t>]</w:t>
      </w:r>
      <w:r w:rsidR="00ED6545" w:rsidRPr="008D3E74">
        <w:rPr>
          <w:rFonts w:ascii="Arial" w:hAnsi="Arial" w:cs="Arial"/>
        </w:rPr>
        <w:t xml:space="preserve">, and this association was </w:t>
      </w:r>
      <w:r w:rsidR="007805C0" w:rsidRPr="008D3E74">
        <w:rPr>
          <w:rFonts w:ascii="Arial" w:hAnsi="Arial" w:cs="Arial"/>
        </w:rPr>
        <w:t xml:space="preserve">partially </w:t>
      </w:r>
      <w:r w:rsidR="00ED6545" w:rsidRPr="008D3E74">
        <w:rPr>
          <w:rFonts w:ascii="Arial" w:hAnsi="Arial" w:cs="Arial"/>
        </w:rPr>
        <w:t xml:space="preserve">mediated by </w:t>
      </w:r>
      <w:r w:rsidR="00BE1011" w:rsidRPr="008D3E74">
        <w:rPr>
          <w:rFonts w:ascii="Arial" w:hAnsi="Arial" w:cs="Arial"/>
        </w:rPr>
        <w:t xml:space="preserve">factors such as </w:t>
      </w:r>
      <w:r w:rsidR="00D7589C" w:rsidRPr="008D3E74">
        <w:rPr>
          <w:rFonts w:ascii="Arial" w:hAnsi="Arial" w:cs="Arial"/>
        </w:rPr>
        <w:t>experiencing</w:t>
      </w:r>
      <w:r w:rsidR="00EF1A27" w:rsidRPr="008D3E74">
        <w:rPr>
          <w:rFonts w:ascii="Arial" w:hAnsi="Arial" w:cs="Arial"/>
        </w:rPr>
        <w:t xml:space="preserve"> </w:t>
      </w:r>
      <w:r w:rsidR="00ED6545" w:rsidRPr="008D3E74">
        <w:rPr>
          <w:rFonts w:ascii="Arial" w:hAnsi="Arial" w:cs="Arial"/>
        </w:rPr>
        <w:t>discrimination</w:t>
      </w:r>
      <w:r w:rsidR="0009296A" w:rsidRPr="008D3E74">
        <w:rPr>
          <w:rFonts w:ascii="Arial" w:hAnsi="Arial" w:cs="Arial"/>
        </w:rPr>
        <w:t xml:space="preserve"> in the past year</w:t>
      </w:r>
      <w:r w:rsidR="00BE1011" w:rsidRPr="008D3E74">
        <w:rPr>
          <w:rFonts w:ascii="Arial" w:hAnsi="Arial" w:cs="Arial"/>
        </w:rPr>
        <w:t xml:space="preserve"> or </w:t>
      </w:r>
      <w:r w:rsidR="00944F88" w:rsidRPr="008D3E74">
        <w:rPr>
          <w:rFonts w:ascii="Arial" w:hAnsi="Arial" w:cs="Arial"/>
        </w:rPr>
        <w:t>living arrangement</w:t>
      </w:r>
      <w:r w:rsidR="00254911" w:rsidRPr="008D3E74">
        <w:rPr>
          <w:rFonts w:ascii="Arial" w:hAnsi="Arial" w:cs="Arial"/>
        </w:rPr>
        <w:t xml:space="preserve"> (i.e., living or not with a partner)</w:t>
      </w:r>
      <w:r w:rsidR="00ED6545" w:rsidRPr="008D3E74">
        <w:rPr>
          <w:rFonts w:ascii="Arial" w:hAnsi="Arial" w:cs="Arial"/>
        </w:rPr>
        <w:t xml:space="preserve">. Although the findings </w:t>
      </w:r>
      <w:r w:rsidR="0092438C" w:rsidRPr="008D3E74">
        <w:rPr>
          <w:rFonts w:ascii="Arial" w:hAnsi="Arial" w:cs="Arial"/>
        </w:rPr>
        <w:t xml:space="preserve">from this study </w:t>
      </w:r>
      <w:r w:rsidR="00ED6545" w:rsidRPr="008D3E74">
        <w:rPr>
          <w:rFonts w:ascii="Arial" w:hAnsi="Arial" w:cs="Arial"/>
        </w:rPr>
        <w:t xml:space="preserve">are of interest, </w:t>
      </w:r>
      <w:r w:rsidR="007F405D" w:rsidRPr="008D3E74">
        <w:rPr>
          <w:rFonts w:ascii="Arial" w:hAnsi="Arial" w:cs="Arial"/>
        </w:rPr>
        <w:t>it</w:t>
      </w:r>
      <w:r w:rsidR="00ED6545" w:rsidRPr="008D3E74">
        <w:rPr>
          <w:rFonts w:ascii="Arial" w:hAnsi="Arial" w:cs="Arial"/>
        </w:rPr>
        <w:t xml:space="preserve"> </w:t>
      </w:r>
      <w:r w:rsidR="007E21BE" w:rsidRPr="008D3E74">
        <w:rPr>
          <w:rFonts w:ascii="Arial" w:hAnsi="Arial" w:cs="Arial"/>
        </w:rPr>
        <w:t xml:space="preserve">has </w:t>
      </w:r>
      <w:r w:rsidR="00ED6545" w:rsidRPr="008D3E74">
        <w:rPr>
          <w:rFonts w:ascii="Arial" w:hAnsi="Arial" w:cs="Arial"/>
        </w:rPr>
        <w:t xml:space="preserve">several limitations that should be acknowledged. </w:t>
      </w:r>
      <w:r w:rsidR="00E95753" w:rsidRPr="008D3E74">
        <w:rPr>
          <w:rFonts w:ascii="Arial" w:hAnsi="Arial" w:cs="Arial"/>
        </w:rPr>
        <w:t xml:space="preserve">First, the </w:t>
      </w:r>
      <w:r w:rsidR="009D3AAD" w:rsidRPr="008D3E74">
        <w:rPr>
          <w:rFonts w:ascii="Arial" w:hAnsi="Arial" w:cs="Arial"/>
        </w:rPr>
        <w:t xml:space="preserve">sample </w:t>
      </w:r>
      <w:r w:rsidR="0092438C" w:rsidRPr="008D3E74">
        <w:rPr>
          <w:rFonts w:ascii="Arial" w:hAnsi="Arial" w:cs="Arial"/>
        </w:rPr>
        <w:t xml:space="preserve">only </w:t>
      </w:r>
      <w:r w:rsidR="009D3AAD" w:rsidRPr="008D3E74">
        <w:rPr>
          <w:rFonts w:ascii="Arial" w:hAnsi="Arial" w:cs="Arial"/>
        </w:rPr>
        <w:t>included</w:t>
      </w:r>
      <w:r w:rsidR="00E95753" w:rsidRPr="008D3E74">
        <w:rPr>
          <w:rFonts w:ascii="Arial" w:hAnsi="Arial" w:cs="Arial"/>
        </w:rPr>
        <w:t xml:space="preserve"> </w:t>
      </w:r>
      <w:r w:rsidR="00E95753" w:rsidRPr="008D3E74">
        <w:rPr>
          <w:rFonts w:ascii="Arial" w:hAnsi="Arial" w:cs="Arial"/>
        </w:rPr>
        <w:lastRenderedPageBreak/>
        <w:t xml:space="preserve">sexually active persons, and it may </w:t>
      </w:r>
      <w:r w:rsidR="008D1933" w:rsidRPr="008D3E74">
        <w:rPr>
          <w:rFonts w:ascii="Arial" w:hAnsi="Arial" w:cs="Arial"/>
        </w:rPr>
        <w:t xml:space="preserve">thus </w:t>
      </w:r>
      <w:r w:rsidR="00E95753" w:rsidRPr="008D3E74">
        <w:rPr>
          <w:rFonts w:ascii="Arial" w:hAnsi="Arial" w:cs="Arial"/>
        </w:rPr>
        <w:t xml:space="preserve">be difficult to </w:t>
      </w:r>
      <w:r w:rsidR="00680BE6" w:rsidRPr="008D3E74">
        <w:rPr>
          <w:rFonts w:ascii="Arial" w:hAnsi="Arial" w:cs="Arial"/>
        </w:rPr>
        <w:t>extrapolate</w:t>
      </w:r>
      <w:r w:rsidR="00E95753" w:rsidRPr="008D3E74">
        <w:rPr>
          <w:rFonts w:ascii="Arial" w:hAnsi="Arial" w:cs="Arial"/>
        </w:rPr>
        <w:t xml:space="preserve"> the results to the general population. Second, </w:t>
      </w:r>
      <w:r w:rsidR="00D033AD" w:rsidRPr="008D3E74">
        <w:rPr>
          <w:rFonts w:ascii="Arial" w:hAnsi="Arial" w:cs="Arial"/>
        </w:rPr>
        <w:t>sexual orientation (i.e., preceding year) and PEs (i.e., lifetime)</w:t>
      </w:r>
      <w:r w:rsidR="0092438C" w:rsidRPr="008D3E74">
        <w:rPr>
          <w:rFonts w:ascii="Arial" w:hAnsi="Arial" w:cs="Arial"/>
        </w:rPr>
        <w:t xml:space="preserve"> were not assessed during the concurrent period. </w:t>
      </w:r>
      <w:r w:rsidR="004C4621" w:rsidRPr="008D3E74">
        <w:rPr>
          <w:rFonts w:ascii="Arial" w:hAnsi="Arial" w:cs="Arial"/>
        </w:rPr>
        <w:t xml:space="preserve">Thus, </w:t>
      </w:r>
      <w:r w:rsidR="00D033AD" w:rsidRPr="008D3E74">
        <w:rPr>
          <w:rFonts w:ascii="Arial" w:hAnsi="Arial" w:cs="Arial"/>
        </w:rPr>
        <w:t>temporality</w:t>
      </w:r>
      <w:r w:rsidR="004C4621" w:rsidRPr="008D3E74">
        <w:rPr>
          <w:rFonts w:ascii="Arial" w:hAnsi="Arial" w:cs="Arial"/>
        </w:rPr>
        <w:t xml:space="preserve"> is difficult to establish</w:t>
      </w:r>
      <w:r w:rsidR="00D033AD" w:rsidRPr="008D3E74">
        <w:rPr>
          <w:rFonts w:ascii="Arial" w:hAnsi="Arial" w:cs="Arial"/>
        </w:rPr>
        <w:t xml:space="preserve">. Third, </w:t>
      </w:r>
      <w:r w:rsidR="004F64E7" w:rsidRPr="008D3E74">
        <w:rPr>
          <w:rFonts w:ascii="Arial" w:hAnsi="Arial" w:cs="Arial"/>
        </w:rPr>
        <w:t xml:space="preserve">although </w:t>
      </w:r>
      <w:r w:rsidR="002E45D9" w:rsidRPr="008D3E74">
        <w:rPr>
          <w:rFonts w:ascii="Arial" w:hAnsi="Arial" w:cs="Arial"/>
        </w:rPr>
        <w:t xml:space="preserve">the mediation analysis </w:t>
      </w:r>
      <w:r w:rsidR="004F64E7" w:rsidRPr="008D3E74">
        <w:rPr>
          <w:rFonts w:ascii="Arial" w:hAnsi="Arial" w:cs="Arial"/>
        </w:rPr>
        <w:t xml:space="preserve">included factors such as </w:t>
      </w:r>
      <w:r w:rsidR="00EF3D9E" w:rsidRPr="008D3E74">
        <w:rPr>
          <w:rFonts w:ascii="Arial" w:hAnsi="Arial" w:cs="Arial"/>
        </w:rPr>
        <w:t>past-year discrimination and lifetime cannabis</w:t>
      </w:r>
      <w:r w:rsidR="004D0A30" w:rsidRPr="008D3E74">
        <w:rPr>
          <w:rFonts w:ascii="Arial" w:hAnsi="Arial" w:cs="Arial"/>
        </w:rPr>
        <w:t xml:space="preserve"> use</w:t>
      </w:r>
      <w:r w:rsidR="004F64E7" w:rsidRPr="008D3E74">
        <w:rPr>
          <w:rFonts w:ascii="Arial" w:hAnsi="Arial" w:cs="Arial"/>
        </w:rPr>
        <w:t xml:space="preserve">, it </w:t>
      </w:r>
      <w:r w:rsidR="002E45D9" w:rsidRPr="008D3E74">
        <w:rPr>
          <w:rFonts w:ascii="Arial" w:hAnsi="Arial" w:cs="Arial"/>
        </w:rPr>
        <w:t xml:space="preserve">failed to include </w:t>
      </w:r>
      <w:r w:rsidR="007E21BE" w:rsidRPr="008D3E74">
        <w:rPr>
          <w:rFonts w:ascii="Arial" w:hAnsi="Arial" w:cs="Arial"/>
        </w:rPr>
        <w:t xml:space="preserve">important </w:t>
      </w:r>
      <w:r w:rsidR="002E45D9" w:rsidRPr="008D3E74">
        <w:rPr>
          <w:rFonts w:ascii="Arial" w:hAnsi="Arial" w:cs="Arial"/>
        </w:rPr>
        <w:t xml:space="preserve">factors </w:t>
      </w:r>
      <w:r w:rsidR="005C35CE" w:rsidRPr="008D3E74">
        <w:rPr>
          <w:rFonts w:ascii="Arial" w:hAnsi="Arial" w:cs="Arial"/>
        </w:rPr>
        <w:t xml:space="preserve">that </w:t>
      </w:r>
      <w:r w:rsidR="00930E73" w:rsidRPr="008D3E74">
        <w:rPr>
          <w:rFonts w:ascii="Arial" w:hAnsi="Arial" w:cs="Arial"/>
        </w:rPr>
        <w:t xml:space="preserve">might </w:t>
      </w:r>
      <w:r w:rsidR="005C35CE" w:rsidRPr="008D3E74">
        <w:rPr>
          <w:rFonts w:ascii="Arial" w:hAnsi="Arial" w:cs="Arial"/>
        </w:rPr>
        <w:t xml:space="preserve">potentially play </w:t>
      </w:r>
      <w:r w:rsidR="00D033AD" w:rsidRPr="008D3E74">
        <w:rPr>
          <w:rFonts w:ascii="Arial" w:hAnsi="Arial" w:cs="Arial"/>
        </w:rPr>
        <w:t xml:space="preserve">a major role in the association between sexual orientation and PEs. These factors </w:t>
      </w:r>
      <w:r w:rsidR="005C35CE" w:rsidRPr="008D3E74">
        <w:rPr>
          <w:rFonts w:ascii="Arial" w:hAnsi="Arial" w:cs="Arial"/>
        </w:rPr>
        <w:t>include</w:t>
      </w:r>
      <w:r w:rsidR="00D033AD" w:rsidRPr="008D3E74">
        <w:rPr>
          <w:rFonts w:ascii="Arial" w:hAnsi="Arial" w:cs="Arial"/>
        </w:rPr>
        <w:t xml:space="preserve"> </w:t>
      </w:r>
      <w:r w:rsidR="008D1C28" w:rsidRPr="008D3E74">
        <w:rPr>
          <w:rFonts w:ascii="Arial" w:hAnsi="Arial" w:cs="Arial"/>
        </w:rPr>
        <w:t xml:space="preserve">marital status, </w:t>
      </w:r>
      <w:r w:rsidR="00264207" w:rsidRPr="008D3E74">
        <w:rPr>
          <w:rFonts w:ascii="Arial" w:hAnsi="Arial" w:cs="Arial"/>
        </w:rPr>
        <w:t>education</w:t>
      </w:r>
      <w:r w:rsidR="008D1C28" w:rsidRPr="008D3E74">
        <w:rPr>
          <w:rFonts w:ascii="Arial" w:hAnsi="Arial" w:cs="Arial"/>
        </w:rPr>
        <w:t>, employment,</w:t>
      </w:r>
      <w:r w:rsidR="007875D1" w:rsidRPr="008D3E74">
        <w:rPr>
          <w:rFonts w:ascii="Arial" w:hAnsi="Arial" w:cs="Arial"/>
        </w:rPr>
        <w:t xml:space="preserve"> income,</w:t>
      </w:r>
      <w:r w:rsidR="008D1C28" w:rsidRPr="008D3E74">
        <w:rPr>
          <w:rFonts w:ascii="Arial" w:hAnsi="Arial" w:cs="Arial"/>
        </w:rPr>
        <w:t xml:space="preserve"> </w:t>
      </w:r>
      <w:r w:rsidR="00940B65" w:rsidRPr="008D3E74">
        <w:rPr>
          <w:rFonts w:ascii="Arial" w:hAnsi="Arial" w:cs="Arial"/>
        </w:rPr>
        <w:t>nicotine dependence</w:t>
      </w:r>
      <w:r w:rsidR="00163062" w:rsidRPr="008D3E74">
        <w:rPr>
          <w:rFonts w:ascii="Arial" w:hAnsi="Arial" w:cs="Arial"/>
        </w:rPr>
        <w:t xml:space="preserve">, alcohol dependence, loneliness, social support, </w:t>
      </w:r>
      <w:r w:rsidR="00F23CFE" w:rsidRPr="008D3E74">
        <w:rPr>
          <w:rFonts w:ascii="Arial" w:hAnsi="Arial" w:cs="Arial"/>
        </w:rPr>
        <w:t xml:space="preserve">lifetime </w:t>
      </w:r>
      <w:r w:rsidR="00561263" w:rsidRPr="008D3E74">
        <w:rPr>
          <w:rFonts w:ascii="Arial" w:hAnsi="Arial" w:cs="Arial"/>
        </w:rPr>
        <w:t>bullying victimization</w:t>
      </w:r>
      <w:r w:rsidR="00163062" w:rsidRPr="008D3E74">
        <w:rPr>
          <w:rFonts w:ascii="Arial" w:hAnsi="Arial" w:cs="Arial"/>
        </w:rPr>
        <w:t xml:space="preserve">, perceived stress, </w:t>
      </w:r>
      <w:r w:rsidR="00D033AD" w:rsidRPr="008D3E74">
        <w:rPr>
          <w:rFonts w:ascii="Arial" w:hAnsi="Arial" w:cs="Arial"/>
        </w:rPr>
        <w:t xml:space="preserve">stressful life events, </w:t>
      </w:r>
      <w:r w:rsidR="00163062" w:rsidRPr="008D3E74">
        <w:rPr>
          <w:rFonts w:ascii="Arial" w:hAnsi="Arial" w:cs="Arial"/>
        </w:rPr>
        <w:t>common mental disorders</w:t>
      </w:r>
      <w:r w:rsidR="00192A19" w:rsidRPr="008D3E74">
        <w:rPr>
          <w:rFonts w:ascii="Arial" w:hAnsi="Arial" w:cs="Arial"/>
        </w:rPr>
        <w:t xml:space="preserve"> (CMDs)</w:t>
      </w:r>
      <w:r w:rsidR="00163062" w:rsidRPr="008D3E74">
        <w:rPr>
          <w:rFonts w:ascii="Arial" w:hAnsi="Arial" w:cs="Arial"/>
        </w:rPr>
        <w:t xml:space="preserve">, </w:t>
      </w:r>
      <w:r w:rsidR="001A0D2B" w:rsidRPr="008D3E74">
        <w:rPr>
          <w:rFonts w:ascii="Arial" w:hAnsi="Arial" w:cs="Arial"/>
        </w:rPr>
        <w:t xml:space="preserve">borderline personality disorder (BPD) traits, </w:t>
      </w:r>
      <w:r w:rsidR="00163062" w:rsidRPr="008D3E74">
        <w:rPr>
          <w:rFonts w:ascii="Arial" w:hAnsi="Arial" w:cs="Arial"/>
        </w:rPr>
        <w:t>posttraumatic stress disorder</w:t>
      </w:r>
      <w:r w:rsidR="00F76D47" w:rsidRPr="008D3E74">
        <w:rPr>
          <w:rFonts w:ascii="Arial" w:hAnsi="Arial" w:cs="Arial"/>
        </w:rPr>
        <w:t xml:space="preserve"> (PTSD)</w:t>
      </w:r>
      <w:r w:rsidR="00163062" w:rsidRPr="008D3E74">
        <w:rPr>
          <w:rFonts w:ascii="Arial" w:hAnsi="Arial" w:cs="Arial"/>
        </w:rPr>
        <w:t xml:space="preserve">, and </w:t>
      </w:r>
      <w:r w:rsidR="001A0D2B" w:rsidRPr="008D3E74">
        <w:rPr>
          <w:rFonts w:ascii="Arial" w:hAnsi="Arial" w:cs="Arial"/>
        </w:rPr>
        <w:t xml:space="preserve">sleep </w:t>
      </w:r>
      <w:r w:rsidR="0065598E" w:rsidRPr="008D3E74">
        <w:rPr>
          <w:rFonts w:ascii="Arial" w:hAnsi="Arial" w:cs="Arial"/>
        </w:rPr>
        <w:t>problems</w:t>
      </w:r>
      <w:r w:rsidR="00C14605" w:rsidRPr="008D3E74">
        <w:rPr>
          <w:rFonts w:ascii="Arial" w:hAnsi="Arial" w:cs="Arial"/>
        </w:rPr>
        <w:t>.</w:t>
      </w:r>
      <w:r w:rsidR="00D033AD" w:rsidRPr="008D3E74">
        <w:rPr>
          <w:rFonts w:ascii="Arial" w:hAnsi="Arial" w:cs="Arial"/>
        </w:rPr>
        <w:t xml:space="preserve"> </w:t>
      </w:r>
    </w:p>
    <w:p w14:paraId="49B680CA" w14:textId="79778FC9" w:rsidR="00566296" w:rsidRPr="008D3E74" w:rsidRDefault="00566296" w:rsidP="000050E5">
      <w:pPr>
        <w:spacing w:line="480" w:lineRule="auto"/>
        <w:jc w:val="both"/>
        <w:rPr>
          <w:rFonts w:ascii="Arial" w:hAnsi="Arial" w:cs="Arial"/>
        </w:rPr>
      </w:pPr>
    </w:p>
    <w:p w14:paraId="7AD3FA04" w14:textId="7481212F" w:rsidR="00566296" w:rsidRPr="008D3E74" w:rsidRDefault="00E12B65" w:rsidP="000050E5">
      <w:pPr>
        <w:spacing w:line="480" w:lineRule="auto"/>
        <w:jc w:val="both"/>
        <w:rPr>
          <w:rFonts w:ascii="Arial" w:hAnsi="Arial" w:cs="Arial"/>
        </w:rPr>
      </w:pPr>
      <w:r w:rsidRPr="008D3E74">
        <w:rPr>
          <w:rFonts w:ascii="Arial" w:hAnsi="Arial" w:cs="Arial"/>
        </w:rPr>
        <w:t>Investigating the role of these factors is important as, for example, n</w:t>
      </w:r>
      <w:r w:rsidR="00CC2CE1" w:rsidRPr="008D3E74">
        <w:rPr>
          <w:rFonts w:ascii="Arial" w:hAnsi="Arial" w:cs="Arial"/>
        </w:rPr>
        <w:t xml:space="preserve">on-heterosexual orientation is positively associated with </w:t>
      </w:r>
      <w:r w:rsidR="00E55A94" w:rsidRPr="008D3E74">
        <w:rPr>
          <w:rFonts w:ascii="Arial" w:hAnsi="Arial" w:cs="Arial"/>
        </w:rPr>
        <w:t>tobacco smoking</w:t>
      </w:r>
      <w:r w:rsidR="002107D7" w:rsidRPr="008D3E74">
        <w:rPr>
          <w:rFonts w:ascii="Arial" w:hAnsi="Arial" w:cs="Arial"/>
        </w:rPr>
        <w:t xml:space="preserve"> </w:t>
      </w:r>
      <w:r w:rsidR="00445687" w:rsidRPr="008D3E74">
        <w:rPr>
          <w:rFonts w:ascii="Arial" w:hAnsi="Arial" w:cs="Arial"/>
        </w:rPr>
        <w:fldChar w:fldCharType="begin"/>
      </w:r>
      <w:r w:rsidR="00754C02" w:rsidRPr="008D3E74">
        <w:rPr>
          <w:rFonts w:ascii="Arial" w:hAnsi="Arial" w:cs="Arial"/>
        </w:rPr>
        <w:instrText xml:space="preserve"> ADDIN ZOTERO_ITEM CSL_CITATION {"citationID":"xq3vZ0xj","properties":{"formattedCitation":"(Lindstr\\uc0\\u246{}m {\\i{}et al.} 2014)","plainCitation":"(Lindström et al. 2014)","noteIndex":0},"citationItems":[{"id":1264,"uris":["http://zotero.org/users/local/hhPVnw6l/items/F8N7H8BW"],"uri":["http://zotero.org/users/local/hhPVnw6l/items/F8N7H8BW"],"itemData":{"id":1264,"type":"article-journal","title":"Sexual orientation, social capital and daily tobacco smoking: a population-based study","container-title":"BMC Public Health","page":"565","volume":"14","issue":"1","source":"BioMed Central","abstract":"Studies have suggested poorer health in the homosexual and bisexual groups compared to heterosexuals. Tobacco smoking, which is a health-related behavior associated with psychosocial stress, may be one explanation behind such health differences. Social capital, i.e. the generalized trust in other people and social participation/social networks which decreases the costs of social interaction, has been suggested to affect health through psychosocial pathways and through norms connected with health related behaviours, The aim of this study is to investigate the association between sexual orientation and daily tobacco smoking, taking social capital into account and analyzing the attenuation of the logit after the introduction of social participation, trust and their combination in the models.","DOI":"10.1186/1471-2458-14-565","ISSN":"1471-2458","title-short":"Sexual orientation, social capital and daily tobacco smoking","journalAbbreviation":"BMC Public Health","author":[{"family":"Lindström","given":"Martin"},{"family":"Axelsson","given":"Jakob"},{"family":"Modén","given":"Birgit"},{"family":"Rosvall","given":"Maria"}],"issued":{"date-parts":[["2014",6,6]]}}}],"schema":"https://github.com/citation-style-language/schema/raw/master/csl-citation.json"} </w:instrText>
      </w:r>
      <w:r w:rsidR="00445687" w:rsidRPr="008D3E74">
        <w:rPr>
          <w:rFonts w:ascii="Arial" w:hAnsi="Arial" w:cs="Arial"/>
        </w:rPr>
        <w:fldChar w:fldCharType="separate"/>
      </w:r>
      <w:r w:rsidR="00754C02" w:rsidRPr="008D3E74">
        <w:rPr>
          <w:rFonts w:ascii="Arial" w:hAnsi="Arial" w:cs="Arial"/>
        </w:rPr>
        <w:t xml:space="preserve">(Lindström </w:t>
      </w:r>
      <w:r w:rsidR="00754C02" w:rsidRPr="008D3E74">
        <w:rPr>
          <w:rFonts w:ascii="Arial" w:hAnsi="Arial" w:cs="Arial"/>
          <w:i/>
          <w:iCs/>
        </w:rPr>
        <w:t>et al.</w:t>
      </w:r>
      <w:r w:rsidR="00754C02" w:rsidRPr="008D3E74">
        <w:rPr>
          <w:rFonts w:ascii="Arial" w:hAnsi="Arial" w:cs="Arial"/>
        </w:rPr>
        <w:t xml:space="preserve"> 2014)</w:t>
      </w:r>
      <w:r w:rsidR="00445687" w:rsidRPr="008D3E74">
        <w:rPr>
          <w:rFonts w:ascii="Arial" w:hAnsi="Arial" w:cs="Arial"/>
        </w:rPr>
        <w:fldChar w:fldCharType="end"/>
      </w:r>
      <w:r w:rsidR="00E55A94" w:rsidRPr="008D3E74">
        <w:rPr>
          <w:rFonts w:ascii="Arial" w:hAnsi="Arial" w:cs="Arial"/>
        </w:rPr>
        <w:t xml:space="preserve"> and</w:t>
      </w:r>
      <w:r w:rsidR="00A702F8" w:rsidRPr="008D3E74">
        <w:rPr>
          <w:rFonts w:ascii="Arial" w:hAnsi="Arial" w:cs="Arial"/>
        </w:rPr>
        <w:t xml:space="preserve"> alcohol </w:t>
      </w:r>
      <w:r w:rsidR="00F12CB5" w:rsidRPr="008D3E74">
        <w:rPr>
          <w:rFonts w:ascii="Arial" w:hAnsi="Arial" w:cs="Arial"/>
        </w:rPr>
        <w:t>use</w:t>
      </w:r>
      <w:r w:rsidR="002107D7" w:rsidRPr="008D3E74">
        <w:rPr>
          <w:rFonts w:ascii="Arial" w:hAnsi="Arial" w:cs="Arial"/>
        </w:rPr>
        <w:t xml:space="preserve"> </w:t>
      </w:r>
      <w:r w:rsidR="00F6358B" w:rsidRPr="008D3E74">
        <w:rPr>
          <w:rFonts w:ascii="Arial" w:hAnsi="Arial" w:cs="Arial"/>
        </w:rPr>
        <w:fldChar w:fldCharType="begin"/>
      </w:r>
      <w:r w:rsidR="00754C02" w:rsidRPr="008D3E74">
        <w:rPr>
          <w:rFonts w:ascii="Arial" w:hAnsi="Arial" w:cs="Arial"/>
        </w:rPr>
        <w:instrText xml:space="preserve"> ADDIN ZOTERO_ITEM CSL_CITATION {"citationID":"F9pMcdtU","properties":{"formattedCitation":"(Hagger-Johnson {\\i{}et al.} 2013)","plainCitation":"(Hagger-Johnson et al. 2013)","noteIndex":0},"citationItems":[{"id":1154,"uris":["http://zotero.org/users/local/hhPVnw6l/items/YR997BM9"],"uri":["http://zotero.org/users/local/hhPVnw6l/items/YR997BM9"],"itemData":{"id":1154,"type":"article-journal","title":"Sexual orientation identity in relation to smoking history and alcohol use at age 18/19: cross-sectional associations from the Longitudinal Study of Young People in England (LSYPE)","container-title":"BMJ Open","page":"e002810","volume":"3","issue":"8","source":"bmjopen.bmj.com","abstract":"Objectives Information about the health behaviours of minority groups is essential for addressing health inequalities. We evaluated the association among lesbian, gay or bisexual (LGB) sexual orientation identity and smoking and alcohol use in young people in England.\nDesign Data drawn from wave 6 of the Longitudinal Study of Young People in England (LSYPE).\nSetting Self-completion questionnaires during home visits, face-to-face interviews and web-based questionnaires.\nParticipants Data from 7698 participants (3762 men) with information on sexual orientation identity and health behaviours at age 18/19.\nOutcome measures Cigarette smoking history, alcohol drinking frequency and risky single occasion drinking (RSOD).\nResults LGB identity was reported by 3.1% of participants (55 gay, 33 lesbian, 35 bisexual male, 111 bisexual female), 3.5% when adjusting for the survey design. Adjusting for a range of covariates, identification as lesbian/gay was found to be associated with smoking (OR=2.23, 95% CI 1.42 to 3.51), alcohol drinking &gt;2 days/week (OR=1.99, 95% CI 1.25 to 3.17) and RSOD (OR=1.80, 95% CI 1.13 to 2.86) more than weekly. Bisexual identity was associated with smoking history (OR=1.84, 95% CI 1.30 to 2.61) but not alcohol drinking &gt;2 days/week (OR=1.20, 95% CI 0.79 to 1.81) or RSOD (OR=1.04, 95% CI 0.71 to 2.86).\nConclusions In a sample of more than 7600 young people aged 18/19 years in England, lesbian/gay identity is associated with cigarette smoking, drinking alcohol frequency and RSOD. Bisexual identity is associated with smoking but not RSOD or frequent alcohol drinking.","DOI":"10.1136/bmjopen-2013-002810","ISSN":"2044-6055, 2044-6055","note":"PMID: 23985386","title-short":"Sexual orientation identity in relation to smoking history and alcohol use at age 18/19","language":"en","author":[{"family":"Hagger-Johnson","given":"Gareth"},{"family":"Taibjee","given":"Rafik"},{"family":"Semlyen","given":"Joanna"},{"family":"Fitchie","given":"Isla"},{"family":"Fish","given":"Julie"},{"family":"Meads","given":"Catherine"},{"family":"Varney","given":"Justin"}],"issued":{"date-parts":[["2013",8,1]]}}}],"schema":"https://github.com/citation-style-language/schema/raw/master/csl-citation.json"} </w:instrText>
      </w:r>
      <w:r w:rsidR="00F6358B" w:rsidRPr="008D3E74">
        <w:rPr>
          <w:rFonts w:ascii="Arial" w:hAnsi="Arial" w:cs="Arial"/>
        </w:rPr>
        <w:fldChar w:fldCharType="separate"/>
      </w:r>
      <w:r w:rsidR="00754C02" w:rsidRPr="008D3E74">
        <w:rPr>
          <w:rFonts w:ascii="Arial" w:hAnsi="Arial" w:cs="Arial"/>
        </w:rPr>
        <w:t xml:space="preserve">(Hagger-Johnson </w:t>
      </w:r>
      <w:r w:rsidR="00754C02" w:rsidRPr="008D3E74">
        <w:rPr>
          <w:rFonts w:ascii="Arial" w:hAnsi="Arial" w:cs="Arial"/>
          <w:i/>
          <w:iCs/>
        </w:rPr>
        <w:t>et al.</w:t>
      </w:r>
      <w:r w:rsidR="00754C02" w:rsidRPr="008D3E74">
        <w:rPr>
          <w:rFonts w:ascii="Arial" w:hAnsi="Arial" w:cs="Arial"/>
        </w:rPr>
        <w:t xml:space="preserve"> 2013)</w:t>
      </w:r>
      <w:r w:rsidR="00F6358B" w:rsidRPr="008D3E74">
        <w:rPr>
          <w:rFonts w:ascii="Arial" w:hAnsi="Arial" w:cs="Arial"/>
        </w:rPr>
        <w:fldChar w:fldCharType="end"/>
      </w:r>
      <w:r w:rsidR="00FC6B4A" w:rsidRPr="008D3E74">
        <w:rPr>
          <w:rFonts w:ascii="Arial" w:hAnsi="Arial" w:cs="Arial"/>
        </w:rPr>
        <w:t xml:space="preserve"> </w:t>
      </w:r>
      <w:r w:rsidR="007E21BE" w:rsidRPr="008D3E74">
        <w:rPr>
          <w:rFonts w:ascii="Arial" w:hAnsi="Arial" w:cs="Arial"/>
        </w:rPr>
        <w:t xml:space="preserve">possibly </w:t>
      </w:r>
      <w:r w:rsidR="00466A60" w:rsidRPr="008D3E74">
        <w:rPr>
          <w:rFonts w:ascii="Arial" w:hAnsi="Arial" w:cs="Arial"/>
        </w:rPr>
        <w:t>via</w:t>
      </w:r>
      <w:r w:rsidR="00FC6B4A" w:rsidRPr="008D3E74">
        <w:rPr>
          <w:rFonts w:ascii="Arial" w:hAnsi="Arial" w:cs="Arial"/>
        </w:rPr>
        <w:t xml:space="preserve"> minority stress and peer norms</w:t>
      </w:r>
      <w:r w:rsidR="00CB308E" w:rsidRPr="008D3E74">
        <w:rPr>
          <w:rFonts w:ascii="Arial" w:hAnsi="Arial" w:cs="Arial"/>
        </w:rPr>
        <w:t xml:space="preserve">, </w:t>
      </w:r>
      <w:r w:rsidR="00F23DE5" w:rsidRPr="008D3E74">
        <w:rPr>
          <w:rFonts w:ascii="Arial" w:hAnsi="Arial" w:cs="Arial"/>
        </w:rPr>
        <w:t>while</w:t>
      </w:r>
      <w:r w:rsidR="00CB308E" w:rsidRPr="008D3E74">
        <w:rPr>
          <w:rFonts w:ascii="Arial" w:hAnsi="Arial" w:cs="Arial"/>
        </w:rPr>
        <w:t xml:space="preserve"> </w:t>
      </w:r>
      <w:r w:rsidR="000C7DF3" w:rsidRPr="008D3E74">
        <w:rPr>
          <w:rFonts w:ascii="Arial" w:hAnsi="Arial" w:cs="Arial"/>
        </w:rPr>
        <w:t>cigarette</w:t>
      </w:r>
      <w:r w:rsidRPr="008D3E74">
        <w:rPr>
          <w:rFonts w:ascii="Arial" w:hAnsi="Arial" w:cs="Arial"/>
        </w:rPr>
        <w:t>s</w:t>
      </w:r>
      <w:r w:rsidR="002107D7" w:rsidRPr="008D3E74">
        <w:rPr>
          <w:rFonts w:ascii="Arial" w:hAnsi="Arial" w:cs="Arial"/>
        </w:rPr>
        <w:t xml:space="preserve"> </w:t>
      </w:r>
      <w:r w:rsidR="000C7DF3" w:rsidRPr="008D3E74">
        <w:rPr>
          <w:rFonts w:ascii="Arial" w:hAnsi="Arial" w:cs="Arial"/>
        </w:rPr>
        <w:fldChar w:fldCharType="begin"/>
      </w:r>
      <w:r w:rsidR="00754C02" w:rsidRPr="008D3E74">
        <w:rPr>
          <w:rFonts w:ascii="Arial" w:hAnsi="Arial" w:cs="Arial"/>
        </w:rPr>
        <w:instrText xml:space="preserve"> ADDIN ZOTERO_ITEM CSL_CITATION {"citationID":"xhbq4hFE","properties":{"formattedCitation":"(Gage {\\i{}et al.} 2014)","plainCitation":"(Gage et al. 2014)","noteIndex":0},"citationItems":[{"id":1259,"uris":["http://zotero.org/users/local/hhPVnw6l/items/U76PAZGB"],"uri":["http://zotero.org/users/local/hhPVnw6l/items/U76PAZGB"],"itemData":{"id":1259,"type":"article-journal","title":"Associations of cannabis and cigarette use with psychotic experiences at age 18: findings from the Avon Longitudinal Study of Parents and Children","container-title":"Psychological Medicine","page":"3435-3444","volume":"44","issue":"16","source":"PubMed Central","abstract":"Background.\nA clearer understanding of the basis for the association between cannabis use and psychotic experiences (PEs) is required. Our aim was to examine the extent to which associations between cannabis and cigarette use and PEs are due to confounding.\n\nMethod.\nA cohort study of 1756 adolescents with data on cannabis use, cigarette use and PEs.\n\nResults.\nCannabis use and cigarette use at age 16 were both associated, to a similar degree, with PEs at age 18 [odds ratio (OR) 1.48, 95% confidence interval (CI) 1.18–1.86 for cannabis and OR 1.61, 95% CI 1.31–1.98 for cigarettes]. Adjustment for cigarette smoking frequency (OR 1.27, 95% CI 0.91–1.76) or other illicit drug use (OR 1.25, 95% CI 0.91–1.73) substantially attenuated the relationship between cannabis and PEs. The attenuation was to a lesser degree when cannabis use was adjusted for in the cigarette PE association (OR 1.42, 95% CI 1.05–1.92). However, almost all of the participants used cannabis with tobacco, including those who classed themselves as non-cigarette smokers.\n\nConclusions.\nTeasing out the effects of cannabis from tobacco is highly complex and may not have been dealt with adequately in studies to date, including this one. Complementary methods are required to robustly examine the independent effects of cannabis, tobacco and other illicit drugs on PEs.","DOI":"10.1017/S0033291714000531","ISSN":"0033-2917","note":"PMID: 25066001\nPMCID: PMC4255321","title-short":"Associations of cannabis and cigarette use with psychotic experiences at age 18","journalAbbreviation":"Psychol Med","author":[{"family":"Gage","given":"S. H."},{"family":"Hickman","given":"M."},{"family":"Heron","given":"J."},{"family":"Munafò","given":"M. R."},{"family":"Lewis","given":"G."},{"family":"Macleod","given":"J."},{"family":"Zammit","given":"S."}],"issued":{"date-parts":[["2014",12]]}}}],"schema":"https://github.com/citation-style-language/schema/raw/master/csl-citation.json"} </w:instrText>
      </w:r>
      <w:r w:rsidR="000C7DF3" w:rsidRPr="008D3E74">
        <w:rPr>
          <w:rFonts w:ascii="Arial" w:hAnsi="Arial" w:cs="Arial"/>
        </w:rPr>
        <w:fldChar w:fldCharType="separate"/>
      </w:r>
      <w:r w:rsidR="00754C02" w:rsidRPr="008D3E74">
        <w:rPr>
          <w:rFonts w:ascii="Arial" w:hAnsi="Arial" w:cs="Arial"/>
        </w:rPr>
        <w:t xml:space="preserve">(Gage </w:t>
      </w:r>
      <w:r w:rsidR="00754C02" w:rsidRPr="008D3E74">
        <w:rPr>
          <w:rFonts w:ascii="Arial" w:hAnsi="Arial" w:cs="Arial"/>
          <w:i/>
          <w:iCs/>
        </w:rPr>
        <w:t>et al.</w:t>
      </w:r>
      <w:r w:rsidR="00754C02" w:rsidRPr="008D3E74">
        <w:rPr>
          <w:rFonts w:ascii="Arial" w:hAnsi="Arial" w:cs="Arial"/>
        </w:rPr>
        <w:t xml:space="preserve"> 2014)</w:t>
      </w:r>
      <w:r w:rsidR="000C7DF3" w:rsidRPr="008D3E74">
        <w:rPr>
          <w:rFonts w:ascii="Arial" w:hAnsi="Arial" w:cs="Arial"/>
        </w:rPr>
        <w:fldChar w:fldCharType="end"/>
      </w:r>
      <w:r w:rsidR="000C7DF3" w:rsidRPr="008D3E74">
        <w:rPr>
          <w:rFonts w:ascii="Arial" w:hAnsi="Arial" w:cs="Arial"/>
        </w:rPr>
        <w:t xml:space="preserve"> and alcohol</w:t>
      </w:r>
      <w:r w:rsidR="002107D7" w:rsidRPr="008D3E74">
        <w:rPr>
          <w:rFonts w:ascii="Arial" w:hAnsi="Arial" w:cs="Arial"/>
        </w:rPr>
        <w:t xml:space="preserve"> </w:t>
      </w:r>
      <w:r w:rsidR="000C7DF3" w:rsidRPr="008D3E74">
        <w:rPr>
          <w:rFonts w:ascii="Arial" w:hAnsi="Arial" w:cs="Arial"/>
        </w:rPr>
        <w:fldChar w:fldCharType="begin"/>
      </w:r>
      <w:r w:rsidR="00754C02" w:rsidRPr="008D3E74">
        <w:rPr>
          <w:rFonts w:ascii="Arial" w:hAnsi="Arial" w:cs="Arial"/>
        </w:rPr>
        <w:instrText xml:space="preserve"> ADDIN ZOTERO_ITEM CSL_CITATION {"citationID":"MXCrkvBJ","properties":{"formattedCitation":"(Tien &amp; Anthony 1990)","plainCitation":"(Tien &amp; Anthony 1990)","noteIndex":0},"citationItems":[{"id":1163,"uris":["http://zotero.org/users/local/hhPVnw6l/items/9C6QDT6I"],"uri":["http://zotero.org/users/local/hhPVnw6l/items/9C6QDT6I"],"itemData":{"id":1163,"type":"article-journal","title":"Epidemiological analysis of alcohol and drug use as risk factors for psychotic experiences","container-title":"The Journal of Nervous and Mental Disease","page":"473-480","volume":"178","issue":"8","source":"PubMed","abstract":"Clinical and laboratory studies link alcohol and other drug use to the occurrence of psychotic experiences, but epidemiologic evidence has been lacking. In this study, the quantitative relationships between alcohol or other drug use and psychotic experiences were examined by analysis of prospective data from 4994 adult household residents sampled in a multisite survey of mental disorders in the population, the NIMH Epidemiologic Catchment Area Program. After control for sociodemographic factors and preexisting psychiatric conditions, the risk for onset of self-reported delusions or hallucinations was observed to be greater for daily users of marijuana or cocaine and for users of anxiolytics or sympathomimetics compared with nonusers. After control for daily cocaine use and alcohol disorder, the risk of onset of psychotic experiences for daily users of marijuana was double that for nonusers. Alcohol disorder in men was associated with eightfold risk and in women with threefold risk. Baseline depressive episodes, manic episodes, agoraphobia, and obsessive-compulsive disorder also were associated with increased risk of onset of psychotic experiences.","ISSN":"0022-3018","note":"PMID: 2380692","journalAbbreviation":"J. Nerv. Ment. Dis.","language":"eng","author":[{"family":"Tien","given":"A. Y."},{"family":"Anthony","given":"J. C."}],"issued":{"date-parts":[["1990",8]]}}}],"schema":"https://github.com/citation-style-language/schema/raw/master/csl-citation.json"} </w:instrText>
      </w:r>
      <w:r w:rsidR="000C7DF3" w:rsidRPr="008D3E74">
        <w:rPr>
          <w:rFonts w:ascii="Arial" w:hAnsi="Arial" w:cs="Arial"/>
        </w:rPr>
        <w:fldChar w:fldCharType="separate"/>
      </w:r>
      <w:r w:rsidR="00754C02" w:rsidRPr="008D3E74">
        <w:rPr>
          <w:rFonts w:ascii="Arial" w:hAnsi="Arial" w:cs="Arial"/>
        </w:rPr>
        <w:t>(Tien &amp; Anthony 1990)</w:t>
      </w:r>
      <w:r w:rsidR="000C7DF3" w:rsidRPr="008D3E74">
        <w:rPr>
          <w:rFonts w:ascii="Arial" w:hAnsi="Arial" w:cs="Arial"/>
        </w:rPr>
        <w:fldChar w:fldCharType="end"/>
      </w:r>
      <w:r w:rsidR="00B40760" w:rsidRPr="008D3E74">
        <w:rPr>
          <w:rFonts w:ascii="Arial" w:hAnsi="Arial" w:cs="Arial"/>
        </w:rPr>
        <w:t xml:space="preserve"> </w:t>
      </w:r>
      <w:r w:rsidRPr="008D3E74">
        <w:rPr>
          <w:rFonts w:ascii="Arial" w:hAnsi="Arial" w:cs="Arial"/>
        </w:rPr>
        <w:t xml:space="preserve">have </w:t>
      </w:r>
      <w:r w:rsidR="00B40760" w:rsidRPr="008D3E74">
        <w:rPr>
          <w:rFonts w:ascii="Arial" w:hAnsi="Arial" w:cs="Arial"/>
        </w:rPr>
        <w:t xml:space="preserve">strong </w:t>
      </w:r>
      <w:r w:rsidR="005377CF" w:rsidRPr="008D3E74">
        <w:rPr>
          <w:rFonts w:ascii="Arial" w:hAnsi="Arial" w:cs="Arial"/>
        </w:rPr>
        <w:t xml:space="preserve">psychoactive </w:t>
      </w:r>
      <w:r w:rsidR="00B40760" w:rsidRPr="008D3E74">
        <w:rPr>
          <w:rFonts w:ascii="Arial" w:hAnsi="Arial" w:cs="Arial"/>
        </w:rPr>
        <w:t xml:space="preserve">effects </w:t>
      </w:r>
      <w:r w:rsidRPr="008D3E74">
        <w:rPr>
          <w:rFonts w:ascii="Arial" w:hAnsi="Arial" w:cs="Arial"/>
        </w:rPr>
        <w:t xml:space="preserve">that can </w:t>
      </w:r>
      <w:r w:rsidR="00CB308E" w:rsidRPr="008D3E74">
        <w:rPr>
          <w:rFonts w:ascii="Arial" w:hAnsi="Arial" w:cs="Arial"/>
        </w:rPr>
        <w:t xml:space="preserve">increase the risk </w:t>
      </w:r>
      <w:r w:rsidRPr="008D3E74">
        <w:rPr>
          <w:rFonts w:ascii="Arial" w:hAnsi="Arial" w:cs="Arial"/>
        </w:rPr>
        <w:t>for</w:t>
      </w:r>
      <w:r w:rsidR="00CB308E" w:rsidRPr="008D3E74">
        <w:rPr>
          <w:rFonts w:ascii="Arial" w:hAnsi="Arial" w:cs="Arial"/>
        </w:rPr>
        <w:t xml:space="preserve"> PEs.</w:t>
      </w:r>
      <w:r w:rsidR="0034086C" w:rsidRPr="008D3E74">
        <w:rPr>
          <w:rFonts w:ascii="Arial" w:hAnsi="Arial" w:cs="Arial"/>
        </w:rPr>
        <w:t xml:space="preserve"> In addition, </w:t>
      </w:r>
      <w:r w:rsidR="004E357C" w:rsidRPr="008D3E74">
        <w:rPr>
          <w:rFonts w:ascii="Arial" w:hAnsi="Arial" w:cs="Arial"/>
        </w:rPr>
        <w:t>loneliness</w:t>
      </w:r>
      <w:r w:rsidR="00CA473E" w:rsidRPr="008D3E74">
        <w:rPr>
          <w:rFonts w:ascii="Arial" w:hAnsi="Arial" w:cs="Arial"/>
        </w:rPr>
        <w:t xml:space="preserve"> </w:t>
      </w:r>
      <w:r w:rsidR="004E357C" w:rsidRPr="008D3E74">
        <w:rPr>
          <w:rFonts w:ascii="Arial" w:hAnsi="Arial" w:cs="Arial"/>
        </w:rPr>
        <w:t xml:space="preserve">and </w:t>
      </w:r>
      <w:r w:rsidR="00E57F44" w:rsidRPr="008D3E74">
        <w:rPr>
          <w:rFonts w:ascii="Arial" w:hAnsi="Arial" w:cs="Arial"/>
        </w:rPr>
        <w:t xml:space="preserve">a </w:t>
      </w:r>
      <w:r w:rsidR="004E357C" w:rsidRPr="008D3E74">
        <w:rPr>
          <w:rFonts w:ascii="Arial" w:hAnsi="Arial" w:cs="Arial"/>
        </w:rPr>
        <w:t>lack of social support are common in sexual minorities</w:t>
      </w:r>
      <w:r w:rsidR="002107D7" w:rsidRPr="008D3E74">
        <w:rPr>
          <w:rFonts w:ascii="Arial" w:hAnsi="Arial" w:cs="Arial"/>
        </w:rPr>
        <w:t xml:space="preserve"> </w:t>
      </w:r>
      <w:r w:rsidR="007429D7" w:rsidRPr="008D3E74">
        <w:rPr>
          <w:rFonts w:ascii="Arial" w:hAnsi="Arial" w:cs="Arial"/>
        </w:rPr>
        <w:fldChar w:fldCharType="begin"/>
      </w:r>
      <w:r w:rsidR="00754C02" w:rsidRPr="008D3E74">
        <w:rPr>
          <w:rFonts w:ascii="Arial" w:hAnsi="Arial" w:cs="Arial"/>
        </w:rPr>
        <w:instrText xml:space="preserve"> ADDIN ZOTERO_ITEM CSL_CITATION {"citationID":"czYwAVcW","properties":{"formattedCitation":"(Doyle &amp; Molix 2016)","plainCitation":"(Doyle &amp; Molix 2016)","noteIndex":0},"citationItems":[{"id":1203,"uris":["http://zotero.org/users/local/hhPVnw6l/items/H4LXDCN5"],"uri":["http://zotero.org/users/local/hhPVnw6l/items/H4LXDCN5"],"itemData":{"id":1203,"type":"article-journal","title":"Disparities in Social Health by Sexual Orientation and the Etiologic Role of Self-Reported Discrimination","container-title":"Archives of Sexual Behavior","page":"1317-1327","volume":"45","issue":"6","source":"PubMed","abstract":"Some past work indicates that sexual minorities may experience impairments in social health, or the perceived and actual availability and quality of one's social relationships, relative to heterosexuals; however, research has been limited in many ways. Furthermore, it is important to investigate etiological factors that may be associated with these disparities, such as self-reported discrimination. The current work tested whether sexual minority adults in the United States reported less positive social health (i.e., loneliness, friendship strain, familial strain, and social capital) relative to heterosexuals and whether self-reported discrimination accounted for these disparities. Participants for the current study (N = 579) were recruited via Amazon's Mechanical Turk, including 365 self-identified heterosexuals (105 women) and 214 sexual minorities (103 women). Consistent with hypotheses, sexual minorities reported impaired social health relative to heterosexuals, with divergent patterns emerging by sexual orientation subgroup (which were generally consistent across sexes). Additionally, self-reported discrimination accounted for disparities across three of four indicators of social health. These findings suggest that sexual minorities may face obstacles related to prejudice and discrimination that impair the functioning of their relationships and overall social health. Moreover, because social health is closely related to psychological and physical health, remediating disparities in social relationships may be necessary to address other health disparities based upon sexual orientation. Expanding upon these results, implications for efforts to build resilience among sexual minorities are discussed.","DOI":"10.1007/s10508-015-0639-5","ISSN":"1573-2800","note":"PMID: 26566900\nPMCID: PMC4866902","journalAbbreviation":"Arch Sex Behav","language":"eng","author":[{"family":"Doyle","given":"David Matthew"},{"family":"Molix","given":"Lisa"}],"issued":{"date-parts":[["2016"]]}}}],"schema":"https://github.com/citation-style-language/schema/raw/master/csl-citation.json"} </w:instrText>
      </w:r>
      <w:r w:rsidR="007429D7" w:rsidRPr="008D3E74">
        <w:rPr>
          <w:rFonts w:ascii="Arial" w:hAnsi="Arial" w:cs="Arial"/>
        </w:rPr>
        <w:fldChar w:fldCharType="separate"/>
      </w:r>
      <w:r w:rsidR="00754C02" w:rsidRPr="008D3E74">
        <w:rPr>
          <w:rFonts w:ascii="Arial" w:hAnsi="Arial" w:cs="Arial"/>
        </w:rPr>
        <w:t>(Doyle &amp; Molix 2016)</w:t>
      </w:r>
      <w:r w:rsidR="007429D7" w:rsidRPr="008D3E74">
        <w:rPr>
          <w:rFonts w:ascii="Arial" w:hAnsi="Arial" w:cs="Arial"/>
        </w:rPr>
        <w:fldChar w:fldCharType="end"/>
      </w:r>
      <w:r w:rsidR="002107D7" w:rsidRPr="008D3E74">
        <w:rPr>
          <w:rFonts w:ascii="Arial" w:hAnsi="Arial" w:cs="Arial"/>
        </w:rPr>
        <w:t>,</w:t>
      </w:r>
      <w:r w:rsidR="004E357C" w:rsidRPr="008D3E74">
        <w:rPr>
          <w:rFonts w:ascii="Arial" w:hAnsi="Arial" w:cs="Arial"/>
        </w:rPr>
        <w:t xml:space="preserve"> </w:t>
      </w:r>
      <w:r w:rsidR="00E57F44" w:rsidRPr="008D3E74">
        <w:rPr>
          <w:rFonts w:ascii="Arial" w:hAnsi="Arial" w:cs="Arial"/>
        </w:rPr>
        <w:t xml:space="preserve">both of which </w:t>
      </w:r>
      <w:r w:rsidR="001B7783" w:rsidRPr="008D3E74">
        <w:rPr>
          <w:rFonts w:ascii="Arial" w:hAnsi="Arial" w:cs="Arial"/>
        </w:rPr>
        <w:t xml:space="preserve">may </w:t>
      </w:r>
      <w:r w:rsidR="000A7D04" w:rsidRPr="008D3E74">
        <w:rPr>
          <w:rFonts w:ascii="Arial" w:hAnsi="Arial" w:cs="Arial"/>
        </w:rPr>
        <w:t xml:space="preserve">in turn </w:t>
      </w:r>
      <w:r w:rsidR="001B7783" w:rsidRPr="008D3E74">
        <w:rPr>
          <w:rFonts w:ascii="Arial" w:hAnsi="Arial" w:cs="Arial"/>
        </w:rPr>
        <w:t>lead to PEs via mental disorders</w:t>
      </w:r>
      <w:r w:rsidR="002107D7" w:rsidRPr="008D3E74">
        <w:rPr>
          <w:rFonts w:ascii="Arial" w:hAnsi="Arial" w:cs="Arial"/>
        </w:rPr>
        <w:t xml:space="preserve"> </w:t>
      </w:r>
      <w:r w:rsidR="00E57F44" w:rsidRPr="008D3E74">
        <w:rPr>
          <w:rFonts w:ascii="Arial" w:hAnsi="Arial" w:cs="Arial"/>
        </w:rPr>
        <w:fldChar w:fldCharType="begin"/>
      </w:r>
      <w:r w:rsidR="00754C02" w:rsidRPr="008D3E74">
        <w:rPr>
          <w:rFonts w:ascii="Arial" w:hAnsi="Arial" w:cs="Arial"/>
        </w:rPr>
        <w:instrText xml:space="preserve"> ADDIN ZOTERO_ITEM CSL_CITATION {"citationID":"eIHWH1iT","properties":{"formattedCitation":"(Smyth {\\i{}et al.} 2015; Jaya {\\i{}et al.} 2017)","plainCitation":"(Smyth et al. 2015; Jaya et al. 2017)","noteIndex":0},"citationItems":[{"id":1173,"uris":["http://zotero.org/users/local/hhPVnw6l/items/DKUFH4UP"],"uri":["http://zotero.org/users/local/hhPVnw6l/items/DKUFH4UP"],"itemData":{"id":1173,"type":"article-journal","title":"Social networks, social support and psychiatric symptoms: social determinants and associations within a multicultural community population","container-title":"Social Psychiatry and Psychiatric Epidemiology","page":"1111-1120","volume":"50","issue":"7","source":"PubMed Central","abstract":"Purpose\nLittle is known about how social networks and social support are distributed within diverse communities and how different types of each are associated with a range of psychiatric symptoms. This study aims to address such shortcomings by: (1) describing the demographic and socioeconomic characteristics of social networks and social support in a multicultural population and (2) examining how each is associated with multiple mental health outcomes.\n\nMethods\nData is drawn from the South East London Community Health Study; a cross-sectional study of 1,698 adults conducted between 2008 and 2010.\n\nResults\nThe findings demonstrate variation in social networks and social support by socio-demographic factors. Ethnic minority groups reported larger family networks but less perceived instrumental support. Older individuals and migrant groups reported lower levels of particular network and support types. Individuals from lower socioeconomic groups tended to report less social networks and support across the indicators measured. Perceived emotional and instrumental support, family and friend network size emerged as protective factors for common mental disorder, personality dysfunction and psychotic experiences. In contrast, both social networks and social support appear less relevant for hazardous alcohol use.\n\nConclusions\nThe findings both confirm established knowledge that social networks and social support exert differential effects on mental health and furthermore suggest that the particular type of social support may be important. In contrast, different types of social network appear to impact upon poor mental health in a more uniform way. Future psychosocial strategies promoting mental health should consider which social groups are vulnerable to reduced social networks and poor social support and which diagnostic groups may benefit most.","DOI":"10.1007/s00127-014-0943-8","ISSN":"0933-7954","note":"PMID: 25106666\nPMCID: PMC4464053","title-short":"Social networks, social support and psychiatric symptoms","journalAbbreviation":"Soc Psychiatry Psychiatr Epidemiol","author":[{"family":"Smyth","given":"Natasha"},{"family":"Siriwardhana","given":"Chesmal"},{"family":"Hotopf","given":"Matthew"},{"family":"Hatch","given":"Stephani L."}],"issued":{"date-parts":[["2015"]]}}},{"id":1137,"uris":["http://zotero.org/users/local/hhPVnw6l/items/HZ5KM4FZ"],"uri":["http://zotero.org/users/local/hhPVnw6l/items/HZ5KM4FZ"],"itemData":{"id":1137,"type":"article-journal","title":"Loneliness and Psychotic Symptoms: The Mediating Role of Depression","container-title":"Cognitive Therapy and Research","page":"106-116","volume":"41","issue":"1","source":"Springer Link","abstract":"Psychotic symptoms have been shown to be associated with numerous social factors, such as migration and urban upbringing, of which one plausible common component is loneliness. This suggests a relationship between loneliness and positive psychotic symptoms. According to current cognitive models of psychosis, the relationship between loneliness and positive symptoms is likely to be explained by affective states. The current study examined the cross-sectional relationship between loneliness, depression, and positive symptoms in four separate community samples (combined N = 766) with regression based mediation analysis and network analysis. The results showed that depression completely mediated the relationship between loneliness and positive symptoms in three out of four samples. Partial mediation was found in one sample. Network analysis revealed that loneliness, depression, and positive symptoms clustered separately and that there was a unique connection between loneliness and items that assess paranoid beliefs, in the sense that loneliness was not found to be connected to other psychotic symptoms, such as hallucinations. As expected, loneliness is related to positive symptoms and depression played a strong role in explaining the association. Thus, early interventions of psychosis that target loneliness are likely to be beneficial, especially if these interventions additionally target depression. Furthermore, the specific connection of loneliness and paranoid beliefs supports the theory that specific adversity leads to specific psychotic symptoms.","DOI":"10.1007/s10608-016-9799-4","ISSN":"1573-2819","title-short":"Loneliness and Psychotic Symptoms","journalAbbreviation":"Cogn Ther Res","language":"en","author":[{"family":"Jaya","given":"Edo S."},{"family":"Hillmann","given":"Tobias E."},{"family":"Reininger","given":"Klaus Michael"},{"family":"Gollwitzer","given":"Anton"},{"family":"Lincoln","given":"Tania M."}],"issued":{"date-parts":[["2017",2,1]]}}}],"schema":"https://github.com/citation-style-language/schema/raw/master/csl-citation.json"} </w:instrText>
      </w:r>
      <w:r w:rsidR="00E57F44" w:rsidRPr="008D3E74">
        <w:rPr>
          <w:rFonts w:ascii="Arial" w:hAnsi="Arial" w:cs="Arial"/>
        </w:rPr>
        <w:fldChar w:fldCharType="separate"/>
      </w:r>
      <w:r w:rsidR="00754C02" w:rsidRPr="008D3E74">
        <w:rPr>
          <w:rFonts w:ascii="Arial" w:hAnsi="Arial" w:cs="Arial"/>
        </w:rPr>
        <w:t xml:space="preserve">(Smyth </w:t>
      </w:r>
      <w:r w:rsidR="00754C02" w:rsidRPr="008D3E74">
        <w:rPr>
          <w:rFonts w:ascii="Arial" w:hAnsi="Arial" w:cs="Arial"/>
          <w:i/>
          <w:iCs/>
        </w:rPr>
        <w:t>et al.</w:t>
      </w:r>
      <w:r w:rsidR="00754C02" w:rsidRPr="008D3E74">
        <w:rPr>
          <w:rFonts w:ascii="Arial" w:hAnsi="Arial" w:cs="Arial"/>
        </w:rPr>
        <w:t xml:space="preserve"> 2015; Jaya </w:t>
      </w:r>
      <w:r w:rsidR="00754C02" w:rsidRPr="008D3E74">
        <w:rPr>
          <w:rFonts w:ascii="Arial" w:hAnsi="Arial" w:cs="Arial"/>
          <w:i/>
          <w:iCs/>
        </w:rPr>
        <w:t>et al.</w:t>
      </w:r>
      <w:r w:rsidR="00754C02" w:rsidRPr="008D3E74">
        <w:rPr>
          <w:rFonts w:ascii="Arial" w:hAnsi="Arial" w:cs="Arial"/>
        </w:rPr>
        <w:t xml:space="preserve"> 2017)</w:t>
      </w:r>
      <w:r w:rsidR="00E57F44" w:rsidRPr="008D3E74">
        <w:rPr>
          <w:rFonts w:ascii="Arial" w:hAnsi="Arial" w:cs="Arial"/>
        </w:rPr>
        <w:fldChar w:fldCharType="end"/>
      </w:r>
      <w:r w:rsidR="002107D7" w:rsidRPr="008D3E74">
        <w:rPr>
          <w:rFonts w:ascii="Arial" w:hAnsi="Arial" w:cs="Arial"/>
        </w:rPr>
        <w:t>.</w:t>
      </w:r>
      <w:r w:rsidR="00B06776" w:rsidRPr="008D3E74">
        <w:rPr>
          <w:rFonts w:ascii="Arial" w:hAnsi="Arial" w:cs="Arial"/>
        </w:rPr>
        <w:t xml:space="preserve"> Moreover, non-heterosexual orientation is a risk factor for bullying victimization</w:t>
      </w:r>
      <w:r w:rsidR="002107D7" w:rsidRPr="008D3E74">
        <w:rPr>
          <w:rFonts w:ascii="Arial" w:hAnsi="Arial" w:cs="Arial"/>
        </w:rPr>
        <w:t xml:space="preserve"> </w:t>
      </w:r>
      <w:r w:rsidR="00106C27" w:rsidRPr="008D3E74">
        <w:rPr>
          <w:rFonts w:ascii="Arial" w:hAnsi="Arial" w:cs="Arial"/>
        </w:rPr>
        <w:fldChar w:fldCharType="begin"/>
      </w:r>
      <w:r w:rsidR="00754C02" w:rsidRPr="008D3E74">
        <w:rPr>
          <w:rFonts w:ascii="Arial" w:hAnsi="Arial" w:cs="Arial"/>
        </w:rPr>
        <w:instrText xml:space="preserve"> ADDIN ZOTERO_ITEM CSL_CITATION {"citationID":"PdhMywqh","properties":{"formattedCitation":"(Berlan {\\i{}et al.} 2010)","plainCitation":"(Berlan et al. 2010)","noteIndex":0},"citationItems":[{"id":1267,"uris":["http://zotero.org/users/local/hhPVnw6l/items/L4XR4UR9"],"uri":["http://zotero.org/users/local/hhPVnw6l/items/L4XR4UR9"],"itemData":{"id":1267,"type":"article-journal","title":"Sexual orientation and bullying among adolescents in the growing up today study","container-title":"The Journal of Adolescent Health: Official Publication of the Society for Adolescent Medicine","page":"366-371","volume":"46","issue":"4","source":"PubMed","abstract":"PURPOSE: To examine the relationship between sexual orientation and past-year reports of bullying victimization and perpetration in a large sample of American youth.\nMETHODS: Survey data from 7,559 adolescents aged 14-22 who responded to the 2001 wave questionnaire of the Growing Up Today Study were examined cross-sectionally. Multivariable generalized estimating equations regression was performed using the modified Poisson method. We examined associations between sexual orientation and past-year bully victimization and perpetration with heterosexuals as the referent group, stratifying by gender and controlling for age, race/ethnicity, and weight status.\nRESULTS: Compared to heterosexual males, mostly heterosexual males (risk ratio [RR]: 1.45; 95% confidence interval [CI]: 1.13, 1.86) and gay males (RR 1.98; CI: 1.39, 2.82) were more likely to report being bullied. Similarly, mostly heterosexual females (RR: 1.72, 95% CI: 1.45, 2.03), bisexual females (RR: 1.63, 95% CI: 1.14, 2.31), and lesbians (RR: 3.36, 95% CI: 1.76, 6.41) were more likely to report being bullied than were heterosexual females. Gay males (RR: 0.34, 95% CI: 0.14, 0.84) were much less likely to report bullying others than were heterosexual males. Mostly heterosexual females (RR: 1.70, 95% CI: 1.42, 2.04) and bisexual females (RR: 2.41, 95% CI: 1.80, 3.24) were more likely to report bullying others than heterosexual females. No lesbian participants reported bullying others.\nCONCLUSIONS: There are significant differences in reports of bullying victimization and perpetration between heterosexual and sexual minority youth. Clinicians should inquire about sexual orientation and bullying, and coordinate care for youth who may need additional support.","DOI":"10.1016/j.jadohealth.2009.10.015","ISSN":"1879-1972","note":"PMID: 20307826\nPMCID: PMC2844864","journalAbbreviation":"J Adolesc Health","language":"eng","author":[{"family":"Berlan","given":"Elise D."},{"family":"Corliss","given":"Heather L."},{"family":"Field","given":"Alison E."},{"family":"Goodman","given":"Elizabeth"},{"family":"Austin","given":"S. Bryn"}],"issued":{"date-parts":[["2010",4]]}}}],"schema":"https://github.com/citation-style-language/schema/raw/master/csl-citation.json"} </w:instrText>
      </w:r>
      <w:r w:rsidR="00106C27" w:rsidRPr="008D3E74">
        <w:rPr>
          <w:rFonts w:ascii="Arial" w:hAnsi="Arial" w:cs="Arial"/>
        </w:rPr>
        <w:fldChar w:fldCharType="separate"/>
      </w:r>
      <w:r w:rsidR="00754C02" w:rsidRPr="008D3E74">
        <w:rPr>
          <w:rFonts w:ascii="Arial" w:hAnsi="Arial" w:cs="Arial"/>
        </w:rPr>
        <w:t xml:space="preserve">(Berlan </w:t>
      </w:r>
      <w:r w:rsidR="00754C02" w:rsidRPr="008D3E74">
        <w:rPr>
          <w:rFonts w:ascii="Arial" w:hAnsi="Arial" w:cs="Arial"/>
          <w:i/>
          <w:iCs/>
        </w:rPr>
        <w:t>et al.</w:t>
      </w:r>
      <w:r w:rsidR="00754C02" w:rsidRPr="008D3E74">
        <w:rPr>
          <w:rFonts w:ascii="Arial" w:hAnsi="Arial" w:cs="Arial"/>
        </w:rPr>
        <w:t xml:space="preserve"> 2010)</w:t>
      </w:r>
      <w:r w:rsidR="00106C27" w:rsidRPr="008D3E74">
        <w:rPr>
          <w:rFonts w:ascii="Arial" w:hAnsi="Arial" w:cs="Arial"/>
        </w:rPr>
        <w:fldChar w:fldCharType="end"/>
      </w:r>
      <w:r w:rsidR="002107D7" w:rsidRPr="008D3E74">
        <w:rPr>
          <w:rFonts w:ascii="Arial" w:hAnsi="Arial" w:cs="Arial"/>
        </w:rPr>
        <w:t>,</w:t>
      </w:r>
      <w:r w:rsidR="00B06776" w:rsidRPr="008D3E74">
        <w:rPr>
          <w:rFonts w:ascii="Arial" w:hAnsi="Arial" w:cs="Arial"/>
        </w:rPr>
        <w:t xml:space="preserve"> perceived stress</w:t>
      </w:r>
      <w:r w:rsidR="002107D7" w:rsidRPr="008D3E74">
        <w:rPr>
          <w:rFonts w:ascii="Arial" w:hAnsi="Arial" w:cs="Arial"/>
        </w:rPr>
        <w:t xml:space="preserve"> </w:t>
      </w:r>
      <w:r w:rsidR="00995C10" w:rsidRPr="008D3E74">
        <w:rPr>
          <w:rFonts w:ascii="Arial" w:hAnsi="Arial" w:cs="Arial"/>
        </w:rPr>
        <w:fldChar w:fldCharType="begin"/>
      </w:r>
      <w:r w:rsidR="00754C02" w:rsidRPr="008D3E74">
        <w:rPr>
          <w:rFonts w:ascii="Arial" w:hAnsi="Arial" w:cs="Arial"/>
        </w:rPr>
        <w:instrText xml:space="preserve"> ADDIN ZOTERO_ITEM CSL_CITATION {"citationID":"tS4ckZAM","properties":{"formattedCitation":"(Krueger {\\i{}et al.} 2018)","plainCitation":"(Krueger et al. 2018)","noteIndex":0},"citationItems":[{"id":1176,"uris":["http://zotero.org/users/local/hhPVnw6l/items/AXWQRWUT"],"uri":["http://zotero.org/users/local/hhPVnw6l/items/AXWQRWUT"],"itemData":{"id":1176,"type":"article-journal","title":"Sexual Orientation Group Differences in Perceived Stress and Depressive Symptoms Among Young Adults in the United States","container-title":"LGBT Health","page":"242-249","volume":"5","issue":"4","source":"PubMed Central","abstract":"Purpose: Overall, sexual minorities have poorer mental health than heterosexual individuals, and stress is thought to underlie such disparities. However, sexual minorities include both those identifying as lesbian, gay, or bisexual (LGB) and many who do not (e.g., individuals identifying as mostly heterosexual, or as heterosexual but with discordant same-sex attractions or behaviors), and little is known about the mental health or stress experiences of non-LGB identified sexual minorities. This study assessed perceived stress and depressive symptom differences between concordant heterosexual individuals and three groups of sexual minority young adults (LGB, mostly heterosexual, and discordant heterosexual individuals)., Methods: Data were from the National Longitudinal Study of Adolescent to Adult Health, Wave IV (2008–2009). Descriptive and bivariate statistics were estimated. Path analyses assessed whether perceived stress mediated differences in depressive symptomatology. Analyses were weighted and gender-stratified., Results: Mostly heterosexual individuals comprised the largest sexual minority group, for both men (3.58%) and women (15.88%). All sexual minority groups reported significantly more depressive symptoms than concordant heterosexual individuals, for both men and women (all P &lt; 0.05). Among women, all sexual minority groups reported significantly higher perceived stress than concordant heterosexual individuals (all P &lt; 0.05), which partially mediated elevations in depressive symptomatology (all P &lt; 0.05). Mostly-heterosexual-identified men reported significantly higher perceived stress than concordant heterosexual men (P &lt; 0.01), which partially mediated elevations in depressive symptomatology (P &lt; 0.01)., Conclusions: Our results underscore the importance of assessing sexual orientation comprehensively to fully understand sexual minority health disparities. Additional research should examine the stressors specific to different sexual minority groups.","DOI":"10.1089/lgbt.2017.0228","ISSN":"2325-8292","note":"PMID: 29741980\nPMCID: PMC5994153","journalAbbreviation":"LGBT Health","author":[{"family":"Krueger","given":"Evan A."},{"family":"Meyer","given":"Ilan H."},{"family":"Upchurch","given":"Dawn M."}],"issued":{"date-parts":[["2018",6,1]]}}}],"schema":"https://github.com/citation-style-language/schema/raw/master/csl-citation.json"} </w:instrText>
      </w:r>
      <w:r w:rsidR="00995C10" w:rsidRPr="008D3E74">
        <w:rPr>
          <w:rFonts w:ascii="Arial" w:hAnsi="Arial" w:cs="Arial"/>
        </w:rPr>
        <w:fldChar w:fldCharType="separate"/>
      </w:r>
      <w:r w:rsidR="00754C02" w:rsidRPr="008D3E74">
        <w:rPr>
          <w:rFonts w:ascii="Arial" w:hAnsi="Arial" w:cs="Arial"/>
        </w:rPr>
        <w:t xml:space="preserve">(Krueger </w:t>
      </w:r>
      <w:r w:rsidR="00754C02" w:rsidRPr="008D3E74">
        <w:rPr>
          <w:rFonts w:ascii="Arial" w:hAnsi="Arial" w:cs="Arial"/>
          <w:i/>
          <w:iCs/>
        </w:rPr>
        <w:t>et al.</w:t>
      </w:r>
      <w:r w:rsidR="00754C02" w:rsidRPr="008D3E74">
        <w:rPr>
          <w:rFonts w:ascii="Arial" w:hAnsi="Arial" w:cs="Arial"/>
        </w:rPr>
        <w:t xml:space="preserve"> 2018)</w:t>
      </w:r>
      <w:r w:rsidR="00995C10" w:rsidRPr="008D3E74">
        <w:rPr>
          <w:rFonts w:ascii="Arial" w:hAnsi="Arial" w:cs="Arial"/>
        </w:rPr>
        <w:fldChar w:fldCharType="end"/>
      </w:r>
      <w:r w:rsidR="00106C27" w:rsidRPr="008D3E74">
        <w:rPr>
          <w:rFonts w:ascii="Arial" w:hAnsi="Arial" w:cs="Arial"/>
        </w:rPr>
        <w:t xml:space="preserve"> </w:t>
      </w:r>
      <w:r w:rsidR="00B06776" w:rsidRPr="008D3E74">
        <w:rPr>
          <w:rFonts w:ascii="Arial" w:hAnsi="Arial" w:cs="Arial"/>
        </w:rPr>
        <w:t>and stressful life events</w:t>
      </w:r>
      <w:r w:rsidR="002107D7" w:rsidRPr="008D3E74">
        <w:rPr>
          <w:rFonts w:ascii="Arial" w:hAnsi="Arial" w:cs="Arial"/>
        </w:rPr>
        <w:t xml:space="preserve"> </w:t>
      </w:r>
      <w:r w:rsidR="0031028B" w:rsidRPr="008D3E74">
        <w:rPr>
          <w:rFonts w:ascii="Arial" w:hAnsi="Arial" w:cs="Arial"/>
        </w:rPr>
        <w:fldChar w:fldCharType="begin"/>
      </w:r>
      <w:r w:rsidR="00754C02" w:rsidRPr="008D3E74">
        <w:rPr>
          <w:rFonts w:ascii="Arial" w:hAnsi="Arial" w:cs="Arial"/>
        </w:rPr>
        <w:instrText xml:space="preserve"> ADDIN ZOTERO_ITEM CSL_CITATION {"citationID":"ZAXNnSE3","properties":{"formattedCitation":"(Austin {\\i{}et al.} 2016)","plainCitation":"(Austin et al. 2016)","noteIndex":0},"citationItems":[{"id":1276,"uris":["http://zotero.org/users/local/hhPVnw6l/items/7QPG5X4Q"],"uri":["http://zotero.org/users/local/hhPVnw6l/items/7QPG5X4Q"],"itemData":{"id":1276,"type":"article-journal","title":"Sexual orientation and diurnal cortisol patterns in a cohort of U.S. young adults","container-title":"Psychoneuroendocrinology","page":"197-208","volume":"69","source":"PubMed Central","abstract":"Sexual minorities in the United States are at elevated risk of bullying, discrimination, and violence victimization, all stressors that have been linked to psychological and behavioral stress responses including depressive and anxious symptoms and substance use. Acute and chronic stressors may also elicit physiologic stress responses, including changes in the regulation of the hypothalamic-pituitary-adrenocortical (HPA) axis. Few studies, however, have examined the relationship between minority sexual orientation and diurnal cortisol patterns. The present study included 1670 young adults ages 18–32 years (69% female, 31% male) from the Growing Up Today Study, a prospective cohort of U.S. youth. Participants provided five saliva samples over one day to estimate diurnal cortisol patterns. Sexual orientation groups included: completely heterosexual with no same-sex partners (referent), completely heterosexual with same-sex partners/mostly heterosexual, and gay/lesbian/bisexual. Covariates included perceived stress and stressful life events in the past month. Sex-stratified multilevel models of log-transformed cortisol values were used to model diurnal cortisol patterns, and generalized estimating equations were used to model area under the curve (AUC), both with respect to ground (AUCg) and increase (AUCi). Among females, sexual minorities reported significantly more stressful life events in the past month than their heterosexual counterparts. In adjusted multilevel models, sexual orientation was not significantly associated with diurnal cortisol patterns or with AUCg or AUCi in either females or males. There were no significant interactions between sexual orientation and stressful life events. Time-varying negative mood was significantly associated with higher cortisol levels across the day for both female and male participants, after adjusting for all covariates. This study from a large cohort of U.S. young adults did not detect a relationship between sexual orientation and diurnal cortisol patterns. Despite consistent evidence indicating that, compared to heterosexuals, sexual minorities experience elevated exposure to multiple forms of stressors and adversity across the life course, we did not find differences in diurnal cortisol rhythms by sexual orientation. One possible explanation is that sexual minority participants in the study exhibited physiologic resilience.","DOI":"10.1016/j.psyneuen.2016.04.012","ISSN":"0306-4530","note":"PMID: 27131052\nPMCID: PMC4880491","journalAbbreviation":"Psychoneuroendocrinology","author":[{"family":"Austin","given":"S. Bryn"},{"family":"Rosario","given":"Margaret"},{"family":"McLaughlin","given":"Katie A."},{"family":"Roberts","given":"Andrea L."},{"family":"Gordon","given":"Allegra R."},{"family":"Sarda","given":"Vishnudas"},{"family":"Missmer","given":"Stacey"},{"family":"Anatale-Tardiff","given":"Laura"},{"family":"Scherer","given":"Emily A."}],"issued":{"date-parts":[["2016",7]]}}}],"schema":"https://github.com/citation-style-language/schema/raw/master/csl-citation.json"} </w:instrText>
      </w:r>
      <w:r w:rsidR="0031028B" w:rsidRPr="008D3E74">
        <w:rPr>
          <w:rFonts w:ascii="Arial" w:hAnsi="Arial" w:cs="Arial"/>
        </w:rPr>
        <w:fldChar w:fldCharType="separate"/>
      </w:r>
      <w:r w:rsidR="00754C02" w:rsidRPr="008D3E74">
        <w:rPr>
          <w:rFonts w:ascii="Arial" w:hAnsi="Arial" w:cs="Arial"/>
        </w:rPr>
        <w:t xml:space="preserve">(Austin </w:t>
      </w:r>
      <w:r w:rsidR="00754C02" w:rsidRPr="008D3E74">
        <w:rPr>
          <w:rFonts w:ascii="Arial" w:hAnsi="Arial" w:cs="Arial"/>
          <w:i/>
          <w:iCs/>
        </w:rPr>
        <w:t>et al.</w:t>
      </w:r>
      <w:r w:rsidR="00754C02" w:rsidRPr="008D3E74">
        <w:rPr>
          <w:rFonts w:ascii="Arial" w:hAnsi="Arial" w:cs="Arial"/>
        </w:rPr>
        <w:t xml:space="preserve"> 2016)</w:t>
      </w:r>
      <w:r w:rsidR="0031028B" w:rsidRPr="008D3E74">
        <w:rPr>
          <w:rFonts w:ascii="Arial" w:hAnsi="Arial" w:cs="Arial"/>
        </w:rPr>
        <w:fldChar w:fldCharType="end"/>
      </w:r>
      <w:r w:rsidR="002107D7" w:rsidRPr="008D3E74">
        <w:rPr>
          <w:rFonts w:ascii="Arial" w:hAnsi="Arial" w:cs="Arial"/>
        </w:rPr>
        <w:t>,</w:t>
      </w:r>
      <w:r w:rsidR="001E08B0" w:rsidRPr="008D3E74">
        <w:rPr>
          <w:rFonts w:ascii="Arial" w:hAnsi="Arial" w:cs="Arial"/>
        </w:rPr>
        <w:t xml:space="preserve"> and these factors </w:t>
      </w:r>
      <w:r w:rsidRPr="008D3E74">
        <w:rPr>
          <w:rFonts w:ascii="Arial" w:hAnsi="Arial" w:cs="Arial"/>
        </w:rPr>
        <w:t xml:space="preserve">may </w:t>
      </w:r>
      <w:r w:rsidR="001E08B0" w:rsidRPr="008D3E74">
        <w:rPr>
          <w:rFonts w:ascii="Arial" w:hAnsi="Arial" w:cs="Arial"/>
        </w:rPr>
        <w:t xml:space="preserve">increase the </w:t>
      </w:r>
      <w:r w:rsidR="00144EEB" w:rsidRPr="008D3E74">
        <w:rPr>
          <w:rFonts w:ascii="Arial" w:hAnsi="Arial" w:cs="Arial"/>
        </w:rPr>
        <w:t>risk for</w:t>
      </w:r>
      <w:r w:rsidR="001E08B0" w:rsidRPr="008D3E74">
        <w:rPr>
          <w:rFonts w:ascii="Arial" w:hAnsi="Arial" w:cs="Arial"/>
        </w:rPr>
        <w:t xml:space="preserve"> PEs</w:t>
      </w:r>
      <w:r w:rsidR="00DB73AA" w:rsidRPr="008D3E74">
        <w:rPr>
          <w:rFonts w:ascii="Arial" w:hAnsi="Arial" w:cs="Arial"/>
        </w:rPr>
        <w:t xml:space="preserve"> via elevated baseline activity and responsivity of the hypothalamic-pituitary-</w:t>
      </w:r>
      <w:r w:rsidR="00DB73AA" w:rsidRPr="008D3E74">
        <w:rPr>
          <w:rFonts w:ascii="Arial" w:hAnsi="Arial" w:cs="Arial"/>
        </w:rPr>
        <w:lastRenderedPageBreak/>
        <w:t>adrenal (HPA) axis</w:t>
      </w:r>
      <w:r w:rsidR="002107D7" w:rsidRPr="008D3E74">
        <w:rPr>
          <w:rFonts w:ascii="Arial" w:hAnsi="Arial" w:cs="Arial"/>
        </w:rPr>
        <w:t xml:space="preserve"> </w:t>
      </w:r>
      <w:r w:rsidR="00230256" w:rsidRPr="008D3E74">
        <w:rPr>
          <w:rFonts w:ascii="Arial" w:hAnsi="Arial" w:cs="Arial"/>
        </w:rPr>
        <w:fldChar w:fldCharType="begin"/>
      </w:r>
      <w:r w:rsidR="00754C02" w:rsidRPr="008D3E74">
        <w:rPr>
          <w:rFonts w:ascii="Arial" w:hAnsi="Arial" w:cs="Arial"/>
        </w:rPr>
        <w:instrText xml:space="preserve"> ADDIN ZOTERO_ITEM CSL_CITATION {"citationID":"ZQhAGqNW","properties":{"formattedCitation":"(Beards {\\i{}et al.} 2013; Catone {\\i{}et al.} 2015; DeVylder {\\i{}et al.} 2016)","plainCitation":"(Beards et al. 2013; Catone et al. 2015; DeVylder et al. 2016)","noteIndex":0},"citationItems":[{"id":1132,"uris":["http://zotero.org/users/local/hhPVnw6l/items/VS9MQTPW"],"uri":["http://zotero.org/users/local/hhPVnw6l/items/VS9MQTPW"],"itemData":{"id":1132,"type":"article-journal","title":"Life Events and Psychosis: A Review and Meta-analysis","container-title":"Schizophrenia Bulletin","page":"740-747","volume":"39","issue":"4","source":"PubMed Central","abstract":"Introduction:Recent models of psychosis implicate stressful events in its etiology. However, while evidence has accumulated for childhood trauma, the role of adult life events has received less attention. Therefore, a review of the existing literature on the relationship between life events and onset of psychotic disorder/experiences is timely. Methods: A search was conducted using PsychInfo, Medline, Embase, and Web of Science to identify studies of life events and the onset of psychosis or psychotic experiences within the general population. Given previous methodological concerns, this review included a novel quality assessment tool and focused on findings from the most robust studies. A meta-analysis was performed on a subgroup of 13 studies. Results: Sixteen studies published between 1968 and 2012 were included. Of these, 14 reported positive associations between exposure to adult life events and subsequent onset of psychotic disorder/experiences. The meta-analysis yielded an overall weighted OR of 3.19 (95% CI 2.15–4.75). However, many studies were limited by small sample sizes and the use of checklist measures of life events, with no consideration of contextual influences on the meaning and interpretation of events. Conclusions: Few studies have assessed the role of adult life events in the onset of psychosis. There was some evidence that reported exposure to adult life events was associated with increased risk of psychotic disorder and subclinical psychotic experiences. However, the methodological quality of the majority of studies was low, which urges caution in interpreting the results and points toward a need for more methodologically robust studies.","DOI":"10.1093/schbul/sbt065","ISSN":"0586-7614","note":"PMID: 23671196\nPMCID: PMC3686461","title-short":"Life Events and Psychosis","journalAbbreviation":"Schizophr Bull","author":[{"family":"Beards","given":"Stephanie"},{"family":"Gayer-Anderson","given":"Charlotte"},{"family":"Borges","given":"Susana"},{"family":"Dewey","given":"Michael E."},{"family":"Fisher","given":"Helen L."},{"family":"Morgan","given":"Craig"}],"issued":{"date-parts":[["2013",7]]}}},{"id":1188,"uris":["http://zotero.org/users/local/hhPVnw6l/items/VTMKMN3B"],"uri":["http://zotero.org/users/local/hhPVnw6l/items/VTMKMN3B"],"itemData":{"id":1188,"type":"article-journal","title":"Bullying victimisation and risk of psychotic phenomena: analyses of British national survey data","container-title":"The Lancet Psychiatry","page":"618-624","volume":"2","issue":"7","source":"www.thelancet.com","abstract":"&lt;h2&gt;Summary&lt;/h2&gt;&lt;h3&gt;Background&lt;/h3&gt;&lt;p&gt;Being bullied is an aversive experience with short-term and long-term consequences, and is incorporated in biopsychosocial models of psychosis. We used the 2000 and the 2007 British Adult Psychiatric Morbidity Surveys to test the hypothesis that bullying is associated with individual psychotic phenomena and with psychosis, and predicts the later emergence of persecutory ideation and hallucinations.&lt;/p&gt;&lt;h3&gt;Methods&lt;/h3&gt;&lt;p&gt;We analysed two nationally representative surveys of individuals aged 16 years or older in Great Britain (2000) and England (2007). Respondents were presented with a card listing stressful events to identify experiences of bullying over the entire lifespan. We assessed associations with the dependent variables persecutory ideation, auditory and visual hallucinations, and diagnosis of probable psychosis. All analyses were controlled for sociodemographic confounders, intelligence quotient (IQ), and other traumas.&lt;/p&gt;&lt;h3&gt;Findings&lt;/h3&gt;&lt;p&gt;We used data for 8580 respondents from 2000 and 7403 from 2007. Bullying was associated with presence of persecutory ideation and hallucinations, remaining so after adjustment for sociodemographic factors, IQ, other traumas, and childhood sexual abuse. Bullying was associated with a diagnosis of probable psychosis. If reported at baseline, bullying predicted emergence and maintenance of persecutory ideation and hallucinations during 18 months of follow-up in the 2000 survey. Controlling for other traumas and childhood sexual abuse did not affect the association between bullying and psychotic symptoms, but reduced the significance of the association with diagnosis of probable psychosis. Bullying was most strongly associated with the presence of concurrent persecutory ideation and hallucinations.&lt;/p&gt;&lt;h3&gt;Interpretation&lt;/h3&gt;&lt;p&gt;Bullying victimisation increases the risk of individual psychotic symptoms and of a diagnosis of probable psychosis. Early detection of bullying and use of treatments oriented towards its psychological consequences might ameliorate the course of psychosis.&lt;/p&gt;&lt;h3&gt;Funding&lt;/h3&gt;&lt;p&gt;None.&lt;/p&gt;","DOI":"10.1016/S2215-0366(15)00055-3","ISSN":"2215-0366, 2215-0374","title-short":"Bullying victimisation and risk of psychotic phenomena","journalAbbreviation":"The Lancet Psychiatry","language":"English","author":[{"family":"Catone","given":"Gennaro"},{"family":"Marwaha","given":"Steven"},{"family":"Kuipers","given":"Elizabeth"},{"family":"Lennox","given":"Belinda"},{"family":"Freeman","given":"Daniel"},{"family":"Bebbington","given":"Paul"},{"family":"Broome","given":"Matthew"}],"issued":{"date-parts":[["2015",7,1]]}}},{"id":1179,"uris":["http://zotero.org/users/local/hhPVnw6l/items/QQDNKHM7"],"uri":["http://zotero.org/users/local/hhPVnw6l/items/QQDNKHM7"],"itemData":{"id":1179,"type":"article-journal","title":"Stress Sensitivity and Psychotic Experiences in 39 Low- and Middle-Income Countries","container-title":"Schizophrenia Bulletin","page":"1353-1362","volume":"42","issue":"6","source":"academic.oup.com","abstract":"Abstract.   Stress has a central role in most theories of psychosis etiology, but the relation between stress and psychosis has rarely been examined in large po","DOI":"10.1093/schbul/sbw044","ISSN":"0586-7614","journalAbbreviation":"Schizophr Bull","language":"en","author":[{"family":"DeVylder","given":"Jordan E."},{"family":"Koyanagi","given":"Ai"},{"family":"Unick","given":"Jay"},{"family":"Oh","given":"Hans"},{"family":"Nam","given":"Boyoung"},{"family":"Stickley","given":"Andrew"}],"issued":{"date-parts":[["2016",11,1]]}}}],"schema":"https://github.com/citation-style-language/schema/raw/master/csl-citation.json"} </w:instrText>
      </w:r>
      <w:r w:rsidR="00230256" w:rsidRPr="008D3E74">
        <w:rPr>
          <w:rFonts w:ascii="Arial" w:hAnsi="Arial" w:cs="Arial"/>
        </w:rPr>
        <w:fldChar w:fldCharType="separate"/>
      </w:r>
      <w:r w:rsidR="00754C02" w:rsidRPr="008D3E74">
        <w:rPr>
          <w:rFonts w:ascii="Arial" w:hAnsi="Arial" w:cs="Arial"/>
        </w:rPr>
        <w:t xml:space="preserve">(Beards </w:t>
      </w:r>
      <w:r w:rsidR="00754C02" w:rsidRPr="008D3E74">
        <w:rPr>
          <w:rFonts w:ascii="Arial" w:hAnsi="Arial" w:cs="Arial"/>
          <w:i/>
          <w:iCs/>
        </w:rPr>
        <w:t>et al.</w:t>
      </w:r>
      <w:r w:rsidR="00754C02" w:rsidRPr="008D3E74">
        <w:rPr>
          <w:rFonts w:ascii="Arial" w:hAnsi="Arial" w:cs="Arial"/>
        </w:rPr>
        <w:t xml:space="preserve"> 2013; Catone </w:t>
      </w:r>
      <w:r w:rsidR="00754C02" w:rsidRPr="008D3E74">
        <w:rPr>
          <w:rFonts w:ascii="Arial" w:hAnsi="Arial" w:cs="Arial"/>
          <w:i/>
          <w:iCs/>
        </w:rPr>
        <w:t>et al.</w:t>
      </w:r>
      <w:r w:rsidR="00754C02" w:rsidRPr="008D3E74">
        <w:rPr>
          <w:rFonts w:ascii="Arial" w:hAnsi="Arial" w:cs="Arial"/>
        </w:rPr>
        <w:t xml:space="preserve"> 2015; DeVylder </w:t>
      </w:r>
      <w:r w:rsidR="00754C02" w:rsidRPr="008D3E74">
        <w:rPr>
          <w:rFonts w:ascii="Arial" w:hAnsi="Arial" w:cs="Arial"/>
          <w:i/>
          <w:iCs/>
        </w:rPr>
        <w:t>et al.</w:t>
      </w:r>
      <w:r w:rsidR="00754C02" w:rsidRPr="008D3E74">
        <w:rPr>
          <w:rFonts w:ascii="Arial" w:hAnsi="Arial" w:cs="Arial"/>
        </w:rPr>
        <w:t xml:space="preserve"> 2016)</w:t>
      </w:r>
      <w:r w:rsidR="00230256" w:rsidRPr="008D3E74">
        <w:rPr>
          <w:rFonts w:ascii="Arial" w:hAnsi="Arial" w:cs="Arial"/>
        </w:rPr>
        <w:fldChar w:fldCharType="end"/>
      </w:r>
      <w:r w:rsidR="002107D7" w:rsidRPr="008D3E74">
        <w:rPr>
          <w:rFonts w:ascii="Arial" w:hAnsi="Arial" w:cs="Arial"/>
        </w:rPr>
        <w:t>.</w:t>
      </w:r>
      <w:r w:rsidR="00C20622" w:rsidRPr="008D3E74">
        <w:rPr>
          <w:rFonts w:ascii="Arial" w:hAnsi="Arial" w:cs="Arial"/>
        </w:rPr>
        <w:t xml:space="preserve"> Sexual minorities </w:t>
      </w:r>
      <w:r w:rsidRPr="008D3E74">
        <w:rPr>
          <w:rFonts w:ascii="Arial" w:hAnsi="Arial" w:cs="Arial"/>
        </w:rPr>
        <w:t xml:space="preserve">are </w:t>
      </w:r>
      <w:r w:rsidR="00A74531" w:rsidRPr="008D3E74">
        <w:rPr>
          <w:rFonts w:ascii="Arial" w:hAnsi="Arial" w:cs="Arial"/>
        </w:rPr>
        <w:t xml:space="preserve">also </w:t>
      </w:r>
      <w:r w:rsidRPr="008D3E74">
        <w:rPr>
          <w:rFonts w:ascii="Arial" w:hAnsi="Arial" w:cs="Arial"/>
        </w:rPr>
        <w:t xml:space="preserve">known to be </w:t>
      </w:r>
      <w:r w:rsidR="00C20622" w:rsidRPr="008D3E74">
        <w:rPr>
          <w:rFonts w:ascii="Arial" w:hAnsi="Arial" w:cs="Arial"/>
        </w:rPr>
        <w:t xml:space="preserve">at a </w:t>
      </w:r>
      <w:r w:rsidR="005623CD" w:rsidRPr="008D3E74">
        <w:rPr>
          <w:rFonts w:ascii="Arial" w:hAnsi="Arial" w:cs="Arial"/>
        </w:rPr>
        <w:t>particular</w:t>
      </w:r>
      <w:r w:rsidRPr="008D3E74">
        <w:rPr>
          <w:rFonts w:ascii="Arial" w:hAnsi="Arial" w:cs="Arial"/>
        </w:rPr>
        <w:t>ly high</w:t>
      </w:r>
      <w:r w:rsidR="00C20622" w:rsidRPr="008D3E74">
        <w:rPr>
          <w:rFonts w:ascii="Arial" w:hAnsi="Arial" w:cs="Arial"/>
        </w:rPr>
        <w:t xml:space="preserve"> risk </w:t>
      </w:r>
      <w:r w:rsidR="005623CD" w:rsidRPr="008D3E74">
        <w:rPr>
          <w:rFonts w:ascii="Arial" w:hAnsi="Arial" w:cs="Arial"/>
        </w:rPr>
        <w:t>for</w:t>
      </w:r>
      <w:r w:rsidR="00C20622" w:rsidRPr="008D3E74">
        <w:rPr>
          <w:rFonts w:ascii="Arial" w:hAnsi="Arial" w:cs="Arial"/>
        </w:rPr>
        <w:t xml:space="preserve"> </w:t>
      </w:r>
      <w:r w:rsidR="00870607" w:rsidRPr="008D3E74">
        <w:rPr>
          <w:rFonts w:ascii="Arial" w:hAnsi="Arial" w:cs="Arial"/>
        </w:rPr>
        <w:t>CMDs</w:t>
      </w:r>
      <w:r w:rsidR="002107D7" w:rsidRPr="008D3E74">
        <w:rPr>
          <w:rFonts w:ascii="Arial" w:hAnsi="Arial" w:cs="Arial"/>
        </w:rPr>
        <w:t xml:space="preserve"> </w:t>
      </w:r>
      <w:r w:rsidR="00EB230F" w:rsidRPr="008D3E74">
        <w:rPr>
          <w:rFonts w:ascii="Arial" w:hAnsi="Arial" w:cs="Arial"/>
        </w:rPr>
        <w:fldChar w:fldCharType="begin"/>
      </w:r>
      <w:r w:rsidR="00754C02" w:rsidRPr="008D3E74">
        <w:rPr>
          <w:rFonts w:ascii="Arial" w:hAnsi="Arial" w:cs="Arial"/>
        </w:rPr>
        <w:instrText xml:space="preserve"> ADDIN ZOTERO_ITEM CSL_CITATION {"citationID":"w3IerlIo","properties":{"formattedCitation":"(Pakula &amp; Shoveller 2013)","plainCitation":"(Pakula &amp; Shoveller 2013)","noteIndex":0},"citationItems":[{"id":1148,"uris":["http://zotero.org/users/local/hhPVnw6l/items/EXFVAFNW"],"uri":["http://zotero.org/users/local/hhPVnw6l/items/EXFVAFNW"],"itemData":{"id":1148,"type":"article-journal","title":"Sexual orientation and self-reported mood disorder diagnosis among Canadian adults","container-title":"BMC Public Health","page":"209","volume":"13","source":"PubMed Central","abstract":"Background\nThe prevalence and correlates of mood disorders among people who self-identify as lesbian, gay or bisexual (LGB) are not well understood. Therefore, the current analysis was undertaken to estimate the prevalence and correlates of self-reported mood disorders among a nationally representative sample of Canadian adults (ages 18 to 59 years). Stratified analyses by age and sex were also performed.\n\nMethods\nUsing data from the 2007–20</w:instrText>
      </w:r>
      <w:r w:rsidR="00754C02" w:rsidRPr="008D3E74">
        <w:rPr>
          <w:rFonts w:ascii="Arial" w:hAnsi="Arial" w:cs="Arial"/>
          <w:lang w:val="fr-FR"/>
        </w:rPr>
        <w:instrText xml:space="preserve">08 Canadian Community Health Survey, logistic regression techniques were used to determine whether sexual orientation was associated with self-reported mood disorders.\n\nResults\nAmong respondents who identified as LGB, 17.1% self-reported having a current mood disorder while 6.9% of heterosexuals reported having a current mood disorder. After adjusting for potential confounders, LGB-respondents remained more likely to report mood disorder as compared to heterosexual respondents (AOR: 2.93; 95% CI: 2.55-3.37). Gay and bisexual males were at elevated odds of reporting mood disorders (3.48; 95% CI: 2.81–4.31), compared to heterosexual males. Young LGB respondents (ages 18–29) had higher odds (3.75; 95% CI: 2.96–4.74), compared to same-age heterosexuals.\n\nConclusions\nThese results demonstrate elevated prevalence of mood disorders among LGB survey respondents compared to heterosexual respondents. Interventions and programming are needed to promote the mental health and well being of people who identify as LGB, especially those who belong to particular subgroups (e.g., men who are gay or bisexual; young people who are LGB).","DOI":"10.1186/1471-2458-13-209","ISSN":"1471-2458","note":"PMID: 23510500\nPMCID: PMC3599883","journalAbbreviation":"BMC Public Health","author":[{"family":"Pakula","given":"Basia"},{"family":"Shoveller","given":"Jean A"}],"issued":{"date-parts":[["2013",3,8]]}}}],"schema":"https://github.com/citation-style-language/schema/raw/master/csl-citation.json"} </w:instrText>
      </w:r>
      <w:r w:rsidR="00EB230F" w:rsidRPr="008D3E74">
        <w:rPr>
          <w:rFonts w:ascii="Arial" w:hAnsi="Arial" w:cs="Arial"/>
        </w:rPr>
        <w:fldChar w:fldCharType="separate"/>
      </w:r>
      <w:r w:rsidR="00754C02" w:rsidRPr="008D3E74">
        <w:rPr>
          <w:rFonts w:ascii="Arial" w:hAnsi="Arial" w:cs="Arial"/>
          <w:lang w:val="fr-FR"/>
        </w:rPr>
        <w:t>(Pakula &amp; Shoveller 2013)</w:t>
      </w:r>
      <w:r w:rsidR="00EB230F" w:rsidRPr="008D3E74">
        <w:rPr>
          <w:rFonts w:ascii="Arial" w:hAnsi="Arial" w:cs="Arial"/>
        </w:rPr>
        <w:fldChar w:fldCharType="end"/>
      </w:r>
      <w:r w:rsidR="002107D7" w:rsidRPr="008D3E74">
        <w:rPr>
          <w:rFonts w:ascii="Arial" w:hAnsi="Arial" w:cs="Arial"/>
          <w:lang w:val="fr-FR"/>
        </w:rPr>
        <w:t>,</w:t>
      </w:r>
      <w:r w:rsidR="00C20622" w:rsidRPr="008D3E74">
        <w:rPr>
          <w:rFonts w:ascii="Arial" w:hAnsi="Arial" w:cs="Arial"/>
          <w:lang w:val="fr-FR"/>
        </w:rPr>
        <w:t xml:space="preserve"> BPD traits</w:t>
      </w:r>
      <w:r w:rsidR="002107D7" w:rsidRPr="008D3E74">
        <w:rPr>
          <w:rFonts w:ascii="Arial" w:hAnsi="Arial" w:cs="Arial"/>
          <w:lang w:val="fr-FR"/>
        </w:rPr>
        <w:t xml:space="preserve"> </w:t>
      </w:r>
      <w:r w:rsidR="00EB230F" w:rsidRPr="008D3E74">
        <w:rPr>
          <w:rFonts w:ascii="Arial" w:hAnsi="Arial" w:cs="Arial"/>
        </w:rPr>
        <w:fldChar w:fldCharType="begin"/>
      </w:r>
      <w:r w:rsidR="00754C02" w:rsidRPr="008D3E74">
        <w:rPr>
          <w:rFonts w:ascii="Arial" w:hAnsi="Arial" w:cs="Arial"/>
          <w:lang w:val="fr-FR"/>
        </w:rPr>
        <w:instrText xml:space="preserve"> ADDIN ZOTERO_ITEM CSL_CITATION {"citationID":"A7jwYkjt","properties":{"formattedCitation":"(Reuter {\\i{}et al.} 2016)","plainCitation":"(Reuter et al. 2016)","noteIndex":0},"citationItems":[{"id":1138,"uris":["http://zotero.org/users/local/hhPVnw6l/items/5F29C5MW"],"uri":["http://zotero.org/users/local/hhPVnw6l/items/5F29C5MW"],"itemData":{"id":1138,"type":"article-journal","title":"Sexual Orientation and Borderline Personality Disorder Features in a Community Sample of Adolescents","container-title":"Journal of Personality Disorders","page":"694-707","volume":"30","issue":"5","source":"PubMed","abstract":"Empirical literature demonstrates that sexual minorities are at an increased risk of developing psychopathology, including borderline personality disorder (BPD). The specific link between sexual orientation and BPD has received significantly less attention in youth, and it remains unclear what drives this relation. Given that there are higher rates of psychopathology in both sexual minorities and individuals with BPD, the present study aimed to determine if sexual orientation uniquely contributes to borderline personality pathology, controlling for other psychopathology. An ethnically diverse sample of 835 adolescents completed self-report measures of borderline features, depression, anxiety, and sexual orientation. Sexual minorities scored higher on borderline features compared to heterosexual adolescents. When controlling for depression and anxiety, sexual orientation remained significantly associated with borderline features. The relation between sexual orientation and BPD cannot fully be explained by other psychopathology. Future research is necessary to understand potential mechanisms underlying this relation.","DOI":"10.1521/pedi_2015_29_224","ISSN":"1943-2763","note":"PMID: 26583589","journalAbbreviation":"J. Pers. Disord.","language":"eng","author":[{"family":"Reuter","given":"Tyson R."},{"family":"Sharp","given":"Carla"},{"family":"Kalpakci","given":"Allison H."},{"family":"Choi","given":"Hye J."},{"family":"Temple","given":"Jeff R."}],"issued":{"date-parts":[["2016"]]}}}],"schema":"https://github.com/citation-style-language/schema/raw/master/csl-citation.json"} </w:instrText>
      </w:r>
      <w:r w:rsidR="00EB230F" w:rsidRPr="008D3E74">
        <w:rPr>
          <w:rFonts w:ascii="Arial" w:hAnsi="Arial" w:cs="Arial"/>
        </w:rPr>
        <w:fldChar w:fldCharType="separate"/>
      </w:r>
      <w:r w:rsidR="00754C02" w:rsidRPr="008D3E74">
        <w:rPr>
          <w:rFonts w:ascii="Arial" w:hAnsi="Arial" w:cs="Arial"/>
          <w:lang w:val="fr-FR"/>
        </w:rPr>
        <w:t xml:space="preserve">(Reuter </w:t>
      </w:r>
      <w:r w:rsidR="00754C02" w:rsidRPr="008D3E74">
        <w:rPr>
          <w:rFonts w:ascii="Arial" w:hAnsi="Arial" w:cs="Arial"/>
          <w:i/>
          <w:iCs/>
          <w:lang w:val="fr-FR"/>
        </w:rPr>
        <w:t>et al.</w:t>
      </w:r>
      <w:r w:rsidR="00754C02" w:rsidRPr="008D3E74">
        <w:rPr>
          <w:rFonts w:ascii="Arial" w:hAnsi="Arial" w:cs="Arial"/>
          <w:lang w:val="fr-FR"/>
        </w:rPr>
        <w:t xml:space="preserve"> 2016)</w:t>
      </w:r>
      <w:r w:rsidR="00EB230F" w:rsidRPr="008D3E74">
        <w:rPr>
          <w:rFonts w:ascii="Arial" w:hAnsi="Arial" w:cs="Arial"/>
        </w:rPr>
        <w:fldChar w:fldCharType="end"/>
      </w:r>
      <w:r w:rsidR="00C20622" w:rsidRPr="008D3E74">
        <w:rPr>
          <w:rFonts w:ascii="Arial" w:hAnsi="Arial" w:cs="Arial"/>
          <w:lang w:val="fr-FR"/>
        </w:rPr>
        <w:t xml:space="preserve"> and PTSD</w:t>
      </w:r>
      <w:r w:rsidR="002107D7" w:rsidRPr="008D3E74">
        <w:rPr>
          <w:rFonts w:ascii="Arial" w:hAnsi="Arial" w:cs="Arial"/>
          <w:lang w:val="fr-FR"/>
        </w:rPr>
        <w:t xml:space="preserve"> </w:t>
      </w:r>
      <w:r w:rsidR="00AB5D9B" w:rsidRPr="008D3E74">
        <w:rPr>
          <w:rFonts w:ascii="Arial" w:hAnsi="Arial" w:cs="Arial"/>
        </w:rPr>
        <w:fldChar w:fldCharType="begin"/>
      </w:r>
      <w:r w:rsidR="00754C02" w:rsidRPr="008D3E74">
        <w:rPr>
          <w:rFonts w:ascii="Arial" w:hAnsi="Arial" w:cs="Arial"/>
          <w:lang w:val="fr-FR"/>
        </w:rPr>
        <w:instrText xml:space="preserve"> ADDIN ZOTERO_ITEM CSL_CITATION {"citationID":"cXAJOzZc","properties":{"formattedCitation":"(Roberts {\\i{}et al.} 2010)","plainCitation":"(Roberts et al. 2010)","noteIndex":0},"citationItems":[{"id":1270,"uris":["http://zotero.org/users/local/hhPVnw6l/items/RJ75KWCS"],"uri":["http://zotero.org/users/local/hhPVnw6l/items/RJ75KWCS"],"itemData":{"id":1270,"type":"article-journal","title":"Pervasive Trauma Exposure Among US Sexual Orientation Minority Adults and Risk of Posttraumatic Stress Disorder","container-title":"American Journal of Public Health","page":"2433-2441","volume":"100","issue":"12","source":"PubMed Central","abstract":"Objectives. We assessed sexual orientation disparities in exposure to violence and other potentially traumatic events and onset of posttraumatic stress disorder (PTSD) in a representative US sample., Methods. We used data from 34 653 noninstitutionalized adult US residents from the 2004 to 2005 wave of the National Epidemiologic Survey on Alcohol and Related Conditions., Results. Lesbians and gay men, bisexuals, and heterosexuals who reported any same-sex sexual partners over their lifetime had greater risk of childhood maltreatment, interpersonal violence, trauma to a close friend or relative, and unexpected death of someone close than did heterosexuals with no same-sex attractions or partners. Risk of onset of PTSD was higher among lesbians and gays (adjusted odds ratio [AOR] = 2.03; 95% confidence interval [CI] = 1.34, 3.06), bisexuals (AOR = 2.13; 95% CI = 1.38, 3.29), and heterosexuals with any same-sex partners (AOR = 2.06; 95% CI = 1.54, 2.74) than it was among the heterosexual reference group. This higher risk was largely accounted for by sexual orientation minorities’ greater exposure to violence, exposure to more potentially traumatic events, and earlier age of trauma exposure., Conclusions. Profound sexual orientation disparities exist in risk of PTSD and in violence exposure, beginning in childhood. Our findings suggest there is an urgent need for public health interventions aimed at preventing violence against individuals with minority sexual orientations and providing follow-up care to cope with the sequelae of violent victimization.","DOI":"10.2105/AJPH.2009.168971","ISSN":"0090-0036","note":"PMID: 20395586\nPMCID: PMC2978167","journalAbbreviation":"Am J Public Health","author":[{"family":"Roberts","given":"Andrea L."},{"family":"Austin","given":"S. Bryn"},{"family":"Corliss","given":"Heather L."},{"family":"Vandermorris","given":"Ashley K."},{"family":"Koenen","given":"Karestan C."}],"issued":{"date-parts":[["2010",12]]}}}],"schema":"https://github.com/citation-style-language/schema/raw/master/csl-citation.json"} </w:instrText>
      </w:r>
      <w:r w:rsidR="00AB5D9B" w:rsidRPr="008D3E74">
        <w:rPr>
          <w:rFonts w:ascii="Arial" w:hAnsi="Arial" w:cs="Arial"/>
        </w:rPr>
        <w:fldChar w:fldCharType="separate"/>
      </w:r>
      <w:r w:rsidR="00754C02" w:rsidRPr="008D3E74">
        <w:rPr>
          <w:rFonts w:ascii="Arial" w:hAnsi="Arial" w:cs="Arial"/>
          <w:lang w:val="fr-FR"/>
        </w:rPr>
        <w:t xml:space="preserve">(Roberts </w:t>
      </w:r>
      <w:r w:rsidR="00754C02" w:rsidRPr="008D3E74">
        <w:rPr>
          <w:rFonts w:ascii="Arial" w:hAnsi="Arial" w:cs="Arial"/>
          <w:i/>
          <w:iCs/>
          <w:lang w:val="fr-FR"/>
        </w:rPr>
        <w:t>et al.</w:t>
      </w:r>
      <w:r w:rsidR="00754C02" w:rsidRPr="008D3E74">
        <w:rPr>
          <w:rFonts w:ascii="Arial" w:hAnsi="Arial" w:cs="Arial"/>
          <w:lang w:val="fr-FR"/>
        </w:rPr>
        <w:t xml:space="preserve"> 2010)</w:t>
      </w:r>
      <w:r w:rsidR="00AB5D9B" w:rsidRPr="008D3E74">
        <w:rPr>
          <w:rFonts w:ascii="Arial" w:hAnsi="Arial" w:cs="Arial"/>
        </w:rPr>
        <w:fldChar w:fldCharType="end"/>
      </w:r>
      <w:r w:rsidR="002107D7" w:rsidRPr="008D3E74">
        <w:rPr>
          <w:rFonts w:ascii="Arial" w:hAnsi="Arial" w:cs="Arial"/>
          <w:lang w:val="fr-FR"/>
        </w:rPr>
        <w:t>,</w:t>
      </w:r>
      <w:r w:rsidR="0013107D" w:rsidRPr="008D3E74">
        <w:rPr>
          <w:rFonts w:ascii="Arial" w:hAnsi="Arial" w:cs="Arial"/>
          <w:lang w:val="fr-FR"/>
        </w:rPr>
        <w:t xml:space="preserve"> and </w:t>
      </w:r>
      <w:proofErr w:type="spellStart"/>
      <w:r w:rsidR="0013107D" w:rsidRPr="008D3E74">
        <w:rPr>
          <w:rFonts w:ascii="Arial" w:hAnsi="Arial" w:cs="Arial"/>
          <w:lang w:val="fr-FR"/>
        </w:rPr>
        <w:t>these</w:t>
      </w:r>
      <w:proofErr w:type="spellEnd"/>
      <w:r w:rsidR="0013107D" w:rsidRPr="008D3E74">
        <w:rPr>
          <w:rFonts w:ascii="Arial" w:hAnsi="Arial" w:cs="Arial"/>
          <w:lang w:val="fr-FR"/>
        </w:rPr>
        <w:t xml:space="preserve"> associations </w:t>
      </w:r>
      <w:proofErr w:type="spellStart"/>
      <w:r w:rsidR="0013107D" w:rsidRPr="008D3E74">
        <w:rPr>
          <w:rFonts w:ascii="Arial" w:hAnsi="Arial" w:cs="Arial"/>
          <w:lang w:val="fr-FR"/>
        </w:rPr>
        <w:t>may</w:t>
      </w:r>
      <w:proofErr w:type="spellEnd"/>
      <w:r w:rsidR="0013107D" w:rsidRPr="008D3E74">
        <w:rPr>
          <w:rFonts w:ascii="Arial" w:hAnsi="Arial" w:cs="Arial"/>
          <w:lang w:val="fr-FR"/>
        </w:rPr>
        <w:t xml:space="preserve"> </w:t>
      </w:r>
      <w:proofErr w:type="spellStart"/>
      <w:r w:rsidRPr="008D3E74">
        <w:rPr>
          <w:rFonts w:ascii="Arial" w:hAnsi="Arial" w:cs="Arial"/>
          <w:lang w:val="fr-FR"/>
        </w:rPr>
        <w:t>be</w:t>
      </w:r>
      <w:proofErr w:type="spellEnd"/>
      <w:r w:rsidRPr="008D3E74">
        <w:rPr>
          <w:rFonts w:ascii="Arial" w:hAnsi="Arial" w:cs="Arial"/>
          <w:lang w:val="fr-FR"/>
        </w:rPr>
        <w:t xml:space="preserve"> </w:t>
      </w:r>
      <w:proofErr w:type="spellStart"/>
      <w:r w:rsidRPr="008D3E74">
        <w:rPr>
          <w:rFonts w:ascii="Arial" w:hAnsi="Arial" w:cs="Arial"/>
          <w:lang w:val="fr-FR"/>
        </w:rPr>
        <w:t>explained</w:t>
      </w:r>
      <w:proofErr w:type="spellEnd"/>
      <w:r w:rsidRPr="008D3E74">
        <w:rPr>
          <w:rFonts w:ascii="Arial" w:hAnsi="Arial" w:cs="Arial"/>
          <w:lang w:val="fr-FR"/>
        </w:rPr>
        <w:t xml:space="preserve"> by </w:t>
      </w:r>
      <w:proofErr w:type="spellStart"/>
      <w:r w:rsidR="00AF1790" w:rsidRPr="008D3E74">
        <w:rPr>
          <w:rFonts w:ascii="Arial" w:hAnsi="Arial" w:cs="Arial"/>
          <w:lang w:val="fr-FR"/>
        </w:rPr>
        <w:t>exposure</w:t>
      </w:r>
      <w:proofErr w:type="spellEnd"/>
      <w:r w:rsidR="00AF1790" w:rsidRPr="008D3E74">
        <w:rPr>
          <w:rFonts w:ascii="Arial" w:hAnsi="Arial" w:cs="Arial"/>
          <w:lang w:val="fr-FR"/>
        </w:rPr>
        <w:t xml:space="preserve"> to discriminat</w:t>
      </w:r>
      <w:r w:rsidR="00264207" w:rsidRPr="008D3E74">
        <w:rPr>
          <w:rFonts w:ascii="Arial" w:hAnsi="Arial" w:cs="Arial"/>
          <w:lang w:val="fr-FR"/>
        </w:rPr>
        <w:t>ion</w:t>
      </w:r>
      <w:r w:rsidR="00AF1790" w:rsidRPr="008D3E74">
        <w:rPr>
          <w:rFonts w:ascii="Arial" w:hAnsi="Arial" w:cs="Arial"/>
          <w:lang w:val="fr-FR"/>
        </w:rPr>
        <w:t xml:space="preserve">, social isolation and </w:t>
      </w:r>
      <w:proofErr w:type="spellStart"/>
      <w:r w:rsidR="00AF1790" w:rsidRPr="008D3E74">
        <w:rPr>
          <w:rFonts w:ascii="Arial" w:hAnsi="Arial" w:cs="Arial"/>
          <w:lang w:val="fr-FR"/>
        </w:rPr>
        <w:t>l</w:t>
      </w:r>
      <w:r w:rsidRPr="008D3E74">
        <w:rPr>
          <w:rFonts w:ascii="Arial" w:hAnsi="Arial" w:cs="Arial"/>
          <w:lang w:val="fr-FR"/>
        </w:rPr>
        <w:t>imited</w:t>
      </w:r>
      <w:proofErr w:type="spellEnd"/>
      <w:r w:rsidR="00AF1790" w:rsidRPr="008D3E74">
        <w:rPr>
          <w:rFonts w:ascii="Arial" w:hAnsi="Arial" w:cs="Arial"/>
          <w:lang w:val="fr-FR"/>
        </w:rPr>
        <w:t xml:space="preserve"> mental </w:t>
      </w:r>
      <w:proofErr w:type="spellStart"/>
      <w:r w:rsidR="00AF1790" w:rsidRPr="008D3E74">
        <w:rPr>
          <w:rFonts w:ascii="Arial" w:hAnsi="Arial" w:cs="Arial"/>
          <w:lang w:val="fr-FR"/>
        </w:rPr>
        <w:t>health</w:t>
      </w:r>
      <w:proofErr w:type="spellEnd"/>
      <w:r w:rsidR="00AF1790" w:rsidRPr="008D3E74">
        <w:rPr>
          <w:rFonts w:ascii="Arial" w:hAnsi="Arial" w:cs="Arial"/>
          <w:lang w:val="fr-FR"/>
        </w:rPr>
        <w:t xml:space="preserve"> service </w:t>
      </w:r>
      <w:proofErr w:type="spellStart"/>
      <w:r w:rsidR="00AF1790" w:rsidRPr="008D3E74">
        <w:rPr>
          <w:rFonts w:ascii="Arial" w:hAnsi="Arial" w:cs="Arial"/>
          <w:lang w:val="fr-FR"/>
        </w:rPr>
        <w:t>utilization</w:t>
      </w:r>
      <w:proofErr w:type="spellEnd"/>
      <w:r w:rsidR="00F65677" w:rsidRPr="008D3E74">
        <w:rPr>
          <w:rFonts w:ascii="Arial" w:hAnsi="Arial" w:cs="Arial"/>
          <w:lang w:val="fr-FR"/>
        </w:rPr>
        <w:t>.</w:t>
      </w:r>
      <w:r w:rsidR="00B31462" w:rsidRPr="008D3E74">
        <w:rPr>
          <w:rFonts w:ascii="Arial" w:hAnsi="Arial" w:cs="Arial"/>
          <w:lang w:val="fr-FR"/>
        </w:rPr>
        <w:t xml:space="preserve"> </w:t>
      </w:r>
      <w:r w:rsidR="00F65677" w:rsidRPr="008D3E74">
        <w:rPr>
          <w:rFonts w:ascii="Arial" w:hAnsi="Arial" w:cs="Arial"/>
        </w:rPr>
        <w:t>On the other hand,</w:t>
      </w:r>
      <w:r w:rsidR="00B31462" w:rsidRPr="008D3E74">
        <w:rPr>
          <w:rFonts w:ascii="Arial" w:hAnsi="Arial" w:cs="Arial"/>
        </w:rPr>
        <w:t xml:space="preserve"> these mental </w:t>
      </w:r>
      <w:r w:rsidR="00A74531" w:rsidRPr="008D3E74">
        <w:rPr>
          <w:rFonts w:ascii="Arial" w:hAnsi="Arial" w:cs="Arial"/>
        </w:rPr>
        <w:t xml:space="preserve">health </w:t>
      </w:r>
      <w:r w:rsidR="008078FE" w:rsidRPr="008D3E74">
        <w:rPr>
          <w:rFonts w:ascii="Arial" w:hAnsi="Arial" w:cs="Arial"/>
        </w:rPr>
        <w:t>conditions</w:t>
      </w:r>
      <w:r w:rsidR="00B31462" w:rsidRPr="008D3E74">
        <w:rPr>
          <w:rFonts w:ascii="Arial" w:hAnsi="Arial" w:cs="Arial"/>
        </w:rPr>
        <w:t xml:space="preserve"> are well-known risk factors for subclinical psychotic symptoms</w:t>
      </w:r>
      <w:r w:rsidR="002107D7" w:rsidRPr="008D3E74">
        <w:rPr>
          <w:rFonts w:ascii="Arial" w:hAnsi="Arial" w:cs="Arial"/>
        </w:rPr>
        <w:t xml:space="preserve"> </w:t>
      </w:r>
      <w:r w:rsidR="001A01D0" w:rsidRPr="008D3E74">
        <w:rPr>
          <w:rFonts w:ascii="Arial" w:hAnsi="Arial" w:cs="Arial"/>
        </w:rPr>
        <w:fldChar w:fldCharType="begin"/>
      </w:r>
      <w:r w:rsidR="00754C02" w:rsidRPr="008D3E74">
        <w:rPr>
          <w:rFonts w:ascii="Arial" w:hAnsi="Arial" w:cs="Arial"/>
        </w:rPr>
        <w:instrText xml:space="preserve"> ADDIN ZOTERO_ITEM CSL_CITATION {"citationID":"5MRr4LYP","properties":{"formattedCitation":"(Varghese {\\i{}et al.} 2011; Alsawy {\\i{}et al.} 2015; Niemantsverdriet {\\i{}et al.} 2017)","plainCitation":"(Varghese et al. 2011; Alsawy et al. 2015; Niemantsverdriet et al. 2017)","noteIndex":0},"citationItems":[{"id":1151,"uris":["http://zotero.org/users/local/hhPVnw6l/items/HLDSMQAN"],"uri":["http://zotero.org/users/local/hhPVnw6l/items/HLDSMQAN"],"itemData":{"id":1151,"type":"article-journal","title":"Psychotic-Like Experiences in Major Depression and Anxiety Disorders: A Population-Based Survey in Young Adults","container-title":"Schizophrenia Bulletin","page":"389-393","volume":"37","issue":"2","source":"PubMed Central","abstract":"Objective: Population-based surveys have confirmed that psychotic-like experiences are prevalent in the community. However, it is unclear if these experiences are associated with common mental disorders. The aim of this study was to examine the prevalence of psychotic-like experiences in those with affective and anxiety disorders. Methods: Subjects were drawn from the Mater-University of Queensland Study of Pregnancy. Delusion-like experiences were assessed with the Peters Delusional Inventory (PDI). The Composite International Diagnostic Interview (CIDI) was used to identify individuals with Diagnostic and Statistical Manual of Mental Disorders (Fourth Edition) lifetime diagnoses of major depression, anxiety disorder, substance use/dependence, and psychotic disorders. The influence of affective and anxiety disorders on PDI and CIDI psychosis-related items’ scores were assessed with logistic regression, with adjustments for age, sex, and the presence of the other comorbid psychiatric diagnoses. Results: Having either a lifetime diagnosis of major depressive disorder or an anxiety disorder was associated with significantly higher PDI total scores (highest vs lowest quartile adjusted odds ratios [ORs] and 95% confidence intervals [CIs] = 4.43, 3.09–6.36; 3.08, 2.26–4.20, respectively). The odds of endorsing any CIDI hallucination or delusion item was increased in those with a major depressive or anxiety disorder. The presence of current anxiety disorder symptoms was significantly associated with PDI score (OR = 5.81, 95% CI = 3.68–9.16). Conclusion: While psychotic-like experiences are usually associated with psychotic disorders, individuals with depression and anxiety are also more likely to report these symptoms compared with well individuals. Psychotic-like experiences are associated with a range of common mental disorders.","DOI":"10.1093/schbul/sbp083","ISSN":"0586-7614","note":"PMID: 19687152\nPMCID: PMC3044630","title-short":"Psychotic-Like Experiences in Major Depression and Anxiety Disorders","journalAbbreviation":"Schizophr Bull","author":[{"family":"Varghese","given":"Daniel"},{"family":"Scott","given":"James"},{"family":"Welham","given":"Joy"},{"family":"Bor","given":"William"},{"family":"Najman","given":"Jake"},{"family":"O'Callaghan","given":"Michael"},{"family":"Williams","given":"Gail"},{"family":"McGrath","given":"John"}],"issued":{"date-parts":[["2011",3]]}}},{"id":1168,"uris":["http://zotero.org/users/local/hhPVnw6l/items/RBTLK57N"],"uri":["http://zotero.org/users/local/hhPVnw6l/items/RBTLK57N"],"itemData":{"id":1168,"type":"article-journal","title":"Psychotic experiences and PTSD: exploring associations in a population survey","container-title":"Psychological Medicine","page":"2849-2859","volume":"45","issue":"13","source":"PubMed","abstract":"BACKGROUND: Extensive evidence has shown that experiencing a traumatic event and post-traumatic stress disorder (PTSD) are associated with experiences of psychosis. However, less is known about specific PTSD symptoms and their relationship with psychotic experiences. This study aimed to examine the relationship between symptoms of PTSD with paranoia and auditory hallucinations in a large-scale sample.\nMETHOD: The Adult Psychiatric Morbidity Survey (APMS) was utilized to examine the prevalence of lifetime trauma, symptoms of PTSD, and experiences of paranoia and auditory hallucinations (n = 7403).\nRESULTS: There were significant bivariate associations between symptoms of PTSD and psychotic experiences. Multiple logistic regression analyses indicated that reliving and arousal symptoms were significant predictors for paranoia while reliving, but not arousal symptoms, also significantly predicted auditory hallucinations. A dose-response relationship was found, the greater the number of PTSD symptoms, the greater the odds were of experiencing both paranoia and hallucinations.\nCONCLUSIONS: These findings illustrate that symptoms of PTSD are associated with increased odds of experiencing auditory hallucinations and paranoia. Overlaps appear to be present between the symptoms of PTSD and psychotic experiences. Increasing awareness of this association may advance work in clinical practice.","DOI":"10.1017/S003329171500080X","ISSN":"1469-8978","note":"PMID: 25990802","title-short":"Psychotic experiences and PTSD","journalAbbreviation":"Psychol Med","language":"eng","author":[{"family":"Alsawy","given":"S."},{"family":"Wood","given":"L."},{"family":"Taylor","given":"P. J."},{"family":"Morrison","given":"A. P."}],"issued":{"date-parts":[["2015",10]]}}},{"id":1140,"uris":["http://zotero.org/users/local/hhPVnw6l/items/ZWC4D9AT"],"uri":["http://zotero.org/users/local/hhPVnw6l/items/ZWC4D9AT"],"itemData":{"id":1140,"type":"article-journal","title":"Hallucinations in borderline personality disorder: Prevalence, characteristics and associations with comorbid symptoms and disorders","container-title":"Scientific Reports","page":"13920","volume":"7","issue":"1","source":"www.nature.com","abstract":"To establish the point prevalence of hallucinations in borderline personality disorder (BPD), telephone interviews were conducted with 324 outpatients diagnosed with BPD. Then a subgroup (n = 98) was interviewed in person to investigate the co-occurrence of these phenomena with other psychotic symptoms, comorbid psychiatric disorders, prior childhood adversities, and adult life stressors. For hallucinations in general a point prevalence of 43% was found, with rates for hallucinations in separate sensory modalities ranging from 8–21%. Auditory verbal hallucinations consisted mostly of verbal abuse and were generally experienced as distressing. A significant association was found between the severity of hallucinations on the one hand, and delusions and unusual thought content on the other; this association was absent for negative symptoms and disorganization. The presence of hallucinations also correlated with the number of comorbid psychiatric disorders, and with posttraumatic stress disorder (PTSD) specifically. Childhood emotional abuse and adult life stressors were also associated with hallucinations. The latter three associations suggest that patients with BPD might have an etiological mechanism in common with other patient/nonpatient groups who experience hallucinations. Based on these findings, we advise to treat PTSD and hallucinations when found to be present in patients with BPD.","DOI":"10.1038/s41598-017-13108-6","ISSN":"2045-2322","title-short":"Hallucinations in borderline personality disorder","language":"En","author":[{"family":"Niemantsverdriet","given":"Maria B. A."},{"family":"Slotema","given":"Christina W."},{"family":"Blom","given":"Jan Dirk"},{"family":"Franken","given":"Ingmar H."},{"family":"Hoek","given":"Hans W."},{"family":"Sommer","given":"Iris E. C."},{"family":"Gaag","given":"Mark","dropping-particle":"van der"}],"issued":{"date-parts":[["2017",10,24]]}}}],"schema":"https://github.com/citation-style-language/schema/raw/master/csl-citation.json"} </w:instrText>
      </w:r>
      <w:r w:rsidR="001A01D0" w:rsidRPr="008D3E74">
        <w:rPr>
          <w:rFonts w:ascii="Arial" w:hAnsi="Arial" w:cs="Arial"/>
        </w:rPr>
        <w:fldChar w:fldCharType="separate"/>
      </w:r>
      <w:r w:rsidR="00754C02" w:rsidRPr="008D3E74">
        <w:rPr>
          <w:rFonts w:ascii="Arial" w:hAnsi="Arial" w:cs="Arial"/>
        </w:rPr>
        <w:t xml:space="preserve">(Varghese </w:t>
      </w:r>
      <w:r w:rsidR="00754C02" w:rsidRPr="008D3E74">
        <w:rPr>
          <w:rFonts w:ascii="Arial" w:hAnsi="Arial" w:cs="Arial"/>
          <w:i/>
          <w:iCs/>
        </w:rPr>
        <w:t>et al.</w:t>
      </w:r>
      <w:r w:rsidR="00754C02" w:rsidRPr="008D3E74">
        <w:rPr>
          <w:rFonts w:ascii="Arial" w:hAnsi="Arial" w:cs="Arial"/>
        </w:rPr>
        <w:t xml:space="preserve"> 2011; Alsawy </w:t>
      </w:r>
      <w:r w:rsidR="00754C02" w:rsidRPr="008D3E74">
        <w:rPr>
          <w:rFonts w:ascii="Arial" w:hAnsi="Arial" w:cs="Arial"/>
          <w:i/>
          <w:iCs/>
        </w:rPr>
        <w:t>et al.</w:t>
      </w:r>
      <w:r w:rsidR="00754C02" w:rsidRPr="008D3E74">
        <w:rPr>
          <w:rFonts w:ascii="Arial" w:hAnsi="Arial" w:cs="Arial"/>
        </w:rPr>
        <w:t xml:space="preserve"> 2015; Niemantsverdriet </w:t>
      </w:r>
      <w:r w:rsidR="00754C02" w:rsidRPr="008D3E74">
        <w:rPr>
          <w:rFonts w:ascii="Arial" w:hAnsi="Arial" w:cs="Arial"/>
          <w:i/>
          <w:iCs/>
        </w:rPr>
        <w:t>et al.</w:t>
      </w:r>
      <w:r w:rsidR="00754C02" w:rsidRPr="008D3E74">
        <w:rPr>
          <w:rFonts w:ascii="Arial" w:hAnsi="Arial" w:cs="Arial"/>
        </w:rPr>
        <w:t xml:space="preserve"> 2017)</w:t>
      </w:r>
      <w:r w:rsidR="001A01D0" w:rsidRPr="008D3E74">
        <w:rPr>
          <w:rFonts w:ascii="Arial" w:hAnsi="Arial" w:cs="Arial"/>
        </w:rPr>
        <w:fldChar w:fldCharType="end"/>
      </w:r>
      <w:r w:rsidR="002107D7" w:rsidRPr="008D3E74">
        <w:rPr>
          <w:rFonts w:ascii="Arial" w:hAnsi="Arial" w:cs="Arial"/>
        </w:rPr>
        <w:t>.</w:t>
      </w:r>
      <w:r w:rsidR="006C6E34" w:rsidRPr="008D3E74">
        <w:rPr>
          <w:rFonts w:ascii="Arial" w:hAnsi="Arial" w:cs="Arial"/>
        </w:rPr>
        <w:t xml:space="preserve"> Finally, the prevalence of sleep problems is high in sexual minorities</w:t>
      </w:r>
      <w:r w:rsidR="0098267A" w:rsidRPr="008D3E74">
        <w:rPr>
          <w:rFonts w:ascii="Arial" w:hAnsi="Arial" w:cs="Arial"/>
        </w:rPr>
        <w:t>,</w:t>
      </w:r>
      <w:r w:rsidR="006C6E34" w:rsidRPr="008D3E74">
        <w:rPr>
          <w:rFonts w:ascii="Arial" w:hAnsi="Arial" w:cs="Arial"/>
        </w:rPr>
        <w:t xml:space="preserve"> and this may be explained by</w:t>
      </w:r>
      <w:r w:rsidR="00AE62F0" w:rsidRPr="008D3E74">
        <w:rPr>
          <w:rFonts w:ascii="Arial" w:hAnsi="Arial" w:cs="Arial"/>
        </w:rPr>
        <w:t xml:space="preserve"> </w:t>
      </w:r>
      <w:r w:rsidR="006D7E12" w:rsidRPr="008D3E74">
        <w:rPr>
          <w:rFonts w:ascii="Arial" w:hAnsi="Arial" w:cs="Arial"/>
        </w:rPr>
        <w:t xml:space="preserve">a </w:t>
      </w:r>
      <w:r w:rsidR="00AE62F0" w:rsidRPr="008D3E74">
        <w:rPr>
          <w:rFonts w:ascii="Arial" w:hAnsi="Arial" w:cs="Arial"/>
        </w:rPr>
        <w:t>lack of social resources, high levels of distress and unhealthy behaviors</w:t>
      </w:r>
      <w:r w:rsidR="002107D7" w:rsidRPr="008D3E74">
        <w:rPr>
          <w:rFonts w:ascii="Arial" w:hAnsi="Arial" w:cs="Arial"/>
        </w:rPr>
        <w:t xml:space="preserve"> </w:t>
      </w:r>
      <w:r w:rsidR="006C6E34" w:rsidRPr="008D3E74">
        <w:rPr>
          <w:rFonts w:ascii="Arial" w:hAnsi="Arial" w:cs="Arial"/>
        </w:rPr>
        <w:fldChar w:fldCharType="begin"/>
      </w:r>
      <w:r w:rsidR="00754C02" w:rsidRPr="008D3E74">
        <w:rPr>
          <w:rFonts w:ascii="Arial" w:hAnsi="Arial" w:cs="Arial"/>
        </w:rPr>
        <w:instrText xml:space="preserve"> ADDIN ZOTERO_ITEM CSL_CITATION {"citationID":"dGAHFSZj","properties":{"formattedCitation":"(Chen &amp; Shiu 2017)","plainCitation":"(Chen &amp; Shiu 2017)","noteIndex":0},"citationItems":[{"id":1143,"uris":["http://zotero.org/users/local/hhPVnw6l/items/SZ9DZU3S"],"uri":["http://zotero.org/users/local/hhPVnw6l/items/SZ9DZU3S"],"itemData":{"id":1143,"type":"article-journal","title":"Sexual Orientation and Sleep in the U.S.: A National Profile","container-title":"American Journal of Preventive Medicine","page":"433-442","volume":"52","issue":"4","source":"PubMed","abstract":"INTRODUCTION: Sexual minorities often experience poorer health than non-sexual minorities. However, extant knowledge remains limited regarding the sleep characteristics, a risk factor for chronic diseases and excess mortality, of sexual minorities compared with non-sexual minorities at the population level.\nMETHODS: This study analyzed the 2013-2014 National Health Interview Survey, Adult Sample (n=68,960) to examine the reported sleep duration and sleep disturbances (i.e., not feeling rested, difficulty falling asleep, and waking up at night) by sexual orientation (i.e., homosexual [n=1,149], bisexual [n=515], and other sexual minorities [n=144]). Statistical analysis, conducted in 2015, used multinomial logistic and logistic regressions to estimate the associations between sexual orientation and sleep variables.\nRESULTS: Adult sexual minorities had higher risks of sleep disturbances than heterosexual adults. Differences in SES and physical and mental health conditions partly explained the gaps. Sexual minority women had greater odds of waking up at night than sexual minority men did, but sexual minority adults who were also racial minorities showed no differences in odds of sleep disturbances compared to white sexual minority adults. Results found that sexual orientation was not associated with an increased risk of short or long sleep duration.\nCONCLUSIONS: This study documented substantial disparities in sleep disturbances between sexual minorities and non-sexual minorities. These gaps cannot simply be explained by social and demographic factors. Interventions that target sexual minorities should pay attention to disparities in sleep and investigate methods to promote sleep health of sexual minorities.","DOI":"10.1016/j.amepre.2016.10.039","ISSN":"1873-2607","note":"PMID: 28062273","title-short":"Sexual Orientation and Sleep in the U.S.","journalAbbreviation":"Am J Prev Med","language":"eng","author":[{"family":"Chen","given":"Jen-Hao"},{"family":"Shiu","given":"Cheng-Shi"}],"issued":{"date-parts":[["2017",4]]}}}],"schema":"https://github.com/citation-style-language/schema/raw/master/csl-citation.json"} </w:instrText>
      </w:r>
      <w:r w:rsidR="006C6E34" w:rsidRPr="008D3E74">
        <w:rPr>
          <w:rFonts w:ascii="Arial" w:hAnsi="Arial" w:cs="Arial"/>
        </w:rPr>
        <w:fldChar w:fldCharType="separate"/>
      </w:r>
      <w:r w:rsidR="00754C02" w:rsidRPr="008D3E74">
        <w:rPr>
          <w:rFonts w:ascii="Arial" w:hAnsi="Arial" w:cs="Arial"/>
        </w:rPr>
        <w:t>(Chen &amp; Shiu 2017)</w:t>
      </w:r>
      <w:r w:rsidR="006C6E34" w:rsidRPr="008D3E74">
        <w:rPr>
          <w:rFonts w:ascii="Arial" w:hAnsi="Arial" w:cs="Arial"/>
        </w:rPr>
        <w:fldChar w:fldCharType="end"/>
      </w:r>
      <w:r w:rsidR="002107D7" w:rsidRPr="008D3E74">
        <w:rPr>
          <w:rFonts w:ascii="Arial" w:hAnsi="Arial" w:cs="Arial"/>
        </w:rPr>
        <w:t>.</w:t>
      </w:r>
      <w:r w:rsidR="0098267A" w:rsidRPr="008D3E74">
        <w:rPr>
          <w:rFonts w:ascii="Arial" w:hAnsi="Arial" w:cs="Arial"/>
        </w:rPr>
        <w:t xml:space="preserve"> S</w:t>
      </w:r>
      <w:r w:rsidR="00AB7900" w:rsidRPr="008D3E74">
        <w:rPr>
          <w:rFonts w:ascii="Arial" w:hAnsi="Arial" w:cs="Arial"/>
        </w:rPr>
        <w:t xml:space="preserve">leep problems </w:t>
      </w:r>
      <w:r w:rsidR="0098267A" w:rsidRPr="008D3E74">
        <w:rPr>
          <w:rFonts w:ascii="Arial" w:hAnsi="Arial" w:cs="Arial"/>
        </w:rPr>
        <w:t xml:space="preserve">may </w:t>
      </w:r>
      <w:r w:rsidR="00400BDC" w:rsidRPr="008D3E74">
        <w:rPr>
          <w:rFonts w:ascii="Arial" w:hAnsi="Arial" w:cs="Arial"/>
        </w:rPr>
        <w:t>in turn</w:t>
      </w:r>
      <w:r w:rsidR="00AB7900" w:rsidRPr="008D3E74">
        <w:rPr>
          <w:rFonts w:ascii="Arial" w:hAnsi="Arial" w:cs="Arial"/>
        </w:rPr>
        <w:t xml:space="preserve"> </w:t>
      </w:r>
      <w:r w:rsidRPr="008D3E74">
        <w:rPr>
          <w:rFonts w:ascii="Arial" w:hAnsi="Arial" w:cs="Arial"/>
        </w:rPr>
        <w:t xml:space="preserve">favor </w:t>
      </w:r>
      <w:r w:rsidR="00AB7900" w:rsidRPr="008D3E74">
        <w:rPr>
          <w:rFonts w:ascii="Arial" w:hAnsi="Arial" w:cs="Arial"/>
        </w:rPr>
        <w:t>the occurrence of PEs</w:t>
      </w:r>
      <w:r w:rsidR="00AC5C57" w:rsidRPr="008D3E74">
        <w:rPr>
          <w:rFonts w:ascii="Arial" w:hAnsi="Arial" w:cs="Arial"/>
        </w:rPr>
        <w:t xml:space="preserve"> via </w:t>
      </w:r>
      <w:r w:rsidR="00DA4F4F" w:rsidRPr="008D3E74">
        <w:rPr>
          <w:rFonts w:ascii="Arial" w:hAnsi="Arial" w:cs="Arial"/>
        </w:rPr>
        <w:t>anxiety, depression and stress</w:t>
      </w:r>
      <w:r w:rsidR="002107D7" w:rsidRPr="008D3E74">
        <w:rPr>
          <w:rFonts w:ascii="Arial" w:hAnsi="Arial" w:cs="Arial"/>
        </w:rPr>
        <w:t xml:space="preserve"> </w:t>
      </w:r>
      <w:r w:rsidR="003E3018" w:rsidRPr="008D3E74">
        <w:rPr>
          <w:rFonts w:ascii="Arial" w:hAnsi="Arial" w:cs="Arial"/>
        </w:rPr>
        <w:fldChar w:fldCharType="begin"/>
      </w:r>
      <w:r w:rsidR="00754C02" w:rsidRPr="008D3E74">
        <w:rPr>
          <w:rFonts w:ascii="Arial" w:hAnsi="Arial" w:cs="Arial"/>
        </w:rPr>
        <w:instrText xml:space="preserve"> ADDIN ZOTERO_ITEM CSL_CITATION {"citationID":"3CIHB3Mo","properties":{"formattedCitation":"(Reeve {\\i{}et al.} 2018)","plainCitation":"(Reeve et al. 2018)","noteIndex":0},"citationItems":[{"id":1145,"uris":["http://zotero.org/users/local/hhPVnw6l/items/QFD6P4RS"],"uri":["http://zotero.org/users/local/hhPVnw6l/items/QFD6P4RS"],"itemData":{"id":1145,"type":"article-journal","title":"Disrupting Sleep: The Effects of Sleep Loss on Psychotic Experiences Tested in an Experimental Study With Mediation Analysis","container-title":"Schizophrenia Bulletin","page":"662-671","volume":"44","issue":"3","source":"PubMed Central","abstract":"Our view is that insomnia may be a causal factor in the occurrence of psychotic experiences such as paranoia and hallucinations. However, the causal relationship is not established. The aim of the study was to investigate the causal role of insomnia in psychotic experiences via a sleep restriction manipulation. The study was a within-subjects crossover design that included a planned mediation analysis. Sixty-eight nonclinical volunteers underwent a sleep loss condition (restricted to 4 h sleep for 3 nights) and a control condition (standard sleep) in randomized order in 2 consecutive weeks, with a weekend washout period. Psychotic experiences (paranoia, hallucinations, grandiosity, and cognitive disorganization) and candidate mediating variables (negative affect and related processes, working memory, decision making, and perceptual processing) were assessed before and after each condition. Actigraphy verified an average sleep duration of 5 h 15 min in the sleep loss condition, vs 6 h 58 min in the control condition. After the sleep loss condition, relative to the control condition, participants reported significant increases in paranoia, hallucinations, and cognitive disorganization, with no significant changes in grandiosity. The sleep loss condition was also associated with significant increases in negative affect, negative self and other cognitions, worry, and working memory impairment. Mediation analyses indicated that changes in psychotic experiences were mediated by changes in negative affect and related processes, but not memory impairment. The overall conclusion is that insomnia has a causal role in the occurrence of certain psychotic experiences, and that a key route is via negative affect.","DOI":"10.1093/schbul/sbx103","ISSN":"0586-7614","note":"PMID: 28981834\nPMCID: PMC5890488","title-short":"Disrupting Sleep","journalAbbreviation":"Schizophr Bull","author":[{"family":"Reeve","given":"Sarah"},{"family":"Emsley","given":"Richard"},{"family":"Sheaves","given":"Bryony"},{"family":"Freeman","given":"Daniel"}],"issued":{"date-parts":[["2018",4]]}}}],"schema":"https://github.com/citation-style-language/schema/raw/master/csl-citation.json"} </w:instrText>
      </w:r>
      <w:r w:rsidR="003E3018" w:rsidRPr="008D3E74">
        <w:rPr>
          <w:rFonts w:ascii="Arial" w:hAnsi="Arial" w:cs="Arial"/>
        </w:rPr>
        <w:fldChar w:fldCharType="separate"/>
      </w:r>
      <w:r w:rsidR="00754C02" w:rsidRPr="008D3E74">
        <w:rPr>
          <w:rFonts w:ascii="Arial" w:hAnsi="Arial" w:cs="Arial"/>
        </w:rPr>
        <w:t xml:space="preserve">(Reeve </w:t>
      </w:r>
      <w:r w:rsidR="00754C02" w:rsidRPr="008D3E74">
        <w:rPr>
          <w:rFonts w:ascii="Arial" w:hAnsi="Arial" w:cs="Arial"/>
          <w:i/>
          <w:iCs/>
        </w:rPr>
        <w:t>et al.</w:t>
      </w:r>
      <w:r w:rsidR="00754C02" w:rsidRPr="008D3E74">
        <w:rPr>
          <w:rFonts w:ascii="Arial" w:hAnsi="Arial" w:cs="Arial"/>
        </w:rPr>
        <w:t xml:space="preserve"> 2018)</w:t>
      </w:r>
      <w:r w:rsidR="003E3018" w:rsidRPr="008D3E74">
        <w:rPr>
          <w:rFonts w:ascii="Arial" w:hAnsi="Arial" w:cs="Arial"/>
        </w:rPr>
        <w:fldChar w:fldCharType="end"/>
      </w:r>
      <w:r w:rsidR="002107D7" w:rsidRPr="008D3E74">
        <w:rPr>
          <w:rFonts w:ascii="Arial" w:hAnsi="Arial" w:cs="Arial"/>
        </w:rPr>
        <w:t>.</w:t>
      </w:r>
    </w:p>
    <w:p w14:paraId="110CE9F8" w14:textId="77777777" w:rsidR="001708AD" w:rsidRPr="008D3E74" w:rsidRDefault="001708AD" w:rsidP="000050E5">
      <w:pPr>
        <w:spacing w:line="480" w:lineRule="auto"/>
        <w:jc w:val="both"/>
        <w:rPr>
          <w:rFonts w:ascii="Arial" w:hAnsi="Arial" w:cs="Arial"/>
        </w:rPr>
      </w:pPr>
    </w:p>
    <w:p w14:paraId="53E2F5F2" w14:textId="604E17B4" w:rsidR="00901627" w:rsidRPr="008D3E74" w:rsidRDefault="00901627" w:rsidP="000050E5">
      <w:pPr>
        <w:spacing w:line="480" w:lineRule="auto"/>
        <w:jc w:val="both"/>
        <w:rPr>
          <w:rFonts w:ascii="Arial" w:hAnsi="Arial" w:cs="Arial"/>
        </w:rPr>
      </w:pPr>
      <w:r w:rsidRPr="008D3E74">
        <w:rPr>
          <w:rFonts w:ascii="Arial" w:hAnsi="Arial" w:cs="Arial"/>
        </w:rPr>
        <w:t xml:space="preserve">Therefore, the goal of </w:t>
      </w:r>
      <w:r w:rsidR="008B4704" w:rsidRPr="008D3E74">
        <w:rPr>
          <w:rFonts w:ascii="Arial" w:hAnsi="Arial" w:cs="Arial"/>
        </w:rPr>
        <w:t>the present</w:t>
      </w:r>
      <w:r w:rsidRPr="008D3E74">
        <w:rPr>
          <w:rFonts w:ascii="Arial" w:hAnsi="Arial" w:cs="Arial"/>
        </w:rPr>
        <w:t xml:space="preserve"> nationally representative study using community-based data from the </w:t>
      </w:r>
      <w:r w:rsidR="00913034" w:rsidRPr="008D3E74">
        <w:rPr>
          <w:rFonts w:ascii="Arial" w:hAnsi="Arial" w:cs="Arial"/>
        </w:rPr>
        <w:t xml:space="preserve">2007 </w:t>
      </w:r>
      <w:r w:rsidRPr="008D3E74">
        <w:rPr>
          <w:rFonts w:ascii="Arial" w:hAnsi="Arial" w:cs="Arial"/>
        </w:rPr>
        <w:t xml:space="preserve">Adult Psychiatric Morbidity Survey </w:t>
      </w:r>
      <w:r w:rsidR="001D1ACA" w:rsidRPr="008D3E74">
        <w:rPr>
          <w:rFonts w:ascii="Arial" w:hAnsi="Arial" w:cs="Arial"/>
        </w:rPr>
        <w:t xml:space="preserve">(APMS) </w:t>
      </w:r>
      <w:r w:rsidR="008B43B6" w:rsidRPr="008D3E74">
        <w:rPr>
          <w:rFonts w:ascii="Arial" w:hAnsi="Arial" w:cs="Arial"/>
        </w:rPr>
        <w:t xml:space="preserve">conducted in England </w:t>
      </w:r>
      <w:r w:rsidRPr="008D3E74">
        <w:rPr>
          <w:rFonts w:ascii="Arial" w:hAnsi="Arial" w:cs="Arial"/>
        </w:rPr>
        <w:t xml:space="preserve">was to analyze the association between sexual orientation and </w:t>
      </w:r>
      <w:r w:rsidR="008079F3" w:rsidRPr="008D3E74">
        <w:rPr>
          <w:rFonts w:ascii="Arial" w:hAnsi="Arial" w:cs="Arial"/>
        </w:rPr>
        <w:t xml:space="preserve">past 12-month </w:t>
      </w:r>
      <w:r w:rsidRPr="008D3E74">
        <w:rPr>
          <w:rFonts w:ascii="Arial" w:hAnsi="Arial" w:cs="Arial"/>
        </w:rPr>
        <w:t xml:space="preserve">PEs, and to identify </w:t>
      </w:r>
      <w:r w:rsidR="008079F3" w:rsidRPr="008D3E74">
        <w:rPr>
          <w:rFonts w:ascii="Arial" w:hAnsi="Arial" w:cs="Arial"/>
        </w:rPr>
        <w:t xml:space="preserve">the potential </w:t>
      </w:r>
      <w:r w:rsidRPr="008D3E74">
        <w:rPr>
          <w:rFonts w:ascii="Arial" w:hAnsi="Arial" w:cs="Arial"/>
        </w:rPr>
        <w:t xml:space="preserve">mediators </w:t>
      </w:r>
      <w:r w:rsidR="00BD63BD" w:rsidRPr="008D3E74">
        <w:rPr>
          <w:rFonts w:ascii="Arial" w:hAnsi="Arial" w:cs="Arial"/>
        </w:rPr>
        <w:t xml:space="preserve">involved </w:t>
      </w:r>
      <w:r w:rsidRPr="008D3E74">
        <w:rPr>
          <w:rFonts w:ascii="Arial" w:hAnsi="Arial" w:cs="Arial"/>
        </w:rPr>
        <w:t xml:space="preserve">in this relationship. </w:t>
      </w:r>
      <w:r w:rsidR="001A51C4" w:rsidRPr="008D3E74">
        <w:rPr>
          <w:rFonts w:ascii="Arial" w:hAnsi="Arial" w:cs="Arial"/>
        </w:rPr>
        <w:t xml:space="preserve">Given that </w:t>
      </w:r>
      <w:r w:rsidR="005C35CE" w:rsidRPr="008D3E74">
        <w:rPr>
          <w:rFonts w:ascii="Arial" w:hAnsi="Arial" w:cs="Arial"/>
        </w:rPr>
        <w:t>approximately</w:t>
      </w:r>
      <w:r w:rsidR="001A51C4" w:rsidRPr="008D3E74">
        <w:rPr>
          <w:rFonts w:ascii="Arial" w:hAnsi="Arial" w:cs="Arial"/>
        </w:rPr>
        <w:t xml:space="preserve"> 1.1 million people identify themselves as lesbian, gay or bisexual in </w:t>
      </w:r>
      <w:r w:rsidR="001708AD" w:rsidRPr="008D3E74">
        <w:rPr>
          <w:rFonts w:ascii="Arial" w:hAnsi="Arial" w:cs="Arial"/>
        </w:rPr>
        <w:t>Britain</w:t>
      </w:r>
      <w:r w:rsidR="002107D7" w:rsidRPr="008D3E74">
        <w:rPr>
          <w:rFonts w:ascii="Arial" w:hAnsi="Arial" w:cs="Arial"/>
        </w:rPr>
        <w:t xml:space="preserve"> </w:t>
      </w:r>
      <w:r w:rsidR="001A51C4" w:rsidRPr="008D3E74">
        <w:rPr>
          <w:rFonts w:ascii="Arial" w:hAnsi="Arial" w:cs="Arial"/>
        </w:rPr>
        <w:fldChar w:fldCharType="begin"/>
      </w:r>
      <w:r w:rsidR="00754C02" w:rsidRPr="008D3E74">
        <w:rPr>
          <w:rFonts w:ascii="Arial" w:hAnsi="Arial" w:cs="Arial"/>
        </w:rPr>
        <w:instrText xml:space="preserve"> ADDIN ZOTERO_ITEM CSL_CITATION {"citationID":"Uc12fUwJ","properties":{"formattedCitation":"(Geary {\\i{}et al.} 2018)","plainCitation":"(Geary et al. 2018)","noteIndex":0},"citationItems":[{"id":1190,"uris":["http://zotero.org/users/local/hhPVnw6l/items/IP2YYWEP"],"uri":["http://zotero.org/users/local/hhPVnw6l/items/IP2YYWEP"],"itemData":{"id":1190,"type":"article-journal","title":"Sexual identity, attraction and behaviour in Britain: The implications of using different dimensions of sexual orientation to estimate the size of sexual minority populations and inform public health interventions","container-title":"PLoS ONE","volume":"13","issue":"1","source":"PubMed Central","abstract":"Background\nSexual orientation encompasses three dimensions: sexual identity, attraction and behaviour. There is increasing demand for data on sexual orientation to meet equality legislation, monitor potential inequalities and address public health needs. We present estimates of all three dimensions and their overlap in British men and women, and consider the implications for health services, research and the development and evaluation of public health interventions.\n\nMethods\nAnalyses of data from Britain’s third National Survey of Sexual Attitudes and Lifestyles, a probability sample survey (15,162 people aged 16–74 years) undertaken in 2010–2012.\n\nFindings\nA lesbian, gay or bisexual (LGB) identity was reported by 2·5% of men and 2·4% of women, whilst 6·5% of men and 11·5% of women reported any same-sex attraction and 5·5% of men and 6·1% of women reported ever experience of same-sex sex. This equates to approximately 547,000 men and 546,000 women aged 16–74 in Britain self-identifying as LGB and 1,204,000 men and 1,389,000 women ever having experience of same-sex sex. Of those reporting same-sex sex in the past 5 years, 28% of men and 45% of women identified as heterosexual.\n\nInterpretation\nThere is large variation in the size of sexual minority populations depending on the dimension applied, with implications for the design of epidemiological studies, targeting and monitoring of public health interventions and estimating population-based denominators. There is also substantial diversity on an individual level between identity, behaviour and attraction, adding to the complexity of delivering appropriate services and interventions.","URL":"https://www.ncbi.nlm.nih.gov/pmc/articles/PMC5749676/","DOI":"10.1371/journal.pone.0189607","ISSN":"1932-6203","note":"PMID: 29293516\nPMCID: PMC5749676","title-short":"Sexual identity, attraction and behaviour in Britain","journalAbbreviation":"PLoS One","author":[{"family":"Geary","given":"Rebecca S."},{"family":"Tanton","given":"Clare"},{"family":"Erens","given":"Bob"},{"family":"Clifton","given":"Soazig"},{"family":"Prah","given":"Philip"},{"family":"Wellings","given":"Kaye"},{"family":"Mitchell","given":"Kirstin R."},{"family":"Datta","given":"Jessica"},{"family":"Gravningen","given":"Kirsten"},{"family":"Fuller","given":"Elizabeth"},{"family":"Johnson","given":"Anne M."},{"family":"Sonnenberg","given":"Pam"},{"family":"Mercer","given":"Catherine H."}],"issued":{"date-parts":[["2018",1,2]]},"accessed":{"date-parts":[["2019",4,8]]}}}],"schema":"https://github.com/citation-style-language/schema/raw/master/csl-citation.json"} </w:instrText>
      </w:r>
      <w:r w:rsidR="001A51C4" w:rsidRPr="008D3E74">
        <w:rPr>
          <w:rFonts w:ascii="Arial" w:hAnsi="Arial" w:cs="Arial"/>
        </w:rPr>
        <w:fldChar w:fldCharType="separate"/>
      </w:r>
      <w:r w:rsidR="00754C02" w:rsidRPr="008D3E74">
        <w:rPr>
          <w:rFonts w:ascii="Arial" w:hAnsi="Arial" w:cs="Arial"/>
        </w:rPr>
        <w:t xml:space="preserve">(Geary </w:t>
      </w:r>
      <w:r w:rsidR="00754C02" w:rsidRPr="008D3E74">
        <w:rPr>
          <w:rFonts w:ascii="Arial" w:hAnsi="Arial" w:cs="Arial"/>
          <w:i/>
          <w:iCs/>
        </w:rPr>
        <w:t>et al.</w:t>
      </w:r>
      <w:r w:rsidR="00754C02" w:rsidRPr="008D3E74">
        <w:rPr>
          <w:rFonts w:ascii="Arial" w:hAnsi="Arial" w:cs="Arial"/>
        </w:rPr>
        <w:t xml:space="preserve"> 2018)</w:t>
      </w:r>
      <w:r w:rsidR="001A51C4" w:rsidRPr="008D3E74">
        <w:rPr>
          <w:rFonts w:ascii="Arial" w:hAnsi="Arial" w:cs="Arial"/>
        </w:rPr>
        <w:fldChar w:fldCharType="end"/>
      </w:r>
      <w:r w:rsidR="002107D7" w:rsidRPr="008D3E74">
        <w:rPr>
          <w:rFonts w:ascii="Arial" w:hAnsi="Arial" w:cs="Arial"/>
        </w:rPr>
        <w:t>,</w:t>
      </w:r>
      <w:r w:rsidR="001A51C4" w:rsidRPr="008D3E74">
        <w:rPr>
          <w:rFonts w:ascii="Arial" w:hAnsi="Arial" w:cs="Arial"/>
        </w:rPr>
        <w:t xml:space="preserve"> </w:t>
      </w:r>
      <w:r w:rsidR="00772658" w:rsidRPr="008D3E74">
        <w:rPr>
          <w:rFonts w:ascii="Arial" w:hAnsi="Arial" w:cs="Arial"/>
        </w:rPr>
        <w:t xml:space="preserve">and that access to healthcare is </w:t>
      </w:r>
      <w:r w:rsidR="002B79AB" w:rsidRPr="008D3E74">
        <w:rPr>
          <w:rFonts w:ascii="Arial" w:hAnsi="Arial" w:cs="Arial"/>
        </w:rPr>
        <w:t xml:space="preserve">often </w:t>
      </w:r>
      <w:r w:rsidR="00772658" w:rsidRPr="008D3E74">
        <w:rPr>
          <w:rFonts w:ascii="Arial" w:hAnsi="Arial" w:cs="Arial"/>
        </w:rPr>
        <w:t xml:space="preserve">difficult </w:t>
      </w:r>
      <w:r w:rsidR="003D3F9B" w:rsidRPr="008D3E74">
        <w:rPr>
          <w:rFonts w:ascii="Arial" w:hAnsi="Arial" w:cs="Arial"/>
        </w:rPr>
        <w:t>for</w:t>
      </w:r>
      <w:r w:rsidR="00772658" w:rsidRPr="008D3E74">
        <w:rPr>
          <w:rFonts w:ascii="Arial" w:hAnsi="Arial" w:cs="Arial"/>
        </w:rPr>
        <w:t xml:space="preserve"> sexual minorities</w:t>
      </w:r>
      <w:r w:rsidR="002107D7" w:rsidRPr="008D3E74">
        <w:rPr>
          <w:rFonts w:ascii="Arial" w:hAnsi="Arial" w:cs="Arial"/>
        </w:rPr>
        <w:t xml:space="preserve"> </w:t>
      </w:r>
      <w:r w:rsidR="007E25E7" w:rsidRPr="008D3E74">
        <w:rPr>
          <w:rFonts w:ascii="Arial" w:hAnsi="Arial" w:cs="Arial"/>
        </w:rPr>
        <w:fldChar w:fldCharType="begin"/>
      </w:r>
      <w:r w:rsidR="00754C02" w:rsidRPr="008D3E74">
        <w:rPr>
          <w:rFonts w:ascii="Arial" w:hAnsi="Arial" w:cs="Arial"/>
        </w:rPr>
        <w:instrText xml:space="preserve"> ADDIN ZOTERO_ITEM CSL_CITATION {"citationID":"dnVrofFQ","properties":{"formattedCitation":"(McNamara &amp; Ng 2016)","plainCitation":"(McNamara &amp; Ng 2016)","noteIndex":0},"citationItems":[{"id":1218,"uris":["http://zotero.org/users/local/hhPVnw6l/items/QURB5WJR"],"uri":["http://zotero.org/users/local/hhPVnw6l/items/QURB5WJR"],"itemData":{"id":1218,"type":"article-journal","title":"Best practices in LGBT care: A guide for primary care physicians","container-title":"Cleveland Clinic Journal of Medicine","page":"531-541","volume":"83","issue":"7","source":"PubMed","abstract":"Lesbian, gay, bisexual, and transgender (LGBT) people have unique healthcare needs. While all LGBT people are at an increased risk for mental health and substance abuse disorders, certain health conditions vary by group. Overweight and obesity are more common in lesbian and bisexual women, whereas sexual minority men are at increased risk for infections such as human immunodeficiency virus (HIV) and syphilis. Breast, cervical, and prostate cancer screening should be offered to all LGBT individuals according to national guidelines and with consideration of a transgender person's natal and surgical anatomy.","DOI":"10.3949/ccjm.83a.15148","ISSN":"1939-2869","note":"PMID: 27399866","title-short":"Best practices in LGBT care","journalAbbreviation":"Cleve Clin J Med","language":"eng","author":[{"family":"McNamara","given":"Megan C."},{"family":"Ng","given":"Henry"}],"issued":{"date-parts":[["2016",7]]}}}],"schema":"https://github.com/citation-style-language/schema/raw/master/csl-citation.json"} </w:instrText>
      </w:r>
      <w:r w:rsidR="007E25E7" w:rsidRPr="008D3E74">
        <w:rPr>
          <w:rFonts w:ascii="Arial" w:hAnsi="Arial" w:cs="Arial"/>
        </w:rPr>
        <w:fldChar w:fldCharType="separate"/>
      </w:r>
      <w:r w:rsidR="00754C02" w:rsidRPr="008D3E74">
        <w:rPr>
          <w:rFonts w:ascii="Arial" w:hAnsi="Arial" w:cs="Arial"/>
        </w:rPr>
        <w:t>(McNamara &amp; Ng 2016)</w:t>
      </w:r>
      <w:r w:rsidR="007E25E7" w:rsidRPr="008D3E74">
        <w:rPr>
          <w:rFonts w:ascii="Arial" w:hAnsi="Arial" w:cs="Arial"/>
        </w:rPr>
        <w:fldChar w:fldCharType="end"/>
      </w:r>
      <w:r w:rsidR="002107D7" w:rsidRPr="008D3E74">
        <w:rPr>
          <w:rFonts w:ascii="Arial" w:hAnsi="Arial" w:cs="Arial"/>
        </w:rPr>
        <w:t>,</w:t>
      </w:r>
      <w:r w:rsidR="00772658" w:rsidRPr="008D3E74">
        <w:rPr>
          <w:rFonts w:ascii="Arial" w:hAnsi="Arial" w:cs="Arial"/>
        </w:rPr>
        <w:t xml:space="preserve"> </w:t>
      </w:r>
      <w:r w:rsidR="001A51C4" w:rsidRPr="008D3E74">
        <w:rPr>
          <w:rFonts w:ascii="Arial" w:hAnsi="Arial" w:cs="Arial"/>
        </w:rPr>
        <w:t xml:space="preserve">investigating </w:t>
      </w:r>
      <w:r w:rsidR="008B43B6" w:rsidRPr="008D3E74">
        <w:rPr>
          <w:rFonts w:ascii="Arial" w:hAnsi="Arial" w:cs="Arial"/>
        </w:rPr>
        <w:t xml:space="preserve">this association using community-based data </w:t>
      </w:r>
      <w:r w:rsidR="001A51C4" w:rsidRPr="008D3E74">
        <w:rPr>
          <w:rFonts w:ascii="Arial" w:hAnsi="Arial" w:cs="Arial"/>
        </w:rPr>
        <w:t xml:space="preserve">is important to </w:t>
      </w:r>
      <w:r w:rsidR="005C35CE" w:rsidRPr="008D3E74">
        <w:rPr>
          <w:rFonts w:ascii="Arial" w:hAnsi="Arial" w:cs="Arial"/>
        </w:rPr>
        <w:t>obtain</w:t>
      </w:r>
      <w:r w:rsidR="001A51C4" w:rsidRPr="008D3E74">
        <w:rPr>
          <w:rFonts w:ascii="Arial" w:hAnsi="Arial" w:cs="Arial"/>
        </w:rPr>
        <w:t xml:space="preserve"> a better understanding of the epidemiology of PEs in this </w:t>
      </w:r>
      <w:r w:rsidR="008B43B6" w:rsidRPr="008D3E74">
        <w:rPr>
          <w:rFonts w:ascii="Arial" w:hAnsi="Arial" w:cs="Arial"/>
        </w:rPr>
        <w:t>setting</w:t>
      </w:r>
      <w:r w:rsidR="001A51C4" w:rsidRPr="008D3E74">
        <w:rPr>
          <w:rFonts w:ascii="Arial" w:hAnsi="Arial" w:cs="Arial"/>
        </w:rPr>
        <w:t>.</w:t>
      </w:r>
    </w:p>
    <w:p w14:paraId="5D222CFC" w14:textId="03249844" w:rsidR="00C26093" w:rsidRPr="008D3E74" w:rsidRDefault="00C26093" w:rsidP="000050E5">
      <w:pPr>
        <w:spacing w:line="480" w:lineRule="auto"/>
        <w:jc w:val="both"/>
        <w:rPr>
          <w:rFonts w:ascii="Arial" w:hAnsi="Arial" w:cs="Arial"/>
        </w:rPr>
      </w:pPr>
    </w:p>
    <w:p w14:paraId="62EB67A3" w14:textId="77777777" w:rsidR="0036632E" w:rsidRDefault="0036632E">
      <w:pPr>
        <w:rPr>
          <w:rFonts w:ascii="Arial" w:hAnsi="Arial" w:cs="Arial"/>
          <w:b/>
        </w:rPr>
      </w:pPr>
      <w:r>
        <w:br w:type="page"/>
      </w:r>
    </w:p>
    <w:p w14:paraId="2DF21E94" w14:textId="711F9030" w:rsidR="00C26093" w:rsidRPr="008D3E74" w:rsidRDefault="00C26093" w:rsidP="0036632E">
      <w:pPr>
        <w:pStyle w:val="Heading1"/>
      </w:pPr>
      <w:r w:rsidRPr="008D3E74">
        <w:lastRenderedPageBreak/>
        <w:t>Methods</w:t>
      </w:r>
    </w:p>
    <w:p w14:paraId="73D16147" w14:textId="428DE3EB" w:rsidR="00C26093" w:rsidRPr="008D3E74" w:rsidRDefault="00C26093" w:rsidP="000050E5">
      <w:pPr>
        <w:spacing w:line="480" w:lineRule="auto"/>
        <w:jc w:val="both"/>
        <w:rPr>
          <w:rFonts w:ascii="Arial" w:hAnsi="Arial" w:cs="Arial"/>
        </w:rPr>
      </w:pPr>
    </w:p>
    <w:p w14:paraId="1C104B6F" w14:textId="77777777" w:rsidR="001E424D" w:rsidRPr="008D3E74" w:rsidRDefault="001E424D" w:rsidP="000050E5">
      <w:pPr>
        <w:spacing w:line="480" w:lineRule="auto"/>
        <w:jc w:val="both"/>
        <w:rPr>
          <w:rFonts w:ascii="Arial" w:hAnsi="Arial" w:cs="Arial"/>
          <w:i/>
        </w:rPr>
      </w:pPr>
      <w:r w:rsidRPr="008D3E74">
        <w:rPr>
          <w:rFonts w:ascii="Arial" w:hAnsi="Arial" w:cs="Arial"/>
          <w:i/>
        </w:rPr>
        <w:t>Study participants</w:t>
      </w:r>
    </w:p>
    <w:p w14:paraId="382AA210" w14:textId="677C6805" w:rsidR="00DD3644" w:rsidRPr="008D3E74" w:rsidRDefault="001E424D" w:rsidP="000050E5">
      <w:pPr>
        <w:spacing w:line="480" w:lineRule="auto"/>
        <w:jc w:val="both"/>
        <w:rPr>
          <w:rFonts w:ascii="Arial" w:hAnsi="Arial" w:cs="Arial"/>
        </w:rPr>
      </w:pPr>
      <w:r w:rsidRPr="008D3E74">
        <w:rPr>
          <w:rFonts w:ascii="Arial" w:hAnsi="Arial" w:cs="Arial"/>
        </w:rPr>
        <w:t xml:space="preserve">This study used data from 7403 people who participated in the 2007 </w:t>
      </w:r>
      <w:r w:rsidR="00EF5E5F" w:rsidRPr="008D3E74">
        <w:rPr>
          <w:rFonts w:ascii="Arial" w:hAnsi="Arial" w:cs="Arial"/>
        </w:rPr>
        <w:t>APMS</w:t>
      </w:r>
      <w:r w:rsidRPr="008D3E74">
        <w:rPr>
          <w:rFonts w:ascii="Arial" w:hAnsi="Arial" w:cs="Arial"/>
        </w:rPr>
        <w:t>. Full details of the survey have been published elsewhere</w:t>
      </w:r>
      <w:r w:rsidR="00354212" w:rsidRPr="008D3E74">
        <w:rPr>
          <w:rFonts w:ascii="Arial" w:hAnsi="Arial" w:cs="Arial"/>
        </w:rPr>
        <w:t xml:space="preserve"> </w:t>
      </w:r>
      <w:r w:rsidR="00482B7B" w:rsidRPr="008D3E74">
        <w:rPr>
          <w:rFonts w:ascii="Arial" w:hAnsi="Arial" w:cs="Arial"/>
        </w:rPr>
        <w:fldChar w:fldCharType="begin"/>
      </w:r>
      <w:r w:rsidR="00754C02" w:rsidRPr="008D3E74">
        <w:rPr>
          <w:rFonts w:ascii="Arial" w:hAnsi="Arial" w:cs="Arial"/>
        </w:rPr>
        <w:instrText xml:space="preserve"> ADDIN ZOTERO_ITEM CSL_CITATION {"citationID":"Mh4bqFnJ","properties":{"formattedCitation":"(Jenkins {\\i{}et al.} 2009; McManus {\\i{}et al.} 2009)","plainCitation":"(Jenkins et al. 2009; McManus et al. 2009)","noteIndex":0},"citationItems":[{"id":358,"uris":["http://zotero.org/users/local/hhPVnw6l/items/43KD97LT"],"uri":["http://zotero.org/users/local/hhPVnw6l/items/43KD97LT"],"itemData":{"id":358,"type":"article-journal","title":"The British Mental Health Survey Programme: achievements and latest findings","container-title":"Social Psychiatry and Psychiatric Epidemiology","page":"899-904","volume":"44","issue":"11","source":"PubMed","DOI":"10.1007/s00127-009-0112-7","ISSN":"1433-9285","note":"PMID: 19693420","title-short":"The British Mental Health Survey Programme","journalAbbreviation":"Soc Psychiatry Psychiatr Epidemiol","language":"eng","author":[{"family":"Jenkins","given":"Rachel"},{"family":"Meltzer","given":"Howard"},{"family":"Bebbington","given":"Paul"},{"family":"Brugha","given":"Traolach"},{"family":"Farrell","given":"Michael"},{"family":"McManus","given":"Sally"},{"family":"Singleton","given":"Nicola"}],"issued":{"date-parts":[["2009",11]]}}},{"id":361,"uris":["http://zotero.org/users/local/hhPVnw6l/items/CBMHNKI7"],"uri":["http://zotero.org/users/local/hhPVnw6l/items/CBMHNKI7"],"itemData":{"id":361,"type":"report","title":"Adult Psychiatric Morbidity in England, 2007: Results of a Household Survey.","publisher":"The NHS Information Centre for Health and Social Care","publisher-place":"London","event-place":"London","URL":"https://digital.nhs.uk/data-and-information/publications/statistical/adult-psychiatric-morbidity-survey/adult-psychiatric-morbidity-in-england-2007-results-of-a-household-survey","language":"English","author":[{"family":"McManus","given":"Sally"},{"family":"Meltzer","given":"Howard"},{"family":"Brugha","given":"Traolach"},{"family":"Bebbington","given":"Paul"},{"family":"Jenkins","given":"Rachel"}],"issued":{"date-parts":[["2009"]]}}}],"schema":"https://github.com/citation-style-language/schema/raw/master/csl-citation.json"} </w:instrText>
      </w:r>
      <w:r w:rsidR="00482B7B" w:rsidRPr="008D3E74">
        <w:rPr>
          <w:rFonts w:ascii="Arial" w:hAnsi="Arial" w:cs="Arial"/>
        </w:rPr>
        <w:fldChar w:fldCharType="separate"/>
      </w:r>
      <w:r w:rsidR="00754C02" w:rsidRPr="008D3E74">
        <w:rPr>
          <w:rFonts w:ascii="Arial" w:hAnsi="Arial" w:cs="Arial"/>
        </w:rPr>
        <w:t xml:space="preserve">(Jenkins </w:t>
      </w:r>
      <w:r w:rsidR="00754C02" w:rsidRPr="008D3E74">
        <w:rPr>
          <w:rFonts w:ascii="Arial" w:hAnsi="Arial" w:cs="Arial"/>
          <w:i/>
          <w:iCs/>
        </w:rPr>
        <w:t>et al.</w:t>
      </w:r>
      <w:r w:rsidR="00754C02" w:rsidRPr="008D3E74">
        <w:rPr>
          <w:rFonts w:ascii="Arial" w:hAnsi="Arial" w:cs="Arial"/>
        </w:rPr>
        <w:t xml:space="preserve"> 2009; McManus </w:t>
      </w:r>
      <w:r w:rsidR="00754C02" w:rsidRPr="008D3E74">
        <w:rPr>
          <w:rFonts w:ascii="Arial" w:hAnsi="Arial" w:cs="Arial"/>
          <w:i/>
          <w:iCs/>
        </w:rPr>
        <w:t>et al.</w:t>
      </w:r>
      <w:r w:rsidR="00754C02" w:rsidRPr="008D3E74">
        <w:rPr>
          <w:rFonts w:ascii="Arial" w:hAnsi="Arial" w:cs="Arial"/>
        </w:rPr>
        <w:t xml:space="preserve"> 2009)</w:t>
      </w:r>
      <w:r w:rsidR="00482B7B" w:rsidRPr="008D3E74">
        <w:rPr>
          <w:rFonts w:ascii="Arial" w:hAnsi="Arial" w:cs="Arial"/>
        </w:rPr>
        <w:fldChar w:fldCharType="end"/>
      </w:r>
      <w:r w:rsidR="00354212" w:rsidRPr="008D3E74">
        <w:rPr>
          <w:rFonts w:ascii="Arial" w:hAnsi="Arial" w:cs="Arial"/>
        </w:rPr>
        <w:t>.</w:t>
      </w:r>
      <w:r w:rsidRPr="008D3E74">
        <w:rPr>
          <w:rFonts w:ascii="Arial" w:hAnsi="Arial" w:cs="Arial"/>
        </w:rPr>
        <w:t xml:space="preserve"> Briefly, this was a nationally representative survey of the English adult population (aged ≥16 years) living in private households. The National Center for Social Research and Leicester University undertook the survey fieldwork in October 2006 to December 2007 using a multistage stratified probability sampling design where the sampling frame consisted of the small user postcode address file, while the primary sampling units were postcode sectors. Participant information was obtained through face-to-face interviews where some of the questionnaire items were self-completed (with the use of a computer). Sampling weights were constructed to account for non-response and the probability of being selected so that the sample was representative of the English adult household population. The survey response rate was 57%. Ethical permission for the study was obtained from the Royal Free Hospital and Medical School Research Ethics Committee. All participants provided informed consent before their inclusion.</w:t>
      </w:r>
    </w:p>
    <w:p w14:paraId="34D63E02" w14:textId="1A15908C" w:rsidR="00920562" w:rsidRPr="008D3E74" w:rsidRDefault="00920562" w:rsidP="000050E5">
      <w:pPr>
        <w:spacing w:line="480" w:lineRule="auto"/>
        <w:jc w:val="both"/>
        <w:rPr>
          <w:rFonts w:ascii="Arial" w:hAnsi="Arial" w:cs="Arial"/>
        </w:rPr>
      </w:pPr>
    </w:p>
    <w:p w14:paraId="4856F8B7" w14:textId="41DB5E32" w:rsidR="00920562" w:rsidRPr="008D3E74" w:rsidRDefault="00920562" w:rsidP="000050E5">
      <w:pPr>
        <w:spacing w:line="480" w:lineRule="auto"/>
        <w:jc w:val="both"/>
        <w:rPr>
          <w:rFonts w:ascii="Arial" w:hAnsi="Arial" w:cs="Arial"/>
          <w:i/>
        </w:rPr>
      </w:pPr>
      <w:r w:rsidRPr="008D3E74">
        <w:rPr>
          <w:rFonts w:ascii="Arial" w:hAnsi="Arial" w:cs="Arial"/>
          <w:i/>
        </w:rPr>
        <w:t>Measures</w:t>
      </w:r>
    </w:p>
    <w:p w14:paraId="3040AA53" w14:textId="72A3577B" w:rsidR="00863C23" w:rsidRPr="008D3E74" w:rsidRDefault="009D3949" w:rsidP="000050E5">
      <w:pPr>
        <w:spacing w:line="480" w:lineRule="auto"/>
        <w:jc w:val="both"/>
        <w:rPr>
          <w:rFonts w:ascii="Arial" w:hAnsi="Arial" w:cs="Arial"/>
          <w:i/>
        </w:rPr>
      </w:pPr>
      <w:r w:rsidRPr="008D3E74">
        <w:rPr>
          <w:rFonts w:ascii="Arial" w:hAnsi="Arial" w:cs="Arial"/>
          <w:i/>
        </w:rPr>
        <w:t>Sexual orientation</w:t>
      </w:r>
      <w:r w:rsidR="00863C23" w:rsidRPr="008D3E74">
        <w:rPr>
          <w:rFonts w:ascii="Arial" w:hAnsi="Arial" w:cs="Arial"/>
          <w:i/>
        </w:rPr>
        <w:t xml:space="preserve"> (independent variable)</w:t>
      </w:r>
    </w:p>
    <w:p w14:paraId="144E2317" w14:textId="26554212" w:rsidR="00342102" w:rsidRPr="008D3E74" w:rsidRDefault="00342102" w:rsidP="000050E5">
      <w:pPr>
        <w:spacing w:line="480" w:lineRule="auto"/>
        <w:jc w:val="both"/>
        <w:rPr>
          <w:rFonts w:ascii="Arial" w:hAnsi="Arial" w:cs="Arial"/>
        </w:rPr>
      </w:pPr>
      <w:r w:rsidRPr="008D3E74">
        <w:rPr>
          <w:rFonts w:ascii="Arial" w:hAnsi="Arial" w:cs="Arial"/>
        </w:rPr>
        <w:t>Two items</w:t>
      </w:r>
      <w:r w:rsidR="00621ED8" w:rsidRPr="008D3E74">
        <w:rPr>
          <w:rFonts w:ascii="Arial" w:hAnsi="Arial" w:cs="Arial"/>
        </w:rPr>
        <w:t>, adapted from the Kinsey scale,</w:t>
      </w:r>
      <w:r w:rsidRPr="008D3E74">
        <w:rPr>
          <w:rFonts w:ascii="Arial" w:hAnsi="Arial" w:cs="Arial"/>
        </w:rPr>
        <w:t xml:space="preserve"> were used to measure sexual orientation: </w:t>
      </w:r>
      <w:r w:rsidR="005C35CE" w:rsidRPr="008D3E74">
        <w:rPr>
          <w:rFonts w:ascii="Arial" w:hAnsi="Arial" w:cs="Arial"/>
        </w:rPr>
        <w:t>(a)</w:t>
      </w:r>
      <w:r w:rsidR="00180524" w:rsidRPr="008D3E74">
        <w:rPr>
          <w:rFonts w:ascii="Arial" w:hAnsi="Arial" w:cs="Arial"/>
        </w:rPr>
        <w:t xml:space="preserve"> </w:t>
      </w:r>
      <w:r w:rsidRPr="008D3E74">
        <w:rPr>
          <w:rFonts w:ascii="Arial" w:hAnsi="Arial" w:cs="Arial"/>
        </w:rPr>
        <w:t xml:space="preserve">“Which statement best describes your sexual orientation? This means sexual feelings, whether or not you have had any sexual partners.” </w:t>
      </w:r>
      <w:r w:rsidR="00002E51" w:rsidRPr="008D3E74">
        <w:rPr>
          <w:rFonts w:ascii="Arial" w:hAnsi="Arial" w:cs="Arial"/>
        </w:rPr>
        <w:t xml:space="preserve">with </w:t>
      </w:r>
      <w:r w:rsidR="00002E51" w:rsidRPr="008D3E74">
        <w:rPr>
          <w:rFonts w:ascii="Arial" w:hAnsi="Arial" w:cs="Arial"/>
        </w:rPr>
        <w:lastRenderedPageBreak/>
        <w:t xml:space="preserve">answer options </w:t>
      </w:r>
      <w:r w:rsidRPr="008D3E74">
        <w:rPr>
          <w:rFonts w:ascii="Arial" w:hAnsi="Arial" w:cs="Arial"/>
        </w:rPr>
        <w:t xml:space="preserve">“entirely heterosexual”, “mostly heterosexual”, “bisexual”, “mostly homosexual”, “entirely homosexual”, </w:t>
      </w:r>
      <w:r w:rsidR="00002E51" w:rsidRPr="008D3E74">
        <w:rPr>
          <w:rFonts w:ascii="Arial" w:hAnsi="Arial" w:cs="Arial"/>
        </w:rPr>
        <w:t xml:space="preserve">and </w:t>
      </w:r>
      <w:r w:rsidRPr="008D3E74">
        <w:rPr>
          <w:rFonts w:ascii="Arial" w:hAnsi="Arial" w:cs="Arial"/>
        </w:rPr>
        <w:t>“other”</w:t>
      </w:r>
      <w:r w:rsidR="00002E51" w:rsidRPr="008D3E74">
        <w:rPr>
          <w:rFonts w:ascii="Arial" w:hAnsi="Arial" w:cs="Arial"/>
        </w:rPr>
        <w:t>;</w:t>
      </w:r>
      <w:r w:rsidRPr="008D3E74">
        <w:rPr>
          <w:rFonts w:ascii="Arial" w:hAnsi="Arial" w:cs="Arial"/>
        </w:rPr>
        <w:t xml:space="preserve"> and </w:t>
      </w:r>
      <w:r w:rsidR="005C35CE" w:rsidRPr="008D3E74">
        <w:rPr>
          <w:rFonts w:ascii="Arial" w:hAnsi="Arial" w:cs="Arial"/>
        </w:rPr>
        <w:t>(b)</w:t>
      </w:r>
      <w:r w:rsidR="00180524" w:rsidRPr="008D3E74">
        <w:rPr>
          <w:rFonts w:ascii="Arial" w:hAnsi="Arial" w:cs="Arial"/>
        </w:rPr>
        <w:t xml:space="preserve"> </w:t>
      </w:r>
      <w:r w:rsidR="00002E51" w:rsidRPr="008D3E74">
        <w:rPr>
          <w:rFonts w:ascii="Arial" w:hAnsi="Arial" w:cs="Arial"/>
        </w:rPr>
        <w:t>“</w:t>
      </w:r>
      <w:r w:rsidRPr="008D3E74">
        <w:rPr>
          <w:rFonts w:ascii="Arial" w:hAnsi="Arial" w:cs="Arial"/>
        </w:rPr>
        <w:t>Please choose the answer below that best describes how you currently think of yourself...</w:t>
      </w:r>
      <w:r w:rsidR="00002E51" w:rsidRPr="008D3E74">
        <w:rPr>
          <w:rFonts w:ascii="Arial" w:hAnsi="Arial" w:cs="Arial"/>
        </w:rPr>
        <w:t xml:space="preserve">” with answer options “completely heterosexual”, “mainly heterosexual”, “bisexual”, “mainly homosexual”, “completely homosexual”, and “other”. </w:t>
      </w:r>
      <w:r w:rsidR="00CA3FED" w:rsidRPr="008D3E74">
        <w:rPr>
          <w:rFonts w:ascii="Arial" w:hAnsi="Arial" w:cs="Arial"/>
        </w:rPr>
        <w:t>Participants were randomly allocated to item (a) and item (b) in order to analyze the impact of question wording and format</w:t>
      </w:r>
      <w:r w:rsidR="00A20851" w:rsidRPr="008D3E74">
        <w:rPr>
          <w:rFonts w:ascii="Arial" w:hAnsi="Arial" w:cs="Arial"/>
        </w:rPr>
        <w:t xml:space="preserve"> on the prevalence of non-heterosexual orientation</w:t>
      </w:r>
      <w:r w:rsidR="00B31D92" w:rsidRPr="008D3E74">
        <w:rPr>
          <w:rFonts w:ascii="Arial" w:hAnsi="Arial" w:cs="Arial"/>
        </w:rPr>
        <w:t xml:space="preserve"> in the sample</w:t>
      </w:r>
      <w:r w:rsidR="00CA3FED" w:rsidRPr="008D3E74">
        <w:rPr>
          <w:rFonts w:ascii="Arial" w:hAnsi="Arial" w:cs="Arial"/>
        </w:rPr>
        <w:t>.</w:t>
      </w:r>
      <w:r w:rsidR="003C6AA3" w:rsidRPr="008D3E74">
        <w:rPr>
          <w:rFonts w:ascii="Arial" w:hAnsi="Arial" w:cs="Arial"/>
        </w:rPr>
        <w:t xml:space="preserve"> </w:t>
      </w:r>
      <w:r w:rsidR="006C74EE" w:rsidRPr="008D3E74">
        <w:rPr>
          <w:rFonts w:ascii="Arial" w:hAnsi="Arial" w:cs="Arial"/>
        </w:rPr>
        <w:t>As in a previous APMS publication, t</w:t>
      </w:r>
      <w:r w:rsidR="00002E51" w:rsidRPr="008D3E74">
        <w:rPr>
          <w:rFonts w:ascii="Arial" w:hAnsi="Arial" w:cs="Arial"/>
        </w:rPr>
        <w:t>he two items were</w:t>
      </w:r>
      <w:r w:rsidR="00637C18" w:rsidRPr="008D3E74">
        <w:rPr>
          <w:rFonts w:ascii="Arial" w:hAnsi="Arial" w:cs="Arial"/>
        </w:rPr>
        <w:t xml:space="preserve"> combined</w:t>
      </w:r>
      <w:r w:rsidR="00002E51" w:rsidRPr="008D3E74">
        <w:rPr>
          <w:rFonts w:ascii="Arial" w:hAnsi="Arial" w:cs="Arial"/>
        </w:rPr>
        <w:t xml:space="preserve">, and heterosexual orientation </w:t>
      </w:r>
      <w:r w:rsidR="004C4621" w:rsidRPr="008D3E74">
        <w:rPr>
          <w:rFonts w:ascii="Arial" w:hAnsi="Arial" w:cs="Arial"/>
        </w:rPr>
        <w:t xml:space="preserve">was operationalized as replying </w:t>
      </w:r>
      <w:r w:rsidR="00002E51" w:rsidRPr="008D3E74">
        <w:rPr>
          <w:rFonts w:ascii="Arial" w:hAnsi="Arial" w:cs="Arial"/>
        </w:rPr>
        <w:t>“entirely heterosexual”</w:t>
      </w:r>
      <w:r w:rsidR="00394BB2" w:rsidRPr="008D3E74">
        <w:rPr>
          <w:rFonts w:ascii="Arial" w:hAnsi="Arial" w:cs="Arial"/>
        </w:rPr>
        <w:t xml:space="preserve"> </w:t>
      </w:r>
      <w:r w:rsidR="004C4621" w:rsidRPr="008D3E74">
        <w:rPr>
          <w:rFonts w:ascii="Arial" w:hAnsi="Arial" w:cs="Arial"/>
        </w:rPr>
        <w:t>to the first item</w:t>
      </w:r>
      <w:r w:rsidR="00002E51" w:rsidRPr="008D3E74">
        <w:rPr>
          <w:rFonts w:ascii="Arial" w:hAnsi="Arial" w:cs="Arial"/>
        </w:rPr>
        <w:t xml:space="preserve"> or “completely heterosexual”</w:t>
      </w:r>
      <w:r w:rsidR="00394BB2" w:rsidRPr="008D3E74">
        <w:rPr>
          <w:rFonts w:ascii="Arial" w:hAnsi="Arial" w:cs="Arial"/>
        </w:rPr>
        <w:t xml:space="preserve"> </w:t>
      </w:r>
      <w:r w:rsidR="004C4621" w:rsidRPr="008D3E74">
        <w:rPr>
          <w:rFonts w:ascii="Arial" w:hAnsi="Arial" w:cs="Arial"/>
        </w:rPr>
        <w:t>to the second item</w:t>
      </w:r>
      <w:r w:rsidR="00354212" w:rsidRPr="008D3E74">
        <w:rPr>
          <w:rFonts w:ascii="Arial" w:hAnsi="Arial" w:cs="Arial"/>
        </w:rPr>
        <w:t xml:space="preserve"> </w:t>
      </w:r>
      <w:r w:rsidR="00D263D7" w:rsidRPr="008D3E74">
        <w:rPr>
          <w:rFonts w:ascii="Arial" w:hAnsi="Arial" w:cs="Arial"/>
        </w:rPr>
        <w:fldChar w:fldCharType="begin"/>
      </w:r>
      <w:r w:rsidR="00754C02" w:rsidRPr="008D3E74">
        <w:rPr>
          <w:rFonts w:ascii="Arial" w:hAnsi="Arial" w:cs="Arial"/>
        </w:rPr>
        <w:instrText xml:space="preserve"> ADDIN ZOTERO_ITEM CSL_CITATION {"citationID":"CZEwZdq5","properties":{"formattedCitation":"(Chakraborty {\\i{}et al.} 2011)","plainCitation":"(Chakraborty et al. 2011)","noteIndex":0},"citationItems":[{"id":1126,"uris":["http://zotero.org/users/local/hhPVnw6l/items/KQSAVCL3"],"uri":["http://zotero.org/users/local/hhPVnw6l/items/KQSAVCL3"],"itemData":{"id":1126,"type":"article-journal","title":"Mental health of the non-heterosexual population of England","container-title":"The British Journal of Psychiatry","page":"143-148","volume":"198","issue":"2","source":"PubMed","abstract":"BACKGROUND: There has been little research into the prevalence of mental health problems in lesbian, gay and bisexual (LGB) people in the UK with most work conducted in the USA.\nAIMS: To relate the prevalence of mental disorder, self-harm and suicide attempts to sexual orientation in England, and to test whether psychiatric problems were associated with discrimination on grounds of sexuality.\nMETHOD: The Adult Psychiatric Morbidity Survey 2007 (n = 7403) was representative of the population living in private UK households. Standardised questions provided demographic information. Neurotic symptoms, common mental disorders, probable psychosis, suicidality, alcohol and drug dependence and service utilisation were assessed. In addition, detailed information was obtained about aspects of sexual identity and perceived discrimination on these grounds.\nRESULTS: Self-reported identification as non-heterosexual (determined by both orientation and sexual partnership, separately) was associated with unhappiness, neurotic disorders overall, depressive episodes, generalised anxiety disorder, obsessive-compulsive disorder, phobic disorder, probable psychosis, suicidal thoughts and acts, self-harm and alcohol and drug dependence. Mental health-related general practitioner consultations and community care service use over the previous year were also elevated. In the non-heterosexual group, discrimination on the grounds of sexual orientation predicted certain neurotic disorder outcomes, even after adjustment for potentially confounding demographic variables.\nCONCLUSIONS: This study corroborates international findings that people of non-heterosexual orientation report elevated levels of mental health problems and service usage, and it lends further support to the suggestion that perceived discrimination may act as a social stressor in the genesis of mental health problems in this population.","DOI":"10.1192/bjp.bp.110.082271","ISSN":"1472-1465","note":"PMID: 21282785","journalAbbreviation":"Br J Psychiatry","language":"eng","author":[{"family":"Chakraborty","given":"Apu"},{"family":"McManus","given":"Sally"},{"family":"Brugha","given":"Terry S."},{"family":"Bebbington","given":"Paul"},{"family":"King","given":"Michael"}],"issued":{"date-parts":[["2011",2]]}}}],"schema":"https://github.com/citation-style-language/schema/raw/master/csl-citation.json"} </w:instrText>
      </w:r>
      <w:r w:rsidR="00D263D7" w:rsidRPr="008D3E74">
        <w:rPr>
          <w:rFonts w:ascii="Arial" w:hAnsi="Arial" w:cs="Arial"/>
        </w:rPr>
        <w:fldChar w:fldCharType="separate"/>
      </w:r>
      <w:r w:rsidR="00754C02" w:rsidRPr="008D3E74">
        <w:rPr>
          <w:rFonts w:ascii="Arial" w:hAnsi="Arial" w:cs="Arial"/>
        </w:rPr>
        <w:t xml:space="preserve">(Chakraborty </w:t>
      </w:r>
      <w:r w:rsidR="00754C02" w:rsidRPr="008D3E74">
        <w:rPr>
          <w:rFonts w:ascii="Arial" w:hAnsi="Arial" w:cs="Arial"/>
          <w:i/>
          <w:iCs/>
        </w:rPr>
        <w:t>et al.</w:t>
      </w:r>
      <w:r w:rsidR="00754C02" w:rsidRPr="008D3E74">
        <w:rPr>
          <w:rFonts w:ascii="Arial" w:hAnsi="Arial" w:cs="Arial"/>
        </w:rPr>
        <w:t xml:space="preserve"> 2011)</w:t>
      </w:r>
      <w:r w:rsidR="00D263D7" w:rsidRPr="008D3E74">
        <w:rPr>
          <w:rFonts w:ascii="Arial" w:hAnsi="Arial" w:cs="Arial"/>
        </w:rPr>
        <w:fldChar w:fldCharType="end"/>
      </w:r>
      <w:r w:rsidR="00354212" w:rsidRPr="008D3E74">
        <w:rPr>
          <w:rFonts w:ascii="Arial" w:hAnsi="Arial" w:cs="Arial"/>
        </w:rPr>
        <w:t>.</w:t>
      </w:r>
      <w:r w:rsidR="00002E51" w:rsidRPr="008D3E74">
        <w:rPr>
          <w:rFonts w:ascii="Arial" w:hAnsi="Arial" w:cs="Arial"/>
        </w:rPr>
        <w:t xml:space="preserve"> </w:t>
      </w:r>
      <w:r w:rsidR="004C4621" w:rsidRPr="008D3E74">
        <w:rPr>
          <w:rFonts w:ascii="Arial" w:hAnsi="Arial" w:cs="Arial"/>
        </w:rPr>
        <w:t xml:space="preserve">All other individuals </w:t>
      </w:r>
      <w:proofErr w:type="gramStart"/>
      <w:r w:rsidR="004C4621" w:rsidRPr="008D3E74">
        <w:rPr>
          <w:rFonts w:ascii="Arial" w:hAnsi="Arial" w:cs="Arial"/>
        </w:rPr>
        <w:t>were considered to be</w:t>
      </w:r>
      <w:proofErr w:type="gramEnd"/>
      <w:r w:rsidR="004C4621" w:rsidRPr="008D3E74">
        <w:rPr>
          <w:rFonts w:ascii="Arial" w:hAnsi="Arial" w:cs="Arial"/>
        </w:rPr>
        <w:t xml:space="preserve"> non-heterosexual.</w:t>
      </w:r>
    </w:p>
    <w:p w14:paraId="046E2F6B" w14:textId="77777777" w:rsidR="00DE5B13" w:rsidRPr="008D3E74" w:rsidRDefault="00DE5B13" w:rsidP="000050E5">
      <w:pPr>
        <w:spacing w:line="480" w:lineRule="auto"/>
        <w:jc w:val="both"/>
        <w:rPr>
          <w:rFonts w:ascii="Arial" w:hAnsi="Arial" w:cs="Arial"/>
          <w:i/>
        </w:rPr>
      </w:pPr>
    </w:p>
    <w:p w14:paraId="0DB1F592" w14:textId="64669451" w:rsidR="00920562" w:rsidRPr="008D3E74" w:rsidRDefault="009D3949" w:rsidP="000050E5">
      <w:pPr>
        <w:spacing w:line="480" w:lineRule="auto"/>
        <w:jc w:val="both"/>
        <w:rPr>
          <w:rFonts w:ascii="Arial" w:hAnsi="Arial" w:cs="Arial"/>
          <w:i/>
        </w:rPr>
      </w:pPr>
      <w:r w:rsidRPr="008D3E74">
        <w:rPr>
          <w:rFonts w:ascii="Arial" w:hAnsi="Arial" w:cs="Arial"/>
          <w:i/>
        </w:rPr>
        <w:t>Psychotic experiences</w:t>
      </w:r>
      <w:r w:rsidR="00920562" w:rsidRPr="008D3E74">
        <w:rPr>
          <w:rFonts w:ascii="Arial" w:hAnsi="Arial" w:cs="Arial"/>
          <w:i/>
        </w:rPr>
        <w:t xml:space="preserve"> (dependent variable)</w:t>
      </w:r>
    </w:p>
    <w:p w14:paraId="30D77D99" w14:textId="2FAA9027" w:rsidR="00180524" w:rsidRPr="008D3E74" w:rsidRDefault="00ED6D9F" w:rsidP="000050E5">
      <w:pPr>
        <w:spacing w:line="480" w:lineRule="auto"/>
        <w:jc w:val="both"/>
        <w:rPr>
          <w:rFonts w:ascii="Arial" w:hAnsi="Arial" w:cs="Arial"/>
        </w:rPr>
      </w:pPr>
      <w:r w:rsidRPr="008D3E74">
        <w:rPr>
          <w:rFonts w:ascii="Arial" w:hAnsi="Arial" w:cs="Arial"/>
        </w:rPr>
        <w:t>The Psychosis Screening Questionnaire (PSQ), which consists of sections on hypomania</w:t>
      </w:r>
      <w:r w:rsidR="009E6DA3" w:rsidRPr="008D3E74">
        <w:rPr>
          <w:rFonts w:ascii="Arial" w:hAnsi="Arial" w:cs="Arial"/>
        </w:rPr>
        <w:t>/mania</w:t>
      </w:r>
      <w:r w:rsidRPr="008D3E74">
        <w:rPr>
          <w:rFonts w:ascii="Arial" w:hAnsi="Arial" w:cs="Arial"/>
        </w:rPr>
        <w:t xml:space="preserve">, thought control, paranoia, strange experiences, and </w:t>
      </w:r>
      <w:r w:rsidR="009E6DA3" w:rsidRPr="008D3E74">
        <w:rPr>
          <w:rFonts w:ascii="Arial" w:hAnsi="Arial" w:cs="Arial"/>
        </w:rPr>
        <w:t xml:space="preserve">auditory </w:t>
      </w:r>
      <w:r w:rsidRPr="008D3E74">
        <w:rPr>
          <w:rFonts w:ascii="Arial" w:hAnsi="Arial" w:cs="Arial"/>
        </w:rPr>
        <w:t>hallucinations, was used to assess PEs in the past 12 months. As in a previous publication using the same dataset, the strictest criteria were used to define the presence or absence of psychotic symptoms in an attempt to capture truly anomalous experiences</w:t>
      </w:r>
      <w:r w:rsidR="00354212" w:rsidRPr="008D3E74">
        <w:rPr>
          <w:rFonts w:ascii="Arial" w:hAnsi="Arial" w:cs="Arial"/>
        </w:rPr>
        <w:t xml:space="preserve"> </w:t>
      </w:r>
      <w:r w:rsidRPr="008D3E74">
        <w:rPr>
          <w:rFonts w:ascii="Arial" w:hAnsi="Arial" w:cs="Arial"/>
        </w:rPr>
        <w:fldChar w:fldCharType="begin"/>
      </w:r>
      <w:r w:rsidR="00754C02" w:rsidRPr="008D3E74">
        <w:rPr>
          <w:rFonts w:ascii="Arial" w:hAnsi="Arial" w:cs="Arial"/>
        </w:rPr>
        <w:instrText xml:space="preserve"> ADDIN ZOTERO_ITEM CSL_CITATION {"citationID":"wrwiPS4O","properties":{"formattedCitation":"(Jacob {\\i{}et al.} 2018b)","plainCitation":"(Jacob et al. 2018b)","noteIndex":0},"citationItems":[{"id":1193,"uris":["http://zotero.org/users/local/hhPVnw6l/items/6CKDUZ6Z"],"uri":["http://zotero.org/users/local/hhPVnw6l/items/6CKDUZ6Z"],"itemData":{"id":1193,"type":"article-journal","title":"The association between problem gambling and psychotic experiences: Findings from the Adult Psychiatric Morbidity Survey 2007","container-title":"Schizophrenia Research","page":"79-84","volume":"201","source":"PubMed","abstract":"BACKGROUND: Studies on the association between psychotic experiences (PEs) and problem gambling are lacking. Thus, we examined the association between PEs and problem gambling in the general UK population.\nMETHODS: This study used community-based, cross-sectional data from the 2007 Adult Psychiatric Morbidity Survey (APMS) (n = 7403). Ten items from the DSM-IV criteria and the British Gambling Prevalence Survey studies were used to ascertain problem gambling among individuals who gambled in the past 12 months. Respondents were classified as no problem (0 criteria), at-risk (1 or 2 criteria) and problem gambling (≥3 criteria). Past 12-month PE was assessed with the Psychosis Screening Questionnaire. Multivariable logistic regression models were constructed to assess the association between gambling status (exposure variable) and PE (outcome variable).\nRESULTS: The final sample consisted of 7363 people aged ≥16 years with no definite or probable psychosis [mean (SD) age 46.4 (18.6) years; 51.2% females]. The prevalence of PE in those with no problem, at-risk, and problem gambling were 5.1%, 11.1%, and 29.7%, respectively. In the model adjusted for sociodemographics, common mental disorders and risky health behaviors, at-risk (OR = 1.88; 95% CI: 1.11-3.19) and problem gambling (OR = 4.64; 95% CI: 1.78-12.13) were associated with an increased odds for PE.\nCONCLUSION: Problem gambling and PE tend to co-exist. Further research is needed to gain a better understanding of the mechanisms that underlie the association observed.","DOI":"10.1016/j.schres.2018.05.026","ISSN":"1573-2509","note":"PMID: 29804926","title-short":"The association between problem gambling and psychotic experiences","journalAbbreviation":"Schizophr. Res.","language":"eng","author":[{"family":"Jacob","given":"Louis"},{"family":"Haro","given":"Josep Maria"},{"family":"Koyanagi","given":"Ai"}],"issued":{"date-parts":[["2018"]]}}}],"schema":"https://github.com/citation-style-language/schema/raw/master/csl-citation.json"} </w:instrText>
      </w:r>
      <w:r w:rsidRPr="008D3E74">
        <w:rPr>
          <w:rFonts w:ascii="Arial" w:hAnsi="Arial" w:cs="Arial"/>
        </w:rPr>
        <w:fldChar w:fldCharType="separate"/>
      </w:r>
      <w:r w:rsidR="00754C02" w:rsidRPr="008D3E74">
        <w:rPr>
          <w:rFonts w:ascii="Arial" w:hAnsi="Arial" w:cs="Arial"/>
        </w:rPr>
        <w:t xml:space="preserve">(Jacob </w:t>
      </w:r>
      <w:r w:rsidR="00754C02" w:rsidRPr="008D3E74">
        <w:rPr>
          <w:rFonts w:ascii="Arial" w:hAnsi="Arial" w:cs="Arial"/>
          <w:i/>
          <w:iCs/>
        </w:rPr>
        <w:t>et al.</w:t>
      </w:r>
      <w:r w:rsidR="00754C02" w:rsidRPr="008D3E74">
        <w:rPr>
          <w:rFonts w:ascii="Arial" w:hAnsi="Arial" w:cs="Arial"/>
        </w:rPr>
        <w:t xml:space="preserve"> 2018b)</w:t>
      </w:r>
      <w:r w:rsidRPr="008D3E74">
        <w:rPr>
          <w:rFonts w:ascii="Arial" w:hAnsi="Arial" w:cs="Arial"/>
        </w:rPr>
        <w:fldChar w:fldCharType="end"/>
      </w:r>
      <w:r w:rsidR="00354212" w:rsidRPr="008D3E74">
        <w:rPr>
          <w:rFonts w:ascii="Arial" w:hAnsi="Arial" w:cs="Arial"/>
        </w:rPr>
        <w:t>.</w:t>
      </w:r>
      <w:r w:rsidRPr="008D3E74">
        <w:rPr>
          <w:rFonts w:ascii="Arial" w:hAnsi="Arial" w:cs="Arial"/>
        </w:rPr>
        <w:t xml:space="preserve"> The questions used in the PSQ can be found in </w:t>
      </w:r>
      <w:r w:rsidRPr="008D3E74">
        <w:rPr>
          <w:rFonts w:ascii="Arial" w:hAnsi="Arial" w:cs="Arial"/>
          <w:b/>
        </w:rPr>
        <w:t>Appendix</w:t>
      </w:r>
      <w:r w:rsidR="0069690F" w:rsidRPr="008D3E74">
        <w:rPr>
          <w:rFonts w:ascii="Arial" w:hAnsi="Arial" w:cs="Arial"/>
          <w:b/>
        </w:rPr>
        <w:t xml:space="preserve"> 1</w:t>
      </w:r>
      <w:r w:rsidRPr="008D3E74">
        <w:rPr>
          <w:rFonts w:ascii="Arial" w:hAnsi="Arial" w:cs="Arial"/>
        </w:rPr>
        <w:t xml:space="preserve">. </w:t>
      </w:r>
      <w:r w:rsidR="00E31C36" w:rsidRPr="008D3E74">
        <w:rPr>
          <w:rFonts w:ascii="Arial" w:hAnsi="Arial" w:cs="Arial"/>
        </w:rPr>
        <w:t xml:space="preserve">Any </w:t>
      </w:r>
      <w:r w:rsidRPr="008D3E74">
        <w:rPr>
          <w:rFonts w:ascii="Arial" w:hAnsi="Arial" w:cs="Arial"/>
        </w:rPr>
        <w:t>PE referred to the endorsement of at least one of the five types of PE.</w:t>
      </w:r>
    </w:p>
    <w:p w14:paraId="482ED6A5" w14:textId="7BF3CF1F" w:rsidR="00D064CA" w:rsidRDefault="00D064CA" w:rsidP="000050E5">
      <w:pPr>
        <w:spacing w:line="480" w:lineRule="auto"/>
        <w:jc w:val="both"/>
        <w:rPr>
          <w:rFonts w:ascii="Arial" w:hAnsi="Arial" w:cs="Arial"/>
        </w:rPr>
      </w:pPr>
    </w:p>
    <w:p w14:paraId="535DE294" w14:textId="53CA2D98" w:rsidR="0036632E" w:rsidRDefault="0036632E" w:rsidP="000050E5">
      <w:pPr>
        <w:spacing w:line="480" w:lineRule="auto"/>
        <w:jc w:val="both"/>
        <w:rPr>
          <w:rFonts w:ascii="Arial" w:hAnsi="Arial" w:cs="Arial"/>
        </w:rPr>
      </w:pPr>
    </w:p>
    <w:p w14:paraId="0E43F44B" w14:textId="77777777" w:rsidR="0036632E" w:rsidRPr="008D3E74" w:rsidRDefault="0036632E" w:rsidP="000050E5">
      <w:pPr>
        <w:spacing w:line="480" w:lineRule="auto"/>
        <w:jc w:val="both"/>
        <w:rPr>
          <w:rFonts w:ascii="Arial" w:hAnsi="Arial" w:cs="Arial"/>
        </w:rPr>
      </w:pPr>
    </w:p>
    <w:p w14:paraId="74FA27C0" w14:textId="1C1C8597" w:rsidR="00D064CA" w:rsidRPr="008D3E74" w:rsidRDefault="00D064CA" w:rsidP="000050E5">
      <w:pPr>
        <w:spacing w:line="480" w:lineRule="auto"/>
        <w:jc w:val="both"/>
        <w:rPr>
          <w:rFonts w:ascii="Arial" w:hAnsi="Arial" w:cs="Arial"/>
          <w:i/>
        </w:rPr>
      </w:pPr>
      <w:r w:rsidRPr="008D3E74">
        <w:rPr>
          <w:rFonts w:ascii="Arial" w:hAnsi="Arial" w:cs="Arial"/>
          <w:i/>
        </w:rPr>
        <w:lastRenderedPageBreak/>
        <w:t>Mediating variables</w:t>
      </w:r>
    </w:p>
    <w:p w14:paraId="09286223" w14:textId="551E0771" w:rsidR="00AB58DD" w:rsidRPr="008D3E74" w:rsidRDefault="00D500CB" w:rsidP="000050E5">
      <w:pPr>
        <w:spacing w:line="480" w:lineRule="auto"/>
        <w:jc w:val="both"/>
        <w:rPr>
          <w:rFonts w:ascii="Arial" w:hAnsi="Arial" w:cs="Arial"/>
          <w:iCs/>
        </w:rPr>
      </w:pPr>
      <w:r w:rsidRPr="008D3E74">
        <w:rPr>
          <w:rFonts w:ascii="Arial" w:hAnsi="Arial" w:cs="Arial"/>
        </w:rPr>
        <w:t>These variables were selected based on previous literature</w:t>
      </w:r>
      <w:r w:rsidR="00354212" w:rsidRPr="008D3E74">
        <w:rPr>
          <w:rFonts w:ascii="Arial" w:hAnsi="Arial" w:cs="Arial"/>
        </w:rPr>
        <w:t xml:space="preserve"> </w:t>
      </w:r>
      <w:r w:rsidR="00CD3D9D" w:rsidRPr="008D3E74">
        <w:rPr>
          <w:rFonts w:ascii="Arial" w:hAnsi="Arial" w:cs="Arial"/>
        </w:rPr>
        <w:fldChar w:fldCharType="begin"/>
      </w:r>
      <w:r w:rsidR="005B25ED" w:rsidRPr="008D3E74">
        <w:rPr>
          <w:rFonts w:ascii="Arial" w:hAnsi="Arial" w:cs="Arial"/>
        </w:rPr>
        <w:instrText xml:space="preserve"> ADDIN ZOTERO_ITEM CSL_CITATION {"citationID":"Sr4F0fmj","properties":{"formattedCitation":"(Tien &amp; Anthony 1990; Berlan {\\i{}et al.} 2010; Roberts {\\i{}et al.} 2010; Varghese {\\i{}et al.} 2011; Beards {\\i{}et al.} 2013; Hagger-Johnson {\\i{}et al.} 2013; Pakula &amp; Shoveller 2013; Bauermeister {\\i{}et al.} 2014; Gage {\\i{}et al.} 2014; Gevonden {\\i{}et al.} 2014; Lindstr\\uc0\\u246{}m {\\i{}et al.} 2014; Alsawy {\\i{}et al.} 2015; Catone {\\i{}et al.} 2015; McGrath {\\i{}et al.} 2015; Mollborn &amp; Everett 2015; Smyth {\\i{}et al.} 2015; Austin {\\i{}et al.} 2016; DeVylder {\\i{}et al.} 2016; Doyle &amp; Molix 2016; Reuter {\\i{}et al.} 2016; Chen &amp; Shiu 2017; Jaya {\\i{}et al.} 2017; Lunn {\\i{}et al.} 2017; Niemantsverdriet {\\i{}et al.} 2017; Charlton {\\i{}et al.} 2018; Davies {\\i{}et al.} 2018; Krueger {\\i{}et al.} 2018; Reeve {\\i{}et al.} 2018)","plainCitation":"(Tien &amp; Anthony 1990; Berlan et al. 2010; Roberts et al. 2010; Varghese et al. 2011; Beards et al. 2013; Hagger-Johnson et al. 2013; Pakula &amp; Shoveller 2013; Bauermeister et al. 2014; Gage et al. 2014; Gevonden et al. 2014; Lindström et al. 2014; Alsawy et al. 2015; Catone et al. 2015; McGrath et al. 2015; Mollborn &amp; Everett 2015; Smyth et al. 2015; Austin et al. 2016; DeVylder et al. 2016; Doyle &amp; Molix 2016; Reuter et al. 2016; Chen &amp; Shiu 2017; Jaya et al. 2017; Lunn et al. 2017; Niemantsverdriet et al. 2017; Charlton et al. 2018; Davies et al. 2018; Krueger et al. 2018; Reeve et al. 2018)","noteIndex":0},"citationItems":[{"id":1163,"uris":["http://zotero.org/users/local/hhPVnw6l/items/9C6QDT6I"],"uri":["http://zotero.org/users/local/hhPVnw6l/items/9C6QDT6I"],"itemData":{"id":1163,"type":"article-journal","title":"Epidemiological analysis of alcohol and drug use as risk factors for psychotic experiences","container-title":"The Journal of Nervous and Mental Disease","page":"473-480","volume":"178","issue":"8","source":"PubMed","abstract":"Clinical and laboratory studies link alcohol and other drug use to the occurrence of psychotic experiences, but epidemiologic evidence has been lacking. In this study, the quantitative relationships between alcohol or other drug use and psychotic experiences were examined by analysis of prospective data from 4994 adult household residents sampled in a multisite survey of mental disorders in the population, the NIMH Epidemiologic Catchment Area Program. After control for sociodemographic factors and preexisting psychiatric conditions, the risk for onset of self-reported delusions or hallucinations was observed to be greater for daily users of marijuana or cocaine and for users of anxiolytics or sympathomimetics compared with nonusers. After control for daily cocaine use and alcohol disorder, the risk of onset of psychotic experiences for daily users of marijuana was double that for nonusers. Alcohol disorder in men was associated with eightfold risk and in women with threefold risk. Baseline depressive episodes, manic episodes, agoraphobia, and obsessive-compulsive disorder also were associated with increased risk of onset of psychotic experiences.","ISSN":"0022-3018","note":"PMID: 2380692","journalAbbreviation":"J. Nerv. Ment. Dis.","language":"eng","author":[{"family":"Tien","given":"A. Y."},{"family":"Anthony","given":"J. C."}],"issued":{"date-parts":[["1990",8]]}}},{"id":1267,"uris":["http://zotero.org/users/local/hhPVnw6l/items/L4XR4UR9"],"uri":["http://zotero.org/users/local/hhPVnw6l/items/L4XR4UR9"],"itemData":{"id":1267,"type":"article-journal","title":"Sexual orientation and bullying among adolescents in the growing up today study","container-title":"The Journal of Adolescent Health: Official Publication of the Society for Adolescent Medicine","page":"366-371","volume":"46","issue":"4","source":"PubMed","abstract":"PURPOSE: To examine the relationship between sexual orientation and past-year reports of bullying victimization and perpetration in a large sample of American youth.\nMETHODS: Survey data from 7,559 adolescents aged 14-22 who responded to the 2001 wave questionnaire of the Growing Up Today Study were examined cross-sectionally. Multivariable generalized estimating equations regression was performed using the modified Poisson method. We examined associations between sexual orientation and past-year bully victimization and perpetration with heterosexuals as the referent group, stratifying by gender and controlling for age, race/ethnicity, and weight status.\nRESULTS: Compared to heterosexual males, mostly heterosexual males (risk ratio [RR]: 1.45; 95% confidence interval [CI]: 1.13, 1.86) and gay males (RR 1.98; CI: 1.39, 2.82) were more likely to report being bullied. Similarly, mostly heterosexual females (RR: 1.72, 95% CI: 1.45, 2.03), bisexual females (RR: 1.63, 95% CI: 1.14, 2.31), and lesbians (RR: 3.36, 95% CI: 1.76, 6.41) were more likely to report being bullied than were heterosexual females. Gay males (RR: 0.34, 95% CI: 0.14, 0.84) were much less likely to report bullying others than were heterosexual males. Mostly heterosexual females (RR: 1.70, 95% CI: 1.42, 2.04) and bisexual females (RR: 2.41, 95% CI: 1.80, 3.24) were more likely to report bullying others than heterosexual females. No lesbian participants reported bullying others.\nCONCLUSIONS: There are significant differences in reports of bullying victimization and perpetration between heterosexual and sexual minority youth. Clinicians should inquire about sexual orientation and bullying, and coordinate care for youth who may need additional support.","DOI":"10.1016/j.jadohealth.2009.10.015","ISSN":"1879-1972","note":"PMID: 20307826\nPMCID: PMC2844864","journalAbbreviation":"J Adolesc Health","language":"eng","author":[{"family":"Berlan","given":"Elise D."},{"family":"Corliss","given":"Heather L."},{"family":"Field","given":"Alison E."},{"family":"Goodman","given":"Elizabeth"},{"family":"Austin","given":"S. Bryn"}],"issued":{"date-parts":[["2010",4]]}}},{"id":1270,"uris":["http://zotero.org/users/local/hhPVnw6l/items/RJ75KWCS"],"uri":["http://zotero.org/users/local/hhPVnw6l/items/RJ75KWCS"],"itemData":{"id":1270,"type":"article-journal","title":"Pervasive Trauma Exposure Among US Sexual Orientation Minority Adults and Risk of Posttraumatic Stress Disorder","container-title":"American Journal of Public Health","page":"2433-2441","volume":"100","issue":"12","source":"PubMed Central","abstract":"Objectives. We assessed sexual orientation disparities in exposure to violence and other potentially traumatic events and onset of posttraumatic stress disorder (PTSD) in a representative US sample., Methods. We used data from 34 653 noninstitutionalized adult US residents from the 2004 to 2005 wave of the National Epidemiologic Survey on Alcohol and Related Conditions., Results. Lesbians and gay men, bisexuals, and heterosexuals who reported any same-sex sexual partners over their lifetime had greater risk of childhood maltreatment, interpersonal violence, trauma to a close friend or relative, and unexpected death of someone close than did heterosexuals with no same-sex attractions or partners. Risk of onset of PTSD was higher among lesbians and gays (adjusted odds ratio [AOR] = 2.03; 95% confidence interval [CI] = 1.34, 3.06), bisexuals (AOR = 2.13; 95% CI = 1.38, 3.29), and heterosexuals with any same-sex partners (AOR = 2.06; 95% CI = 1.54, 2.74) than it was among the heterosexual reference group. This higher risk was largely accounted for by sexual orientation minorities’ greater exposure to violence, exposure to more potentially traumatic events, and earlier age of trauma exposure., Conclusions. Profound sexual orientation disparities exist in risk of PTSD and in violence exposure, beginning in childhood. Our findings suggest there is an urgent need for public health interventions aimed at preventing violence against individuals with minority sexual orientations and providing follow-up care to cope with the sequelae of violent victimization.","DOI":"10.2105/AJPH.2009.168971","ISSN":"0090-0036","note":"PMID: 20395586\nPMCID: PMC2978167","journalAbbreviation":"Am J Public Health","author":[{"family":"Roberts","given":"Andrea L."},{"family":"Austin","given":"S. Bryn"},{"family":"Corliss","given":"Heather L."},{"family":"Vandermorris","given":"Ashley K."},{"family":"Koenen","given":"Karestan C."}],"issued":{"date-parts":[["2010",12]]}}},{"id":1151,"uris":["http://zotero.org/users/local/hhPVnw6l/items/HLDSMQAN"],"uri":["http://zotero.org/users/local/hhPVnw6l/items/HLDSMQAN"],"itemData":{"id":1151,"type":"article-journal","title":"Psychotic-Like Experiences in Major Depression and Anxiety Disorders: A Population-Based Survey in Young Adults","container-title":"Schizophrenia Bulletin","page":"389-393","volume":"37","issue":"2","source":"PubMed Central","abstract":"Objective: Population-based surveys have confirmed that psychotic-like experiences are prevalent in the community. However, it is unclear if these experiences are associated with common mental disorders. The aim of this study was to examine the prevalence of psychotic-like experiences in those with affective and anxiety disorders. Methods: Subjects were drawn from the Mater-University of Queensland Study of Pregnancy. Delusion-like experiences were assessed with the Peters Delusional Inventory (PDI). The Composite International Diagnostic Interview (CIDI) was used to identify individuals with Diagnostic and Statistical Manual of Mental Disorders (Fourth Edition) lifetime diagnoses of major depression, anxiety disorder, substance use/dependence, and psychotic disorders. The influence of affective and anxiety disorders on PDI and CIDI psychosis-related items’ scores were assessed with logistic regression, with adjustments for age, sex, and the presence of the other comorbid psychiatric diagnoses. Results: Having either a lifetime diagnosis of major depressive disorder or an anxiety disorder was associated with significantly higher PDI total scores (highest vs lowest quartile adjusted odds ratios [ORs] and 95% confidence intervals [CIs] = 4.43, 3.09–6.36; 3.08, 2.26–4.20, respectively). The odds of endorsing any CIDI hallucination or delusion item was increased in those with a major depressive or anxiety disorder. The presence of current anxiety disorder symptoms was significantly associated with PDI score (OR = 5.81, 95% CI = 3.68–9.16). Conclusion: While psychotic-like experiences are usually associated with psychotic disorders, individuals with depression and anxiety are also more likely to report these symptoms compared with well individuals. Psychotic-like experiences are associated with a range of common mental disorders.","DOI":"10.1093/schbul/sbp083","ISSN":"0586-7614","note":"PMID: 19687152\nPMCID: PMC3044630","title-short":"Psychotic-Like Experiences in Major Depression and Anxiety Disorders","journalAbbreviation":"Schizophr Bull","author":[{"family":"Varghese","given":"Daniel"},{"family":"Scott","given":"James"},{"family":"Welham","given":"Joy"},{"family":"Bor","given":"William"},{"family":"Najman","given":"Jake"},{"family":"O'Callaghan","given":"Michael"},{"family":"Williams","given":"Gail"},{"family":"McGrath","given":"John"}],"issued":{"date-parts":[["2011",3]]}}},{"id":1132,"uris":["http://zotero.org/users/local/hhPVnw6l/items/VS9MQTPW"],"uri":["http://zotero.org/users/local/hhPVnw6l/items/VS9MQTPW"],"itemData":{"id":1132,"type":"article-journal","title":"Life Events and Psychosis: A Review and Meta-analysis","container-title":"Schizophrenia Bulletin","page":"740-747","volume":"39","issue":"4","source":"PubMed Central","abstract":"Introduction:Recent models of psychosis implicate stressful events in its etiology. However, while evidence has accumulated for childhood trauma, the role of adult life events has received less attention. Therefore, a review of the existing literature on the relationship between life events and onset of psychotic disorder/experiences is timely. Methods: A search was conducted using PsychInfo, Medline, Embase, and Web of Science to identify studies of life events and the onset of psychosis or psychotic experiences within the general population. Given previous methodological concerns, this review included a novel quality assessment tool and focused on findings from the most robust studies. A meta-analysis was performed on a subgroup of 13 studies. Results: Sixteen studies published between 1968 and 2012 were included. Of these, 14 reported positive associations between exposure to adult life events and subsequent onset of psychotic disorder/experiences. The meta-analysis yielded an overall weighted OR of 3.19 (95% CI 2.15–4.75). However, many studies were limited by small sample sizes and the use of checklist measures of life events, with no consideration of contextual influences on the meaning and interpretation of events. Conclusions: Few studies have assessed the role of adult life events in the onset of psychosis. There was some evidence that reported exposure to adult life events was associated with increased risk of psychotic disorder and subclinical psychotic experiences. However, the methodological quality of the majority of studies was low, which urges caution in interpreting the results and points toward a need for more methodologically robust studies.","DOI":"10.1093/schbul/sbt065","ISSN":"0586-7614","note":"PMID: 23671196\nPMCID: PMC3686461","title-short":"Life Events and Psychosis","journalAbbreviation":"Schizophr Bull","author":[{"family":"Beards","given":"Stephanie"},{"family":"Gayer-Anderson","given":"Charlotte"},{"family":"Borges","given":"Susana"},{"family":"Dewey","given":"Michael E."},{"family":"Fisher","given":"Helen L."},{"family":"Morgan","given":"Craig"}],"issued":{"date-parts":[["2013",7]]}}},{"id":1154,"uris":["http://zotero.org/users/local/hhPVnw6l/items/YR997BM9"],"uri":["http://zotero.org/users/local/hhPVnw6l/items/YR997BM9"],"itemData":{"id":1154,"type":"article-journal","title":"Sexual orientation identity in relation to smoking history and alcohol use at age 18/19: cross-sectional associations from the Longitudinal Study of Young People in England (LSYPE)","container-title":"BMJ Open","page":"e002810","volume":"3","issue":"8","source":"bmjopen.bmj.com","abstract":"Objectives Information about the health behaviours of minority groups is essential for addressing health inequalities. We evaluated the association among lesbian, gay or bisexual (LGB) sexual orientation identity and smoking and alcohol use in young people in England.\nDesign Data drawn from wave 6 of the Longitudinal Study of Young People in England (LSYPE).\nSetting Self-completion questionnaires during home visits, face-to-face interviews and web-based questionnaires.\nParticipants Data from 7698 participants (3762 men) with information on sexual orientation identity and health behaviours at age 18/19.\nOutcome measures Cigarette smoking history, alcohol drinking frequency and risky single occasion drinking (RSOD).\nResults LGB identity was reported by 3.1% of participants (55 gay, 33 lesbian, 35 bisexual male, 111 bisexual female), 3.5% when adjusting for the survey design. Adjusting for a range of covariates, identification as lesbian/gay was found to be associated with smoking (OR=2.23, 95% CI 1.42 to 3.51), alcohol drinking &gt;2 days/week (OR=1.99, 95% CI 1.25 to 3.17) and RSOD (OR=1.80, 95% CI 1.13 to 2.86) more than weekly. Bisexual identity was associated with smoking history (OR=1.84, 95% CI 1.30 to 2.61) but not alcohol drinking &gt;2 days/week (OR=1.20, 95% CI 0.79 to 1.81) or RSOD (OR=1.04, 95% CI 0.71 to 2.86).\nConclusions In a sample of more than 7600 young people aged 18/19 years in England, lesbian/gay identity is associated with cigarette smoking, drinking alcohol frequency and RSOD. Bisexual identity is associated with smoking but not RSOD or frequent alcohol drinking.","DOI":"10.1136/bmjopen-2013-002810","ISSN":"2044-6055, 2044-6055","note":"PMID: 23985386","title-short":"Sexual orientation identity in relation to smoking history and alcohol use at age 18/19","language":"en","author":[{"family":"Hagger-Johnson","given":"Gareth"},{"family":"Taibjee","given":"Rafik"},{"family":"Semlyen","given":"Joanna"},{"family":"Fitchie","given":"Isla"},{"family":"Fish","given":"Julie"},{"family":"Meads","given":"Catherine"},{"family":"Varney","given":"Justin"}],"issued":{"date-parts":[["2013",8,1]]}}},{"id":1148,"uris":["http://zotero.org/users/local/hhPVnw6l/items/EXFVAFNW"],"uri":["http://zotero.org/users/local/hhPVnw6l/items/EXFVAFNW"],"itemData":{"id":1148,"type":"article-journal","title":"Sexual orientation and self-reported mood disorder diagnosis among Canadian adults","container-title":"BMC Public Health","page":"209","volume":"13","source":"PubMed Central","abstract":"Background\nThe prevalence and correlates of mood disorders among people who self-identify as lesbian, gay or bisexual (LGB) are not well understood. Therefore, the current analysis was undertaken to estimate the prevalence and correlates of self-reported mood disorders among a nationally representative sample of Canadian adults (ages 18 to 59 years). Stratified analyses by age and sex were also performed.\n\nMethods\nUsing data from the 2007–2008 Canadian Community Health Survey, logistic regression techniques were used to determine whether sexual orientation was associated with self-reported mood disorders.\n\nResults\nAmong respondents who identified as LGB, 17.1% self-reported having a current mood disorder while 6.9% of heterosexuals reported having a current mood disorder. After adjusting for potential confounders, LGB-respondents remained more likely to report mood disorder as compared to heterosexual respondents (AOR: 2.93; 95% CI: 2.55-3.37). Gay and bisexual males were at elevated odds of reporting mood disorders (3.48; 95% CI: 2.81–4.31), compared to heterosexual males. Young LGB respondents (ages 18–29) had higher odds (3.75; 95% CI: 2.96–4.74), compared to same-age heterosexuals.\n\nConclusions\nThese results demonstrate elevated prevalence of mood disorders among LGB survey respondents compared to heterosexual respondents. Interventions and programming are needed to promote the mental health and well being of people who identify as LGB, especially those who belong to particular subgroups (e.g., men who are gay or bisexual; young people who are LGB).","DOI":"10.1186/1471-2458-13-209","ISSN":"1471-2458","note":"PMID: 23510500\nPMCID: PMC3599883","journalAbbreviation":"BMC Public Health","author":[{"family":"Pakula","given":"Basia"},{"family":"Shoveller","given":"Jean A"}],"issued":{"date-parts":[["2013",3,8]]}}},{"id":2281,"uris":["http://zotero.org/users/local/hhPVnw6l/items/TEVP3A3W"],"uri":["http://zotero.org/users/local/hhPVnw6l/items/TEVP3A3W"],"itemData":{"id":2281,"type":"article-journal","title":"Sexuality-related work discrimination and its association with the health of sexual minority emerging and young adult men in the Detroit Metro Area","container-title":"Sexuality research &amp; social policy : journal of NSRC : SR &amp; SP","page":"1-10","volume":"11","issue":"1","source":"PubMed Central","abstract":"Discrimination has been linked to negative health outcomes among minority populations. The increasing evidence regarding health disparities among sexual minorities has underscored the importance of addressing sexuality discrimination as a public health issue. We conducted a web-based survey between May and September of 2012 in order to obtain a diverse sample of young men who have sex with men (ages 18–29; N = 397; 83% gay; 49% Black, 27% White, 15% Latino) living in the Detroit Metro Area (Michigan, USA). Using multivariate regression models, we examined the association between overall health (self-rated health, days in prior month when their physical or mental health was not good, limited functionality) and experiences of sexuality-based work discrimination. Fifteen percent reported at least one experience of sexuality-based work discrimination in the prior year. Recent workplace discrimination was associated with poorer self-rated health, a greater number of days when health was not good, and more functional limitation. We discuss the importance of addressing sexuality-related discrimination as a public health problem and propose multilevel intervention strategies to address these discriminatory practices.","DOI":"10.1007/s13178-013-0139-0","ISSN":"1553-6610","note":"PMID: 24659928\nPMCID: PMC3960079","journalAbbreviation":"Sex Res Social Policy","author":[{"family":"Bauermeister","given":"José A."},{"family":"Meanley","given":"Steven"},{"family":"Hickok","given":"Andrew"},{"family":"Pingel","given":"Emily"},{"family":"VanHemert","given":"William"},{"family":"Loveluck","given":"Jimena"}],"issued":{"date-parts":[["2014",3,1]]}}},{"id":1259,"uris":["http://zotero.org/users/local/hhPVnw6l/items/U76PAZGB"],"uri":["http://zotero.org/users/local/hhPVnw6l/items/U76PAZGB"],"itemData":{"id":1259,"type":"article-journal","title":"Associations of cannabis and cigarette use with psychotic experiences at age 18: findings from the Avon Longitudinal Study of Parents and Children","container-title":"Psychological Medicine","page":"3435-3444","volume":"44","issue":"16","source":"PubMed Central","abstract":"Background.\nA clearer understanding of the basis for the association between cannabis use and psychotic experiences (PEs) is required. Our aim was to examine the extent to which associations between cannabis and cigarette use and PEs are due to confounding.\n\nMethod.\nA cohort study of 1756 adolescents with data on cannabis use, cigarette use and PEs.\n\nResults.\nCannabis use and cigarette use at age 16 were both associated, to a similar degree, with PEs at age 18 [odds ratio (OR) 1.48, 95% confidence interval (CI) 1.18–1.86 for cannabis and OR 1.61, 95% CI 1.31–1.98 for cigarettes]. Adjustment for cigarette smoking frequency (OR 1.27, 95% CI 0.91–1.76) or other illicit drug use (OR 1.25, 95% CI 0.91–1.73) substantially attenuated the relationship between cannabis and PEs. The attenuation was to a lesser degree when cannabis use was adjusted for in the cigarette PE association (OR 1.42, 95% CI 1.05–1.92). However, almost all of the participants used cannabis with tobacco, including those who classed themselves as non-cigarette smokers.\n\nConclusions.\nTeasing out the effects of cannabis from tobacco is highly complex and may not have been dealt with adequately in studies to date, including this one. Complementary methods are required to robustly examine the independent effects of cannabis, tobacco and other illicit drugs on PEs.","DOI":"10.1017/S0033291714000531","ISSN":"0033-2917","note":"PMID: 25066001\nPMCID: PMC4255321","title-short":"Associations of cannabis and cigarette use with psychotic experiences at age 18","journalAbbreviation":"Psychol Med","author":[{"family":"Gage","given":"S. H."},{"family":"Hickman","given":"M."},{"family":"Heron","given":"J."},{"family":"Munafò","given":"M. R."},{"family":"Lewis","given":"G."},{"family":"Macleod","given":"J."},{"family":"Zammit","given":"S."}],"issued":{"date-parts":[["2014",12]]}}},{"id":1124,"uris":["http://zotero.org/users/local/hhPVnw6l/items/GA8SRVT5"],"uri":["http://zotero.org/users/local/hhPVnw6l/items/GA8SRVT5"],"itemData":{"id":1124,"type":"article-journal","title":"Sexual minority status and psychotic symptoms: findings from the Netherlands Mental Health Survey and Incidence Studies (NEMESIS)","container-title":"Psychological Medicine","page":"421-433","volume":"44","issue":"2","source":"Cambridge Core","abstract":"Background\nEthnic minority position is associated with increased risk for psychotic outcomes, which may be mediated by experiences of social exclusion, defeat and discrimination. Sexual minorities are subject to similar stressors. The aim of this study is to examine whether sexual minorities are at increased risk for psychotic symptoms and to explore mediating pathways.\n\n\nMethod\nA cross-sectional survey was performed assessing cumulative incidence of psychotic symptoms with the Composite International Diagnostic Interview in two separate random general population samples (NEMESIS-1 and NEMESIS-2). Participants were sexually active and aged 18–64 years (n = 5927, n = 5308). Being lesbian, gay or bisexual (LGB) was defined as having sexual relations with at least one same-sex partner during the past year. Lifetime experience of any psychotic symptom was analysed using logistic regression, adjusted for gender, educational level, urbanicity, foreign-born parents, living without a partner, cannabis use and other drug use.\n\n\nResults\nThe rate of any psychotic symptom was elevated in the LGB population as compared with the heterosexual population both in NEMESIS-1 [odds ratio (OR) 2.56, 95% confidence interval (CI) 1.71–3.84] and NEMESIS-2 (OR 2.30, 95% CI 1.42–3.71). Childhood trauma, bullying and experience of discrimination partly mediated the association.\n\n\nConclusions\nThe finding that LGB orientation is associated with psychotic symptoms adds to the growing body of literature linking minority status with psychosis and other mental health problems, and suggests that exposure to minority stress represents an important mechanism.","DOI":"10.1017/S0033291713000718","ISSN":"0033-2917, 1469-8978","title-short":"Sexual minority status and psychotic symptoms","language":"en","author":[{"family":"Gevonden","given":"M. J."},{"family":"Selten","given":"J. P."},{"family":"Myin-Germeys","given":"I."},{"family":"Graaf","given":"R.","dropping-particle":"de"},{"family":"Have","given":"M.","dropping-particle":"ten"},{"family":"Dorsselaer","given":"S.","dropping-particle":"van"},{"family":"Os","given":"J.","dropping-particle":"van"},{"family":"Veling","given":"W."}],"issued":{"date-parts":[["2014",1]]}}},{"id":1264,"uris":["http://zotero.org/users/local/hhPVnw6l/items/F8N7H8BW"],"uri":["http://zotero.org/users/local/hhPVnw6l/items/F8N7H8BW"],"itemData":{"id":1264,"type":"article-journal","title":"Sexual orientation, social capital and daily tobacco smoking: a population-based study","container-title":"BMC Public Health","page":"565","volume":"14","issue":"1","source":"BioMed Central","abstract":"Studies have suggested poorer health in the homosexual and bisexual groups compared to heterosexuals. Tobacco smoking, which is a health-related behavior associated with psychosocial stress, may be one explanation behind such health differences. Social capital, i.e. the generalized trust in other people and social participation/social networks which decreases the costs of social interaction, has been suggested to affect health through psychosocial pathways and through norms connected with health related behaviours, The aim of this study is to investigate the association between sexual orientation and daily tobacco smoking, taking social capital into account and analyzing the attenuation of the logit after the introduction of social participation, trust and their combination in the models.","DOI":"10.1186/1471-2458-14-565","ISSN":"1471-2458","title-short":"Sexual orientation, social capital and daily tobacco smoking","journalAbbreviation":"BMC Public Health","author":[{"family":"Lindström","given":"Martin"},{"family":"Axelsson","given":"Jakob"},{"family":"Modén","given":"Birgit"},{"family":"Rosvall","given":"Maria"}],"issued":{"date-parts":[["2014",6,6]]}}},{"id":1168,"uris":["http://zotero.org/users/local/hhPVnw6l/items/RBTLK57N"],"uri":["http://zotero.org/users/local/hhPVnw6l/items/RBTLK57N"],"itemData":{"id":1168,"type":"article-journal","title":"Psychotic experiences and PTSD: exploring associations in a population survey","container-title":"Psychological Medicine","page":"2849-2859","volume":"45","issue":"13","source":"PubMed","abstract":"BACKGROUND: Extensive evidence has shown that experiencing a traumatic event and post-traumatic stress disorder (PTSD) are associated with experiences of psychosis. However, less is known about specific PTSD symptoms and their relationship with psychotic experiences. This study aimed to examine the relationship between symptoms of PTSD with paranoia and auditory hallucinations in a large-scale sample.\nMETHOD: The Adult Psychiatric Morbidity Survey (APMS) was utilized to examine the prevalence of lifetime trauma, symptoms of PTSD, and experiences of paranoia and auditory hallucinations (n = 7403).\nRESULTS: There were significant bivariate associations between symptoms of PTSD and psychotic experiences. Multiple logistic regression analyses indicated that reliving and arousal symptoms were significant predictors for paranoia while reliving, but not arousal symptoms, also significantly predicted auditory hallucinations. A dose-response relationship was found, the greater the number of PTSD symptoms, the greater the odds were of experiencing both paranoia and hallucinations.\nCONCLUSIONS: These findings illustrate that symptoms of PTSD are associated with increased odds of experiencing auditory hallucinations and paranoia. Overlaps appear to be present between the symptoms of PTSD and psychotic experiences. Increasing awareness of this association may advance work in clinical practice.","DOI":"10.1017/S003329171500080X","ISSN":"1469-8978","note":"PMID: 25990802","title-short":"Psychotic experiences and PTSD","journalAbbreviation":"Psychol Med","language":"eng","author":[{"family":"Alsawy","given":"S."},{"family":"Wood","given":"L."},{"family":"Taylor","given":"P. J."},{"family":"Morrison","given":"A. P."}],"issued":{"date-parts":[["2015",10]]}}},{"id":1188,"uris":["http://zotero.org/users/local/hhPVnw6l/items/VTMKMN3B"],"uri":["http://zotero.org/users/local/hhPVnw6l/items/VTMKMN3B"],"itemData":{"id":1188,"type":"article-journal","title":"Bullying victimisation and risk of psychotic phenomena: analyses of British national survey data","container-title":"The Lancet Psychiatry","page":"618-624","volume":"2","issue":"7","source":"www.thelancet.com","abstract":"&lt;h2&gt;Summary&lt;/h2&gt;&lt;h3&gt;Background&lt;/h3&gt;&lt;p&gt;Being bullied is an aversive experience with short-term and long-term consequences, and is incorporated in biopsychosocial models of psychosis. We used the 2000 and the 2007 British Adult Psychiatric Morbidity Surveys to test the hypothesis that bullying is associated with individual psychotic phenomena and with psychosis, and predicts the later emergence of persecutory ideation and hallucinations.&lt;/p&gt;&lt;h3&gt;Methods&lt;/h3&gt;&lt;p&gt;We analysed two nationally representative surveys of individuals aged 16 years or older in Great Britain (2000) and England (2007). Respondents were presented with a card listing stressful events to identify experiences of bullying over the entire lifespan. We assessed associations with the dependent variables persecutory ideation, auditory and visual hallucinations, and diagnosis of probable psychosis. All analyses were controlled for sociodemographic confounders, intelligence quotient (IQ), and other traumas.&lt;/p&gt;&lt;h3&gt;Findings&lt;/h3&gt;&lt;p&gt;We used data for 8580 respondents from 2000 and 7403 from 2007. Bullying was associated with presence of persecutory ideation and hallucinations, remaining so after adjustment for sociodemographic factors, IQ, other traumas, and childhood sexual abuse. Bullying was associated with a diagnosis of probable psychosis. If reported at baseline, bullying predicted emergence and maintenance of persecutory ideation and hallucinations during 18 months of follow-up in the 2000 survey. Controlling for other traumas and childhood sexual abuse did not affect the association between bullying and psychotic symptoms, but reduced the significance of the association with diagnosis of probable psychosis. Bullying was most strongly associated with the presence of concurrent persecutory ideation and hallucinations.&lt;/p&gt;&lt;h3&gt;Interpretation&lt;/h3&gt;&lt;p&gt;Bullying victimisation increases the risk of individual psychotic symptoms and of a diagnosis of probable psychosis. Early detection of bullying and use of treatments oriented towards its psychological consequences might ameliorate the course of psychosis.&lt;/p&gt;&lt;h3&gt;Funding&lt;/h3&gt;&lt;p&gt;None.&lt;/p&gt;","DOI":"10.1016/S2215-0366(15)00055-3","ISSN":"2215-0366, 2215-0374","title-short":"Bullying victimisation and risk of psychotic phenomena","journalAbbreviation":"The Lancet Psychiatry","language":"English","author":[{"family":"Catone","given":"Gennaro"},{"family":"Marwaha","given":"Steven"},{"family":"Kuipers","given":"Elizabeth"},{"family":"Lennox","given":"Belinda"},{"family":"Freeman","given":"Daniel"},{"family":"Bebbington","given":"Paul"},{"family":"Broome","given":"Matthew"}],"issued":{"date-parts":[["2015",7,1]]}}},{"id":2272,"uris":["http://zotero.org/users/local/hhPVnw6l/items/WPP3QL5U"],"uri":["http://zotero.org/users/local/hhPVnw6l/items/WPP3QL5U"],"itemData":{"id":2272,"type":"article-journal","title":"Psychotic experiences in the general population: a cross-national analysis based on 31,261 respondents from 18 countries","container-title":"JAMA psychiatry","page":"697-705","volume":"72","issue":"7","source":"PubMed Central","abstract":"IMPORTANCE\nCommunity-based surveys find that many otherwise healthy individuals report histories of hallucinations and delusions. To date, most studies have focused on the overall lifetime prevalence of ever having any of these psychotic experiences (PEs), possibly masking important features related to types and frequencies of PEs.\n\nOBJECTIVE\nTo explore detailed epidemiological information of PEs in a large cross-national sample.\n\nDESIGN, SETTING, AND PARTICIPANTS\nData came from the WHO World Mental Health (WMH) Surveys, a coordinated set of community epidemiological surveys of the prevalence and correlates of mental disorders in representative household samples in countries throughout the world. 31 261 adult (aged 18 and older) WMH respondents across 18 countries were asked about lifetime and 12-month prevalence and frequency of six types of PEs (two hallucinatory experiences [HEs] and four delusional experiences [DEs]).\n\nMAIN OUTCOMES\nPrevalence, frequency, and correlates of PEs.\n\nRESULTS\nMean lifetime prevalence (standard error) of ever having a lifetime PE was 5.8% (0.2), with hallucinatory experiences (5.2% [0.2]) much more common than delusional experiences (1.3% [0.1]), More than two-thirds (72.0%) of respondents with lifetime PEs reported experiencing only one type. PEs were typically infrequent, with 32.2% of respondents with lifetime PEs reporting only one occurrence and an additional 31.8% only 2–5 occurrences. There was a significant relationship between having more than one type of PE and having more frequent PE episodes. Lifetime prevalence estimates were significantly higher among respondents in middle and high income countries than low income countries, women than men, the non-married than the married, not employed and those with low family income.\n\nCONCLUSIONS AND RELEVANCE\nThe epidemiology of PEs is more nuanced than previously thought. Research is needed that focuses on similarities and differences in predictors of the onset, course, and consequences of distinct PEs.","DOI":"10.1001/jamapsychiatry.2015.0575","ISSN":"2168-622X","note":"PMID: 26018466\nPMCID: PMC5120396","title-short":"Psychotic experiences in the general population","journalAbbreviation":"JAMA Psychiatry","author":[{"family":"McGrath","given":"John J."},{"family":"Saha","given":"Sukanta"},{"family":"Al-Hamzawi","given":"Ali"},{"family":"Alonso","given":"Jordi"},{"family":"Bromet","given":"Evelyn J."},{"family":"Bruffaerts","given":"Ronny"},{"family":"Caldas-de-Almeida","given":"José Miguel"},{"family":"Chiu","given":"Wai Tat"},{"family":"Jonge","given":"Peter","non-dropping-particle":"de"},{"family":"Fayyad","given":"John"},{"family":"Florescu","given":"Silvia"},{"family":"Gureje","given":"Oye"},{"family":"Haro","given":"Josep Maria"},{"family":"Hu","given":"Chiyi"},{"family":"Kovess-Masfety","given":"Viviane"},{"family":"Lepine","given":"Jean Pierre"},{"family":"Lim","given":"Carmen W."},{"family":"Mora","given":"Maria Elena Medina"},{"family":"Navarro-Mateu","given":"Fernando"},{"family":"Ochoa","given":"Susana"},{"family":"Sampson","given":"Nancy"},{"family":"Scott","given":"Kate"},{"family":"Viana","given":"Maria Carmen"},{"family":"Kessler","given":"Ronald C."}],"issued":{"date-parts":[["2015",7]]}}},{"id":2275,"uris":["http://zotero.org/users/local/hhPVnw6l/items/FHL9GWQH"],"uri":["http://zotero.org/users/local/hhPVnw6l/items/FHL9GWQH"],"itemData":{"id":2275,"type":"article-journal","title":"Understanding the Educational Attainment of Sexual Minority Women and Men*","container-title":"Research in social stratification and mobility","page":"40-55","volume":"41","source":"PubMed Central","abstract":"National studies have not analyzed sexual identity disparities in high school completion, college enrollment, or college completion in the United States. Using Add Health data, we document the relationship between adult sexual orientation and each of these outcomes. Many sexual minority respondents experienced disadvantages in adolescent academic achievement, school experiences, and social environments. This translates into educational attainment in complex, gendered ways. We find that the socially privileged completely heterosexual identity predicts higher educational attainment for women, while for men it is often a liability. Mostly heterosexual and gay identities are educationally beneficial for men but not women. There are college completion disparities between gay and mostly heterosexual women and their completely heterosexual counterparts. Bisexual respondents, especially women, have particularly problematic outcomes. Adolescent experiences, attitudes, and social contexts explain some of these differences. From adolescence through college, sexual minority groups, but especially females, need intervention to reduce substantial educational disparities.","DOI":"10.1016/j.rssm.2015.04.004","ISSN":"0276-5624","note":"PMID: 26257457\nPMCID: PMC4524744","journalAbbreviation":"Res Soc Stratif Mobil","author":[{"family":"Mollborn","given":"Stefanie"},{"family":"Everett","given":"Bethany"}],"issued":{"date-parts":[["2015",9]]}}},{"id":1173,"uris":["http://zotero.org/users/local/hhPVnw6l/items/DKUFH4UP"],"uri":["http://zotero.org/users/local/hhPVnw6l/items/DKUFH4UP"],"itemData":{"id":1173,"type":"article-journal","title":"Social networks, social support and psychiatric symptoms: social determinants and associations within a multicultural community population","container-title":"Social Psychiatry and Psychiatric Epidemiology","page":"1111-1120","volume":"50","issue":"7","source":"PubMed Central","abstract":"Purpose\nLittle is known about how social networks and social support are distributed within diverse communities and how different types of each are associated with a range of psychiatric symptoms. This study aims to address such shortcomings by: (1) describing the demographic and socioeconomic characteristics of social networks and social support in a multicultural population and (2) examining how each is associated with multiple mental health outcomes.\n\nMethods\nData is drawn from the South East London Community Health Study; a cross-sectional study of 1,698 adults conducted between 2008 and 2010.\n\nResults\nThe findings demonstrate variation in social networks and social support by socio-demographic factors. Ethnic minority groups reported larger family networks but less perceived instrumental support. Older individuals and migrant groups reported lower levels of particular network and support types. Individuals from lower socioeconomic groups tended to report less social networks and support across the indicators measured. Perceived emotional and instrumental support, family and friend network size emerged as protective factors for common mental disorder, personality dysfunction and psychotic experiences. In contrast, both social networks and social support appear less relevant for hazardous alcohol use.\n\nConclusions\nThe findings both confirm established knowledge that social networks and social support exert differential effects on mental health and furthermore suggest that the particular type of social support may be important. In contrast, different types of social network appear to impact upon poor mental health in a more uniform way. Future psychosocial strategies promoting mental health should consider which social groups are vulnerable to reduced social networks and poor social support and which diagnostic groups may benefit most.","DOI":"10.1007/s00127-014-0943-8","ISSN":"0933-7954","note":"PMID: 25106666\nPMCID: PMC4464053","title-short":"Social networks, social support and psychiatric symptoms","journalAbbreviation":"Soc Psychiatry Psychiatr Epidemiol","author":[{"family":"Smyth","given":"Natasha"},{"family":"Siriwardhana","given":"Chesmal"},{"family":"Hotopf","given":"Matthew"},{"family":"Hatch","given":"Stephani L."}],"issued":{"date-parts":[["2015"]]}}},{"id":1276,"uris":["http://zotero.org/users/local/hhPVnw6l/items/7QPG5X4Q"],"uri":["http://zotero.org/users/local/hhPVnw6l/items/7QPG5X4Q"],"itemData":{"id":1276,"type":"article-journal","title":"Sexual orientation and diurnal cortisol patterns in a cohort of U.S. young adults","container-title":"Psychoneuroendocrinology","page":"197-208","volume":"69","source":"PubMed Central","abstract":"Sexual minorities in the United States are at elevated risk of bullying, discrimination, and violence victimization, all stressors that have been linked to psychological and behavioral stress responses including depressive and anxious symptoms and substance use. Acute and chronic stressors may also elicit physiologic stress responses, including changes in the regulation of the hypothalamic-pituitary-adrenocortical (HPA) axis. Few studies, however, have examined the relationship between minority sexual orientation and diurnal cortisol patterns. The present study included 1670 young adults ages 18–32 years (69% female, 31% male) from the Growing Up Today Study, a prospective cohort of U.S. youth. Participants provided five saliva samples over one day to estimate diurnal cortisol patterns. Sexual orientation groups included: completely heterosexual with no same-sex partners (referent), completely heterosexual with same-sex partners/mostly heterosexual, and gay/lesbian/bisexual. Covariates included perceived stress and stressful life events in the past month. Sex-stratified multilevel models of log-transformed cortisol values were used to model diurnal cortisol patterns, and generalized estimating equations were used to model area under the curve (AUC), both with respect to ground (AUCg) and increase (AUCi). Among females, sexual minorities reported significantly more stressful life events in the past month than their heterosexual counterparts. In adjusted multilevel models, sexual orientation was not significantly associated with diurnal cortisol patterns or with AUCg or AUCi in either females or males. There were no significant interactions between sexual orientation and stressful life events. Time-varying negative mood was significantly associated with higher cortisol levels across the day for both female and male participants, after adjusting for all covariates. This study from a large cohort of U.S. young adults did not detect a relationship between sexual orientation and diurnal cortisol patterns. Despite consistent evidence indicating that, compared to heterosexuals, sexual minorities experience elevated exposure to multiple forms of stressors and adversity across the life course, we did not find differences in diurnal cortisol rhythms by sexual orientation. One possible explanation is that sexual minority participants in the study exhibited physiologic resilience.","DOI":"10.1016/j.psyneuen.2016.04.012","ISSN":"0306-4530","note":"PMID: 27131052\nPMCID: PMC4880491","journalAbbreviation":"Psychoneuroendocrinology","author":[{"family":"Austin","given":"S. Bryn"},{"family":"Rosario","given":"Margaret"},{"family":"McLaughlin","given":"Katie A."},{"family":"Roberts","given":"Andrea L."},{"family":"Gordon","given":"Allegra R."},{"family":"Sarda","given":"Vishnudas"},{"family":"Missmer","given":"Stacey"},{"family":"Anatale-Tardiff","given":"Laura"},{"family":"Scherer","given":"Emily A."}],"issued":{"date-parts":[["2016",7]]}}},{"id":1179,"uris":["http://zotero.org/users/local/hhPVnw6l/items/QQDNKHM7"],"uri":["http://zotero.org/users/local/hhPVnw6l/items/QQDNKHM7"],"itemData":{"id":1179,"type":"article-journal","title":"Stress Sensitivity and Psychotic Experiences in 39 Low- and Middle-Income Countries","container-title":"Schizophrenia Bulletin","page":"1353-1362","volume":"42","issue":"6","source":"academic.oup.com","abstract":"Abstract.   Stress has a central role in most theories of psychosis etiology, but the relation between stress and psychosis has rarely been examined in large po","DOI":"10.1093/schbul/sbw044","ISSN":"0586-7614","journalAbbreviation":"Schizophr Bull","language":"en","author":[{"family":"DeVylder","given":"Jordan E."},{"family":"Koyanagi","given":"Ai"},{"family":"Unick","given":"Jay"},{"family":"Oh","given":"Hans"},{"family":"Nam","given":"Boyoung"},{"family":"Stickley","given":"Andrew"}],"issued":{"date-parts":[["2016",11,1]]}}},{"id":1203,"uris":["http://zotero.org/users/local/hhPVnw6l/items/H4LXDCN5"],"uri":["http://zotero.org/users/local/hhPVnw6l/items/H4LXDCN5"],"itemData":{"id":1203,"type":"article-journal","title":"Disparities in Social Health by Sexual Orientation and the Etiologic Role of Self-Reported Discrimination","container-title":"Archives of Sexual Behavior","page":"1317-1327","volume":"45","issue":"6","source":"PubMed","abstract":"Some past work indicates that sexual minorities may experience impairments in social health, or the perceived and actual availability and quality of one's social relationships, relative to heterosexuals; however, research has been limited in many ways. Furthermore, it is important to investigate etiological factors that may be associated with these disparities, such as self-reported discrimination. The current work tested whether sexual minority adults in the United States reported less positive social health (i.e., loneliness, friendship strain, familial strain, and social capital) relative to heterosexuals and whether self-reported discrimination accounted for these disparities. Participants for the current study (N = 579) were recruited via Amazon's Mechanical Turk, including 365 self-identified heterosexuals (105 women) and 214 sexual minorities (103 women). Consistent with hypotheses, sexual minorities reported impaired social health relative to heterosexuals, with divergent patterns emerging by sexual orientation subgroup (which were generally consistent across sexes). Additionally, self-reported discrimination accounted for disparities across three of four indicators of social health. These findings suggest that sexual minorities may face obstacles related to prejudice and discrimination that impair the functioning of their relationships and overall social health. Moreover, because social health is closely related to psychological and physical health, remediating disparities in social relationships may be necessary to address other health disparities based upon sexual orientation. Expanding upon these results, implications for efforts to build resilience among sexual minorities are discussed.","DOI":"10.1007/s10508-015-0639-5","ISSN":"1573-2800","note":"PMID: 26566900\nPMCID: PMC4866902","journalAbbreviation":"Arch Sex Behav","language":"eng","author":[{"family":"Doyle","given":"David Matthew"},{"family":"Molix","given":"Lisa"}],"issued":{"date-parts":[["2016"]]}}},{"id":1138,"uris":["http://zotero.org/users/local/hhPVnw6l/items/5F29C5MW"],"uri":["http://zotero.org/users/local/hhPVnw6l/items/5F29C5MW"],"itemData":{"id":1138,"type":"article-journal","title":"Sexual Orientation and Borderline Personality Disorder Features in a Community Sample of Adolescents","container-title":"Journal of Personality Disorders","page":"694-707","volume":"30","issue":"5","source":"PubMed","abstract":"Empirical literature demonstrates that sexual minorities are at an increased risk of developing psychopathology, including borderline personality disorder (BPD). The specific link between sexual orientation and BPD has received significantly less attention in youth, and it remains unclear what drives this relation. Given that there are higher rates of psychopathology in both sexual minorities and individuals with BPD, the present study aimed to determine if sexual orientation uniquely contributes to borderline personality pathology, controlling for other psychopathology. An ethnically diverse sample of 835 adolescents completed self-report measures of borderline features, depression, anxiety, and sexual orientation. Sexual minorities scored higher on borderline features compared to heterosexual adolescents. When controlling for depression and anxiety, sexual orientation remained significantly associated with borderline features. The relation between sexual orientation and BPD cannot fully be explained by other psychopathology. Future research is necessary to understand potential mechanisms underlying this relation.","DOI":"10.1521/pedi_2015_29_224","ISSN":"1943-2763","note":"PMID: 26583589","journalAbbreviation":"J. Pers. Disord.","language":"eng","author":[{"family":"Reuter","given":"Tyson R."},{"family":"Sharp","given":"Carla"},{"family":"Kalpakci","given":"Allison H."},{"family":"Choi","given":"Hye J."},{"family":"Temple","given":"Jeff R."}],"issued":{"date-parts":[["2016"]]}}},{"id":1143,"uris":["http://zotero.org/users/local/hhPVnw6l/items/SZ9DZU3S"],"uri":["http://zotero.org/users/local/hhPVnw6l/items/SZ9DZU3S"],"itemData":{"id":1143,"type":"article-journal","title":"Sexual Orientation and Sleep in the U.S.: A National Profile","container-title":"American Journal of Preventive Medicine","page":"433-442","volume":"52","issue":"4","source":"PubMed","abstract":"INTRODUCTION: Sexual minorities often experience poorer health than non-sexual minorities. However, extant knowledge remains limited regarding the sleep characteristics, a risk factor for chronic diseases and excess mortality, of sexual minorities compared with non-sexual minorities at the population level.\nMETHODS: This study analyzed the 2013-2014 National Health Interview Survey, Adult Sample (n=68,960) to examine the reported sleep duration and sleep disturbances (i.e., not feeling rested, difficulty falling asleep, and waking up at night) by sexual orientation (i.e., homosexual [n=1,149], bisexual [n=515], and other sexual minorities [n=144]). Statistical analysis, conducted in 2015, used multinomial logistic and logistic regressions to estimate the associations between sexual orientation and sleep variables.\nRESULTS: Adult sexual minorities had higher risks of sleep disturbances than heterosexual adults. Differences in SES and physical and mental health conditions partly explained the gaps. Sexual minority women had greater odds of waking up at night than sexual minority men did, but sexual minority adults who were also racial minorities showed no differences in odds of sleep disturbances compared to white sexual minority adults. Results found that sexual orientation was not associated with an increased risk of short or long sleep duration.\nCONCLUSIONS: This study documented substantial disparities in sleep disturbances between sexual minorities and non-sexual minorities. These gaps cannot simply be explained by social and demographic factors. Interventions that target sexual minorities should pay attention to disparities in sleep and investigate methods to promote sleep health of sexual minorities.","DOI":"10.1016/j.amepre.2016.10.039","ISSN":"1873-2607","note":"PMID: 28062273","title-short":"Sexual Orientation and Sleep in the U.S.","journalAbbreviation":"Am J Prev Med","language":"eng","author":[{"family":"Chen","given":"Jen-Hao"},{"family":"Shiu","given":"Cheng-Shi"}],"issued":{"date-parts":[["2017",4]]}}},{"id":1137,"uris":["http://zotero.org/users/local/hhPVnw6l/items/HZ5KM4FZ"],"uri":["http://zotero.org/users/local/hhPVnw6l/items/HZ5KM4FZ"],"itemData":{"id":1137,"type":"article-journal","title":"Loneliness and Psychotic Symptoms: The Mediating Role of Depression","container-title":"Cognitive Therapy and Research","page":"106-116","volume":"41","issue":"1","source":"Springer Link","abstract":"Psychotic symptoms have been shown to be associated with numerous social factors, such as migration and urban upbringing, of which one plausible common component is loneliness. This suggests a relationship between loneliness and positive psychotic symptoms. According to current cognitive models of psychosis, the relationship between loneliness and positive symptoms is likely to be explained by affective states. The current study examined the cross-sectional relationship between loneliness, depression, and positive symptoms in four separate community samples (combined N = 766) with regression based mediation analysis and network analysis. The results showed that depression completely mediated the relationship between loneliness and positive symptoms in three out of four samples. Partial mediation was found in one sample. Network analysis revealed that loneliness, depression, and positive symptoms clustered separately and that there was a unique connection between loneliness and items that assess paranoid beliefs, in the sense that loneliness was not found to be connected to other psychotic symptoms, such as hallucinations. As expected, loneliness is related to positive symptoms and depression played a strong role in explaining the association. Thus, early interventions of psychosis that target loneliness are likely to be beneficial, especially if these interventions additionally target depression. Furthermore, the specific connection of loneliness and paranoid beliefs supports the theory that specific adversity leads to specific psychotic symptoms.","DOI":"10.1007/s10608-016-9799-4","ISSN":"1573-2819","title-short":"Loneliness and Psychotic Symptoms","journalAbbreviation":"Cogn Ther Res","language":"en","author":[{"family":"Jaya","given":"Edo S."},{"family":"Hillmann","given":"Tobias E."},{"family":"Reininger","given":"Klaus Michael"},{"family":"Gollwitzer","given":"Anton"},{"family":"Lincoln","given":"Tania M."}],"issued":{"date-parts":[["2017",2,1]]}}},{"id":2269,"uris":["http://zotero.org/users/local/hhPVnw6l/items/BI93IJFY"],"uri":["http://zotero.org/users/local/hhPVnw6l/items/BI93IJFY"],"itemData":{"id":2269,"type":"article-journal","title":"Sociodemographic Characteristics and Health Outcomes Among Lesbian, Gay, and Bisexual U.S. Adults Using Healthy People 2020 Leading Health Indicators","container-title":"LGBT Health","page":"283-294","volume":"4","issue":"4","source":"PubMed Central","abstract":"Purpose: This study aimed to characterize the sociodemographic characteristics of sexual minority (i.e., gay, lesbian, bisexual) adults and compare sexual minority and heterosexual populations on nine Healthy People 2020 leading health indicators (LHIs)., Methods: Using a nationally representative, cross-sectional survey (National Health Interview Survey 2013–2015) of the civilian, noninstitutionalized population (228,893,944 adults), nine Healthy People 2020 LHIs addressing health behaviors and access to care, stratified using a composite variable of sex (female, male) and sexual orientation (gay or lesbian, bisexual, heterosexual), were analyzed individually and in aggregate., Results: In 2013–2015, sexual minority adults represented 2.4% of the U.S. population. Compared to heterosexuals, sexual minorities were more likely to be younger and to have never married. Gays and lesbians were more likely to have earned a graduate degree. Gay males were more likely to have a usual primary care provider, but gay/lesbian females were less likely than heterosexuals to have a usual primary care provider and health insurance. Gay males received more colorectal cancer screening than heterosexual males. Gay males, gay/lesbian females, and bisexual females were more likely to be current smokers than their sex-matched, heterosexual counterparts. Binge drinking was more common in bisexuals compared to heterosexuals. Sexual minority females were more likely to be obese than heterosexual females; the converse was true for gay males. Sexual minorities underwent more HIV testing than their heterosexual peers, but bisexual males were less likely than gay males to be tested. Gay males were more likely to meet all eligible LHIs than heterosexual males. Overall, more sexual minority adults met all eligible LHIs compared to heterosexual adults. Similar results were found regardless of HIV testing LHI inclusion., Conclusion: Differences between sexual minorities and heterosexuals suggest the need for targeted health assessments and public health interventions aimed at reducing specific negative health behaviors.","DOI":"10.1089/lgbt.2016.0087","ISSN":"2325-8292","note":"PMID: 28727950\nPMCID: PMC5564038","journalAbbreviation":"LGBT Health","author":[{"family":"Lunn","given":"Mitchell R."},{"family":"Cui","given":"Wanjun"},{"family":"Zack","given":"Matthew M."},{"family":"Thompson","given":"William W."},{"family":"Blank","given":"Michael B."},{"family":"Yehia","given":"Baligh R."}],"issued":{"date-parts":[["2017",8,1]]}}},{"id":1140,"uris":["http://zotero.org/users/local/hhPVnw6l/items/ZWC4D9AT"],"uri":["http://zotero.org/users/local/hhPVnw6l/items/ZWC4D9AT"],"itemData":{"id":1140,"type":"article-journal","title":"Hallucinations in borderline personality disorder: Prevalence, characteristics and associations with comorbid symptoms and disorders","container-title":"Scientific Reports","page":"13920","volume":"7","issue":"1","source":"www.nature.com","abstract":"To establish the point prevalence of hallucinations in borderline personality disorder (BPD), telephone interviews were conducted with 324 outpatients diagnosed with BPD. Then a subgroup (n = 98) was interviewed in person to investigate the co-occurrence of these phenomena with other psychotic symptoms, comorbid psychiatric disorders, prior childhood adversities, and adult life stressors. For hallucinations in general a point prevalence of 43% was found, with rates for hallucinations in separate sensory modalities ranging from 8–21%. Auditory verbal hallucinations consisted mostly of verbal abuse and were generally experienced as distressing. A significant association was found between the severity of hallucinations on the one hand, and delusions and unusual thought content on the other; this association was absent for negative symptoms and disorganization. The presence of hallucinations also correlated with the number of comorbid psychiatric disorders, and with posttraumatic stress disorder (PTSD) specifically. Childhood emotional abuse and adult life stressors were also associated with hallucinations. The latter three associations suggest that patients with BPD might have an etiological mechanism in common with other patient/nonpatient groups who experience hallucinations. Based on these findings, we advise to treat PTSD and hallucinations when found to be present in patients with BPD.","DOI":"10.1038/s41598-017-13108-6","ISSN":"2045-2322","title-short":"Hallucinations in borderline personality disorder","language":"En","author":[{"family":"Niemantsverdriet","given":"Maria B. A."},{"family":"Slotema","given":"Christina W."},{"family":"Blom","given":"Jan Dirk"},{"family":"Franken","given":"Ingmar H."},{"family":"Hoek","given":"Hans W."},{"family":"Sommer","given":"Iris E. C."},{"family":"Gaag","given":"Mark","dropping-particle":"van der"}],"issued":{"date-parts":[["2017",10,24]]}}},{"id":2278,"uris":["http://zotero.org/users/local/hhPVnw6l/items/MWX36ZIU"],"uri":["http://zotero.org/users/local/hhPVnw6l/items/MWX36ZIU"],"itemData":{"id":2278,"type":"article-journal","title":"Sexual orientation-related disparities in employment, health insurance, healthcare access and health-related quality of life: a cohort study of US male and female adolescents and young adults","container-title":"BMJ Open","volume":"8","issue":"6","source":"PubMed Central","abstract":"Objective\nTo investigate sexual orientation-related disparities in employment and healthcare, including potential contributions to health-related quality of life (HRQL).\n\nSetting\nGrowing Up Today Study, a USA-based longitudinal cohort that began in 1996; predominantly composed of participants who are white and of middle-to-high socioeconomic positions.\n\nParticipants\n9914 participants 18–32 years old at the most recent follow-up questionnaire.\n\nPrimary outcome measure\nIn 2013, participants reported if, in the last year, they had been unemployed, uninsured or lacked healthcare access (routine physical exam). Participants completed the EQ-5D-5L, a validated, preference-weighted measurement of HRQL. After adjusting for potential confounders, we used sex-stratified, log-binomial models to calculate the association of sexual orientation with employment, health insurance and healthcare access, while examining if these variables attenuated the sexual orientation-related HRQL disparities.\n\nResults\nSexual minority women and men were about twice as likely as their respective heterosexual counterparts to have been unemployed and uninsured. For example, the risk ratio (95% CI) of uninsured bisexual women was 3.76 (2.42 to 5.85) and of unemployed mostly heterosexual men was 1.82 (1.30 to 2.54). Routine physical examination was not different across sexual orientation groups (p&gt;0.05). All sexual minority subgroups had worse HRQL than heterosexuals (p&lt;0.05) across the five EQ-5D-5L dimensions (mobility, self-care, usual activities, pain/discomfort and anxiety/depression). Controlling for employment and health insurance did not substantially attenuate the existing sexual orientation-related HRQL disparities.\n\nConclusions\nResearch on sexual orientation-related disparities in employment and healthcare has often been limited to comparisons between cohabitating different-sex and same-sex adult couples, overlooking sexual minority subgroups (eg, bisexuals vs lesbians), non-cohabitating populations and young people. Less is known about sexual orientation-related disparities in HRQL including potential contributions from employment and healthcare. The current study documents that disparities in employment, health insurance and various HRQL dimensions are pervasive across sexual minority subgroups, non-cohabitating couples and youth in families of middle-to-high socioeconomic positions.","URL":"https://www.ncbi.nlm.nih.gov/pmc/articles/PMC6067349/","DOI":"10.1136/bmjopen-2017-020418","ISSN":"2044-6055","note":"PMID: 30049672\nPMCID: PMC6067349","title-short":"Sexual orientation-related disparities in employment, health insurance, healthcare access and health-related quality of life","journalAbbreviation":"BMJ Open","author":[{"family":"Charlton","given":"Brittany M"},{"family":"Gordon","given":"Allegra R"},{"family":"Reisner","given":"Sari L"},{"family":"Sarda","given":"Vishnudas"},{"family":"Samnaliev","given":"Mihail"},{"family":"Austin","given":"S Bryn"}],"issued":{"date-parts":[["2018",7,26]]},"accessed":{"date-parts":[["2019",8,6]]}}},{"id":2284,"uris":["http://zotero.org/users/local/hhPVnw6l/items/27EUQV8S"],"uri":["http://zotero.org/users/local/hhPVnw6l/items/27EUQV8S"],"itemData":{"id":2284,"type":"article-journal","title":"Adverse life outcomes associated with adolescent psychotic experiences and depressive symptoms","container-title":"Social Psychiatry and Psychiatric Epidemiology","page":"497-507","volume":"53","issue":"5","source":"PubMed Central","abstract":"Purpose\nTo investigate whether psychotic experiences and depressive symptoms at ages 12 and 18 years are associated with adverse life outcomes across a range of functional domains between 16 and 20 years of age.\n\nMethods\nData were gathered from ALSPAC, a UK birth cohort. Individuals were assessed with the semi-structured Psychosis-Like Symptoms Interview and the Short Mood and Feeling Questionnaire at ages 12 and 18 years. Logistic regression was used to explore associations with outcomes in education, occupation, social functioning, substance use (alcohol, cannabis, smoking, and other drugs), and illegal behaviour between the ages of 16 and 20 years. All associations were adjusted for socio-demographic and childhood confounders and for comorbid psychotic experiences or depressive symptoms.\n\nResults\nPsychotic experiences and depression at age 12 were associated with poorer educational, occupational, and social outcomes between the ages of 16 and 20; these withstood adjustment for confounding. Depressive symptoms at age 12 were also associated with harmful drinking. Psychotic experiences and depression at age 18 were additionally associated with other forms of substance use and illegal behaviour. Comorbidity had little impact at age 12, but was associated with significantly worse educational, social, and substance use outcomes at age 18.\n\nConclusions\nAdolescent psychotic experiences and depression represent a risk marker for a number of later adverse outcomes, most consistently with education and employment, but also social impairment, harmful drinking, and substance use. This highlights the importance of recognizing adolescent psychopathology, so that support can be provided to try and minimize adverse outcomes.\n\nElectronic supplementary material\nThe online version of this article (10.1007/s00127-018-1496-z) contains supplementary material, which is available to authorized users.","DOI":"10.1007/s00127-018-1496-z","ISSN":"0933-7954","note":"PMID: 29556667\nPMCID: PMC5908822","journalAbbreviation":"Soc Psychiatry Psychiatr Epidemiol","author":[{"family":"Davies","given":"Jonathan"},{"family":"Sullivan","given":"Sarah"},{"family":"Zammit","given":"Stanley"}],"issued":{"date-parts":[["2018"]]}}},{"id":1176,"uris":["http://zotero.org/users/local/hhPVnw6l/items/AXWQRWUT"],"uri":["http://zotero.org/users/local/hhPVnw6l/items/AXWQRWUT"],"itemData":{"id":1176,"type":"article-journal","title":"Sexual Orientation Group Differences in Perceived Stress and Depressive Symptoms Among Young Adults in the United States","container-title":"LGBT Health","page":"242-249","volume":"5","issue":"4","source":"PubMed Central","abstract":"Purpose: Overall, sexual minorities have poorer mental health than heterosexual individuals, and stress is thought to underlie such disparities. However, sexual minorities include both those identifying as lesbian, gay, or bisexual (LGB) and many who do not (e.g., individuals identifying as mostly heterosexual, or as heterosexual but with discordant same-sex attractions or behaviors), and little is known about the mental health or stress experiences of non-LGB identified sexual minorities. This study assessed perceived stress and depressive symptom differences between concordant heterosexual individuals and three groups of sexual minority young adults (LGB, mostly heterosexual, and discordant heterosexual individuals)., Methods: Data were from the National Longitudinal Study of Adolescent to Adult Health, Wave IV (2008–2009). Descriptive and bivariate statistics were estimated. Path analyses assessed whether perceived stress mediated differences in depressive symptomatology. Analyses were weighted and gender-stratified., Results: Mostly heterosexual individuals comprised the largest sexual minority group, for both men (3.58%) and women (15.88%). All sexual minority groups reported significantly more depressive symptoms than concordant heterosexual individuals, for both men and women (all P &lt; 0.05). Among women, all sexual minority groups reported significantly higher perceived stress than concordant heterosexual individuals (all P &lt; 0.05), which partially mediated elevations in depressive symptomatology (all P &lt; 0.05). Mostly-heterosexual-identified men reported significantly higher perceived stress than concordant heterosexual men (P &lt; 0.01), which partially mediated elevations in depressive symptomatology (P &lt; 0.01)., Conclusions: Our results underscore the importance of assessing sexual orientation comprehensively to fully understand sexual minority health disparities. Additional research should examine the stressors specific to different sexual minority groups.","DOI":"10.1089/lgbt.2017.0228","ISSN":"2325-8292","note":"PMID: 29741980\nPMCID: PMC5994153","journalAbbreviation":"LGBT Health","author":[{"family":"Krueger","given":"Evan A."},{"family":"Meyer","given":"Ilan H."},{"family":"Upchurch","given":"Dawn M."}],"issued":{"date-parts":[["2018",6,1]]}}},{"id":1145,"uris":["http://zotero.org/users/local/hhPVnw6l/items/QFD6P4RS"],"uri":["http://zotero.org/users/local/hhPVnw6l/items/QFD6P4RS"],"itemData":{"id":1145,"type":"article-journal","title":"Disrupting Sleep: The Effects of Sleep Loss on Psychotic Experiences Tested in an Experimental Study With Mediation Analysis","container-title":"Schizophrenia Bulletin","page":"662-671","volume":"44","issue":"3","source":"PubMed Central","abstract":"Our view is that insomnia may be a causal factor in the occurrence of psychotic experiences such as paranoia and hallucinations. However, the causal relationship is not established. The aim of the study was to investigate the causal role of insomnia in psychotic experiences via a sleep restriction manipulation. The study was a within-subjects crossover design that included a planned mediation analysis. Sixty-eight nonclinical volunteers underwent a sleep loss condition (restricted to 4 h sleep for 3 nights) and a control condition (standard sleep) in randomized order in 2 consecutive weeks, with a weekend washout period. Psychotic experiences (paranoia, hallucinations, grandios</w:instrText>
      </w:r>
      <w:r w:rsidR="005B25ED" w:rsidRPr="008D3E74">
        <w:rPr>
          <w:rFonts w:ascii="Arial" w:hAnsi="Arial" w:cs="Arial"/>
          <w:lang w:val="fr-FR"/>
        </w:rPr>
        <w:instrText xml:space="preserve">ity, and cognitive disorganization) and candidate mediating variables (negative affect and related processes, working memory, decision making, and perceptual processing) were assessed before and after each condition. Actigraphy verified an average sleep duration of 5 h 15 min in the sleep loss condition, vs 6 h 58 min in the control condition. After the sleep loss condition, relative to the control condition, participants reported significant increases in paranoia, hallucinations, and cognitive disorganization, with no significant changes in grandiosity. The sleep loss condition was also associated with significant increases in negative affect, negative self and other cognitions, worry, and working memory impairment. Mediation analyses indicated that changes in psychotic experiences were mediated by changes in negative affect and related processes, but not memory impairment. The overall conclusion is that insomnia has a causal role in the occurrence of certain psychotic experiences, and that a key route is via negative affect.","DOI":"10.1093/schbul/sbx103","ISSN":"0586-7614","note":"PMID: 28981834\nPMCID: PMC5890488","title-short":"Disrupting Sleep","journalAbbreviation":"Schizophr Bull","author":[{"family":"Reeve","given":"Sarah"},{"family":"Emsley","given":"Richard"},{"family":"Sheaves","given":"Bryony"},{"family":"Freeman","given":"Daniel"}],"issued":{"date-parts":[["2018",4]]}}}],"schema":"https://github.com/citation-style-language/schema/raw/master/csl-citation.json"} </w:instrText>
      </w:r>
      <w:r w:rsidR="00CD3D9D" w:rsidRPr="008D3E74">
        <w:rPr>
          <w:rFonts w:ascii="Arial" w:hAnsi="Arial" w:cs="Arial"/>
        </w:rPr>
        <w:fldChar w:fldCharType="separate"/>
      </w:r>
      <w:r w:rsidR="005B25ED" w:rsidRPr="008D3E74">
        <w:rPr>
          <w:rFonts w:ascii="Arial" w:hAnsi="Arial" w:cs="Arial"/>
          <w:lang w:val="fr-FR"/>
        </w:rPr>
        <w:t xml:space="preserve">(Tien &amp; Anthony 1990; Berlan </w:t>
      </w:r>
      <w:r w:rsidR="005B25ED" w:rsidRPr="008D3E74">
        <w:rPr>
          <w:rFonts w:ascii="Arial" w:hAnsi="Arial" w:cs="Arial"/>
          <w:i/>
          <w:iCs/>
          <w:lang w:val="fr-FR"/>
        </w:rPr>
        <w:t>et al.</w:t>
      </w:r>
      <w:r w:rsidR="005B25ED" w:rsidRPr="008D3E74">
        <w:rPr>
          <w:rFonts w:ascii="Arial" w:hAnsi="Arial" w:cs="Arial"/>
          <w:lang w:val="fr-FR"/>
        </w:rPr>
        <w:t xml:space="preserve"> 2010; Roberts </w:t>
      </w:r>
      <w:r w:rsidR="005B25ED" w:rsidRPr="008D3E74">
        <w:rPr>
          <w:rFonts w:ascii="Arial" w:hAnsi="Arial" w:cs="Arial"/>
          <w:i/>
          <w:iCs/>
          <w:lang w:val="fr-FR"/>
        </w:rPr>
        <w:t>et al.</w:t>
      </w:r>
      <w:r w:rsidR="005B25ED" w:rsidRPr="008D3E74">
        <w:rPr>
          <w:rFonts w:ascii="Arial" w:hAnsi="Arial" w:cs="Arial"/>
          <w:lang w:val="fr-FR"/>
        </w:rPr>
        <w:t xml:space="preserve"> 2010; Varghese </w:t>
      </w:r>
      <w:r w:rsidR="005B25ED" w:rsidRPr="008D3E74">
        <w:rPr>
          <w:rFonts w:ascii="Arial" w:hAnsi="Arial" w:cs="Arial"/>
          <w:i/>
          <w:iCs/>
          <w:lang w:val="fr-FR"/>
        </w:rPr>
        <w:t>et al.</w:t>
      </w:r>
      <w:r w:rsidR="005B25ED" w:rsidRPr="008D3E74">
        <w:rPr>
          <w:rFonts w:ascii="Arial" w:hAnsi="Arial" w:cs="Arial"/>
          <w:lang w:val="fr-FR"/>
        </w:rPr>
        <w:t xml:space="preserve"> 2011; Beards </w:t>
      </w:r>
      <w:r w:rsidR="005B25ED" w:rsidRPr="008D3E74">
        <w:rPr>
          <w:rFonts w:ascii="Arial" w:hAnsi="Arial" w:cs="Arial"/>
          <w:i/>
          <w:iCs/>
          <w:lang w:val="fr-FR"/>
        </w:rPr>
        <w:t>et al.</w:t>
      </w:r>
      <w:r w:rsidR="005B25ED" w:rsidRPr="008D3E74">
        <w:rPr>
          <w:rFonts w:ascii="Arial" w:hAnsi="Arial" w:cs="Arial"/>
          <w:lang w:val="fr-FR"/>
        </w:rPr>
        <w:t xml:space="preserve"> 2013; Hagger-Johnson </w:t>
      </w:r>
      <w:r w:rsidR="005B25ED" w:rsidRPr="008D3E74">
        <w:rPr>
          <w:rFonts w:ascii="Arial" w:hAnsi="Arial" w:cs="Arial"/>
          <w:i/>
          <w:iCs/>
          <w:lang w:val="fr-FR"/>
        </w:rPr>
        <w:t>et al.</w:t>
      </w:r>
      <w:r w:rsidR="005B25ED" w:rsidRPr="008D3E74">
        <w:rPr>
          <w:rFonts w:ascii="Arial" w:hAnsi="Arial" w:cs="Arial"/>
          <w:lang w:val="fr-FR"/>
        </w:rPr>
        <w:t xml:space="preserve"> 2013; Pakula &amp; Shoveller 2013; Bauermeister </w:t>
      </w:r>
      <w:r w:rsidR="005B25ED" w:rsidRPr="008D3E74">
        <w:rPr>
          <w:rFonts w:ascii="Arial" w:hAnsi="Arial" w:cs="Arial"/>
          <w:i/>
          <w:iCs/>
          <w:lang w:val="fr-FR"/>
        </w:rPr>
        <w:t>et al.</w:t>
      </w:r>
      <w:r w:rsidR="005B25ED" w:rsidRPr="008D3E74">
        <w:rPr>
          <w:rFonts w:ascii="Arial" w:hAnsi="Arial" w:cs="Arial"/>
          <w:lang w:val="fr-FR"/>
        </w:rPr>
        <w:t xml:space="preserve"> 2014; Gage </w:t>
      </w:r>
      <w:r w:rsidR="005B25ED" w:rsidRPr="008D3E74">
        <w:rPr>
          <w:rFonts w:ascii="Arial" w:hAnsi="Arial" w:cs="Arial"/>
          <w:i/>
          <w:iCs/>
          <w:lang w:val="fr-FR"/>
        </w:rPr>
        <w:t>et al.</w:t>
      </w:r>
      <w:r w:rsidR="005B25ED" w:rsidRPr="008D3E74">
        <w:rPr>
          <w:rFonts w:ascii="Arial" w:hAnsi="Arial" w:cs="Arial"/>
          <w:lang w:val="fr-FR"/>
        </w:rPr>
        <w:t xml:space="preserve"> 2014; Gevonden </w:t>
      </w:r>
      <w:r w:rsidR="005B25ED" w:rsidRPr="008D3E74">
        <w:rPr>
          <w:rFonts w:ascii="Arial" w:hAnsi="Arial" w:cs="Arial"/>
          <w:i/>
          <w:iCs/>
          <w:lang w:val="fr-FR"/>
        </w:rPr>
        <w:t>et al.</w:t>
      </w:r>
      <w:r w:rsidR="005B25ED" w:rsidRPr="008D3E74">
        <w:rPr>
          <w:rFonts w:ascii="Arial" w:hAnsi="Arial" w:cs="Arial"/>
          <w:lang w:val="fr-FR"/>
        </w:rPr>
        <w:t xml:space="preserve"> 2014; Lindström </w:t>
      </w:r>
      <w:r w:rsidR="005B25ED" w:rsidRPr="008D3E74">
        <w:rPr>
          <w:rFonts w:ascii="Arial" w:hAnsi="Arial" w:cs="Arial"/>
          <w:i/>
          <w:iCs/>
          <w:lang w:val="fr-FR"/>
        </w:rPr>
        <w:t>et al.</w:t>
      </w:r>
      <w:r w:rsidR="005B25ED" w:rsidRPr="008D3E74">
        <w:rPr>
          <w:rFonts w:ascii="Arial" w:hAnsi="Arial" w:cs="Arial"/>
          <w:lang w:val="fr-FR"/>
        </w:rPr>
        <w:t xml:space="preserve"> 2014; Alsawy </w:t>
      </w:r>
      <w:r w:rsidR="005B25ED" w:rsidRPr="008D3E74">
        <w:rPr>
          <w:rFonts w:ascii="Arial" w:hAnsi="Arial" w:cs="Arial"/>
          <w:i/>
          <w:iCs/>
          <w:lang w:val="fr-FR"/>
        </w:rPr>
        <w:t>et al.</w:t>
      </w:r>
      <w:r w:rsidR="005B25ED" w:rsidRPr="008D3E74">
        <w:rPr>
          <w:rFonts w:ascii="Arial" w:hAnsi="Arial" w:cs="Arial"/>
          <w:lang w:val="fr-FR"/>
        </w:rPr>
        <w:t xml:space="preserve"> 2015; Catone </w:t>
      </w:r>
      <w:r w:rsidR="005B25ED" w:rsidRPr="008D3E74">
        <w:rPr>
          <w:rFonts w:ascii="Arial" w:hAnsi="Arial" w:cs="Arial"/>
          <w:i/>
          <w:iCs/>
          <w:lang w:val="fr-FR"/>
        </w:rPr>
        <w:t>et al.</w:t>
      </w:r>
      <w:r w:rsidR="005B25ED" w:rsidRPr="008D3E74">
        <w:rPr>
          <w:rFonts w:ascii="Arial" w:hAnsi="Arial" w:cs="Arial"/>
          <w:lang w:val="fr-FR"/>
        </w:rPr>
        <w:t xml:space="preserve"> 2015; McGrath </w:t>
      </w:r>
      <w:r w:rsidR="005B25ED" w:rsidRPr="008D3E74">
        <w:rPr>
          <w:rFonts w:ascii="Arial" w:hAnsi="Arial" w:cs="Arial"/>
          <w:i/>
          <w:iCs/>
          <w:lang w:val="fr-FR"/>
        </w:rPr>
        <w:t>et al.</w:t>
      </w:r>
      <w:r w:rsidR="005B25ED" w:rsidRPr="008D3E74">
        <w:rPr>
          <w:rFonts w:ascii="Arial" w:hAnsi="Arial" w:cs="Arial"/>
          <w:lang w:val="fr-FR"/>
        </w:rPr>
        <w:t xml:space="preserve"> 2015; Mollborn &amp; Everett 2015; Smyth </w:t>
      </w:r>
      <w:r w:rsidR="005B25ED" w:rsidRPr="008D3E74">
        <w:rPr>
          <w:rFonts w:ascii="Arial" w:hAnsi="Arial" w:cs="Arial"/>
          <w:i/>
          <w:iCs/>
          <w:lang w:val="fr-FR"/>
        </w:rPr>
        <w:t>et al.</w:t>
      </w:r>
      <w:r w:rsidR="005B25ED" w:rsidRPr="008D3E74">
        <w:rPr>
          <w:rFonts w:ascii="Arial" w:hAnsi="Arial" w:cs="Arial"/>
          <w:lang w:val="fr-FR"/>
        </w:rPr>
        <w:t xml:space="preserve"> 2015; Austin </w:t>
      </w:r>
      <w:r w:rsidR="005B25ED" w:rsidRPr="008D3E74">
        <w:rPr>
          <w:rFonts w:ascii="Arial" w:hAnsi="Arial" w:cs="Arial"/>
          <w:i/>
          <w:iCs/>
          <w:lang w:val="fr-FR"/>
        </w:rPr>
        <w:t>et al.</w:t>
      </w:r>
      <w:r w:rsidR="005B25ED" w:rsidRPr="008D3E74">
        <w:rPr>
          <w:rFonts w:ascii="Arial" w:hAnsi="Arial" w:cs="Arial"/>
          <w:lang w:val="fr-FR"/>
        </w:rPr>
        <w:t xml:space="preserve"> 2016; DeVylder </w:t>
      </w:r>
      <w:r w:rsidR="005B25ED" w:rsidRPr="008D3E74">
        <w:rPr>
          <w:rFonts w:ascii="Arial" w:hAnsi="Arial" w:cs="Arial"/>
          <w:i/>
          <w:iCs/>
          <w:lang w:val="fr-FR"/>
        </w:rPr>
        <w:t>et al.</w:t>
      </w:r>
      <w:r w:rsidR="005B25ED" w:rsidRPr="008D3E74">
        <w:rPr>
          <w:rFonts w:ascii="Arial" w:hAnsi="Arial" w:cs="Arial"/>
          <w:lang w:val="fr-FR"/>
        </w:rPr>
        <w:t xml:space="preserve"> 2016; Doyle &amp; Molix 2016; Reuter </w:t>
      </w:r>
      <w:r w:rsidR="005B25ED" w:rsidRPr="008D3E74">
        <w:rPr>
          <w:rFonts w:ascii="Arial" w:hAnsi="Arial" w:cs="Arial"/>
          <w:i/>
          <w:iCs/>
          <w:lang w:val="fr-FR"/>
        </w:rPr>
        <w:t>et al.</w:t>
      </w:r>
      <w:r w:rsidR="005B25ED" w:rsidRPr="008D3E74">
        <w:rPr>
          <w:rFonts w:ascii="Arial" w:hAnsi="Arial" w:cs="Arial"/>
          <w:lang w:val="fr-FR"/>
        </w:rPr>
        <w:t xml:space="preserve"> 2016; Chen &amp; Shiu 2017; Jaya </w:t>
      </w:r>
      <w:r w:rsidR="005B25ED" w:rsidRPr="008D3E74">
        <w:rPr>
          <w:rFonts w:ascii="Arial" w:hAnsi="Arial" w:cs="Arial"/>
          <w:i/>
          <w:iCs/>
          <w:lang w:val="fr-FR"/>
        </w:rPr>
        <w:t>et al.</w:t>
      </w:r>
      <w:r w:rsidR="005B25ED" w:rsidRPr="008D3E74">
        <w:rPr>
          <w:rFonts w:ascii="Arial" w:hAnsi="Arial" w:cs="Arial"/>
          <w:lang w:val="fr-FR"/>
        </w:rPr>
        <w:t xml:space="preserve"> 2017; Lunn </w:t>
      </w:r>
      <w:r w:rsidR="005B25ED" w:rsidRPr="008D3E74">
        <w:rPr>
          <w:rFonts w:ascii="Arial" w:hAnsi="Arial" w:cs="Arial"/>
          <w:i/>
          <w:iCs/>
          <w:lang w:val="fr-FR"/>
        </w:rPr>
        <w:t>et al.</w:t>
      </w:r>
      <w:r w:rsidR="005B25ED" w:rsidRPr="008D3E74">
        <w:rPr>
          <w:rFonts w:ascii="Arial" w:hAnsi="Arial" w:cs="Arial"/>
          <w:lang w:val="fr-FR"/>
        </w:rPr>
        <w:t xml:space="preserve"> 2017; Niemantsverdriet </w:t>
      </w:r>
      <w:r w:rsidR="005B25ED" w:rsidRPr="008D3E74">
        <w:rPr>
          <w:rFonts w:ascii="Arial" w:hAnsi="Arial" w:cs="Arial"/>
          <w:i/>
          <w:iCs/>
          <w:lang w:val="fr-FR"/>
        </w:rPr>
        <w:t>et al.</w:t>
      </w:r>
      <w:r w:rsidR="005B25ED" w:rsidRPr="008D3E74">
        <w:rPr>
          <w:rFonts w:ascii="Arial" w:hAnsi="Arial" w:cs="Arial"/>
          <w:lang w:val="fr-FR"/>
        </w:rPr>
        <w:t xml:space="preserve"> 2017; Charlton </w:t>
      </w:r>
      <w:r w:rsidR="005B25ED" w:rsidRPr="008D3E74">
        <w:rPr>
          <w:rFonts w:ascii="Arial" w:hAnsi="Arial" w:cs="Arial"/>
          <w:i/>
          <w:iCs/>
          <w:lang w:val="fr-FR"/>
        </w:rPr>
        <w:t>et al.</w:t>
      </w:r>
      <w:r w:rsidR="005B25ED" w:rsidRPr="008D3E74">
        <w:rPr>
          <w:rFonts w:ascii="Arial" w:hAnsi="Arial" w:cs="Arial"/>
          <w:lang w:val="fr-FR"/>
        </w:rPr>
        <w:t xml:space="preserve"> 2018; Davies </w:t>
      </w:r>
      <w:r w:rsidR="005B25ED" w:rsidRPr="008D3E74">
        <w:rPr>
          <w:rFonts w:ascii="Arial" w:hAnsi="Arial" w:cs="Arial"/>
          <w:i/>
          <w:iCs/>
          <w:lang w:val="fr-FR"/>
        </w:rPr>
        <w:t>et al.</w:t>
      </w:r>
      <w:r w:rsidR="005B25ED" w:rsidRPr="008D3E74">
        <w:rPr>
          <w:rFonts w:ascii="Arial" w:hAnsi="Arial" w:cs="Arial"/>
          <w:lang w:val="fr-FR"/>
        </w:rPr>
        <w:t xml:space="preserve"> 2018; Krueger </w:t>
      </w:r>
      <w:r w:rsidR="005B25ED" w:rsidRPr="008D3E74">
        <w:rPr>
          <w:rFonts w:ascii="Arial" w:hAnsi="Arial" w:cs="Arial"/>
          <w:i/>
          <w:iCs/>
          <w:lang w:val="fr-FR"/>
        </w:rPr>
        <w:t>et al.</w:t>
      </w:r>
      <w:r w:rsidR="005B25ED" w:rsidRPr="008D3E74">
        <w:rPr>
          <w:rFonts w:ascii="Arial" w:hAnsi="Arial" w:cs="Arial"/>
          <w:lang w:val="fr-FR"/>
        </w:rPr>
        <w:t xml:space="preserve"> 2018; Reeve </w:t>
      </w:r>
      <w:r w:rsidR="005B25ED" w:rsidRPr="008D3E74">
        <w:rPr>
          <w:rFonts w:ascii="Arial" w:hAnsi="Arial" w:cs="Arial"/>
          <w:i/>
          <w:iCs/>
          <w:lang w:val="fr-FR"/>
        </w:rPr>
        <w:t>et al.</w:t>
      </w:r>
      <w:r w:rsidR="005B25ED" w:rsidRPr="008D3E74">
        <w:rPr>
          <w:rFonts w:ascii="Arial" w:hAnsi="Arial" w:cs="Arial"/>
          <w:lang w:val="fr-FR"/>
        </w:rPr>
        <w:t xml:space="preserve"> 2018)</w:t>
      </w:r>
      <w:r w:rsidR="00CD3D9D" w:rsidRPr="008D3E74">
        <w:rPr>
          <w:rFonts w:ascii="Arial" w:hAnsi="Arial" w:cs="Arial"/>
        </w:rPr>
        <w:fldChar w:fldCharType="end"/>
      </w:r>
      <w:r w:rsidR="00354212" w:rsidRPr="008D3E74">
        <w:rPr>
          <w:rFonts w:ascii="Arial" w:hAnsi="Arial" w:cs="Arial"/>
          <w:lang w:val="fr-FR"/>
        </w:rPr>
        <w:t>.</w:t>
      </w:r>
      <w:r w:rsidRPr="008D3E74">
        <w:rPr>
          <w:rFonts w:ascii="Arial" w:hAnsi="Arial" w:cs="Arial"/>
          <w:lang w:val="fr-FR"/>
        </w:rPr>
        <w:t xml:space="preserve"> </w:t>
      </w:r>
      <w:r w:rsidRPr="008D3E74">
        <w:rPr>
          <w:rFonts w:ascii="Arial" w:hAnsi="Arial" w:cs="Arial"/>
        </w:rPr>
        <w:t xml:space="preserve">Specifically, factors that have been reported to be associated with sexual </w:t>
      </w:r>
      <w:proofErr w:type="gramStart"/>
      <w:r w:rsidRPr="008D3E74">
        <w:rPr>
          <w:rFonts w:ascii="Arial" w:hAnsi="Arial" w:cs="Arial"/>
        </w:rPr>
        <w:t>orientation</w:t>
      </w:r>
      <w:r w:rsidR="00144EEB" w:rsidRPr="008D3E74">
        <w:rPr>
          <w:rFonts w:ascii="Arial" w:hAnsi="Arial" w:cs="Arial"/>
        </w:rPr>
        <w:t>,</w:t>
      </w:r>
      <w:r w:rsidRPr="008D3E74">
        <w:rPr>
          <w:rFonts w:ascii="Arial" w:hAnsi="Arial" w:cs="Arial"/>
        </w:rPr>
        <w:t xml:space="preserve"> and</w:t>
      </w:r>
      <w:proofErr w:type="gramEnd"/>
      <w:r w:rsidRPr="008D3E74">
        <w:rPr>
          <w:rFonts w:ascii="Arial" w:hAnsi="Arial" w:cs="Arial"/>
        </w:rPr>
        <w:t xml:space="preserve"> can precede or cause PE</w:t>
      </w:r>
      <w:r w:rsidR="00433649" w:rsidRPr="008D3E74">
        <w:rPr>
          <w:rFonts w:ascii="Arial" w:hAnsi="Arial" w:cs="Arial"/>
        </w:rPr>
        <w:t>s</w:t>
      </w:r>
      <w:r w:rsidRPr="008D3E74">
        <w:rPr>
          <w:rFonts w:ascii="Arial" w:hAnsi="Arial" w:cs="Arial"/>
        </w:rPr>
        <w:t xml:space="preserve"> were selected.</w:t>
      </w:r>
      <w:r w:rsidR="00913272" w:rsidRPr="008D3E74">
        <w:rPr>
          <w:rFonts w:ascii="Arial" w:hAnsi="Arial" w:cs="Arial"/>
        </w:rPr>
        <w:t xml:space="preserve"> These factors were marital status, qualification, employment, income, nicotine dependence, alcohol dependence, cannabis use, loneliness, social support, bullying victimization, perceived stress, number of stressful life events, discrimination due to sexual orientation, CMDs, BPD traits, PTSD, and sleep problems.</w:t>
      </w:r>
      <w:r w:rsidRPr="008D3E74">
        <w:rPr>
          <w:rFonts w:ascii="Arial" w:hAnsi="Arial" w:cs="Arial"/>
        </w:rPr>
        <w:t xml:space="preserve"> </w:t>
      </w:r>
      <w:r w:rsidR="00EB793D" w:rsidRPr="008D3E74">
        <w:rPr>
          <w:rFonts w:ascii="Arial" w:hAnsi="Arial" w:cs="Arial"/>
          <w:iCs/>
        </w:rPr>
        <w:t xml:space="preserve">Loneliness and lack of social support were both considered as </w:t>
      </w:r>
      <w:r w:rsidR="00C203B0" w:rsidRPr="008D3E74">
        <w:rPr>
          <w:rFonts w:ascii="Arial" w:hAnsi="Arial" w:cs="Arial"/>
          <w:iCs/>
        </w:rPr>
        <w:t xml:space="preserve">separate </w:t>
      </w:r>
      <w:r w:rsidR="00EB793D" w:rsidRPr="008D3E74">
        <w:rPr>
          <w:rFonts w:ascii="Arial" w:hAnsi="Arial" w:cs="Arial"/>
          <w:iCs/>
        </w:rPr>
        <w:t xml:space="preserve">mediators as they are distinct concepts which do not necessarily correlate. Specifically, loneliness refers to a subjective feeling of being alone, whereas lack of social support refers to objective social exclusion </w:t>
      </w:r>
      <w:r w:rsidR="00EB793D" w:rsidRPr="008D3E74">
        <w:rPr>
          <w:rFonts w:ascii="Arial" w:hAnsi="Arial" w:cs="Arial"/>
          <w:iCs/>
        </w:rPr>
        <w:fldChar w:fldCharType="begin"/>
      </w:r>
      <w:r w:rsidR="00EB793D" w:rsidRPr="008D3E74">
        <w:rPr>
          <w:rFonts w:ascii="Arial" w:hAnsi="Arial" w:cs="Arial"/>
          <w:iCs/>
        </w:rPr>
        <w:instrText xml:space="preserve"> ADDIN ZOTERO_ITEM CSL_CITATION {"citationID":"TAOTYiu2","properties":{"formattedCitation":"(Tomaka {\\i{}et al.} 2006)","plainCitation":"(Tomaka et al. 2006)","noteIndex":0},"citationItems":[{"id":2253,"uris":["http://zotero.org/users/local/hhPVnw6l/items/LP83F253"],"uri":["http://zotero.org/users/local/hhPVnw6l/items/LP83F253"],"itemData":{"id":2253,"type":"article-journal","title":"The Relation of Social Isolation, Loneliness, and Social Support to Disease Outcomes Among the Elderly","container-title":"Journal of Aging and Health","page":"359-384","volume":"18","issue":"3","source":"SAGE Journals","abstract":"Objectives: This study examined relations between social isolation, loneliness, and social support to health outcomes in a sample of New Mexico seniors. Method: We used random-digit dialing to obtain a random sample of 755 southern New Mexico seniors. Participants answered questions pertaining to demographics, social isolation and loneliness, social support, and disease diagnosis including diabetes, hypertension, heart disease, liver disease, arthritis, emphysema, tuberculosis, kidney disease, cancer, asthma, and stroke. The sample allowed for comparison of Caucasian and Hispanic participants. Results: Correlational and logistic analyses indicated that belongingness support related most consistently to health outcomes. Ethnic subgroup analysis revealed similarities and differences in the pattern of associations among the predictor and outcome variables. Discussion: The results demonstrate the importance of social variables for predicting disease outcomes in the elderly and across ethnic groups.","DOI":"10.1177/0898264305280993","ISSN":"0898-2643","journalAbbreviation":"J Aging Health","language":"en","author":[{"family":"Tomaka","given":"Joe"},{"family":"Thompson","given":"Sharon"},{"family":"Palacios","given":"Rebecca"}],"issued":{"date-parts":[["2006",6,1]]}}}],"schema":"https://github.com/citation-style-language/schema/raw/master/csl-citation.json"} </w:instrText>
      </w:r>
      <w:r w:rsidR="00EB793D" w:rsidRPr="008D3E74">
        <w:rPr>
          <w:rFonts w:ascii="Arial" w:hAnsi="Arial" w:cs="Arial"/>
          <w:iCs/>
        </w:rPr>
        <w:fldChar w:fldCharType="separate"/>
      </w:r>
      <w:r w:rsidR="00EB793D" w:rsidRPr="008D3E74">
        <w:rPr>
          <w:rFonts w:ascii="Arial" w:hAnsi="Arial" w:cs="Arial"/>
        </w:rPr>
        <w:t xml:space="preserve">(Tomaka </w:t>
      </w:r>
      <w:r w:rsidR="00EB793D" w:rsidRPr="008D3E74">
        <w:rPr>
          <w:rFonts w:ascii="Arial" w:hAnsi="Arial" w:cs="Arial"/>
          <w:i/>
          <w:iCs/>
        </w:rPr>
        <w:t>et al.</w:t>
      </w:r>
      <w:r w:rsidR="00EB793D" w:rsidRPr="008D3E74">
        <w:rPr>
          <w:rFonts w:ascii="Arial" w:hAnsi="Arial" w:cs="Arial"/>
        </w:rPr>
        <w:t xml:space="preserve"> 2006)</w:t>
      </w:r>
      <w:r w:rsidR="00EB793D" w:rsidRPr="008D3E74">
        <w:rPr>
          <w:rFonts w:ascii="Arial" w:hAnsi="Arial" w:cs="Arial"/>
          <w:iCs/>
        </w:rPr>
        <w:fldChar w:fldCharType="end"/>
      </w:r>
      <w:r w:rsidR="00EB793D" w:rsidRPr="008D3E74">
        <w:rPr>
          <w:rFonts w:ascii="Arial" w:hAnsi="Arial" w:cs="Arial"/>
          <w:iCs/>
        </w:rPr>
        <w:t>.</w:t>
      </w:r>
      <w:r w:rsidR="002F266C" w:rsidRPr="008D3E74">
        <w:rPr>
          <w:rFonts w:ascii="Arial" w:hAnsi="Arial" w:cs="Arial"/>
          <w:iCs/>
        </w:rPr>
        <w:t xml:space="preserve"> Perceived stress and stressful life events were also included as separate mediators as perceived stress refers to a global and dynamic multidimensional subjective concept that is influenced by numerous factors (e.g., </w:t>
      </w:r>
      <w:proofErr w:type="spellStart"/>
      <w:r w:rsidR="002F266C" w:rsidRPr="008D3E74">
        <w:rPr>
          <w:rFonts w:ascii="Arial" w:hAnsi="Arial" w:cs="Arial"/>
          <w:iCs/>
        </w:rPr>
        <w:t>sociodemographics</w:t>
      </w:r>
      <w:proofErr w:type="spellEnd"/>
      <w:r w:rsidR="002F266C" w:rsidRPr="008D3E74">
        <w:rPr>
          <w:rFonts w:ascii="Arial" w:hAnsi="Arial" w:cs="Arial"/>
          <w:iCs/>
        </w:rPr>
        <w:t>, personality, lifestyle factors), whereas stressful life events refer to specific events that are known be objectively associated with stress</w:t>
      </w:r>
      <w:r w:rsidR="00E23C85" w:rsidRPr="008D3E74">
        <w:rPr>
          <w:rFonts w:ascii="Arial" w:hAnsi="Arial" w:cs="Arial"/>
          <w:iCs/>
        </w:rPr>
        <w:t xml:space="preserve"> </w:t>
      </w:r>
      <w:r w:rsidR="00E23C85" w:rsidRPr="008D3E74">
        <w:rPr>
          <w:rFonts w:ascii="Arial" w:hAnsi="Arial" w:cs="Arial"/>
          <w:iCs/>
        </w:rPr>
        <w:fldChar w:fldCharType="begin"/>
      </w:r>
      <w:r w:rsidR="00E23C85" w:rsidRPr="008D3E74">
        <w:rPr>
          <w:rFonts w:ascii="Arial" w:hAnsi="Arial" w:cs="Arial"/>
          <w:iCs/>
        </w:rPr>
        <w:instrText xml:space="preserve"> ADDIN ZOTERO_ITEM CSL_CITATION {"citationID":"e8oZht8d","properties":{"formattedCitation":"(Feizi {\\i{}et al.} 2012)","plainCitation":"(Feizi et al. 2012)","noteIndex":0},"citationItems":[{"id":2254,"uris":["http://zotero.org/users/local/hhPVnw6l/items/JIESCC9G"],"uri":["http://zotero.org/users/local/hhPVnw6l/items/JIESCC9G"],"itemData":{"id":2254,"type":"article-journal","title":"Association of Perceived Stress with Stressful Life Events, Lifestyle and Sociodemographic Factors: A Large-Scale Community-Based Study Using Logistic Quantile Regression","container-title":"Computational and Mathematical Methods in Medicine","volume":"2012","source":"PubMed Central","abstract":"Objective. The present paper aimed at investigating the association between perceived stress and major life events stressors in Iranian general population. Methods. In a cross-sectional large-scale community-based study, 4583 people aged 19 and older, living in Isfahan, Iran, were investigated. Logistic quantile regression was used for modeling perceived stress, measured by GHQ questionnaire, as the bounded outcome (dependent), variable, and as a function of most important stressful life events, as the predictor variables, controlling for major lifestyle and sociodemographic factors. This model provides empirical evidence of the predictors' effects heterogeneity depending on individual location on the distribution of perceived stress. Results. The results showed that among four stressful life events, family conflicts and social problems were more correlated with level of perceived stress. Higher levels of education were negatively associated with perceived stress and its coefficients monotonically decrease beyond the 30th percentile. Also, higher levels of physical activity were associated with perception of low levels of stress. The pattern of gender's coefficient over the majority of quantiles implied that females are more affected by stressors. Also high perceived stress was associated with low or middle levels of income. Conclusions. The results of current research suggested that in a developing society with high prevalence of stress, interventions targeted toward promoting financial and social equalities, social skills training, and healthy lifestyle may have the potential benefits for large parts of the population, most notably female and lower educated people.","URL":"https://www.ncbi.nlm.nih.gov/pmc/articles/PMC3471433/","DOI":"10.1155/2012/151865","ISSN":"1748-670X","note":"PMID: 23091560\nPMCID: PMC3471433","title-short":"Association of Perceived Stress with Stressful Life Events, Lifestyle and Sociodemographic Factors","journalAbbreviation":"Comput Math Methods Med","author":[{"family":"Feizi","given":"Awat"},{"family":"Aliyari","given":"Roqayeh"},{"family":"Roohafza","given":"Hamidreza"}],"issued":{"date-parts":[["2012"]]},"accessed":{"date-parts":[["2019",8,3]]}}}],"schema":"https://github.com/citation-style-language/schema/raw/master/csl-citation.json"} </w:instrText>
      </w:r>
      <w:r w:rsidR="00E23C85" w:rsidRPr="008D3E74">
        <w:rPr>
          <w:rFonts w:ascii="Arial" w:hAnsi="Arial" w:cs="Arial"/>
          <w:iCs/>
        </w:rPr>
        <w:fldChar w:fldCharType="separate"/>
      </w:r>
      <w:r w:rsidR="00E23C85" w:rsidRPr="008D3E74">
        <w:rPr>
          <w:rFonts w:ascii="Arial" w:hAnsi="Arial" w:cs="Arial"/>
        </w:rPr>
        <w:t xml:space="preserve">(Feizi </w:t>
      </w:r>
      <w:r w:rsidR="00E23C85" w:rsidRPr="008D3E74">
        <w:rPr>
          <w:rFonts w:ascii="Arial" w:hAnsi="Arial" w:cs="Arial"/>
          <w:i/>
          <w:iCs/>
        </w:rPr>
        <w:t>et al.</w:t>
      </w:r>
      <w:r w:rsidR="00E23C85" w:rsidRPr="008D3E74">
        <w:rPr>
          <w:rFonts w:ascii="Arial" w:hAnsi="Arial" w:cs="Arial"/>
        </w:rPr>
        <w:t xml:space="preserve"> 2012)</w:t>
      </w:r>
      <w:r w:rsidR="00E23C85" w:rsidRPr="008D3E74">
        <w:rPr>
          <w:rFonts w:ascii="Arial" w:hAnsi="Arial" w:cs="Arial"/>
          <w:iCs/>
        </w:rPr>
        <w:fldChar w:fldCharType="end"/>
      </w:r>
      <w:r w:rsidR="002F266C" w:rsidRPr="008D3E74">
        <w:rPr>
          <w:rFonts w:ascii="Arial" w:hAnsi="Arial" w:cs="Arial"/>
          <w:iCs/>
        </w:rPr>
        <w:t>.</w:t>
      </w:r>
    </w:p>
    <w:p w14:paraId="58412504" w14:textId="7527F980" w:rsidR="00026A23" w:rsidRPr="008D3E74" w:rsidRDefault="00026A23" w:rsidP="000050E5">
      <w:pPr>
        <w:spacing w:line="480" w:lineRule="auto"/>
        <w:jc w:val="both"/>
        <w:rPr>
          <w:rFonts w:ascii="Arial" w:hAnsi="Arial" w:cs="Arial"/>
        </w:rPr>
      </w:pPr>
      <w:r w:rsidRPr="008D3E74">
        <w:rPr>
          <w:rFonts w:ascii="Arial" w:hAnsi="Arial" w:cs="Arial"/>
          <w:i/>
          <w:iCs/>
        </w:rPr>
        <w:lastRenderedPageBreak/>
        <w:t xml:space="preserve">Sociodemographic </w:t>
      </w:r>
      <w:r w:rsidR="004F304F" w:rsidRPr="008D3E74">
        <w:rPr>
          <w:rFonts w:ascii="Arial" w:hAnsi="Arial" w:cs="Arial"/>
          <w:i/>
          <w:iCs/>
        </w:rPr>
        <w:t>factors</w:t>
      </w:r>
      <w:r w:rsidRPr="008D3E74">
        <w:rPr>
          <w:rFonts w:ascii="Arial" w:hAnsi="Arial" w:cs="Arial"/>
          <w:i/>
          <w:iCs/>
        </w:rPr>
        <w:t>.</w:t>
      </w:r>
      <w:r w:rsidRPr="008D3E74">
        <w:rPr>
          <w:rFonts w:ascii="Arial" w:hAnsi="Arial" w:cs="Arial"/>
        </w:rPr>
        <w:t xml:space="preserve"> </w:t>
      </w:r>
      <w:r w:rsidR="00AE5C2D" w:rsidRPr="008D3E74">
        <w:rPr>
          <w:rFonts w:ascii="Arial" w:hAnsi="Arial" w:cs="Arial"/>
        </w:rPr>
        <w:t xml:space="preserve">These included </w:t>
      </w:r>
      <w:r w:rsidRPr="008D3E74">
        <w:rPr>
          <w:rFonts w:ascii="Arial" w:hAnsi="Arial" w:cs="Arial"/>
        </w:rPr>
        <w:t xml:space="preserve">marital status (married/cohabiting or single/widowed/divorced/separated), </w:t>
      </w:r>
      <w:r w:rsidR="007D40C6" w:rsidRPr="008D3E74">
        <w:rPr>
          <w:rFonts w:ascii="Arial" w:hAnsi="Arial" w:cs="Arial"/>
        </w:rPr>
        <w:t xml:space="preserve">qualification </w:t>
      </w:r>
      <w:r w:rsidRPr="008D3E74">
        <w:rPr>
          <w:rFonts w:ascii="Arial" w:hAnsi="Arial" w:cs="Arial"/>
        </w:rPr>
        <w:t xml:space="preserve">(having a qualification i.e., degree, non-degree, A-level, GCSE, other: yes or no), employment status, and income (highest ≥£29826, middle £14057–&lt;£29826 or lowest &lt;£14057; equivalized income </w:t>
      </w:r>
      <w:proofErr w:type="spellStart"/>
      <w:r w:rsidRPr="008D3E74">
        <w:rPr>
          <w:rFonts w:ascii="Arial" w:hAnsi="Arial" w:cs="Arial"/>
        </w:rPr>
        <w:t>tertiles</w:t>
      </w:r>
      <w:proofErr w:type="spellEnd"/>
      <w:r w:rsidRPr="008D3E74">
        <w:rPr>
          <w:rFonts w:ascii="Arial" w:hAnsi="Arial" w:cs="Arial"/>
        </w:rPr>
        <w:t>).</w:t>
      </w:r>
    </w:p>
    <w:p w14:paraId="02440E7D" w14:textId="199B8EE0" w:rsidR="00003ECE" w:rsidRPr="008D3E74" w:rsidRDefault="00003ECE" w:rsidP="000050E5">
      <w:pPr>
        <w:spacing w:line="480" w:lineRule="auto"/>
        <w:jc w:val="both"/>
        <w:rPr>
          <w:rFonts w:ascii="Arial" w:hAnsi="Arial" w:cs="Arial"/>
          <w:i/>
        </w:rPr>
      </w:pPr>
      <w:r w:rsidRPr="008D3E74">
        <w:rPr>
          <w:rFonts w:ascii="Arial" w:hAnsi="Arial" w:cs="Arial"/>
          <w:i/>
        </w:rPr>
        <w:t xml:space="preserve">Nicotine dependence. </w:t>
      </w:r>
      <w:r w:rsidRPr="008D3E74">
        <w:rPr>
          <w:rFonts w:ascii="Arial" w:hAnsi="Arial" w:cs="Arial"/>
          <w:iCs/>
        </w:rPr>
        <w:t xml:space="preserve">Nicotine dependence was assessed using the </w:t>
      </w:r>
      <w:proofErr w:type="spellStart"/>
      <w:r w:rsidRPr="008D3E74">
        <w:rPr>
          <w:rFonts w:ascii="Arial" w:hAnsi="Arial" w:cs="Arial"/>
          <w:iCs/>
        </w:rPr>
        <w:t>Fagerström</w:t>
      </w:r>
      <w:proofErr w:type="spellEnd"/>
      <w:r w:rsidRPr="008D3E74">
        <w:rPr>
          <w:rFonts w:ascii="Arial" w:hAnsi="Arial" w:cs="Arial"/>
          <w:iCs/>
        </w:rPr>
        <w:t xml:space="preserve"> test, a six-item questionnaire</w:t>
      </w:r>
      <w:r w:rsidR="0055077F" w:rsidRPr="008D3E74">
        <w:rPr>
          <w:rFonts w:ascii="Arial" w:hAnsi="Arial" w:cs="Arial"/>
          <w:iCs/>
        </w:rPr>
        <w:t xml:space="preserve"> </w:t>
      </w:r>
      <w:r w:rsidR="0055077F" w:rsidRPr="008D3E74">
        <w:rPr>
          <w:rFonts w:ascii="Arial" w:hAnsi="Arial" w:cs="Arial"/>
          <w:iCs/>
        </w:rPr>
        <w:fldChar w:fldCharType="begin"/>
      </w:r>
      <w:r w:rsidR="0055077F" w:rsidRPr="008D3E74">
        <w:rPr>
          <w:rFonts w:ascii="Arial" w:hAnsi="Arial" w:cs="Arial"/>
          <w:iCs/>
        </w:rPr>
        <w:instrText xml:space="preserve"> ADDIN ZOTERO_ITEM CSL_CITATION {"citationID":"wWsftkWf","properties":{"formattedCitation":"(Chabrol {\\i{}et al.} 2005)","plainCitation":"(Chabrol et al. 2005)","noteIndex":0},"citationItems":[{"id":2250,"uris":["http://zotero.org/users/local/hhPVnw6l/items/8XQVEDYY"],"uri":["http://zotero.org/users/local/hhPVnw6l/items/8XQVEDYY"],"itemData":{"id":2250,"type":"article-journal","title":"Comparison of the Heavy Smoking Index and of the Fagerstrom Test for Nicotine Dependence in a sample of 749 cigarette smokers","container-title":"Addictive Behaviors","page":"1474-1477","volume":"30","issue":"7","source":"PubMed","abstract":"Nicotine Dependence (FTND) was administered to a sample of 749 adult smokers. The Heavy Smoking Index (HSI) which combines two items of the FTND (the number of cigarettes per day and the time of the first cigarette of the day) was compared to the FTND. A cut-off score equal or greater than 4 on the HSI detected a similar rate of nicotine dependence as a cut-off score equal or greater than 6 on the FTND. HSI had good sensitivity (79.5%) and specificity (96.5%). The concordance between the two instruments was high (Cohen's kappa=0.74). The HSI performed as well on men as on women. The HSI provides a good measure of high nicotine dependence, particularly appropriate for epidemiological surveys.","DOI":"10.1016/j.addbeh.2005.02.001","ISSN":"0306-4603","note":"PMID: 16022945","journalAbbreviation":"Addict Behav","language":"eng","author":[{"family":"Chabrol","given":"Henri"},{"family":"Niezborala","given":"Michel"},{"family":"Chastan","given":"Evelyne"},{"family":"Leon","given":"Jose","non-dropping-particle":"de"}],"issued":{"date-parts":[["2005",8]]}}}],"schema":"https://github.com/citation-style-language/schema/raw/master/csl-citation.json"} </w:instrText>
      </w:r>
      <w:r w:rsidR="0055077F" w:rsidRPr="008D3E74">
        <w:rPr>
          <w:rFonts w:ascii="Arial" w:hAnsi="Arial" w:cs="Arial"/>
          <w:iCs/>
        </w:rPr>
        <w:fldChar w:fldCharType="separate"/>
      </w:r>
      <w:r w:rsidR="0055077F" w:rsidRPr="008D3E74">
        <w:rPr>
          <w:rFonts w:ascii="Arial" w:hAnsi="Arial" w:cs="Arial"/>
        </w:rPr>
        <w:t xml:space="preserve">(Chabrol </w:t>
      </w:r>
      <w:r w:rsidR="0055077F" w:rsidRPr="008D3E74">
        <w:rPr>
          <w:rFonts w:ascii="Arial" w:hAnsi="Arial" w:cs="Arial"/>
          <w:i/>
          <w:iCs/>
        </w:rPr>
        <w:t>et al.</w:t>
      </w:r>
      <w:r w:rsidR="0055077F" w:rsidRPr="008D3E74">
        <w:rPr>
          <w:rFonts w:ascii="Arial" w:hAnsi="Arial" w:cs="Arial"/>
        </w:rPr>
        <w:t xml:space="preserve"> 2005)</w:t>
      </w:r>
      <w:r w:rsidR="0055077F" w:rsidRPr="008D3E74">
        <w:rPr>
          <w:rFonts w:ascii="Arial" w:hAnsi="Arial" w:cs="Arial"/>
          <w:iCs/>
        </w:rPr>
        <w:fldChar w:fldCharType="end"/>
      </w:r>
      <w:r w:rsidRPr="008D3E74">
        <w:rPr>
          <w:rFonts w:ascii="Arial" w:hAnsi="Arial" w:cs="Arial"/>
          <w:iCs/>
        </w:rPr>
        <w:t>. The score of the test ranges from 0 to 10, and a score of ≥6 indicates dependence to nicotine.</w:t>
      </w:r>
      <w:r w:rsidR="00AE5C2D" w:rsidRPr="008D3E74">
        <w:rPr>
          <w:rFonts w:ascii="Arial" w:hAnsi="Arial" w:cs="Arial"/>
          <w:iCs/>
        </w:rPr>
        <w:t xml:space="preserve"> A dich</w:t>
      </w:r>
      <w:r w:rsidR="004F13A6" w:rsidRPr="008D3E74">
        <w:rPr>
          <w:rFonts w:ascii="Arial" w:hAnsi="Arial" w:cs="Arial"/>
          <w:iCs/>
        </w:rPr>
        <w:t>otomized variable was created (s</w:t>
      </w:r>
      <w:r w:rsidR="00AE5C2D" w:rsidRPr="008D3E74">
        <w:rPr>
          <w:rFonts w:ascii="Arial" w:hAnsi="Arial" w:cs="Arial"/>
          <w:iCs/>
        </w:rPr>
        <w:t>core ≥6 or else</w:t>
      </w:r>
      <w:r w:rsidR="004F13A6" w:rsidRPr="008D3E74">
        <w:rPr>
          <w:rFonts w:ascii="Arial" w:hAnsi="Arial" w:cs="Arial"/>
          <w:iCs/>
        </w:rPr>
        <w:t>)</w:t>
      </w:r>
      <w:r w:rsidR="00AE5C2D" w:rsidRPr="008D3E74">
        <w:rPr>
          <w:rFonts w:ascii="Arial" w:hAnsi="Arial" w:cs="Arial"/>
          <w:iCs/>
        </w:rPr>
        <w:t>.</w:t>
      </w:r>
    </w:p>
    <w:p w14:paraId="2A9EA229" w14:textId="0E3E2CA9" w:rsidR="00913B1B" w:rsidRPr="008D3E74" w:rsidRDefault="00913B1B" w:rsidP="000050E5">
      <w:pPr>
        <w:spacing w:line="480" w:lineRule="auto"/>
        <w:jc w:val="both"/>
        <w:rPr>
          <w:rFonts w:ascii="Arial" w:hAnsi="Arial" w:cs="Arial"/>
        </w:rPr>
      </w:pPr>
      <w:r w:rsidRPr="008D3E74">
        <w:rPr>
          <w:rFonts w:ascii="Arial" w:hAnsi="Arial" w:cs="Arial"/>
          <w:i/>
        </w:rPr>
        <w:t>Alcohol dependence.</w:t>
      </w:r>
      <w:r w:rsidRPr="008D3E74">
        <w:rPr>
          <w:rFonts w:ascii="Arial" w:hAnsi="Arial" w:cs="Arial"/>
        </w:rPr>
        <w:t xml:space="preserve"> Excessive alcohol consumption was screened using the Alcohol Use Disorders Identification Test (AUDIT). Alcohol dependence was assessed with the Severity of Alcohol Dependence Questionnaire (SADQ-C) in participants with an AUDIT score of 10 or above. Scores of four or</w:t>
      </w:r>
      <w:r w:rsidR="006D61E4" w:rsidRPr="008D3E74">
        <w:rPr>
          <w:rFonts w:ascii="Arial" w:hAnsi="Arial" w:cs="Arial"/>
        </w:rPr>
        <w:t xml:space="preserve"> </w:t>
      </w:r>
      <w:r w:rsidRPr="008D3E74">
        <w:rPr>
          <w:rFonts w:ascii="Arial" w:hAnsi="Arial" w:cs="Arial"/>
        </w:rPr>
        <w:t>above indicated alcohol dependence in the past six months</w:t>
      </w:r>
      <w:r w:rsidR="00603041" w:rsidRPr="008D3E74">
        <w:rPr>
          <w:rFonts w:ascii="Arial" w:hAnsi="Arial" w:cs="Arial"/>
        </w:rPr>
        <w:t xml:space="preserve"> </w:t>
      </w:r>
      <w:r w:rsidR="005C2C2A" w:rsidRPr="008D3E74">
        <w:rPr>
          <w:rFonts w:ascii="Arial" w:hAnsi="Arial" w:cs="Arial"/>
        </w:rPr>
        <w:fldChar w:fldCharType="begin"/>
      </w:r>
      <w:r w:rsidR="00754C02" w:rsidRPr="008D3E74">
        <w:rPr>
          <w:rFonts w:ascii="Arial" w:hAnsi="Arial" w:cs="Arial"/>
        </w:rPr>
        <w:instrText xml:space="preserve"> ADDIN ZOTERO_ITEM CSL_CITATION {"citationID":"uViKQEwk","properties":{"formattedCitation":"(Jacob {\\i{}et al.} 2019)","plainCitation":"(Jacob et al. 2019)","noteIndex":0},"citationItems":[{"id":936,"uris":["http://zotero.org/users/local/hhPVnw6l/items/33755QZR"],"uri":["http://zotero.org/users/local/hhPVnw6l/items/33755QZR"],"itemData":{"id":936,"type":"article-journal","title":"The association of religiosity with suicidal ideation and suicide attempts in the United Kingdom","container-title":"Acta Psychiatrica Scandinavica","page":"164-173","volume":"139","issue":"2","source":"PubMed","abstract":"OBJECTIVE: The goal was to analyze the association of religiosity with suicidal ideation and suicide attempts in a UK nationally representative sample.\nMETHODS: This study used cross-sectional data from 7403 people who participated in the 2007 Adult Psychiatric Morbidity Survey (APMS). Religion was assessed with the question 'Do you have a specific religion?' with 'yes' and 'no' answer options. Lifetime and past 12-month suicidal ideation and suicide attempts were assessed. The association between religiosity and suicidality was studied in multivariable logistic regression models adjusted for sociodemographic, behavioural, and psychopathological factors.\nRESULTS: Compared to those without a religion, the prevalence of past 12-month suicidal ideation (3.2% vs. 5.4%), past 12-month suicide attempts (0.4% vs. 0.9%), lifetime suicidal ideation (11.2% vs. 16.4%), and lifetime suicide attempts (3.6% vs. 6.0%) was lower among those with a religion. In the fully adjusted model, having a religion was significantly associated with lower odds for all types of suicidality except past 12-month suicide attempts: suicidal ideation (past 12-month: OR = 0.71, 95% CI = 0.51-0.99; lifetime: OR = 0.83, 95% CI = 0.69-0.99) and suicide attempts (past 12-month: OR = 0.71, 95% CI = 0.35-1.45; lifetime: OR = 0.69, 95% CI = 0.53-0.90).\nCONCLUSION: There is a negative association between religiosity and suicidality in the UK. Future studies should focus on the underlying mechanisms.","DOI":"10.1111/acps.12972","ISSN":"1600-0447","note":"PMID: 30328099","journalAbbreviation":"Acta Psychiatr Scand","language":"eng","author":[{"family":"Jacob","given":"L."},{"family":"Haro","given":"J. M."},{"family":"Koyanagi","given":"A."}],"issued":{"date-parts":[["2019",2]]}}}],"schema":"https://github.com/citation-style-language/schema/raw/master/csl-citation.json"} </w:instrText>
      </w:r>
      <w:r w:rsidR="005C2C2A" w:rsidRPr="008D3E74">
        <w:rPr>
          <w:rFonts w:ascii="Arial" w:hAnsi="Arial" w:cs="Arial"/>
        </w:rPr>
        <w:fldChar w:fldCharType="separate"/>
      </w:r>
      <w:r w:rsidR="00754C02" w:rsidRPr="008D3E74">
        <w:rPr>
          <w:rFonts w:ascii="Arial" w:hAnsi="Arial" w:cs="Arial"/>
        </w:rPr>
        <w:t xml:space="preserve">(Jacob </w:t>
      </w:r>
      <w:r w:rsidR="00754C02" w:rsidRPr="008D3E74">
        <w:rPr>
          <w:rFonts w:ascii="Arial" w:hAnsi="Arial" w:cs="Arial"/>
          <w:i/>
          <w:iCs/>
        </w:rPr>
        <w:t>et al.</w:t>
      </w:r>
      <w:r w:rsidR="00754C02" w:rsidRPr="008D3E74">
        <w:rPr>
          <w:rFonts w:ascii="Arial" w:hAnsi="Arial" w:cs="Arial"/>
        </w:rPr>
        <w:t xml:space="preserve"> 2019)</w:t>
      </w:r>
      <w:r w:rsidR="005C2C2A" w:rsidRPr="008D3E74">
        <w:rPr>
          <w:rFonts w:ascii="Arial" w:hAnsi="Arial" w:cs="Arial"/>
        </w:rPr>
        <w:fldChar w:fldCharType="end"/>
      </w:r>
      <w:r w:rsidR="00603041" w:rsidRPr="008D3E74">
        <w:rPr>
          <w:rFonts w:ascii="Arial" w:hAnsi="Arial" w:cs="Arial"/>
        </w:rPr>
        <w:t>.</w:t>
      </w:r>
    </w:p>
    <w:p w14:paraId="3F49B813" w14:textId="3E96E206" w:rsidR="00AE5C2D" w:rsidRPr="008D3E74" w:rsidRDefault="00341136" w:rsidP="000050E5">
      <w:pPr>
        <w:spacing w:line="480" w:lineRule="auto"/>
        <w:jc w:val="both"/>
        <w:rPr>
          <w:rFonts w:ascii="Arial" w:hAnsi="Arial" w:cs="Arial"/>
          <w:iCs/>
        </w:rPr>
      </w:pPr>
      <w:r w:rsidRPr="008D3E74">
        <w:rPr>
          <w:rFonts w:ascii="Arial" w:hAnsi="Arial" w:cs="Arial"/>
          <w:i/>
        </w:rPr>
        <w:t xml:space="preserve">Cannabis use. </w:t>
      </w:r>
      <w:r w:rsidRPr="008D3E74">
        <w:rPr>
          <w:rFonts w:ascii="Arial" w:hAnsi="Arial" w:cs="Arial"/>
          <w:iCs/>
        </w:rPr>
        <w:t xml:space="preserve">Cannabis use </w:t>
      </w:r>
      <w:r w:rsidR="00AE5C2D" w:rsidRPr="008D3E74">
        <w:rPr>
          <w:rFonts w:ascii="Arial" w:hAnsi="Arial" w:cs="Arial"/>
          <w:iCs/>
        </w:rPr>
        <w:t>referred to answering affirmatively to the question</w:t>
      </w:r>
      <w:r w:rsidRPr="008D3E74">
        <w:rPr>
          <w:rFonts w:ascii="Arial" w:hAnsi="Arial" w:cs="Arial"/>
          <w:iCs/>
        </w:rPr>
        <w:t xml:space="preserve"> “In the last 12 months, have you taken cannabis</w:t>
      </w:r>
      <w:r w:rsidR="00AE5C2D" w:rsidRPr="008D3E74">
        <w:rPr>
          <w:rFonts w:ascii="Arial" w:hAnsi="Arial" w:cs="Arial"/>
          <w:iCs/>
        </w:rPr>
        <w:t>?</w:t>
      </w:r>
      <w:r w:rsidRPr="008D3E74">
        <w:rPr>
          <w:rFonts w:ascii="Arial" w:hAnsi="Arial" w:cs="Arial"/>
          <w:iCs/>
        </w:rPr>
        <w:t>”</w:t>
      </w:r>
      <w:r w:rsidR="00AE5C2D" w:rsidRPr="008D3E74">
        <w:rPr>
          <w:rFonts w:ascii="Arial" w:hAnsi="Arial" w:cs="Arial"/>
          <w:iCs/>
        </w:rPr>
        <w:t xml:space="preserve"> Data on the frequency of lifetime cannabis use were also available and this variable was dichotomized as &lt;10 or ≥10 times.</w:t>
      </w:r>
    </w:p>
    <w:p w14:paraId="623B2CCB" w14:textId="0299AD28" w:rsidR="000B7367" w:rsidRPr="008D3E74" w:rsidRDefault="000B7367" w:rsidP="000050E5">
      <w:pPr>
        <w:spacing w:line="480" w:lineRule="auto"/>
        <w:jc w:val="both"/>
        <w:rPr>
          <w:rFonts w:ascii="Arial" w:hAnsi="Arial" w:cs="Arial"/>
        </w:rPr>
      </w:pPr>
      <w:r w:rsidRPr="008D3E74">
        <w:rPr>
          <w:rFonts w:ascii="Arial" w:hAnsi="Arial" w:cs="Arial"/>
          <w:i/>
        </w:rPr>
        <w:t>Loneliness.</w:t>
      </w:r>
      <w:r w:rsidR="00182580" w:rsidRPr="008D3E74">
        <w:rPr>
          <w:rFonts w:ascii="Arial" w:hAnsi="Arial" w:cs="Arial"/>
          <w:iCs/>
        </w:rPr>
        <w:t xml:space="preserve"> </w:t>
      </w:r>
      <w:r w:rsidR="00451BDF" w:rsidRPr="008D3E74">
        <w:rPr>
          <w:rFonts w:ascii="Arial" w:hAnsi="Arial" w:cs="Arial"/>
        </w:rPr>
        <w:t>Loneliness</w:t>
      </w:r>
      <w:r w:rsidR="00182580" w:rsidRPr="008D3E74">
        <w:rPr>
          <w:rFonts w:ascii="Arial" w:hAnsi="Arial" w:cs="Arial"/>
        </w:rPr>
        <w:t xml:space="preserve"> was assessed with an item from the Social Functioning Questionnaire (SFQ). Respondents were asked to assess to what extent they had felt “lonely and isolated from other people” in the past 2 weeks with response options, “very much”, “sometimes”, “not often”, and “not at all”. In the analyses that follow, these response options were dichotomized with those who responded </w:t>
      </w:r>
      <w:r w:rsidR="00C46AA1" w:rsidRPr="008D3E74">
        <w:rPr>
          <w:rFonts w:ascii="Arial" w:hAnsi="Arial" w:cs="Arial"/>
        </w:rPr>
        <w:t>“</w:t>
      </w:r>
      <w:r w:rsidR="00182580" w:rsidRPr="008D3E74">
        <w:rPr>
          <w:rFonts w:ascii="Arial" w:hAnsi="Arial" w:cs="Arial"/>
        </w:rPr>
        <w:t>sometimes</w:t>
      </w:r>
      <w:r w:rsidR="00C46AA1" w:rsidRPr="008D3E74">
        <w:rPr>
          <w:rFonts w:ascii="Arial" w:hAnsi="Arial" w:cs="Arial"/>
        </w:rPr>
        <w:t>”</w:t>
      </w:r>
      <w:r w:rsidR="00182580" w:rsidRPr="008D3E74">
        <w:rPr>
          <w:rFonts w:ascii="Arial" w:hAnsi="Arial" w:cs="Arial"/>
        </w:rPr>
        <w:t xml:space="preserve"> and </w:t>
      </w:r>
      <w:r w:rsidR="00C46AA1" w:rsidRPr="008D3E74">
        <w:rPr>
          <w:rFonts w:ascii="Arial" w:hAnsi="Arial" w:cs="Arial"/>
        </w:rPr>
        <w:t>“</w:t>
      </w:r>
      <w:r w:rsidR="00182580" w:rsidRPr="008D3E74">
        <w:rPr>
          <w:rFonts w:ascii="Arial" w:hAnsi="Arial" w:cs="Arial"/>
        </w:rPr>
        <w:t>very much</w:t>
      </w:r>
      <w:r w:rsidR="00C46AA1" w:rsidRPr="008D3E74">
        <w:rPr>
          <w:rFonts w:ascii="Arial" w:hAnsi="Arial" w:cs="Arial"/>
        </w:rPr>
        <w:t>”</w:t>
      </w:r>
      <w:r w:rsidR="00182580" w:rsidRPr="008D3E74">
        <w:rPr>
          <w:rFonts w:ascii="Arial" w:hAnsi="Arial" w:cs="Arial"/>
        </w:rPr>
        <w:t xml:space="preserve"> being categorized as lonely</w:t>
      </w:r>
      <w:r w:rsidR="00603041" w:rsidRPr="008D3E74">
        <w:rPr>
          <w:rFonts w:ascii="Arial" w:hAnsi="Arial" w:cs="Arial"/>
        </w:rPr>
        <w:t xml:space="preserve"> </w:t>
      </w:r>
      <w:r w:rsidR="00C46AA1" w:rsidRPr="008D3E74">
        <w:rPr>
          <w:rFonts w:ascii="Arial" w:hAnsi="Arial" w:cs="Arial"/>
        </w:rPr>
        <w:fldChar w:fldCharType="begin"/>
      </w:r>
      <w:r w:rsidR="00754C02" w:rsidRPr="008D3E74">
        <w:rPr>
          <w:rFonts w:ascii="Arial" w:hAnsi="Arial" w:cs="Arial"/>
        </w:rPr>
        <w:instrText xml:space="preserve"> ADDIN ZOTERO_ITEM CSL_CITATION {"citationID":"LlnuwNGW","properties":{"formattedCitation":"(Jacob {\\i{}et al.} 2019)","plainCitation":"(Jacob et al. 2019)","noteIndex":0},"citationItems":[{"id":936,"uris":["http://zotero.org/users/local/hhPVnw6l/items/33755QZR"],"uri":["http://zotero.org/users/local/hhPVnw6l/items/33755QZR"],"itemData":{"id":936,"type":"article-journal","title":"The association of religiosity with suicidal ideation and suicide attempts in the United Kingdom","container-title":"Acta Psychiatrica Scandinavica","page":"164-173","volume":"139","issue":"2","source":"PubMed","abstract":"OBJECTIVE: The goal was to analyze the association of religiosity with suicidal ideation and suicide attempts in a UK nationally representative sample.\nMETHODS: This study used cross-sectional data from 7403 people who participated in the 2007 Adult Psychiatric Morbidity Survey (APMS). Religion was assessed with the question 'Do you have a specific religion?' with 'yes' and 'no' answer options. Lifetime and past 12-month suicidal ideation and suicide attempts were assessed. The association between religiosity and suicidality was studied in multivariable logistic regression models adjusted for sociodemographic, behavioural, and psychopathological factors.\nRESULTS: Compared to those without a religion, the prevalence of past 12-month suicidal ideation (3.2% vs. 5.4%), past 12-month suicide attempts (0.4% vs. 0.9%), lifetime suicidal ideation (11.2% vs. 16.4%), and lifetime suicide attempts (3.6% vs. 6.0%) was lower among those with a religion. In the fully adjusted model, having a religion was significantly associated with lower odds for all types of suicidality except past 12-month suicide attempts: suicidal ideation (past 12-month: OR = 0.71, 95% CI = 0.51-0.99; lifetime: OR = 0.83, 95% CI = 0.69-0.99) and suicide attempts (past 12-month: OR = 0.71, 95% CI = 0.35-1.45; lifetime: OR = 0.69, 95% CI = 0.53-0.90).\nCONCLUSION: There is a negative association between religiosity and suicidality in the UK. Future studies should focus on the underlying mechanisms.","DOI":"10.1111/acps.12972","ISSN":"1600-0447","note":"PMID: 30328099","journalAbbreviation":"Acta Psychiatr Scand","language":"eng","author":[{"family":"Jacob","given":"L."},{"family":"Haro","given":"J. M."},{"family":"Koyanagi","given":"A."}],"issued":{"date-parts":[["2019",2]]}}}],"schema":"https://github.com/citation-style-language/schema/raw/master/csl-citation.json"} </w:instrText>
      </w:r>
      <w:r w:rsidR="00C46AA1" w:rsidRPr="008D3E74">
        <w:rPr>
          <w:rFonts w:ascii="Arial" w:hAnsi="Arial" w:cs="Arial"/>
        </w:rPr>
        <w:fldChar w:fldCharType="separate"/>
      </w:r>
      <w:r w:rsidR="00754C02" w:rsidRPr="008D3E74">
        <w:rPr>
          <w:rFonts w:ascii="Arial" w:hAnsi="Arial" w:cs="Arial"/>
        </w:rPr>
        <w:t xml:space="preserve">(Jacob </w:t>
      </w:r>
      <w:r w:rsidR="00754C02" w:rsidRPr="008D3E74">
        <w:rPr>
          <w:rFonts w:ascii="Arial" w:hAnsi="Arial" w:cs="Arial"/>
          <w:i/>
          <w:iCs/>
        </w:rPr>
        <w:t>et al.</w:t>
      </w:r>
      <w:r w:rsidR="00754C02" w:rsidRPr="008D3E74">
        <w:rPr>
          <w:rFonts w:ascii="Arial" w:hAnsi="Arial" w:cs="Arial"/>
        </w:rPr>
        <w:t xml:space="preserve"> 2019)</w:t>
      </w:r>
      <w:r w:rsidR="00C46AA1" w:rsidRPr="008D3E74">
        <w:rPr>
          <w:rFonts w:ascii="Arial" w:hAnsi="Arial" w:cs="Arial"/>
        </w:rPr>
        <w:fldChar w:fldCharType="end"/>
      </w:r>
      <w:r w:rsidR="00603041" w:rsidRPr="008D3E74">
        <w:rPr>
          <w:rFonts w:ascii="Arial" w:hAnsi="Arial" w:cs="Arial"/>
        </w:rPr>
        <w:t>.</w:t>
      </w:r>
    </w:p>
    <w:p w14:paraId="12A8439D" w14:textId="42989172" w:rsidR="00792701" w:rsidRPr="008D3E74" w:rsidRDefault="00792701" w:rsidP="000050E5">
      <w:pPr>
        <w:spacing w:line="480" w:lineRule="auto"/>
        <w:jc w:val="both"/>
        <w:rPr>
          <w:rFonts w:ascii="Arial" w:hAnsi="Arial" w:cs="Arial"/>
        </w:rPr>
      </w:pPr>
      <w:r w:rsidRPr="008D3E74">
        <w:rPr>
          <w:rFonts w:ascii="Arial" w:hAnsi="Arial" w:cs="Arial"/>
          <w:i/>
        </w:rPr>
        <w:lastRenderedPageBreak/>
        <w:t>Social support.</w:t>
      </w:r>
      <w:r w:rsidRPr="008D3E74">
        <w:rPr>
          <w:rFonts w:ascii="Arial" w:hAnsi="Arial" w:cs="Arial"/>
        </w:rPr>
        <w:t xml:space="preserve"> This was assessed with a 7-item measure. Using answer options </w:t>
      </w:r>
      <w:r w:rsidR="00191605" w:rsidRPr="008D3E74">
        <w:rPr>
          <w:rFonts w:ascii="Arial" w:hAnsi="Arial" w:cs="Arial"/>
        </w:rPr>
        <w:t>“</w:t>
      </w:r>
      <w:r w:rsidRPr="008D3E74">
        <w:rPr>
          <w:rFonts w:ascii="Arial" w:hAnsi="Arial" w:cs="Arial"/>
        </w:rPr>
        <w:t>not true</w:t>
      </w:r>
      <w:r w:rsidR="00191605" w:rsidRPr="008D3E74">
        <w:rPr>
          <w:rFonts w:ascii="Arial" w:hAnsi="Arial" w:cs="Arial"/>
        </w:rPr>
        <w:t>”</w:t>
      </w:r>
      <w:r w:rsidRPr="008D3E74">
        <w:rPr>
          <w:rFonts w:ascii="Arial" w:hAnsi="Arial" w:cs="Arial"/>
        </w:rPr>
        <w:t xml:space="preserve"> (score=0), </w:t>
      </w:r>
      <w:r w:rsidR="00191605" w:rsidRPr="008D3E74">
        <w:rPr>
          <w:rFonts w:ascii="Arial" w:hAnsi="Arial" w:cs="Arial"/>
        </w:rPr>
        <w:t>“</w:t>
      </w:r>
      <w:r w:rsidRPr="008D3E74">
        <w:rPr>
          <w:rFonts w:ascii="Arial" w:hAnsi="Arial" w:cs="Arial"/>
        </w:rPr>
        <w:t>partly true</w:t>
      </w:r>
      <w:r w:rsidR="00191605" w:rsidRPr="008D3E74">
        <w:rPr>
          <w:rFonts w:ascii="Arial" w:hAnsi="Arial" w:cs="Arial"/>
        </w:rPr>
        <w:t>”</w:t>
      </w:r>
      <w:r w:rsidRPr="008D3E74">
        <w:rPr>
          <w:rFonts w:ascii="Arial" w:hAnsi="Arial" w:cs="Arial"/>
        </w:rPr>
        <w:t xml:space="preserve"> (score=1), and </w:t>
      </w:r>
      <w:r w:rsidR="00191605" w:rsidRPr="008D3E74">
        <w:rPr>
          <w:rFonts w:ascii="Arial" w:hAnsi="Arial" w:cs="Arial"/>
        </w:rPr>
        <w:t>“</w:t>
      </w:r>
      <w:r w:rsidRPr="008D3E74">
        <w:rPr>
          <w:rFonts w:ascii="Arial" w:hAnsi="Arial" w:cs="Arial"/>
        </w:rPr>
        <w:t>certainly true</w:t>
      </w:r>
      <w:r w:rsidR="00191605" w:rsidRPr="008D3E74">
        <w:rPr>
          <w:rFonts w:ascii="Arial" w:hAnsi="Arial" w:cs="Arial"/>
        </w:rPr>
        <w:t>”</w:t>
      </w:r>
      <w:r w:rsidRPr="008D3E74">
        <w:rPr>
          <w:rFonts w:ascii="Arial" w:hAnsi="Arial" w:cs="Arial"/>
        </w:rPr>
        <w:t xml:space="preserve"> (score=2), participants responded to statements which inquired if family and friends did things to make them happy, made them feel loved, could be relied on no matter what, would see that they were taken care of no matter what, accepted them just the way they are, made them feel an important part of their lives, and gave them support and encouragement. Responses were added to create a scale score that could range from 0 to 14. The internal consistency of the scale was good: Cronbach’s </w:t>
      </w:r>
      <w:r w:rsidR="007F4370" w:rsidRPr="008D3E74">
        <w:rPr>
          <w:rFonts w:ascii="Arial" w:hAnsi="Arial" w:cs="Arial"/>
        </w:rPr>
        <w:t>α</w:t>
      </w:r>
      <w:r w:rsidRPr="008D3E74">
        <w:rPr>
          <w:rFonts w:ascii="Arial" w:hAnsi="Arial" w:cs="Arial"/>
        </w:rPr>
        <w:t>=0.89.</w:t>
      </w:r>
    </w:p>
    <w:p w14:paraId="4049B94F" w14:textId="7444DEE8" w:rsidR="000B7367" w:rsidRPr="008D3E74" w:rsidRDefault="000B7367" w:rsidP="000050E5">
      <w:pPr>
        <w:spacing w:line="480" w:lineRule="auto"/>
        <w:jc w:val="both"/>
        <w:rPr>
          <w:rFonts w:ascii="Arial" w:hAnsi="Arial" w:cs="Arial"/>
        </w:rPr>
      </w:pPr>
      <w:r w:rsidRPr="008D3E74">
        <w:rPr>
          <w:rFonts w:ascii="Arial" w:hAnsi="Arial" w:cs="Arial"/>
          <w:i/>
        </w:rPr>
        <w:t>Bullying</w:t>
      </w:r>
      <w:r w:rsidR="00561263" w:rsidRPr="008D3E74">
        <w:rPr>
          <w:rFonts w:ascii="Arial" w:hAnsi="Arial" w:cs="Arial"/>
          <w:i/>
        </w:rPr>
        <w:t xml:space="preserve"> victimization</w:t>
      </w:r>
      <w:r w:rsidRPr="008D3E74">
        <w:rPr>
          <w:rFonts w:ascii="Arial" w:hAnsi="Arial" w:cs="Arial"/>
          <w:i/>
        </w:rPr>
        <w:t>.</w:t>
      </w:r>
      <w:r w:rsidR="0008491E" w:rsidRPr="008D3E74">
        <w:rPr>
          <w:rFonts w:ascii="Arial" w:hAnsi="Arial" w:cs="Arial"/>
          <w:i/>
        </w:rPr>
        <w:t xml:space="preserve"> </w:t>
      </w:r>
      <w:r w:rsidR="0008491E" w:rsidRPr="008D3E74">
        <w:rPr>
          <w:rFonts w:ascii="Arial" w:hAnsi="Arial" w:cs="Arial"/>
        </w:rPr>
        <w:t>Those who claimed to have been bullied at any time in life were considered to have experienced bullying</w:t>
      </w:r>
      <w:r w:rsidR="00603041" w:rsidRPr="008D3E74">
        <w:rPr>
          <w:rFonts w:ascii="Arial" w:hAnsi="Arial" w:cs="Arial"/>
        </w:rPr>
        <w:t xml:space="preserve"> </w:t>
      </w:r>
      <w:r w:rsidR="0008491E" w:rsidRPr="008D3E74">
        <w:rPr>
          <w:rFonts w:ascii="Arial" w:hAnsi="Arial" w:cs="Arial"/>
        </w:rPr>
        <w:fldChar w:fldCharType="begin"/>
      </w:r>
      <w:r w:rsidR="00754C02" w:rsidRPr="008D3E74">
        <w:rPr>
          <w:rFonts w:ascii="Arial" w:hAnsi="Arial" w:cs="Arial"/>
        </w:rPr>
        <w:instrText xml:space="preserve"> ADDIN ZOTERO_ITEM CSL_CITATION {"citationID":"eTgeD50j","properties":{"formattedCitation":"(Jacob {\\i{}et al.} 2018a)","plainCitation":"(Jacob et al. 2018a)","noteIndex":0},"citationItems":[{"id":362,"uris":["http://zotero.org/users/local/hhPVnw6l/items/3ZQUXDDC"],"uri":["http://zotero.org/users/local/hhPVnw6l/items/3ZQUXDDC"],"itemData":{"id":362,"type":"article-journal","title":"Association between intelligence quotient and violence perpetration in the English general population","container-title":"Psychological Medicine","page":"1-8","source":"PubMed","abstract":"BACKGROUND: Data on the relationship between intelligence quotient (IQ) and violence perpetration are scarce and nationally representative data from the UK adult population is lacking. Therefore, our goal was to examine the relationship between IQ and violence perpetration using nationally representative community-based data from the UK.\nMETHODS: We analyzed cross-sectional data from the 2007 Adult Psychiatric Morbidity Survey. IQ was estimated using the National Adult Reading Test (NART). Violence perpetration referred to being in a physical fight or having deliberately hit anyone in the past 5 years. We conducted logistic regression analysis to assess the association between IQ (exposure variable) and violence perpetration (outcome variable).\nRESULTS: There were 6872 participants aged </w:instrText>
      </w:r>
      <w:r w:rsidR="00754C02" w:rsidRPr="008D3E74">
        <w:rPr>
          <w:rFonts w:ascii="Cambria Math" w:hAnsi="Cambria Math" w:cs="Cambria Math"/>
        </w:rPr>
        <w:instrText>⩾</w:instrText>
      </w:r>
      <w:r w:rsidR="00754C02" w:rsidRPr="008D3E74">
        <w:rPr>
          <w:rFonts w:ascii="Arial" w:hAnsi="Arial" w:cs="Arial"/>
        </w:rPr>
        <w:instrText xml:space="preserve">16 years included in this study. The prevalence of violence perpetration decreased linearly with increasing IQ [16.3% (IQ 70-79) v. 2.9% (IQ 120-129)]. After adjusting for demographic and behavioral factors, childhood adversity, and psychiatric morbidity, compared with those with IQ 120-129, IQ scores of 110-119, 100-109, 90-99, 80-89, and 70-79 were associated with 1.07 [95% confidence interval (CI) 0.63-1.84], 1.90 (95% CI 1.12-3.22), 1.80 (95% CI 1.05-3.13), 2.36 (95% CI 1.32-4.22), and 2.25 (95% CI 1.26-4.01) times higher odds for violence perpetration, respectively.\nCONCLUSIONS: Lower IQ was associated with violence perpetration in the UK general population. Further studies are warranted to assess how low IQ can lead to violence perpetration, and whether interventions are possible for this high-risk group.","DOI":"10.1017/S0033291718001939","ISSN":"1469-8978","note":"PMID: 30058504","journalAbbreviation":"Psychol Med","language":"eng","author":[{"family":"Jacob","given":"Louis"},{"family":"Haro","given":"Josep Maria"},{"family":"Koyanagi","given":"Ai"}],"issued":{"date-parts":[["2018",7,30]]}}}],"schema":"https://github.com/citation-style-language/schema/raw/master/csl-citation.json"} </w:instrText>
      </w:r>
      <w:r w:rsidR="0008491E" w:rsidRPr="008D3E74">
        <w:rPr>
          <w:rFonts w:ascii="Arial" w:hAnsi="Arial" w:cs="Arial"/>
        </w:rPr>
        <w:fldChar w:fldCharType="separate"/>
      </w:r>
      <w:r w:rsidR="00754C02" w:rsidRPr="008D3E74">
        <w:rPr>
          <w:rFonts w:ascii="Arial" w:hAnsi="Arial" w:cs="Arial"/>
        </w:rPr>
        <w:t xml:space="preserve">(Jacob </w:t>
      </w:r>
      <w:r w:rsidR="00754C02" w:rsidRPr="008D3E74">
        <w:rPr>
          <w:rFonts w:ascii="Arial" w:hAnsi="Arial" w:cs="Arial"/>
          <w:i/>
          <w:iCs/>
        </w:rPr>
        <w:t>et al.</w:t>
      </w:r>
      <w:r w:rsidR="00754C02" w:rsidRPr="008D3E74">
        <w:rPr>
          <w:rFonts w:ascii="Arial" w:hAnsi="Arial" w:cs="Arial"/>
        </w:rPr>
        <w:t xml:space="preserve"> 2018a)</w:t>
      </w:r>
      <w:r w:rsidR="0008491E" w:rsidRPr="008D3E74">
        <w:rPr>
          <w:rFonts w:ascii="Arial" w:hAnsi="Arial" w:cs="Arial"/>
        </w:rPr>
        <w:fldChar w:fldCharType="end"/>
      </w:r>
      <w:r w:rsidR="00603041" w:rsidRPr="008D3E74">
        <w:rPr>
          <w:rFonts w:ascii="Arial" w:hAnsi="Arial" w:cs="Arial"/>
        </w:rPr>
        <w:t>.</w:t>
      </w:r>
    </w:p>
    <w:p w14:paraId="03CE7487" w14:textId="745B769D" w:rsidR="000B7367" w:rsidRPr="008D3E74" w:rsidRDefault="000B7367" w:rsidP="000050E5">
      <w:pPr>
        <w:spacing w:line="480" w:lineRule="auto"/>
        <w:jc w:val="both"/>
        <w:rPr>
          <w:rFonts w:ascii="Arial" w:hAnsi="Arial" w:cs="Arial"/>
        </w:rPr>
      </w:pPr>
      <w:r w:rsidRPr="008D3E74">
        <w:rPr>
          <w:rFonts w:ascii="Arial" w:hAnsi="Arial" w:cs="Arial"/>
          <w:i/>
        </w:rPr>
        <w:t>Perceived stress.</w:t>
      </w:r>
      <w:r w:rsidR="003640BE" w:rsidRPr="008D3E74">
        <w:rPr>
          <w:rFonts w:ascii="Arial" w:hAnsi="Arial" w:cs="Arial"/>
          <w:i/>
        </w:rPr>
        <w:t xml:space="preserve"> </w:t>
      </w:r>
      <w:r w:rsidR="003640BE" w:rsidRPr="008D3E74">
        <w:rPr>
          <w:rFonts w:ascii="Arial" w:hAnsi="Arial" w:cs="Arial"/>
        </w:rPr>
        <w:t xml:space="preserve">Participants were asked if their tasks at home and at work were stressful. Answers ranged from 0 </w:t>
      </w:r>
      <w:r w:rsidR="001F122B" w:rsidRPr="008D3E74">
        <w:rPr>
          <w:rFonts w:ascii="Arial" w:hAnsi="Arial" w:cs="Arial"/>
        </w:rPr>
        <w:t>“</w:t>
      </w:r>
      <w:r w:rsidR="003640BE" w:rsidRPr="008D3E74">
        <w:rPr>
          <w:rFonts w:ascii="Arial" w:hAnsi="Arial" w:cs="Arial"/>
        </w:rPr>
        <w:t>not at all</w:t>
      </w:r>
      <w:r w:rsidR="001F122B" w:rsidRPr="008D3E74">
        <w:rPr>
          <w:rFonts w:ascii="Arial" w:hAnsi="Arial" w:cs="Arial"/>
        </w:rPr>
        <w:t>”</w:t>
      </w:r>
      <w:r w:rsidR="003640BE" w:rsidRPr="008D3E74">
        <w:rPr>
          <w:rFonts w:ascii="Arial" w:hAnsi="Arial" w:cs="Arial"/>
        </w:rPr>
        <w:t xml:space="preserve"> to 3 </w:t>
      </w:r>
      <w:r w:rsidR="001F122B" w:rsidRPr="008D3E74">
        <w:rPr>
          <w:rFonts w:ascii="Arial" w:hAnsi="Arial" w:cs="Arial"/>
        </w:rPr>
        <w:t>“</w:t>
      </w:r>
      <w:r w:rsidR="003640BE" w:rsidRPr="008D3E74">
        <w:rPr>
          <w:rFonts w:ascii="Arial" w:hAnsi="Arial" w:cs="Arial"/>
        </w:rPr>
        <w:t>most of the time</w:t>
      </w:r>
      <w:r w:rsidR="001F122B" w:rsidRPr="008D3E74">
        <w:rPr>
          <w:rFonts w:ascii="Arial" w:hAnsi="Arial" w:cs="Arial"/>
        </w:rPr>
        <w:t>”</w:t>
      </w:r>
      <w:r w:rsidR="003640BE" w:rsidRPr="008D3E74">
        <w:rPr>
          <w:rFonts w:ascii="Arial" w:hAnsi="Arial" w:cs="Arial"/>
        </w:rPr>
        <w:t xml:space="preserve">. Stress was then dichotomized into </w:t>
      </w:r>
      <w:r w:rsidR="001F122B" w:rsidRPr="008D3E74">
        <w:rPr>
          <w:rFonts w:ascii="Arial" w:hAnsi="Arial" w:cs="Arial"/>
        </w:rPr>
        <w:t>“</w:t>
      </w:r>
      <w:r w:rsidR="003640BE" w:rsidRPr="008D3E74">
        <w:rPr>
          <w:rFonts w:ascii="Arial" w:hAnsi="Arial" w:cs="Arial"/>
        </w:rPr>
        <w:t>not at all</w:t>
      </w:r>
      <w:r w:rsidR="001F122B" w:rsidRPr="008D3E74">
        <w:rPr>
          <w:rFonts w:ascii="Arial" w:hAnsi="Arial" w:cs="Arial"/>
        </w:rPr>
        <w:t>”</w:t>
      </w:r>
      <w:r w:rsidR="003640BE" w:rsidRPr="008D3E74">
        <w:rPr>
          <w:rFonts w:ascii="Arial" w:hAnsi="Arial" w:cs="Arial"/>
        </w:rPr>
        <w:t xml:space="preserve"> v</w:t>
      </w:r>
      <w:r w:rsidR="001F122B" w:rsidRPr="008D3E74">
        <w:rPr>
          <w:rFonts w:ascii="Arial" w:hAnsi="Arial" w:cs="Arial"/>
        </w:rPr>
        <w:t>ersus</w:t>
      </w:r>
      <w:r w:rsidR="003640BE" w:rsidRPr="008D3E74">
        <w:rPr>
          <w:rFonts w:ascii="Arial" w:hAnsi="Arial" w:cs="Arial"/>
        </w:rPr>
        <w:t xml:space="preserve"> </w:t>
      </w:r>
      <w:r w:rsidR="001F122B" w:rsidRPr="008D3E74">
        <w:rPr>
          <w:rFonts w:ascii="Arial" w:hAnsi="Arial" w:cs="Arial"/>
        </w:rPr>
        <w:t>“</w:t>
      </w:r>
      <w:r w:rsidR="003640BE" w:rsidRPr="008D3E74">
        <w:rPr>
          <w:rFonts w:ascii="Arial" w:hAnsi="Arial" w:cs="Arial"/>
        </w:rPr>
        <w:t>occasionally</w:t>
      </w:r>
      <w:r w:rsidR="001F122B" w:rsidRPr="008D3E74">
        <w:rPr>
          <w:rFonts w:ascii="Arial" w:hAnsi="Arial" w:cs="Arial"/>
        </w:rPr>
        <w:t>”</w:t>
      </w:r>
      <w:r w:rsidR="003640BE" w:rsidRPr="008D3E74">
        <w:rPr>
          <w:rFonts w:ascii="Arial" w:hAnsi="Arial" w:cs="Arial"/>
        </w:rPr>
        <w:t xml:space="preserve">, </w:t>
      </w:r>
      <w:r w:rsidR="001F122B" w:rsidRPr="008D3E74">
        <w:rPr>
          <w:rFonts w:ascii="Arial" w:hAnsi="Arial" w:cs="Arial"/>
        </w:rPr>
        <w:t>“</w:t>
      </w:r>
      <w:r w:rsidR="003640BE" w:rsidRPr="008D3E74">
        <w:rPr>
          <w:rFonts w:ascii="Arial" w:hAnsi="Arial" w:cs="Arial"/>
        </w:rPr>
        <w:t>usually</w:t>
      </w:r>
      <w:r w:rsidR="001F122B" w:rsidRPr="008D3E74">
        <w:rPr>
          <w:rFonts w:ascii="Arial" w:hAnsi="Arial" w:cs="Arial"/>
        </w:rPr>
        <w:t>”</w:t>
      </w:r>
      <w:r w:rsidR="003640BE" w:rsidRPr="008D3E74">
        <w:rPr>
          <w:rFonts w:ascii="Arial" w:hAnsi="Arial" w:cs="Arial"/>
        </w:rPr>
        <w:t xml:space="preserve">, and </w:t>
      </w:r>
      <w:r w:rsidR="001F122B" w:rsidRPr="008D3E74">
        <w:rPr>
          <w:rFonts w:ascii="Arial" w:hAnsi="Arial" w:cs="Arial"/>
        </w:rPr>
        <w:t>“</w:t>
      </w:r>
      <w:r w:rsidR="003640BE" w:rsidRPr="008D3E74">
        <w:rPr>
          <w:rFonts w:ascii="Arial" w:hAnsi="Arial" w:cs="Arial"/>
        </w:rPr>
        <w:t>most of the time</w:t>
      </w:r>
      <w:r w:rsidR="001F122B" w:rsidRPr="008D3E74">
        <w:rPr>
          <w:rFonts w:ascii="Arial" w:hAnsi="Arial" w:cs="Arial"/>
        </w:rPr>
        <w:t>”</w:t>
      </w:r>
      <w:r w:rsidR="00603041" w:rsidRPr="008D3E74">
        <w:rPr>
          <w:rFonts w:ascii="Arial" w:hAnsi="Arial" w:cs="Arial"/>
        </w:rPr>
        <w:t xml:space="preserve"> </w:t>
      </w:r>
      <w:r w:rsidR="002254C2" w:rsidRPr="008D3E74">
        <w:rPr>
          <w:rFonts w:ascii="Arial" w:hAnsi="Arial" w:cs="Arial"/>
        </w:rPr>
        <w:fldChar w:fldCharType="begin"/>
      </w:r>
      <w:r w:rsidR="00754C02" w:rsidRPr="008D3E74">
        <w:rPr>
          <w:rFonts w:ascii="Arial" w:hAnsi="Arial" w:cs="Arial"/>
        </w:rPr>
        <w:instrText xml:space="preserve"> ADDIN ZOTERO_ITEM CSL_CITATION {"citationID":"zROd56p8","properties":{"formattedCitation":"(Jacob {\\i{}et al.} 2019)","plainCitation":"(Jacob et al. 2019)","noteIndex":0},"citationItems":[{"id":936,"uris":["http://zotero.org/users/local/hhPVnw6l/items/33755QZR"],"uri":["http://zotero.org/users/local/hhPVnw6l/items/33755QZR"],"itemData":{"id":936,"type":"article-journal","title":"The association of religiosity with suicidal ideation and suicide attempts in the United Kingdom","container-title":"Acta Psychiatrica Scandinavica","page":"164-173","volume":"139","issue":"2","source":"PubMed","abstract":"OBJECTIVE: The goal was to analyze the association of religiosity with suicidal ideation and suicide attempts in a UK nationally representative sample.\nMETHODS: This study used cross-sectional data from 7403 people who participated in the 2007 Adult Psychiatric Morbidity Survey (APMS). Religion was assessed with the question 'Do you have a specific religion?' with 'yes' and 'no' answer options. Lifetime and past 12-month suicidal ideation and suicide attempts were assessed. The association between religiosity and suicidality was studied in multivariable logistic regression models adjusted for sociodemographic, behavioural, and psychopathological factors.\nRESULTS: Compared to those without a religion, the prevalence of past 12-month suicidal ideation (3.2% vs. 5.4%), past 12-month suicide attempts (0.4% vs. 0.9%), lifetime suicidal ideation (11.2% vs. 16.4%), and lifetime suicide attempts (3.6% vs. 6.0%) was lower among those with a religion. In the fully adjusted model, having a religion was significantly associated with lower odds for all types of suicidality except past 12-month suicide attempts: suicidal ideation (past 12-month: OR = 0.71, 95% CI = 0.51-0.99; lifetime: OR = 0.83, 95% CI = 0.69-0.99) and suicide attempts (past 12-month: OR = 0.71, 95% CI = 0.35-1.45; lifetime: OR = 0.69, 95% CI = 0.53-0.90).\nCONCLUSION: There is a negative association between religiosity and suicidality in the UK. Future studies should focus on the underlying mechanisms.","DOI":"10.1111/acps.12972","ISSN":"1600-0447","note":"PMID: 30328099","journalAbbreviation":"Acta Psychiatr Scand","language":"eng","author":[{"family":"Jacob","given":"L."},{"family":"Haro","given":"J. M."},{"family":"Koyanagi","given":"A."}],"issued":{"date-parts":[["2019",2]]}}}],"schema":"https://github.com/citation-style-language/schema/raw/master/csl-citation.json"} </w:instrText>
      </w:r>
      <w:r w:rsidR="002254C2" w:rsidRPr="008D3E74">
        <w:rPr>
          <w:rFonts w:ascii="Arial" w:hAnsi="Arial" w:cs="Arial"/>
        </w:rPr>
        <w:fldChar w:fldCharType="separate"/>
      </w:r>
      <w:r w:rsidR="00754C02" w:rsidRPr="008D3E74">
        <w:rPr>
          <w:rFonts w:ascii="Arial" w:hAnsi="Arial" w:cs="Arial"/>
        </w:rPr>
        <w:t xml:space="preserve">(Jacob </w:t>
      </w:r>
      <w:r w:rsidR="00754C02" w:rsidRPr="008D3E74">
        <w:rPr>
          <w:rFonts w:ascii="Arial" w:hAnsi="Arial" w:cs="Arial"/>
          <w:i/>
          <w:iCs/>
        </w:rPr>
        <w:t>et al.</w:t>
      </w:r>
      <w:r w:rsidR="00754C02" w:rsidRPr="008D3E74">
        <w:rPr>
          <w:rFonts w:ascii="Arial" w:hAnsi="Arial" w:cs="Arial"/>
        </w:rPr>
        <w:t xml:space="preserve"> 2019)</w:t>
      </w:r>
      <w:r w:rsidR="002254C2" w:rsidRPr="008D3E74">
        <w:rPr>
          <w:rFonts w:ascii="Arial" w:hAnsi="Arial" w:cs="Arial"/>
        </w:rPr>
        <w:fldChar w:fldCharType="end"/>
      </w:r>
      <w:r w:rsidR="00603041" w:rsidRPr="008D3E74">
        <w:rPr>
          <w:rFonts w:ascii="Arial" w:hAnsi="Arial" w:cs="Arial"/>
        </w:rPr>
        <w:t>.</w:t>
      </w:r>
    </w:p>
    <w:p w14:paraId="4CF8EF23" w14:textId="1C272FA2" w:rsidR="000B7367" w:rsidRPr="008D3E74" w:rsidRDefault="000B7367" w:rsidP="000050E5">
      <w:pPr>
        <w:spacing w:line="480" w:lineRule="auto"/>
        <w:jc w:val="both"/>
        <w:rPr>
          <w:rFonts w:ascii="Arial" w:hAnsi="Arial" w:cs="Arial"/>
        </w:rPr>
      </w:pPr>
      <w:r w:rsidRPr="008D3E74">
        <w:rPr>
          <w:rFonts w:ascii="Arial" w:hAnsi="Arial" w:cs="Arial"/>
          <w:i/>
        </w:rPr>
        <w:t>Stressful life events.</w:t>
      </w:r>
      <w:r w:rsidR="002254C2" w:rsidRPr="008D3E74">
        <w:rPr>
          <w:rFonts w:ascii="Arial" w:hAnsi="Arial" w:cs="Arial"/>
        </w:rPr>
        <w:t xml:space="preserve"> </w:t>
      </w:r>
      <w:r w:rsidR="00D978A6" w:rsidRPr="008D3E74">
        <w:rPr>
          <w:rFonts w:ascii="Arial" w:hAnsi="Arial" w:cs="Arial"/>
        </w:rPr>
        <w:t>Eighteen items were used to assess different stressful life events (e.g., serious illness, death of an immediate family member, major financial crises)</w:t>
      </w:r>
      <w:r w:rsidR="00603041" w:rsidRPr="008D3E74">
        <w:rPr>
          <w:rFonts w:ascii="Arial" w:hAnsi="Arial" w:cs="Arial"/>
        </w:rPr>
        <w:t xml:space="preserve"> </w:t>
      </w:r>
      <w:r w:rsidR="008648A2" w:rsidRPr="008D3E74">
        <w:rPr>
          <w:rFonts w:ascii="Arial" w:hAnsi="Arial" w:cs="Arial"/>
        </w:rPr>
        <w:fldChar w:fldCharType="begin"/>
      </w:r>
      <w:r w:rsidR="00754C02" w:rsidRPr="008D3E74">
        <w:rPr>
          <w:rFonts w:ascii="Arial" w:hAnsi="Arial" w:cs="Arial"/>
        </w:rPr>
        <w:instrText xml:space="preserve"> ADDIN ZOTERO_ITEM CSL_CITATION {"citationID":"mJuUhmQt","properties":{"formattedCitation":"(Jacob {\\i{}et al.} 2019)","plainCitation":"(Jacob et al. 2019)","noteIndex":0},"citationItems":[{"id":936,"uris":["http://zotero.org/users/local/hhPVnw6l/items/33755QZR"],"uri":["http://zotero.org/users/local/hhPVnw6l/items/33755QZR"],"itemData":{"id":936,"type":"article-journal","title":"The association of religiosity with suicidal ideation and suicide attempts in the United Kingdom","container-title":"Acta Psychiatrica Scandinavica","page":"164-173","volume":"139","issue":"2","source":"PubMed","abstract":"OBJECTIVE: The goal was to analyze the association of religiosity with suicidal ideation and suicide attempts in a UK nationally representative sample.\nMETHODS: This study used cross-sectional data from 7403 people who participated in the 2007 Adult Psychiatric Morbidity Survey (APMS). Religion was assessed with the question 'Do you have a specific religion?' with 'yes' and 'no' answer options. Lifetime and past 12-month suicidal ideation and suicide attempts were assessed. The association between religiosity and suicidality was studied in multivariable logistic regression models adjusted for sociodemographic, behavioural, and psychopathological factors.\nRESULTS: Compared to those without a religion, the prevalence of past 12-month suicidal ideation (3.2% vs. 5.4%), past 12-month suicide attempts (0.4% vs. 0.9%), lifetime suicidal ideation (11.2% vs. 16.4%), and lifetime suicide attempts (3.6% vs. 6.0%) was lower among those with a religion. In the fully adjusted model, having a religion was significantly associated with lower odds for all types of suicidality except past 12-month suicide attempts: suicidal ideation (past 12-month: OR = 0.71, 95% CI = 0.51-0.99; lifetime: OR = 0.83, 95% CI = 0.69-0.99) and suicide attempts (past 12-month: OR = 0.71, 95% CI = 0.35-1.45; lifetime: OR = 0.69, 95% CI = 0.53-0.90).\nCONCLUSION: There is a negative association between religiosity and suicidality in the UK. Future studies should focus on the underlying mechanisms.","DOI":"10.1111/acps.12972","ISSN":"1600-0447","note":"PMID: 30328099","journalAbbreviation":"Acta Psychiatr Scand","language":"eng","author":[{"family":"Jacob","given":"L."},{"family":"Haro","given":"J. M."},{"family":"Koyanagi","given":"A."}],"issued":{"date-parts":[["2019",2]]}}}],"schema":"https://github.com/citation-style-language/schema/raw/master/csl-citation.json"} </w:instrText>
      </w:r>
      <w:r w:rsidR="008648A2" w:rsidRPr="008D3E74">
        <w:rPr>
          <w:rFonts w:ascii="Arial" w:hAnsi="Arial" w:cs="Arial"/>
        </w:rPr>
        <w:fldChar w:fldCharType="separate"/>
      </w:r>
      <w:r w:rsidR="00754C02" w:rsidRPr="008D3E74">
        <w:rPr>
          <w:rFonts w:ascii="Arial" w:hAnsi="Arial" w:cs="Arial"/>
        </w:rPr>
        <w:t xml:space="preserve">(Jacob </w:t>
      </w:r>
      <w:r w:rsidR="00754C02" w:rsidRPr="008D3E74">
        <w:rPr>
          <w:rFonts w:ascii="Arial" w:hAnsi="Arial" w:cs="Arial"/>
          <w:i/>
          <w:iCs/>
        </w:rPr>
        <w:t>et al.</w:t>
      </w:r>
      <w:r w:rsidR="00754C02" w:rsidRPr="008D3E74">
        <w:rPr>
          <w:rFonts w:ascii="Arial" w:hAnsi="Arial" w:cs="Arial"/>
        </w:rPr>
        <w:t xml:space="preserve"> 2019)</w:t>
      </w:r>
      <w:r w:rsidR="008648A2" w:rsidRPr="008D3E74">
        <w:rPr>
          <w:rFonts w:ascii="Arial" w:hAnsi="Arial" w:cs="Arial"/>
        </w:rPr>
        <w:fldChar w:fldCharType="end"/>
      </w:r>
      <w:r w:rsidR="00603041" w:rsidRPr="008D3E74">
        <w:rPr>
          <w:rFonts w:ascii="Arial" w:hAnsi="Arial" w:cs="Arial"/>
        </w:rPr>
        <w:t>.</w:t>
      </w:r>
      <w:r w:rsidR="00D978A6" w:rsidRPr="008D3E74">
        <w:rPr>
          <w:rFonts w:ascii="Arial" w:hAnsi="Arial" w:cs="Arial"/>
        </w:rPr>
        <w:t xml:space="preserve"> The </w:t>
      </w:r>
      <w:r w:rsidR="004F13A6" w:rsidRPr="008D3E74">
        <w:rPr>
          <w:rFonts w:ascii="Arial" w:hAnsi="Arial" w:cs="Arial"/>
        </w:rPr>
        <w:t xml:space="preserve">total </w:t>
      </w:r>
      <w:r w:rsidR="00D978A6" w:rsidRPr="008D3E74">
        <w:rPr>
          <w:rFonts w:ascii="Arial" w:hAnsi="Arial" w:cs="Arial"/>
        </w:rPr>
        <w:t>number of stressful life events was further calculated for each participant and ranged from 0 to 18.</w:t>
      </w:r>
    </w:p>
    <w:p w14:paraId="2B25C2E1" w14:textId="0603E690" w:rsidR="00FC69EB" w:rsidRPr="008D3E74" w:rsidRDefault="00B96813" w:rsidP="000050E5">
      <w:pPr>
        <w:spacing w:line="480" w:lineRule="auto"/>
        <w:jc w:val="both"/>
        <w:rPr>
          <w:rFonts w:ascii="Arial" w:hAnsi="Arial" w:cs="Arial"/>
        </w:rPr>
      </w:pPr>
      <w:r w:rsidRPr="008D3E74">
        <w:rPr>
          <w:rFonts w:ascii="Arial" w:hAnsi="Arial" w:cs="Arial"/>
          <w:i/>
        </w:rPr>
        <w:t>Discrimination due to sexual orientation</w:t>
      </w:r>
      <w:r w:rsidR="000B7367" w:rsidRPr="008D3E74">
        <w:rPr>
          <w:rFonts w:ascii="Arial" w:hAnsi="Arial" w:cs="Arial"/>
          <w:i/>
        </w:rPr>
        <w:t>.</w:t>
      </w:r>
      <w:r w:rsidR="00597392" w:rsidRPr="008D3E74">
        <w:rPr>
          <w:rFonts w:ascii="Arial" w:hAnsi="Arial" w:cs="Arial"/>
          <w:i/>
        </w:rPr>
        <w:t xml:space="preserve"> </w:t>
      </w:r>
      <w:r w:rsidR="00FC69EB" w:rsidRPr="008D3E74">
        <w:rPr>
          <w:rFonts w:ascii="Arial" w:hAnsi="Arial" w:cs="Arial"/>
        </w:rPr>
        <w:t xml:space="preserve">Participants were asked if they had been unfairly </w:t>
      </w:r>
      <w:r w:rsidR="00A75550" w:rsidRPr="008D3E74">
        <w:rPr>
          <w:rFonts w:ascii="Arial" w:hAnsi="Arial" w:cs="Arial"/>
        </w:rPr>
        <w:t>treated</w:t>
      </w:r>
      <w:r w:rsidR="00FC69EB" w:rsidRPr="008D3E74">
        <w:rPr>
          <w:rFonts w:ascii="Arial" w:hAnsi="Arial" w:cs="Arial"/>
        </w:rPr>
        <w:t xml:space="preserve"> in the past 12 months because of </w:t>
      </w:r>
      <w:r w:rsidR="00A75550" w:rsidRPr="008D3E74">
        <w:rPr>
          <w:rFonts w:ascii="Arial" w:hAnsi="Arial" w:cs="Arial"/>
        </w:rPr>
        <w:t xml:space="preserve">their </w:t>
      </w:r>
      <w:r w:rsidR="00FC69EB" w:rsidRPr="008D3E74">
        <w:rPr>
          <w:rFonts w:ascii="Arial" w:hAnsi="Arial" w:cs="Arial"/>
        </w:rPr>
        <w:t xml:space="preserve">sexual orientation. </w:t>
      </w:r>
    </w:p>
    <w:p w14:paraId="6CEEFF00" w14:textId="47CDB28A" w:rsidR="000B7367" w:rsidRPr="008D3E74" w:rsidRDefault="000B7367" w:rsidP="000050E5">
      <w:pPr>
        <w:spacing w:line="480" w:lineRule="auto"/>
        <w:jc w:val="both"/>
        <w:rPr>
          <w:rFonts w:ascii="Arial" w:hAnsi="Arial" w:cs="Arial"/>
        </w:rPr>
      </w:pPr>
      <w:r w:rsidRPr="008D3E74">
        <w:rPr>
          <w:rFonts w:ascii="Arial" w:hAnsi="Arial" w:cs="Arial"/>
          <w:i/>
        </w:rPr>
        <w:t>Common mental disorders.</w:t>
      </w:r>
      <w:r w:rsidR="00896FA5" w:rsidRPr="008D3E74">
        <w:rPr>
          <w:rFonts w:ascii="Arial" w:hAnsi="Arial" w:cs="Arial"/>
          <w:i/>
        </w:rPr>
        <w:t xml:space="preserve"> </w:t>
      </w:r>
      <w:r w:rsidR="00896FA5" w:rsidRPr="008D3E74">
        <w:rPr>
          <w:rFonts w:ascii="Arial" w:hAnsi="Arial" w:cs="Arial"/>
        </w:rPr>
        <w:t>These were assessed using the Clinical Interview Schedule Revised (CIS-R) and referred to depressive episode and/or anxiety disorders (i.e., generalized anxiety disorder, panic disorder, phobia, obsessive-compulsive disorder) in the past week</w:t>
      </w:r>
      <w:r w:rsidR="006236C8" w:rsidRPr="008D3E74">
        <w:rPr>
          <w:rFonts w:ascii="Arial" w:hAnsi="Arial" w:cs="Arial"/>
        </w:rPr>
        <w:t xml:space="preserve"> </w:t>
      </w:r>
      <w:r w:rsidR="006236C8" w:rsidRPr="008D3E74">
        <w:rPr>
          <w:rFonts w:ascii="Arial" w:hAnsi="Arial" w:cs="Arial"/>
        </w:rPr>
        <w:fldChar w:fldCharType="begin"/>
      </w:r>
      <w:r w:rsidR="00A436F2" w:rsidRPr="008D3E74">
        <w:rPr>
          <w:rFonts w:ascii="Arial" w:hAnsi="Arial" w:cs="Arial"/>
        </w:rPr>
        <w:instrText xml:space="preserve"> ADDIN ZOTERO_ITEM CSL_CITATION {"citationID":"WfiV3lHV","properties":{"formattedCitation":"(Jacob {\\i{}et al.} 2019)","plainCitation":"(Jacob et al. 2019)","noteIndex":0},"citationItems":[{"id":936,"uris":["http://zotero.org/users/local/hhPVnw6l/items/33755QZR"],"uri":["http://zotero.org/users/local/hhPVnw6l/items/33755QZR"],"itemData":{"id":936,"type":"article-journal","title":"The association of religiosity with suicidal ideation and suicide attempts in the United Kingdom","container-title":"Acta Psychiatrica Scandinavica","page":"164-173","volume":"139","issue":"2","source":"PubMed","abstract":"OBJECTIVE: The goal was to analyze the association of religiosity with suicidal ideation and suicide attempts in a UK nationally representative sample.\nMETHODS: This study used cross-sectional data from 7403 people who participated in the 2007 Adult Psychiatric Morbidity Survey (APMS). Religion was assessed with the question 'Do you have a specific religion?' with 'yes' and 'no' answer options. Lifetime and past 12-month suicidal ideation and suicide attempts were assessed. The association between religiosity and suicidality was studied in multivariable logistic regression models adjusted for sociodemographic, behavioural, and psychopathological factors.\nRESULTS: Compared to those without a religion, the prevalence of past 12-month suicidal ideation (3.2% vs. 5.4%), past 12-month suicide attempts (0.4% vs. 0.9%), lifetime suicidal ideation (11.2% vs. 16.4%), and lifetime suicide attempts (3.6% vs. 6.0%) was lower among those with a religion. In the fully adjusted model, having a religion was significantly associated with lower odds for all types of suicidality except past 12-month suicide attempts: suicidal ideation (past 12-month: OR = 0.71, 95% CI = 0.51-0.99; lifetime: OR = 0.83, 95% CI = 0.69-0.99) and suicide attempts (past 12-month: OR = 0.71, 95% CI = 0.35-1.45; lifetime: OR = 0.69, 95% CI = 0.53-0.90).\nCONCLUSION: There is a negative association between religiosity and suicidality in the UK. Future studies should focus on the underlying mechanisms.","DOI":"10.1111/acps.12972","ISSN":"1600-0447","note":"PMID: 30328099","journalAbbreviation":"Acta Psychiatr Scand","language":"eng","author":[{"family":"Jacob","given":"L."},{"family":"Haro","given":"J. M."},{"family":"Koyanagi","given":"A."}],"issued":{"date-parts":[["2019",2]]}}}],"schema":"https://github.com/citation-style-language/schema/raw/master/csl-citation.json"} </w:instrText>
      </w:r>
      <w:r w:rsidR="006236C8" w:rsidRPr="008D3E74">
        <w:rPr>
          <w:rFonts w:ascii="Arial" w:hAnsi="Arial" w:cs="Arial"/>
        </w:rPr>
        <w:fldChar w:fldCharType="separate"/>
      </w:r>
      <w:r w:rsidR="006236C8" w:rsidRPr="008D3E74">
        <w:rPr>
          <w:rFonts w:ascii="Arial" w:hAnsi="Arial" w:cs="Arial"/>
        </w:rPr>
        <w:t xml:space="preserve">(Jacob </w:t>
      </w:r>
      <w:r w:rsidR="006236C8" w:rsidRPr="008D3E74">
        <w:rPr>
          <w:rFonts w:ascii="Arial" w:hAnsi="Arial" w:cs="Arial"/>
          <w:i/>
          <w:iCs/>
        </w:rPr>
        <w:t>et al.</w:t>
      </w:r>
      <w:r w:rsidR="006236C8" w:rsidRPr="008D3E74">
        <w:rPr>
          <w:rFonts w:ascii="Arial" w:hAnsi="Arial" w:cs="Arial"/>
        </w:rPr>
        <w:t xml:space="preserve"> 2019)</w:t>
      </w:r>
      <w:r w:rsidR="006236C8" w:rsidRPr="008D3E74">
        <w:rPr>
          <w:rFonts w:ascii="Arial" w:hAnsi="Arial" w:cs="Arial"/>
        </w:rPr>
        <w:fldChar w:fldCharType="end"/>
      </w:r>
      <w:r w:rsidR="00896FA5" w:rsidRPr="008D3E74">
        <w:rPr>
          <w:rFonts w:ascii="Arial" w:hAnsi="Arial" w:cs="Arial"/>
        </w:rPr>
        <w:t>.</w:t>
      </w:r>
    </w:p>
    <w:p w14:paraId="4630978E" w14:textId="3EAB2663" w:rsidR="000B7367" w:rsidRPr="008D3E74" w:rsidRDefault="000B7367" w:rsidP="000050E5">
      <w:pPr>
        <w:spacing w:line="480" w:lineRule="auto"/>
        <w:jc w:val="both"/>
        <w:rPr>
          <w:rFonts w:ascii="Arial" w:hAnsi="Arial" w:cs="Arial"/>
        </w:rPr>
      </w:pPr>
      <w:r w:rsidRPr="008D3E74">
        <w:rPr>
          <w:rFonts w:ascii="Arial" w:hAnsi="Arial" w:cs="Arial"/>
          <w:i/>
        </w:rPr>
        <w:lastRenderedPageBreak/>
        <w:t>Borderline personality disorder traits.</w:t>
      </w:r>
      <w:r w:rsidR="006F03A5" w:rsidRPr="008D3E74">
        <w:rPr>
          <w:rFonts w:ascii="Arial" w:hAnsi="Arial" w:cs="Arial"/>
          <w:i/>
        </w:rPr>
        <w:t xml:space="preserve"> </w:t>
      </w:r>
      <w:r w:rsidR="006F03A5" w:rsidRPr="008D3E74">
        <w:rPr>
          <w:rFonts w:ascii="Arial" w:hAnsi="Arial" w:cs="Arial"/>
        </w:rPr>
        <w:t xml:space="preserve">The presence of the nine diagnostic criteria for BPD was assessed by the Structured Clinical Interview for DSM-IV Axis II disorders. The scores from each of the criteria (yes=1 and no=0) were added to create a scale ranging from 0–9 (Cronbach's </w:t>
      </w:r>
      <w:r w:rsidR="00716AD7" w:rsidRPr="008D3E74">
        <w:rPr>
          <w:rFonts w:ascii="Arial" w:hAnsi="Arial" w:cs="Arial"/>
        </w:rPr>
        <w:t>α</w:t>
      </w:r>
      <w:r w:rsidR="001A7C11" w:rsidRPr="008D3E74">
        <w:rPr>
          <w:rFonts w:ascii="Arial" w:hAnsi="Arial" w:cs="Arial"/>
        </w:rPr>
        <w:t>=</w:t>
      </w:r>
      <w:r w:rsidR="006F03A5" w:rsidRPr="008D3E74">
        <w:rPr>
          <w:rFonts w:ascii="Arial" w:hAnsi="Arial" w:cs="Arial"/>
        </w:rPr>
        <w:t>0.74). Following the lead of a previous publication using the same dataset</w:t>
      </w:r>
      <w:r w:rsidR="00603041" w:rsidRPr="008D3E74">
        <w:rPr>
          <w:rFonts w:ascii="Arial" w:hAnsi="Arial" w:cs="Arial"/>
        </w:rPr>
        <w:t xml:space="preserve"> </w:t>
      </w:r>
      <w:r w:rsidR="001A7C11" w:rsidRPr="008D3E74">
        <w:rPr>
          <w:rFonts w:ascii="Arial" w:hAnsi="Arial" w:cs="Arial"/>
        </w:rPr>
        <w:fldChar w:fldCharType="begin"/>
      </w:r>
      <w:r w:rsidR="00754C02" w:rsidRPr="008D3E74">
        <w:rPr>
          <w:rFonts w:ascii="Arial" w:hAnsi="Arial" w:cs="Arial"/>
        </w:rPr>
        <w:instrText xml:space="preserve"> ADDIN ZOTERO_ITEM CSL_CITATION {"citationID":"eeEH9vTZ","properties":{"formattedCitation":"(Kelleher {\\i{}et al.} 2017)","plainCitation":"(Kelleher et al. 2017)","noteIndex":0},"citationItems":[{"id":1197,"uris":["http://zotero.org/users/local/hhPVnw6l/items/8MVWNQ7H"],"uri":["http://zotero.org/users/local/hhPVnw6l/items/8MVWNQ7H"],"itemData":{"id":1197,"type":"article-journal","title":"Psychotic experiences and suicide attempt risk in common mental disorders and borderline personality disorder","container-title":"Acta Psychiatrica Scandinavica","page":"212-218","volume":"135","issue":"3","source":"PubMed","abstract":"OBJECTIVE: Recent research has demonstrated a strong relationship between psychotic experiences and suicidal behaviour. No research to date, however, has investigated the role of borderline personality disorder (BPD) in this relationship, despite the fact that BPD is highly comorbid with common mental disorders and is associated with both recurrent suicidal behaviour and psychotic experiences. This paper examined the relationship between psychotic experiences and suicide attempts, including interrelationships with BPD and common mental disorders.\nMETHOD: We used the 2007 Adult Psychiatric Morbidity Study, a stratified, multistage probability sample of households in England, which recruited a nationally representative sample aged 16 years and older. Participants were assessed for common mental disorders, BPD (clinical and subclinical), suicidal behaviour, and psychotic experiences.\nRESULTS: Approximately 4% of the total sample (n = 323) reported psychotic experiences. Psychotic experiences were associated with increased odds of suicide attempts in individuals with BPD (OR = 2.23, 95% CI = 1.03-4.85), individuals with a common mental disorder (OR = 2.47, 95% CI = 1.37-4.43), individuals without a common mental disorder (OR = 3.99, 95% CI = 2.47-6.43), and individuals with neither a common mental disorder nor BPD (OR = 3.20, 95% CI = 1.71-5.98).\nCONCLUSION: Psychotic experiences are associated with high odds of suicidal behaviour in individuals with and without psychopathology. This relationship is not explained by clinical or subclinical BPD.","DOI":"10.1111/acps.12693","ISSN":"1600-0447","note":"PMID: 28185269","journalAbbreviation":"Acta Psychiatr Scand","language":"eng","author":[{"family":"Kelleher","given":"I."},{"family":"Ramsay","given":"H."},{"family":"DeVylder","given":"J."}],"issued":{"date-parts":[["2017",3]]}}}],"schema":"https://github.com/citation-style-language/schema/raw/master/csl-citation.json"} </w:instrText>
      </w:r>
      <w:r w:rsidR="001A7C11" w:rsidRPr="008D3E74">
        <w:rPr>
          <w:rFonts w:ascii="Arial" w:hAnsi="Arial" w:cs="Arial"/>
        </w:rPr>
        <w:fldChar w:fldCharType="separate"/>
      </w:r>
      <w:r w:rsidR="00754C02" w:rsidRPr="008D3E74">
        <w:rPr>
          <w:rFonts w:ascii="Arial" w:hAnsi="Arial" w:cs="Arial"/>
        </w:rPr>
        <w:t xml:space="preserve">(Kelleher </w:t>
      </w:r>
      <w:r w:rsidR="00754C02" w:rsidRPr="008D3E74">
        <w:rPr>
          <w:rFonts w:ascii="Arial" w:hAnsi="Arial" w:cs="Arial"/>
          <w:i/>
          <w:iCs/>
        </w:rPr>
        <w:t>et al.</w:t>
      </w:r>
      <w:r w:rsidR="00754C02" w:rsidRPr="008D3E74">
        <w:rPr>
          <w:rFonts w:ascii="Arial" w:hAnsi="Arial" w:cs="Arial"/>
        </w:rPr>
        <w:t xml:space="preserve"> 2017)</w:t>
      </w:r>
      <w:r w:rsidR="001A7C11" w:rsidRPr="008D3E74">
        <w:rPr>
          <w:rFonts w:ascii="Arial" w:hAnsi="Arial" w:cs="Arial"/>
        </w:rPr>
        <w:fldChar w:fldCharType="end"/>
      </w:r>
      <w:r w:rsidR="00603041" w:rsidRPr="008D3E74">
        <w:rPr>
          <w:rFonts w:ascii="Arial" w:hAnsi="Arial" w:cs="Arial"/>
        </w:rPr>
        <w:t>,</w:t>
      </w:r>
      <w:r w:rsidR="006F03A5" w:rsidRPr="008D3E74">
        <w:rPr>
          <w:rFonts w:ascii="Arial" w:hAnsi="Arial" w:cs="Arial"/>
        </w:rPr>
        <w:t xml:space="preserve"> the cutoff to represent high BPD traits was based on a figure that corresponds to a prevalence which is approximately 10 times higher than that of BPD (0.4% in this dataset). Specifically, a score of ≥6 was used as the cutoff to construct the dichotomous variable subsequently used in the analyses, with a score of ≥6 coded as 1 and a score of &lt;6 coded as 0. </w:t>
      </w:r>
      <w:proofErr w:type="gramStart"/>
      <w:r w:rsidR="006F03A5" w:rsidRPr="008D3E74">
        <w:rPr>
          <w:rFonts w:ascii="Arial" w:hAnsi="Arial" w:cs="Arial"/>
        </w:rPr>
        <w:t>Owing to the fact that</w:t>
      </w:r>
      <w:proofErr w:type="gramEnd"/>
      <w:r w:rsidR="006F03A5" w:rsidRPr="008D3E74">
        <w:rPr>
          <w:rFonts w:ascii="Arial" w:hAnsi="Arial" w:cs="Arial"/>
        </w:rPr>
        <w:t xml:space="preserve"> there were only 16 individuals with BPD in our dataset, we were unable to conduct meaningful analyses with BPD. Thus, rather, we focused on high BPD traits.</w:t>
      </w:r>
    </w:p>
    <w:p w14:paraId="5E255E76" w14:textId="26F2ADAD" w:rsidR="000B7367" w:rsidRPr="008D3E74" w:rsidRDefault="000B7367" w:rsidP="000050E5">
      <w:pPr>
        <w:spacing w:line="480" w:lineRule="auto"/>
        <w:jc w:val="both"/>
        <w:rPr>
          <w:rFonts w:ascii="Arial" w:hAnsi="Arial" w:cs="Arial"/>
          <w:i/>
        </w:rPr>
      </w:pPr>
      <w:r w:rsidRPr="008D3E74">
        <w:rPr>
          <w:rFonts w:ascii="Arial" w:hAnsi="Arial" w:cs="Arial"/>
          <w:i/>
        </w:rPr>
        <w:t>Posttraumatic stress disorder.</w:t>
      </w:r>
      <w:r w:rsidR="00D75607" w:rsidRPr="008D3E74">
        <w:rPr>
          <w:rFonts w:ascii="Arial" w:hAnsi="Arial" w:cs="Arial"/>
          <w:i/>
        </w:rPr>
        <w:t xml:space="preserve"> </w:t>
      </w:r>
      <w:r w:rsidR="00D75607" w:rsidRPr="008D3E74">
        <w:rPr>
          <w:rFonts w:ascii="Arial" w:hAnsi="Arial" w:cs="Arial"/>
        </w:rPr>
        <w:t xml:space="preserve">The Trauma Screening Questionnaire (TSQ) was used to examine PTSD symptoms. “Reliving” of the traumatic event </w:t>
      </w:r>
      <w:r w:rsidR="00F76D47" w:rsidRPr="008D3E74">
        <w:rPr>
          <w:rFonts w:ascii="Arial" w:hAnsi="Arial" w:cs="Arial"/>
        </w:rPr>
        <w:t>was</w:t>
      </w:r>
      <w:r w:rsidR="00D75607" w:rsidRPr="008D3E74">
        <w:rPr>
          <w:rFonts w:ascii="Arial" w:hAnsi="Arial" w:cs="Arial"/>
        </w:rPr>
        <w:t xml:space="preserve"> assessed with </w:t>
      </w:r>
      <w:r w:rsidR="00F76D47" w:rsidRPr="008D3E74">
        <w:rPr>
          <w:rFonts w:ascii="Arial" w:hAnsi="Arial" w:cs="Arial"/>
        </w:rPr>
        <w:t>five items</w:t>
      </w:r>
      <w:r w:rsidR="00D75607" w:rsidRPr="008D3E74">
        <w:rPr>
          <w:rFonts w:ascii="Arial" w:hAnsi="Arial" w:cs="Arial"/>
        </w:rPr>
        <w:t xml:space="preserve">, </w:t>
      </w:r>
      <w:r w:rsidR="003F44D4" w:rsidRPr="008D3E74">
        <w:rPr>
          <w:rFonts w:ascii="Arial" w:hAnsi="Arial" w:cs="Arial"/>
        </w:rPr>
        <w:t>while</w:t>
      </w:r>
      <w:r w:rsidR="00D75607" w:rsidRPr="008D3E74">
        <w:rPr>
          <w:rFonts w:ascii="Arial" w:hAnsi="Arial" w:cs="Arial"/>
        </w:rPr>
        <w:t xml:space="preserve"> experiencing “arousal” subsequent to the trauma </w:t>
      </w:r>
      <w:r w:rsidR="00F76D47" w:rsidRPr="008D3E74">
        <w:rPr>
          <w:rFonts w:ascii="Arial" w:hAnsi="Arial" w:cs="Arial"/>
        </w:rPr>
        <w:t>was</w:t>
      </w:r>
      <w:r w:rsidR="00D75607" w:rsidRPr="008D3E74">
        <w:rPr>
          <w:rFonts w:ascii="Arial" w:hAnsi="Arial" w:cs="Arial"/>
        </w:rPr>
        <w:t xml:space="preserve"> assessed with five</w:t>
      </w:r>
      <w:r w:rsidR="00F76D47" w:rsidRPr="008D3E74">
        <w:rPr>
          <w:rFonts w:ascii="Arial" w:hAnsi="Arial" w:cs="Arial"/>
        </w:rPr>
        <w:t xml:space="preserve"> other</w:t>
      </w:r>
      <w:r w:rsidR="00D75607" w:rsidRPr="008D3E74">
        <w:rPr>
          <w:rFonts w:ascii="Arial" w:hAnsi="Arial" w:cs="Arial"/>
        </w:rPr>
        <w:t xml:space="preserve"> items. Each item with an affirmative answer was given one point, and a total score of ≥6 points out of the possible 10 indicated a positive screen for PTSD, or probable PTSD</w:t>
      </w:r>
      <w:r w:rsidR="00603041" w:rsidRPr="008D3E74">
        <w:rPr>
          <w:rFonts w:ascii="Arial" w:hAnsi="Arial" w:cs="Arial"/>
        </w:rPr>
        <w:t xml:space="preserve"> </w:t>
      </w:r>
      <w:r w:rsidR="00CF7D4B" w:rsidRPr="008D3E74">
        <w:rPr>
          <w:rFonts w:ascii="Arial" w:hAnsi="Arial" w:cs="Arial"/>
        </w:rPr>
        <w:fldChar w:fldCharType="begin"/>
      </w:r>
      <w:r w:rsidR="00754C02" w:rsidRPr="008D3E74">
        <w:rPr>
          <w:rFonts w:ascii="Arial" w:hAnsi="Arial" w:cs="Arial"/>
        </w:rPr>
        <w:instrText xml:space="preserve"> ADDIN ZOTERO_ITEM CSL_CITATION {"citationID":"8FdmAXKU","properties":{"formattedCitation":"(Alsawy {\\i{}et al.} 2015)","plainCitation":"(Alsawy et al. 2015)","noteIndex":0},"citationItems":[{"id":1168,"uris":["http://zotero.org/users/local/hhPVnw6l/items/RBTLK57N"],"uri":["http://zotero.org/users/local/hhPVnw6l/items/RBTLK57N"],"itemData":{"id":1168,"type":"article-journal","title":"Psychotic experiences and PTSD: exploring associations in a population survey","container-title":"Psychological Medicine","page":"2849-2859","volume":"45","issue":"13","source":"PubMed","abstract":"BACKGROUND: Extensive evidence has shown that experiencing a traumatic event and post-traumatic stress disorder (PTSD) are associated with experiences of psychosis. However, less is known about specific PTSD symptoms and their relationship with psychotic experiences. This study aimed to examine the relationship between symptoms of PTSD with paranoia and auditory hallucinations in a large-scale sample.\nMETHOD: The Adult Psychiatric Morbidity Survey (APMS) was utilized to examine the prevalence of lifetime trauma, symptoms of PTSD, and experiences of paranoia and auditory hallucinations (n = 7403).\nRESULTS: There were significant bivariate associations between symptoms of PTSD and psychotic experiences. Multiple logistic regression analyses indicated that reliving and arousal symptoms were significant predictors for paranoia while reliving, but not arousal symptoms, also significantly predicted auditory hallucinations. A dose-response relationship was found, the greater the number of PTSD symptoms, the greater the odds were of experiencing both paranoia and hallucinations.\nCONCLUSIONS: These findings illustrate that symptoms of PTSD are associated with increased odds of experiencing auditory hallucinations and paranoia. Overlaps appear to be present between the symptoms of PTSD and psychotic experiences. Increasing awareness of this association may advance work in clinical practice.","DOI":"10.1017/S003329171500080X","ISSN":"1469-8978","note":"PMID: 25990802","title-short":"Psychotic experiences and PTSD","journalAbbreviation":"Psychol Med","language":"eng","author":[{"family":"Alsawy","given":"S."},{"family":"Wood","given":"L."},{"family":"Taylor","given":"P. J."},{"family":"Morrison","given":"A. P."}],"issued":{"date-parts":[["2015",10]]}}}],"schema":"https://github.com/citation-style-language/schema/raw/master/csl-citation.json"} </w:instrText>
      </w:r>
      <w:r w:rsidR="00CF7D4B" w:rsidRPr="008D3E74">
        <w:rPr>
          <w:rFonts w:ascii="Arial" w:hAnsi="Arial" w:cs="Arial"/>
        </w:rPr>
        <w:fldChar w:fldCharType="separate"/>
      </w:r>
      <w:r w:rsidR="00754C02" w:rsidRPr="008D3E74">
        <w:rPr>
          <w:rFonts w:ascii="Arial" w:hAnsi="Arial" w:cs="Arial"/>
        </w:rPr>
        <w:t xml:space="preserve">(Alsawy </w:t>
      </w:r>
      <w:r w:rsidR="00754C02" w:rsidRPr="008D3E74">
        <w:rPr>
          <w:rFonts w:ascii="Arial" w:hAnsi="Arial" w:cs="Arial"/>
          <w:i/>
          <w:iCs/>
        </w:rPr>
        <w:t>et al.</w:t>
      </w:r>
      <w:r w:rsidR="00754C02" w:rsidRPr="008D3E74">
        <w:rPr>
          <w:rFonts w:ascii="Arial" w:hAnsi="Arial" w:cs="Arial"/>
        </w:rPr>
        <w:t xml:space="preserve"> 2015)</w:t>
      </w:r>
      <w:r w:rsidR="00CF7D4B" w:rsidRPr="008D3E74">
        <w:rPr>
          <w:rFonts w:ascii="Arial" w:hAnsi="Arial" w:cs="Arial"/>
        </w:rPr>
        <w:fldChar w:fldCharType="end"/>
      </w:r>
      <w:r w:rsidR="00603041" w:rsidRPr="008D3E74">
        <w:rPr>
          <w:rFonts w:ascii="Arial" w:hAnsi="Arial" w:cs="Arial"/>
        </w:rPr>
        <w:t>.</w:t>
      </w:r>
    </w:p>
    <w:p w14:paraId="244C22EC" w14:textId="5BF6B3DF" w:rsidR="000B7367" w:rsidRPr="008D3E74" w:rsidRDefault="000B7367" w:rsidP="000050E5">
      <w:pPr>
        <w:spacing w:line="480" w:lineRule="auto"/>
        <w:jc w:val="both"/>
        <w:rPr>
          <w:rFonts w:ascii="Arial" w:hAnsi="Arial" w:cs="Arial"/>
        </w:rPr>
      </w:pPr>
      <w:r w:rsidRPr="008D3E74">
        <w:rPr>
          <w:rFonts w:ascii="Arial" w:hAnsi="Arial" w:cs="Arial"/>
          <w:i/>
        </w:rPr>
        <w:t xml:space="preserve">Sleep </w:t>
      </w:r>
      <w:r w:rsidR="0065598E" w:rsidRPr="008D3E74">
        <w:rPr>
          <w:rFonts w:ascii="Arial" w:hAnsi="Arial" w:cs="Arial"/>
          <w:i/>
        </w:rPr>
        <w:t>problems</w:t>
      </w:r>
      <w:r w:rsidRPr="008D3E74">
        <w:rPr>
          <w:rFonts w:ascii="Arial" w:hAnsi="Arial" w:cs="Arial"/>
          <w:i/>
        </w:rPr>
        <w:t>.</w:t>
      </w:r>
      <w:r w:rsidR="00303332" w:rsidRPr="008D3E74">
        <w:rPr>
          <w:rFonts w:ascii="Arial" w:hAnsi="Arial" w:cs="Arial"/>
          <w:i/>
        </w:rPr>
        <w:t xml:space="preserve"> </w:t>
      </w:r>
      <w:r w:rsidR="00303332" w:rsidRPr="008D3E74">
        <w:rPr>
          <w:rFonts w:ascii="Arial" w:hAnsi="Arial" w:cs="Arial"/>
        </w:rPr>
        <w:t>Two questions were used to assess sleep problems: “In the past month, have you been having problems with trying to get to sleep or with getting back to sleep if you woke up or were woken up?” (sleeping less than usual) and “Has sleeping more than you usually been a problem for you in the past month?” (sleeping more than usual). Participants were considered as having sleep problems if they reported sleeping less or more than usual.</w:t>
      </w:r>
    </w:p>
    <w:p w14:paraId="143C42C6" w14:textId="77777777" w:rsidR="00EC78D8" w:rsidRPr="008D3E74" w:rsidRDefault="00EC78D8" w:rsidP="000050E5">
      <w:pPr>
        <w:spacing w:line="480" w:lineRule="auto"/>
        <w:jc w:val="both"/>
        <w:rPr>
          <w:rFonts w:ascii="Arial" w:hAnsi="Arial" w:cs="Arial"/>
          <w:i/>
        </w:rPr>
      </w:pPr>
    </w:p>
    <w:p w14:paraId="7C6A27D3" w14:textId="4B22E1C6" w:rsidR="004F64E7" w:rsidRPr="008D3E74" w:rsidRDefault="004F64E7" w:rsidP="000050E5">
      <w:pPr>
        <w:spacing w:line="480" w:lineRule="auto"/>
        <w:jc w:val="both"/>
        <w:rPr>
          <w:rFonts w:ascii="Arial" w:hAnsi="Arial" w:cs="Arial"/>
          <w:i/>
        </w:rPr>
      </w:pPr>
      <w:r w:rsidRPr="008D3E74">
        <w:rPr>
          <w:rFonts w:ascii="Arial" w:hAnsi="Arial" w:cs="Arial"/>
          <w:i/>
        </w:rPr>
        <w:lastRenderedPageBreak/>
        <w:t>Control variables</w:t>
      </w:r>
    </w:p>
    <w:p w14:paraId="0F86CCDB" w14:textId="11C3FA52" w:rsidR="004F64E7" w:rsidRPr="008D3E74" w:rsidRDefault="004F64E7" w:rsidP="000050E5">
      <w:pPr>
        <w:spacing w:line="480" w:lineRule="auto"/>
        <w:jc w:val="both"/>
        <w:rPr>
          <w:rFonts w:ascii="Arial" w:hAnsi="Arial" w:cs="Arial"/>
        </w:rPr>
      </w:pPr>
      <w:r w:rsidRPr="008D3E74">
        <w:rPr>
          <w:rFonts w:ascii="Arial" w:hAnsi="Arial" w:cs="Arial"/>
        </w:rPr>
        <w:t>The present study controlled for sex, age</w:t>
      </w:r>
      <w:r w:rsidR="00EC78D8" w:rsidRPr="008D3E74">
        <w:rPr>
          <w:rFonts w:ascii="Arial" w:hAnsi="Arial" w:cs="Arial"/>
        </w:rPr>
        <w:t xml:space="preserve"> and</w:t>
      </w:r>
      <w:r w:rsidRPr="008D3E74">
        <w:rPr>
          <w:rFonts w:ascii="Arial" w:hAnsi="Arial" w:cs="Arial"/>
        </w:rPr>
        <w:t xml:space="preserve"> ethnicity (British White: yes or no).</w:t>
      </w:r>
    </w:p>
    <w:p w14:paraId="531D5402" w14:textId="272CC29F" w:rsidR="00D14F87" w:rsidRPr="008D3E74" w:rsidRDefault="00D14F87" w:rsidP="000050E5">
      <w:pPr>
        <w:spacing w:line="480" w:lineRule="auto"/>
        <w:jc w:val="both"/>
        <w:rPr>
          <w:rFonts w:ascii="Arial" w:hAnsi="Arial" w:cs="Arial"/>
        </w:rPr>
      </w:pPr>
    </w:p>
    <w:p w14:paraId="7B3304D5" w14:textId="77CA7E68" w:rsidR="00D14F87" w:rsidRPr="008D3E74" w:rsidRDefault="00D14F87" w:rsidP="000050E5">
      <w:pPr>
        <w:spacing w:line="480" w:lineRule="auto"/>
        <w:jc w:val="both"/>
        <w:rPr>
          <w:rFonts w:ascii="Arial" w:hAnsi="Arial" w:cs="Arial"/>
          <w:i/>
        </w:rPr>
      </w:pPr>
      <w:r w:rsidRPr="008D3E74">
        <w:rPr>
          <w:rFonts w:ascii="Arial" w:hAnsi="Arial" w:cs="Arial"/>
          <w:i/>
        </w:rPr>
        <w:t>Statistical analyses</w:t>
      </w:r>
    </w:p>
    <w:p w14:paraId="79F22316" w14:textId="30F366E5" w:rsidR="000B43D1" w:rsidRPr="008D3E74" w:rsidRDefault="00EE6F28" w:rsidP="000050E5">
      <w:pPr>
        <w:spacing w:line="480" w:lineRule="auto"/>
        <w:jc w:val="both"/>
        <w:rPr>
          <w:rFonts w:ascii="Arial" w:hAnsi="Arial" w:cs="Arial"/>
        </w:rPr>
      </w:pPr>
      <w:r w:rsidRPr="008D3E74">
        <w:rPr>
          <w:rFonts w:ascii="Arial" w:hAnsi="Arial" w:cs="Arial"/>
        </w:rPr>
        <w:t xml:space="preserve">Individuals with </w:t>
      </w:r>
      <w:r w:rsidR="00D873AA" w:rsidRPr="008D3E74">
        <w:rPr>
          <w:rFonts w:ascii="Arial" w:hAnsi="Arial" w:cs="Arial"/>
        </w:rPr>
        <w:t>definitive or</w:t>
      </w:r>
      <w:r w:rsidR="0031285B" w:rsidRPr="008D3E74">
        <w:rPr>
          <w:rFonts w:ascii="Arial" w:hAnsi="Arial" w:cs="Arial"/>
        </w:rPr>
        <w:t xml:space="preserve"> </w:t>
      </w:r>
      <w:r w:rsidRPr="008D3E74">
        <w:rPr>
          <w:rFonts w:ascii="Arial" w:hAnsi="Arial" w:cs="Arial"/>
        </w:rPr>
        <w:t xml:space="preserve">probable psychosis were omitted from the analysis as </w:t>
      </w:r>
      <w:r w:rsidR="00DF1AE0" w:rsidRPr="008D3E74">
        <w:rPr>
          <w:rFonts w:ascii="Arial" w:hAnsi="Arial" w:cs="Arial"/>
        </w:rPr>
        <w:t xml:space="preserve">the focus of the study was on PEs not reaching the clinical threshold for a psychosis diagnosis (definition provided in </w:t>
      </w:r>
      <w:r w:rsidR="00DF1AE0" w:rsidRPr="008D3E74">
        <w:rPr>
          <w:rFonts w:ascii="Arial" w:hAnsi="Arial" w:cs="Arial"/>
          <w:b/>
        </w:rPr>
        <w:t>Appendix</w:t>
      </w:r>
      <w:r w:rsidR="00A93150" w:rsidRPr="008D3E74">
        <w:rPr>
          <w:rFonts w:ascii="Arial" w:hAnsi="Arial" w:cs="Arial"/>
          <w:b/>
        </w:rPr>
        <w:t xml:space="preserve"> 2</w:t>
      </w:r>
      <w:r w:rsidR="00DF1AE0" w:rsidRPr="008D3E74">
        <w:rPr>
          <w:rFonts w:ascii="Arial" w:hAnsi="Arial" w:cs="Arial"/>
        </w:rPr>
        <w:t>)</w:t>
      </w:r>
      <w:r w:rsidRPr="008D3E74">
        <w:rPr>
          <w:rFonts w:ascii="Arial" w:hAnsi="Arial" w:cs="Arial"/>
        </w:rPr>
        <w:t xml:space="preserve">. </w:t>
      </w:r>
      <w:r w:rsidR="00685C48" w:rsidRPr="008D3E74">
        <w:rPr>
          <w:rFonts w:ascii="Arial" w:hAnsi="Arial" w:cs="Arial"/>
        </w:rPr>
        <w:t>Differences in the sample characteristics</w:t>
      </w:r>
      <w:r w:rsidR="00355F92" w:rsidRPr="008D3E74">
        <w:rPr>
          <w:rFonts w:ascii="Arial" w:hAnsi="Arial" w:cs="Arial"/>
        </w:rPr>
        <w:t xml:space="preserve"> by </w:t>
      </w:r>
      <w:r w:rsidR="007E17F7" w:rsidRPr="008D3E74">
        <w:rPr>
          <w:rFonts w:ascii="Arial" w:hAnsi="Arial" w:cs="Arial"/>
        </w:rPr>
        <w:t>sexual orientation</w:t>
      </w:r>
      <w:r w:rsidR="00355F92" w:rsidRPr="008D3E74">
        <w:rPr>
          <w:rFonts w:ascii="Arial" w:hAnsi="Arial" w:cs="Arial"/>
        </w:rPr>
        <w:t xml:space="preserve"> (</w:t>
      </w:r>
      <w:r w:rsidR="0099720A" w:rsidRPr="008D3E74">
        <w:rPr>
          <w:rFonts w:ascii="Arial" w:hAnsi="Arial" w:cs="Arial"/>
        </w:rPr>
        <w:t xml:space="preserve">heterosexual </w:t>
      </w:r>
      <w:r w:rsidR="00355F92" w:rsidRPr="008D3E74">
        <w:rPr>
          <w:rFonts w:ascii="Arial" w:hAnsi="Arial" w:cs="Arial"/>
        </w:rPr>
        <w:t xml:space="preserve">versus </w:t>
      </w:r>
      <w:r w:rsidR="0099720A" w:rsidRPr="008D3E74">
        <w:rPr>
          <w:rFonts w:ascii="Arial" w:hAnsi="Arial" w:cs="Arial"/>
        </w:rPr>
        <w:t>non-heterosexual</w:t>
      </w:r>
      <w:r w:rsidR="00355F92" w:rsidRPr="008D3E74">
        <w:rPr>
          <w:rFonts w:ascii="Arial" w:hAnsi="Arial" w:cs="Arial"/>
        </w:rPr>
        <w:t xml:space="preserve">) </w:t>
      </w:r>
      <w:r w:rsidR="00685C48" w:rsidRPr="008D3E74">
        <w:rPr>
          <w:rFonts w:ascii="Arial" w:hAnsi="Arial" w:cs="Arial"/>
        </w:rPr>
        <w:t xml:space="preserve">were tested with Chi-squared tests for categorical variables and Student’s t-tests for continuous variables. </w:t>
      </w:r>
    </w:p>
    <w:p w14:paraId="5939066A" w14:textId="35694BAF" w:rsidR="000B43D1" w:rsidRPr="008D3E74" w:rsidRDefault="00685C48" w:rsidP="000050E5">
      <w:pPr>
        <w:spacing w:line="480" w:lineRule="auto"/>
        <w:jc w:val="both"/>
        <w:rPr>
          <w:rFonts w:ascii="Arial" w:hAnsi="Arial" w:cs="Arial"/>
        </w:rPr>
      </w:pPr>
      <w:r w:rsidRPr="008D3E74">
        <w:rPr>
          <w:rFonts w:ascii="Arial" w:hAnsi="Arial" w:cs="Arial"/>
        </w:rPr>
        <w:t xml:space="preserve">We conducted </w:t>
      </w:r>
      <w:r w:rsidR="00FF3FC8" w:rsidRPr="008D3E74">
        <w:rPr>
          <w:rFonts w:ascii="Arial" w:hAnsi="Arial" w:cs="Arial"/>
        </w:rPr>
        <w:t xml:space="preserve">multivariable </w:t>
      </w:r>
      <w:r w:rsidRPr="008D3E74">
        <w:rPr>
          <w:rFonts w:ascii="Arial" w:hAnsi="Arial" w:cs="Arial"/>
        </w:rPr>
        <w:t xml:space="preserve">logistic regression analyses to assess the association between </w:t>
      </w:r>
      <w:r w:rsidR="00D35837" w:rsidRPr="008D3E74">
        <w:rPr>
          <w:rFonts w:ascii="Arial" w:hAnsi="Arial" w:cs="Arial"/>
        </w:rPr>
        <w:t>sexual orientation (independent variable)</w:t>
      </w:r>
      <w:r w:rsidRPr="008D3E74">
        <w:rPr>
          <w:rFonts w:ascii="Arial" w:hAnsi="Arial" w:cs="Arial"/>
        </w:rPr>
        <w:t xml:space="preserve"> and </w:t>
      </w:r>
      <w:r w:rsidR="00FF3FC8" w:rsidRPr="008D3E74">
        <w:rPr>
          <w:rFonts w:ascii="Arial" w:hAnsi="Arial" w:cs="Arial"/>
        </w:rPr>
        <w:t xml:space="preserve">the individual types of PE and </w:t>
      </w:r>
      <w:r w:rsidR="008C5CE3" w:rsidRPr="008D3E74">
        <w:rPr>
          <w:rFonts w:ascii="Arial" w:hAnsi="Arial" w:cs="Arial"/>
        </w:rPr>
        <w:t xml:space="preserve">any </w:t>
      </w:r>
      <w:r w:rsidR="00D35837" w:rsidRPr="008D3E74">
        <w:rPr>
          <w:rFonts w:ascii="Arial" w:hAnsi="Arial" w:cs="Arial"/>
        </w:rPr>
        <w:t>PE</w:t>
      </w:r>
      <w:r w:rsidRPr="008D3E74">
        <w:rPr>
          <w:rFonts w:ascii="Arial" w:hAnsi="Arial" w:cs="Arial"/>
        </w:rPr>
        <w:t xml:space="preserve"> (dependent variable</w:t>
      </w:r>
      <w:r w:rsidR="00FF3FC8" w:rsidRPr="008D3E74">
        <w:rPr>
          <w:rFonts w:ascii="Arial" w:hAnsi="Arial" w:cs="Arial"/>
        </w:rPr>
        <w:t>s</w:t>
      </w:r>
      <w:r w:rsidRPr="008D3E74">
        <w:rPr>
          <w:rFonts w:ascii="Arial" w:hAnsi="Arial" w:cs="Arial"/>
        </w:rPr>
        <w:t>).</w:t>
      </w:r>
      <w:r w:rsidR="009D773F" w:rsidRPr="008D3E74">
        <w:rPr>
          <w:rFonts w:ascii="Arial" w:hAnsi="Arial" w:cs="Arial"/>
        </w:rPr>
        <w:t xml:space="preserve"> </w:t>
      </w:r>
      <w:r w:rsidR="00B744F6" w:rsidRPr="008D3E74">
        <w:rPr>
          <w:rFonts w:ascii="Arial" w:hAnsi="Arial" w:cs="Arial"/>
        </w:rPr>
        <w:t>Sensitivity</w:t>
      </w:r>
      <w:r w:rsidR="009D773F" w:rsidRPr="008D3E74">
        <w:rPr>
          <w:rFonts w:ascii="Arial" w:hAnsi="Arial" w:cs="Arial"/>
        </w:rPr>
        <w:t xml:space="preserve"> analys</w:t>
      </w:r>
      <w:r w:rsidR="00CC03B8" w:rsidRPr="008D3E74">
        <w:rPr>
          <w:rFonts w:ascii="Arial" w:hAnsi="Arial" w:cs="Arial"/>
        </w:rPr>
        <w:t>i</w:t>
      </w:r>
      <w:r w:rsidR="009D773F" w:rsidRPr="008D3E74">
        <w:rPr>
          <w:rFonts w:ascii="Arial" w:hAnsi="Arial" w:cs="Arial"/>
        </w:rPr>
        <w:t xml:space="preserve">s by the two groups </w:t>
      </w:r>
      <w:r w:rsidR="00C203B0" w:rsidRPr="008D3E74">
        <w:rPr>
          <w:rFonts w:ascii="Arial" w:hAnsi="Arial" w:cs="Arial"/>
        </w:rPr>
        <w:t>that</w:t>
      </w:r>
      <w:r w:rsidR="009D773F" w:rsidRPr="008D3E74">
        <w:rPr>
          <w:rFonts w:ascii="Arial" w:hAnsi="Arial" w:cs="Arial"/>
        </w:rPr>
        <w:t xml:space="preserve"> were administered different questions on sexual orientation</w:t>
      </w:r>
      <w:r w:rsidR="00B744F6" w:rsidRPr="008D3E74">
        <w:rPr>
          <w:rFonts w:ascii="Arial" w:hAnsi="Arial" w:cs="Arial"/>
        </w:rPr>
        <w:t xml:space="preserve"> </w:t>
      </w:r>
      <w:r w:rsidR="00CC03B8" w:rsidRPr="008D3E74">
        <w:rPr>
          <w:rFonts w:ascii="Arial" w:hAnsi="Arial" w:cs="Arial"/>
        </w:rPr>
        <w:t>was</w:t>
      </w:r>
      <w:r w:rsidR="00B744F6" w:rsidRPr="008D3E74">
        <w:rPr>
          <w:rFonts w:ascii="Arial" w:hAnsi="Arial" w:cs="Arial"/>
        </w:rPr>
        <w:t xml:space="preserve"> subsequently performed</w:t>
      </w:r>
      <w:r w:rsidR="009D773F" w:rsidRPr="008D3E74">
        <w:rPr>
          <w:rFonts w:ascii="Arial" w:hAnsi="Arial" w:cs="Arial"/>
        </w:rPr>
        <w:t>.</w:t>
      </w:r>
      <w:r w:rsidRPr="008D3E74">
        <w:rPr>
          <w:rFonts w:ascii="Arial" w:hAnsi="Arial" w:cs="Arial"/>
        </w:rPr>
        <w:t xml:space="preserve"> </w:t>
      </w:r>
      <w:r w:rsidR="00CB441F" w:rsidRPr="008D3E74">
        <w:rPr>
          <w:rFonts w:ascii="Arial" w:hAnsi="Arial" w:cs="Arial"/>
        </w:rPr>
        <w:t xml:space="preserve">We further conducted mediation analysis to quantify the degree to which the association between sexual orientation and </w:t>
      </w:r>
      <w:r w:rsidR="006C6993" w:rsidRPr="008D3E74">
        <w:rPr>
          <w:rFonts w:ascii="Arial" w:hAnsi="Arial" w:cs="Arial"/>
        </w:rPr>
        <w:t>PEs</w:t>
      </w:r>
      <w:r w:rsidR="00CB441F" w:rsidRPr="008D3E74">
        <w:rPr>
          <w:rFonts w:ascii="Arial" w:hAnsi="Arial" w:cs="Arial"/>
        </w:rPr>
        <w:t xml:space="preserve"> may be explained by factors which can theoretically be mediators in this association.</w:t>
      </w:r>
      <w:r w:rsidR="000E3CBB" w:rsidRPr="008D3E74">
        <w:rPr>
          <w:rFonts w:ascii="Arial" w:hAnsi="Arial" w:cs="Arial"/>
        </w:rPr>
        <w:t xml:space="preserve"> The </w:t>
      </w:r>
      <w:proofErr w:type="spellStart"/>
      <w:r w:rsidR="000E3CBB" w:rsidRPr="008D3E74">
        <w:rPr>
          <w:rFonts w:ascii="Arial" w:hAnsi="Arial" w:cs="Arial"/>
        </w:rPr>
        <w:t>khb</w:t>
      </w:r>
      <w:proofErr w:type="spellEnd"/>
      <w:r w:rsidR="000E3CBB" w:rsidRPr="008D3E74">
        <w:rPr>
          <w:rFonts w:ascii="Arial" w:hAnsi="Arial" w:cs="Arial"/>
        </w:rPr>
        <w:t xml:space="preserve"> (Karlson Holm Breen) command in Stata was used for this analysis</w:t>
      </w:r>
      <w:r w:rsidR="00603041" w:rsidRPr="008D3E74">
        <w:rPr>
          <w:rFonts w:ascii="Arial" w:hAnsi="Arial" w:cs="Arial"/>
        </w:rPr>
        <w:t xml:space="preserve"> </w:t>
      </w:r>
      <w:r w:rsidR="00075DBB" w:rsidRPr="008D3E74">
        <w:rPr>
          <w:rFonts w:ascii="Arial" w:hAnsi="Arial" w:cs="Arial"/>
        </w:rPr>
        <w:fldChar w:fldCharType="begin"/>
      </w:r>
      <w:r w:rsidR="00754C02" w:rsidRPr="008D3E74">
        <w:rPr>
          <w:rFonts w:ascii="Arial" w:hAnsi="Arial" w:cs="Arial"/>
        </w:rPr>
        <w:instrText xml:space="preserve"> ADDIN ZOTERO_ITEM CSL_CITATION {"citationID":"IAOV0qEu","properties":{"formattedCitation":"(Breen {\\i{}et al.} 2013)","plainCitation":"(Breen et al. 2013)","noteIndex":0},"citationItems":[{"id":1202,"uris":["http://zotero.org/users/local/hhPVnw6l/items/2NMVM598"],"uri":["http://zotero.org/users/local/hhPVnw6l/items/2NMVM598"],"itemData":{"id":1202,"type":"article-journal","title":"Total, Direct, and Indirect Effects in Logit and Probit Models","container-title":"Sociological Methods &amp; Research","page":"164-191","volume":"42","issue":"2","source":"SAGE Journals","abstract":"This article presents a method for estimating and interpreting total, direct, and indirect effects in logit or probit models. The method extends the decomposition properties of linear models to these models; it closes the much-discussed gap between results based on the “difference in coefficients” method and the “product of coefficients” method in mediation analysis involving nonlinear probability models models; it reports effects measured on both the logit or probit scale and the probability scale; and it identifies causal mediation effects under the sequential ignorability assumption. We also show that while our method is computationally simpler than other methods, it always performs as well as, or better than, these methods. Further derivations suggest a hitherto unrecognized issue in identifying heterogeneous mediation effects in nonlinear probability models. We conclude the article with an application of our method to data from the National Educational Longitudinal Study of 1988.","DOI":"10.1177/0049124113494572","ISSN":"0049-1241","journalAbbreviation":"Sociological Methods &amp; Research","language":"en","author":[{"family":"Breen","given":"Richard"},{"family":"Karlson","given":"Kristian Bernt"},{"family":"Holm","given":"Anders"}],"issued":{"date-parts":[["2013",5,1]]}}}],"schema":"https://github.com/citation-style-language/schema/raw/master/csl-citation.json"} </w:instrText>
      </w:r>
      <w:r w:rsidR="00075DBB" w:rsidRPr="008D3E74">
        <w:rPr>
          <w:rFonts w:ascii="Arial" w:hAnsi="Arial" w:cs="Arial"/>
        </w:rPr>
        <w:fldChar w:fldCharType="separate"/>
      </w:r>
      <w:r w:rsidR="00754C02" w:rsidRPr="008D3E74">
        <w:rPr>
          <w:rFonts w:ascii="Arial" w:hAnsi="Arial" w:cs="Arial"/>
        </w:rPr>
        <w:t xml:space="preserve">(Breen </w:t>
      </w:r>
      <w:r w:rsidR="00754C02" w:rsidRPr="008D3E74">
        <w:rPr>
          <w:rFonts w:ascii="Arial" w:hAnsi="Arial" w:cs="Arial"/>
          <w:i/>
          <w:iCs/>
        </w:rPr>
        <w:t>et al.</w:t>
      </w:r>
      <w:r w:rsidR="00754C02" w:rsidRPr="008D3E74">
        <w:rPr>
          <w:rFonts w:ascii="Arial" w:hAnsi="Arial" w:cs="Arial"/>
        </w:rPr>
        <w:t xml:space="preserve"> 2013)</w:t>
      </w:r>
      <w:r w:rsidR="00075DBB" w:rsidRPr="008D3E74">
        <w:rPr>
          <w:rFonts w:ascii="Arial" w:hAnsi="Arial" w:cs="Arial"/>
        </w:rPr>
        <w:fldChar w:fldCharType="end"/>
      </w:r>
      <w:r w:rsidR="00603041" w:rsidRPr="008D3E74">
        <w:rPr>
          <w:rFonts w:ascii="Arial" w:hAnsi="Arial" w:cs="Arial"/>
        </w:rPr>
        <w:t>.</w:t>
      </w:r>
      <w:r w:rsidR="000E3CBB" w:rsidRPr="008D3E74">
        <w:rPr>
          <w:rFonts w:ascii="Arial" w:hAnsi="Arial" w:cs="Arial"/>
        </w:rPr>
        <w:t xml:space="preserve"> This method can be applied in logistic regression models and decomposes the total effect (i.e., unadjusted for the mediator) of a variable into direct (i.e., the effect of </w:t>
      </w:r>
      <w:r w:rsidR="008C5CE3" w:rsidRPr="008D3E74">
        <w:rPr>
          <w:rFonts w:ascii="Arial" w:hAnsi="Arial" w:cs="Arial"/>
        </w:rPr>
        <w:t>sexual orientation</w:t>
      </w:r>
      <w:r w:rsidR="000E3CBB" w:rsidRPr="008D3E74">
        <w:rPr>
          <w:rFonts w:ascii="Arial" w:hAnsi="Arial" w:cs="Arial"/>
        </w:rPr>
        <w:t xml:space="preserve"> on </w:t>
      </w:r>
      <w:r w:rsidR="008C5CE3" w:rsidRPr="008D3E74">
        <w:rPr>
          <w:rFonts w:ascii="Arial" w:hAnsi="Arial" w:cs="Arial"/>
        </w:rPr>
        <w:t>any PE</w:t>
      </w:r>
      <w:r w:rsidR="000E3CBB" w:rsidRPr="008D3E74">
        <w:rPr>
          <w:rFonts w:ascii="Arial" w:hAnsi="Arial" w:cs="Arial"/>
        </w:rPr>
        <w:t xml:space="preserve"> adjusted for the mediator) and indirect effects (i.e., the mediational effect). Using this method, the percentage of the main association explained by </w:t>
      </w:r>
      <w:r w:rsidR="000E3CBB" w:rsidRPr="008D3E74">
        <w:rPr>
          <w:rFonts w:ascii="Arial" w:hAnsi="Arial" w:cs="Arial"/>
        </w:rPr>
        <w:lastRenderedPageBreak/>
        <w:t xml:space="preserve">the mediator can also be calculated (mediated percentage). </w:t>
      </w:r>
      <w:r w:rsidR="004A5580" w:rsidRPr="008D3E74">
        <w:rPr>
          <w:rFonts w:ascii="Arial" w:hAnsi="Arial" w:cs="Arial"/>
        </w:rPr>
        <w:t xml:space="preserve">Each of the </w:t>
      </w:r>
      <w:r w:rsidR="00E07EC8" w:rsidRPr="008D3E74">
        <w:rPr>
          <w:rFonts w:ascii="Arial" w:hAnsi="Arial" w:cs="Arial"/>
        </w:rPr>
        <w:t>17</w:t>
      </w:r>
      <w:r w:rsidR="004A5580" w:rsidRPr="008D3E74">
        <w:rPr>
          <w:rFonts w:ascii="Arial" w:hAnsi="Arial" w:cs="Arial"/>
        </w:rPr>
        <w:t xml:space="preserve"> </w:t>
      </w:r>
      <w:r w:rsidR="00F21857" w:rsidRPr="008D3E74">
        <w:rPr>
          <w:rFonts w:ascii="Arial" w:hAnsi="Arial" w:cs="Arial"/>
        </w:rPr>
        <w:t>mediating factors</w:t>
      </w:r>
      <w:r w:rsidR="004A5580" w:rsidRPr="008D3E74">
        <w:rPr>
          <w:rFonts w:ascii="Arial" w:hAnsi="Arial" w:cs="Arial"/>
        </w:rPr>
        <w:t xml:space="preserve"> </w:t>
      </w:r>
      <w:r w:rsidR="001E1D4D" w:rsidRPr="008D3E74">
        <w:rPr>
          <w:rFonts w:ascii="Arial" w:hAnsi="Arial" w:cs="Arial"/>
        </w:rPr>
        <w:t>was</w:t>
      </w:r>
      <w:r w:rsidR="004A5580" w:rsidRPr="008D3E74">
        <w:rPr>
          <w:rFonts w:ascii="Arial" w:hAnsi="Arial" w:cs="Arial"/>
        </w:rPr>
        <w:t xml:space="preserve"> included individually</w:t>
      </w:r>
      <w:r w:rsidR="00F21857" w:rsidRPr="008D3E74">
        <w:rPr>
          <w:rFonts w:ascii="Arial" w:hAnsi="Arial" w:cs="Arial"/>
        </w:rPr>
        <w:t xml:space="preserve"> in the model</w:t>
      </w:r>
      <w:r w:rsidR="004A5580" w:rsidRPr="008D3E74">
        <w:rPr>
          <w:rFonts w:ascii="Arial" w:hAnsi="Arial" w:cs="Arial"/>
        </w:rPr>
        <w:t>.</w:t>
      </w:r>
    </w:p>
    <w:p w14:paraId="2E6049DA" w14:textId="1390FB95" w:rsidR="00D14F87" w:rsidRPr="008D3E74" w:rsidRDefault="00FF3FC8" w:rsidP="000050E5">
      <w:pPr>
        <w:spacing w:line="480" w:lineRule="auto"/>
        <w:jc w:val="both"/>
        <w:rPr>
          <w:rFonts w:ascii="Arial" w:hAnsi="Arial" w:cs="Arial"/>
        </w:rPr>
      </w:pPr>
      <w:r w:rsidRPr="008D3E74">
        <w:rPr>
          <w:rFonts w:ascii="Arial" w:hAnsi="Arial" w:cs="Arial"/>
        </w:rPr>
        <w:t>The regression analyses including the mediation analysis were adjusted for sex, age</w:t>
      </w:r>
      <w:r w:rsidR="00BC3D74" w:rsidRPr="008D3E74">
        <w:rPr>
          <w:rFonts w:ascii="Arial" w:hAnsi="Arial" w:cs="Arial"/>
        </w:rPr>
        <w:t xml:space="preserve"> and</w:t>
      </w:r>
      <w:r w:rsidRPr="008D3E74">
        <w:rPr>
          <w:rFonts w:ascii="Arial" w:hAnsi="Arial" w:cs="Arial"/>
        </w:rPr>
        <w:t xml:space="preserve"> ethnicity.</w:t>
      </w:r>
      <w:r w:rsidR="00317A13" w:rsidRPr="008D3E74">
        <w:rPr>
          <w:rFonts w:ascii="Arial" w:hAnsi="Arial" w:cs="Arial"/>
        </w:rPr>
        <w:t xml:space="preserve"> Furthermore, since previous research has found that the association between sexual orientation and mental health disorders differs by sex</w:t>
      </w:r>
      <w:r w:rsidR="00603041" w:rsidRPr="008D3E74">
        <w:rPr>
          <w:rFonts w:ascii="Arial" w:hAnsi="Arial" w:cs="Arial"/>
        </w:rPr>
        <w:t xml:space="preserve"> </w:t>
      </w:r>
      <w:r w:rsidR="00317A13" w:rsidRPr="008D3E74">
        <w:rPr>
          <w:rFonts w:ascii="Arial" w:hAnsi="Arial" w:cs="Arial"/>
        </w:rPr>
        <w:fldChar w:fldCharType="begin"/>
      </w:r>
      <w:r w:rsidR="00754C02" w:rsidRPr="008D3E74">
        <w:rPr>
          <w:rFonts w:ascii="Arial" w:hAnsi="Arial" w:cs="Arial"/>
        </w:rPr>
        <w:instrText xml:space="preserve"> ADDIN ZOTERO_ITEM CSL_CITATION {"citationID":"MKy6Otfn","properties":{"formattedCitation":"(Bolton &amp; Sareen 2011)","plainCitation":"(Bolton &amp; Sareen 2011)","noteIndex":0},"citationItems":[{"id":1122,"uris":["http://zotero.org/users/local/hhPVnw6l/items/KT27QQZY"],"uri":["http://zotero.org/users/local/hhPVnw6l/items/KT27QQZY"],"itemData":{"id":1122,"type":"article-journal","title":"Sexual orientation and its relation to mental disorders and suicide attempts: findings from a nationally representative sample","container-title":"Canadian Journal of Psychiatry. Revue Canadienne De Psychiatrie","page":"35-43","volume":"56","issue":"1","source":"PubMed","abstract":"OBJECTIVE: To compare the rates of all Axis I and II mental disorders and suicide attempts in sexual orientation minorities with rates in heterosexuals using a nationally representative sample.\nMETHOD: Data used were from the National Epidemiologic Survey on Alcohol and Related Conditions Wave 2 (n = 34 653, response rate = 70.2%). Cross-tabulations and multivariate logistic regression analyses were performed to determine differences in rates of mental disorders and suicide attempts by sexual orientation. All analyses were stratified by sex.\nRESULTS: Compared with their heterosexual counterparts, lesbians and bisexual women demonstrated a 3-fold increased likelihood of substance use disorders, and gay and bisexual men showed twice the rate of anxiety disorders and schizophrenia and (or) psychotic illness, even after accounting for mental disorder comorbidity. Suicide attempts were independently associated with bisexuality, with odds 3 times higher than in heterosexuals.\nCONCLUSION: Findings from our study emphasize the fact that sexual orientation minorities are vulnerable to poor mental health outcomes, including suicide attempts. Clinicians need to be aware of these specific negative mental health consequences when assessing sexual orientation minorities.","DOI":"10.1177/070674371105600107","ISSN":"1497-0015","note":"PMID: 21324241","title-short":"Sexual orientation and its relation to mental disorders and suicide attempts","journalAbbreviation":"Can J Psychiatry","language":"eng","author":[{"family":"Bolton","given":"Shay-Lee"},{"family":"Sareen","given":"Jitender"}],"issued":{"date-parts":[["2011",1]]}}}],"schema":"https://github.com/citation-style-language/schema/raw/master/csl-citation.json"} </w:instrText>
      </w:r>
      <w:r w:rsidR="00317A13" w:rsidRPr="008D3E74">
        <w:rPr>
          <w:rFonts w:ascii="Arial" w:hAnsi="Arial" w:cs="Arial"/>
        </w:rPr>
        <w:fldChar w:fldCharType="separate"/>
      </w:r>
      <w:r w:rsidR="00754C02" w:rsidRPr="008D3E74">
        <w:rPr>
          <w:rFonts w:ascii="Arial" w:hAnsi="Arial" w:cs="Arial"/>
        </w:rPr>
        <w:t>(Bolton &amp; Sareen 2011)</w:t>
      </w:r>
      <w:r w:rsidR="00317A13" w:rsidRPr="008D3E74">
        <w:rPr>
          <w:rFonts w:ascii="Arial" w:hAnsi="Arial" w:cs="Arial"/>
        </w:rPr>
        <w:fldChar w:fldCharType="end"/>
      </w:r>
      <w:r w:rsidR="00603041" w:rsidRPr="008D3E74">
        <w:rPr>
          <w:rFonts w:ascii="Arial" w:hAnsi="Arial" w:cs="Arial"/>
        </w:rPr>
        <w:t>,</w:t>
      </w:r>
      <w:r w:rsidR="00317A13" w:rsidRPr="008D3E74">
        <w:rPr>
          <w:rFonts w:ascii="Arial" w:hAnsi="Arial" w:cs="Arial"/>
        </w:rPr>
        <w:t xml:space="preserve"> an interaction analysis was conducted by including the product term of sexual orientation x sex </w:t>
      </w:r>
      <w:r w:rsidR="003322F8" w:rsidRPr="008D3E74">
        <w:rPr>
          <w:rFonts w:ascii="Arial" w:hAnsi="Arial" w:cs="Arial"/>
        </w:rPr>
        <w:t xml:space="preserve">in the </w:t>
      </w:r>
      <w:r w:rsidR="00317A13" w:rsidRPr="008D3E74">
        <w:rPr>
          <w:rFonts w:ascii="Arial" w:hAnsi="Arial" w:cs="Arial"/>
        </w:rPr>
        <w:t>model</w:t>
      </w:r>
      <w:r w:rsidR="003322F8" w:rsidRPr="008D3E74">
        <w:rPr>
          <w:rFonts w:ascii="Arial" w:hAnsi="Arial" w:cs="Arial"/>
        </w:rPr>
        <w:t>s</w:t>
      </w:r>
      <w:r w:rsidR="00317A13" w:rsidRPr="008D3E74">
        <w:rPr>
          <w:rFonts w:ascii="Arial" w:hAnsi="Arial" w:cs="Arial"/>
        </w:rPr>
        <w:t xml:space="preserve">. </w:t>
      </w:r>
      <w:r w:rsidR="001E7E7B" w:rsidRPr="008D3E74">
        <w:rPr>
          <w:rFonts w:ascii="Arial" w:hAnsi="Arial" w:cs="Arial"/>
        </w:rPr>
        <w:t xml:space="preserve">All variables </w:t>
      </w:r>
      <w:r w:rsidRPr="008D3E74">
        <w:rPr>
          <w:rFonts w:ascii="Arial" w:hAnsi="Arial" w:cs="Arial"/>
        </w:rPr>
        <w:t xml:space="preserve">used </w:t>
      </w:r>
      <w:r w:rsidR="001E7E7B" w:rsidRPr="008D3E74">
        <w:rPr>
          <w:rFonts w:ascii="Arial" w:hAnsi="Arial" w:cs="Arial"/>
        </w:rPr>
        <w:t xml:space="preserve">in the analyses were categorical variables </w:t>
      </w:r>
      <w:proofErr w:type="gramStart"/>
      <w:r w:rsidR="001E7E7B" w:rsidRPr="008D3E74">
        <w:rPr>
          <w:rFonts w:ascii="Arial" w:hAnsi="Arial" w:cs="Arial"/>
        </w:rPr>
        <w:t>with the exception of</w:t>
      </w:r>
      <w:proofErr w:type="gramEnd"/>
      <w:r w:rsidR="001E7E7B" w:rsidRPr="008D3E74">
        <w:rPr>
          <w:rFonts w:ascii="Arial" w:hAnsi="Arial" w:cs="Arial"/>
        </w:rPr>
        <w:t xml:space="preserve"> age</w:t>
      </w:r>
      <w:r w:rsidR="001A52A1" w:rsidRPr="008D3E74">
        <w:rPr>
          <w:rFonts w:ascii="Arial" w:hAnsi="Arial" w:cs="Arial"/>
        </w:rPr>
        <w:t xml:space="preserve">, social support and </w:t>
      </w:r>
      <w:r w:rsidR="00D72A8E" w:rsidRPr="008D3E74">
        <w:rPr>
          <w:rFonts w:ascii="Arial" w:hAnsi="Arial" w:cs="Arial"/>
        </w:rPr>
        <w:t>the number of stressful life events</w:t>
      </w:r>
      <w:r w:rsidR="001E7E7B" w:rsidRPr="008D3E74">
        <w:rPr>
          <w:rFonts w:ascii="Arial" w:hAnsi="Arial" w:cs="Arial"/>
        </w:rPr>
        <w:t xml:space="preserve">. </w:t>
      </w:r>
      <w:r w:rsidR="005F1A22" w:rsidRPr="008D3E74">
        <w:rPr>
          <w:rFonts w:ascii="Arial" w:hAnsi="Arial" w:cs="Arial"/>
        </w:rPr>
        <w:t>The sample weighting and the complex study design (i.e., strata</w:t>
      </w:r>
      <w:r w:rsidR="00EA0110" w:rsidRPr="008D3E74">
        <w:rPr>
          <w:rFonts w:ascii="Arial" w:hAnsi="Arial" w:cs="Arial"/>
        </w:rPr>
        <w:t xml:space="preserve"> and</w:t>
      </w:r>
      <w:r w:rsidR="00847E47" w:rsidRPr="008D3E74">
        <w:rPr>
          <w:rFonts w:ascii="Arial" w:hAnsi="Arial" w:cs="Arial"/>
        </w:rPr>
        <w:t xml:space="preserve"> </w:t>
      </w:r>
      <w:r w:rsidR="005F1A22" w:rsidRPr="008D3E74">
        <w:rPr>
          <w:rFonts w:ascii="Arial" w:hAnsi="Arial" w:cs="Arial"/>
        </w:rPr>
        <w:t xml:space="preserve">primary sampling units) were </w:t>
      </w:r>
      <w:proofErr w:type="gramStart"/>
      <w:r w:rsidR="005F1A22" w:rsidRPr="008D3E74">
        <w:rPr>
          <w:rFonts w:ascii="Arial" w:hAnsi="Arial" w:cs="Arial"/>
        </w:rPr>
        <w:t>taken into account</w:t>
      </w:r>
      <w:proofErr w:type="gramEnd"/>
      <w:r w:rsidR="005F1A22" w:rsidRPr="008D3E74">
        <w:rPr>
          <w:rFonts w:ascii="Arial" w:hAnsi="Arial" w:cs="Arial"/>
        </w:rPr>
        <w:t xml:space="preserve"> in all analyses with the use of the </w:t>
      </w:r>
      <w:proofErr w:type="spellStart"/>
      <w:r w:rsidR="005F1A22" w:rsidRPr="008D3E74">
        <w:rPr>
          <w:rFonts w:ascii="Arial" w:hAnsi="Arial" w:cs="Arial"/>
          <w:i/>
        </w:rPr>
        <w:t>svy</w:t>
      </w:r>
      <w:proofErr w:type="spellEnd"/>
      <w:r w:rsidR="005F1A22" w:rsidRPr="008D3E74">
        <w:rPr>
          <w:rFonts w:ascii="Arial" w:hAnsi="Arial" w:cs="Arial"/>
        </w:rPr>
        <w:t xml:space="preserve"> command in Stata, which </w:t>
      </w:r>
      <w:r w:rsidR="00B91482" w:rsidRPr="008D3E74">
        <w:rPr>
          <w:rFonts w:ascii="Arial" w:hAnsi="Arial" w:cs="Arial"/>
        </w:rPr>
        <w:t>relies on</w:t>
      </w:r>
      <w:r w:rsidR="005F1A22" w:rsidRPr="008D3E74">
        <w:rPr>
          <w:rFonts w:ascii="Arial" w:hAnsi="Arial" w:cs="Arial"/>
        </w:rPr>
        <w:t xml:space="preserve"> the Taylor linearization method.</w:t>
      </w:r>
      <w:r w:rsidR="00F25AE1" w:rsidRPr="008D3E74">
        <w:rPr>
          <w:rFonts w:ascii="Arial" w:hAnsi="Arial" w:cs="Arial"/>
        </w:rPr>
        <w:t xml:space="preserve"> Under 2.0% of the values were missing for all the variables used in our study </w:t>
      </w:r>
      <w:proofErr w:type="gramStart"/>
      <w:r w:rsidR="00F25AE1" w:rsidRPr="008D3E74">
        <w:rPr>
          <w:rFonts w:ascii="Arial" w:hAnsi="Arial" w:cs="Arial"/>
        </w:rPr>
        <w:t>with the exception of</w:t>
      </w:r>
      <w:proofErr w:type="gramEnd"/>
      <w:r w:rsidR="00F25AE1" w:rsidRPr="008D3E74">
        <w:rPr>
          <w:rFonts w:ascii="Arial" w:hAnsi="Arial" w:cs="Arial"/>
        </w:rPr>
        <w:t xml:space="preserve"> income (20.0%). Complete case analysis was done.</w:t>
      </w:r>
      <w:r w:rsidR="00D14F87" w:rsidRPr="008D3E74">
        <w:rPr>
          <w:rFonts w:ascii="Arial" w:hAnsi="Arial" w:cs="Arial"/>
        </w:rPr>
        <w:t xml:space="preserve"> The level of statistical significance was set at p &lt;0.05. All analyses were performed with Stata version 1</w:t>
      </w:r>
      <w:r w:rsidR="00AA2048" w:rsidRPr="008D3E74">
        <w:rPr>
          <w:rFonts w:ascii="Arial" w:hAnsi="Arial" w:cs="Arial"/>
        </w:rPr>
        <w:t>3</w:t>
      </w:r>
      <w:r w:rsidR="00D14F87" w:rsidRPr="008D3E74">
        <w:rPr>
          <w:rFonts w:ascii="Arial" w:hAnsi="Arial" w:cs="Arial"/>
        </w:rPr>
        <w:t>.1 (Stata Corp LP, College Station, Texas, USA).</w:t>
      </w:r>
    </w:p>
    <w:p w14:paraId="2D8B66DB" w14:textId="77777777" w:rsidR="00B23B96" w:rsidRPr="008D3E74" w:rsidRDefault="00B23B96" w:rsidP="000050E5">
      <w:pPr>
        <w:spacing w:line="480" w:lineRule="auto"/>
        <w:jc w:val="both"/>
        <w:rPr>
          <w:rFonts w:ascii="Arial" w:hAnsi="Arial" w:cs="Arial"/>
        </w:rPr>
      </w:pPr>
    </w:p>
    <w:p w14:paraId="5C7D8A98" w14:textId="557B8990" w:rsidR="00206523" w:rsidRPr="008D3E74" w:rsidRDefault="00206523" w:rsidP="0036632E">
      <w:pPr>
        <w:pStyle w:val="Heading1"/>
      </w:pPr>
      <w:r w:rsidRPr="008D3E74">
        <w:t>Results</w:t>
      </w:r>
      <w:r w:rsidR="00654293" w:rsidRPr="008D3E74">
        <w:t xml:space="preserve"> </w:t>
      </w:r>
    </w:p>
    <w:p w14:paraId="66B35AD7" w14:textId="441FD885" w:rsidR="00D9625E" w:rsidRPr="008D3E74" w:rsidRDefault="00984987" w:rsidP="000050E5">
      <w:pPr>
        <w:spacing w:line="480" w:lineRule="auto"/>
        <w:jc w:val="both"/>
        <w:rPr>
          <w:rFonts w:ascii="Arial" w:hAnsi="Arial" w:cs="Arial"/>
        </w:rPr>
      </w:pPr>
      <w:r w:rsidRPr="008D3E74">
        <w:rPr>
          <w:rFonts w:ascii="Arial" w:hAnsi="Arial" w:cs="Arial"/>
        </w:rPr>
        <w:t>There were 7403 people</w:t>
      </w:r>
      <w:r w:rsidR="00D42819" w:rsidRPr="008D3E74">
        <w:rPr>
          <w:rFonts w:ascii="Arial" w:hAnsi="Arial" w:cs="Arial"/>
        </w:rPr>
        <w:t xml:space="preserve"> aged ≥16 years</w:t>
      </w:r>
      <w:r w:rsidRPr="008D3E74">
        <w:rPr>
          <w:rFonts w:ascii="Arial" w:hAnsi="Arial" w:cs="Arial"/>
        </w:rPr>
        <w:t xml:space="preserve"> who participated in the 2007 </w:t>
      </w:r>
      <w:r w:rsidR="00F14E1B" w:rsidRPr="008D3E74">
        <w:rPr>
          <w:rFonts w:ascii="Arial" w:hAnsi="Arial" w:cs="Arial"/>
        </w:rPr>
        <w:t>APMS</w:t>
      </w:r>
      <w:r w:rsidRPr="008D3E74">
        <w:rPr>
          <w:rFonts w:ascii="Arial" w:hAnsi="Arial" w:cs="Arial"/>
        </w:rPr>
        <w:t xml:space="preserve">. We excluded 40 people who had probable psychosis from the study. Of the remaining 7363 individuals, a further 88 were excluded due to lack of information on </w:t>
      </w:r>
      <w:r w:rsidR="00E52F73" w:rsidRPr="008D3E74">
        <w:rPr>
          <w:rFonts w:ascii="Arial" w:hAnsi="Arial" w:cs="Arial"/>
        </w:rPr>
        <w:t>definitive/</w:t>
      </w:r>
      <w:r w:rsidRPr="008D3E74">
        <w:rPr>
          <w:rFonts w:ascii="Arial" w:hAnsi="Arial" w:cs="Arial"/>
        </w:rPr>
        <w:t>probable psychosis and/or sexual orientation</w:t>
      </w:r>
      <w:r w:rsidR="00844C5A" w:rsidRPr="008D3E74">
        <w:rPr>
          <w:rFonts w:ascii="Arial" w:hAnsi="Arial" w:cs="Arial"/>
        </w:rPr>
        <w:t xml:space="preserve">. </w:t>
      </w:r>
      <w:r w:rsidR="00F65D9E" w:rsidRPr="008D3E74">
        <w:rPr>
          <w:rFonts w:ascii="Arial" w:hAnsi="Arial" w:cs="Arial"/>
        </w:rPr>
        <w:t xml:space="preserve">The prevalence of non-heterosexual orientation and any PE was </w:t>
      </w:r>
      <w:r w:rsidR="000D47BD" w:rsidRPr="008D3E74">
        <w:rPr>
          <w:rFonts w:ascii="Arial" w:hAnsi="Arial" w:cs="Arial"/>
        </w:rPr>
        <w:t>7.1</w:t>
      </w:r>
      <w:r w:rsidR="00F65D9E" w:rsidRPr="008D3E74">
        <w:rPr>
          <w:rFonts w:ascii="Arial" w:hAnsi="Arial" w:cs="Arial"/>
        </w:rPr>
        <w:t xml:space="preserve">% and </w:t>
      </w:r>
      <w:r w:rsidR="00117430" w:rsidRPr="008D3E74">
        <w:rPr>
          <w:rFonts w:ascii="Arial" w:hAnsi="Arial" w:cs="Arial"/>
        </w:rPr>
        <w:t>5.5</w:t>
      </w:r>
      <w:r w:rsidR="00F65D9E" w:rsidRPr="008D3E74">
        <w:rPr>
          <w:rFonts w:ascii="Arial" w:hAnsi="Arial" w:cs="Arial"/>
        </w:rPr>
        <w:t xml:space="preserve">%, respectively. </w:t>
      </w:r>
      <w:r w:rsidR="00A56E5E" w:rsidRPr="008D3E74">
        <w:rPr>
          <w:rFonts w:ascii="Arial" w:hAnsi="Arial" w:cs="Arial"/>
        </w:rPr>
        <w:t xml:space="preserve">The sample characteristics are displayed in </w:t>
      </w:r>
      <w:r w:rsidR="00A56E5E" w:rsidRPr="008D3E74">
        <w:rPr>
          <w:rFonts w:ascii="Arial" w:hAnsi="Arial" w:cs="Arial"/>
          <w:b/>
        </w:rPr>
        <w:t>Table 1</w:t>
      </w:r>
      <w:r w:rsidR="00A56E5E" w:rsidRPr="008D3E74">
        <w:rPr>
          <w:rFonts w:ascii="Arial" w:hAnsi="Arial" w:cs="Arial"/>
        </w:rPr>
        <w:t>.</w:t>
      </w:r>
      <w:r w:rsidR="007633D9" w:rsidRPr="008D3E74">
        <w:rPr>
          <w:rFonts w:ascii="Arial" w:hAnsi="Arial" w:cs="Arial"/>
        </w:rPr>
        <w:t xml:space="preserve"> Ethnicity other than British White, single/widowed/divorced/separated, alcohol </w:t>
      </w:r>
      <w:r w:rsidR="007633D9" w:rsidRPr="008D3E74">
        <w:rPr>
          <w:rFonts w:ascii="Arial" w:hAnsi="Arial" w:cs="Arial"/>
        </w:rPr>
        <w:lastRenderedPageBreak/>
        <w:t xml:space="preserve">dependence, </w:t>
      </w:r>
      <w:r w:rsidR="00D0693B" w:rsidRPr="008D3E74">
        <w:rPr>
          <w:rFonts w:ascii="Arial" w:hAnsi="Arial" w:cs="Arial"/>
        </w:rPr>
        <w:t>cannabis</w:t>
      </w:r>
      <w:r w:rsidR="007633D9" w:rsidRPr="008D3E74">
        <w:rPr>
          <w:rFonts w:ascii="Arial" w:hAnsi="Arial" w:cs="Arial"/>
        </w:rPr>
        <w:t xml:space="preserve"> use, loneliness, bullying</w:t>
      </w:r>
      <w:r w:rsidR="00561263" w:rsidRPr="008D3E74">
        <w:rPr>
          <w:rFonts w:ascii="Arial" w:hAnsi="Arial" w:cs="Arial"/>
        </w:rPr>
        <w:t xml:space="preserve"> victimization</w:t>
      </w:r>
      <w:r w:rsidR="007633D9" w:rsidRPr="008D3E74">
        <w:rPr>
          <w:rFonts w:ascii="Arial" w:hAnsi="Arial" w:cs="Arial"/>
        </w:rPr>
        <w:t xml:space="preserve">, perceived stress, </w:t>
      </w:r>
      <w:r w:rsidR="009B7A20" w:rsidRPr="008D3E74">
        <w:rPr>
          <w:rFonts w:ascii="Arial" w:hAnsi="Arial" w:cs="Arial"/>
        </w:rPr>
        <w:t xml:space="preserve">discrimination due to sexual orientation, </w:t>
      </w:r>
      <w:r w:rsidR="007633D9" w:rsidRPr="008D3E74">
        <w:rPr>
          <w:rFonts w:ascii="Arial" w:hAnsi="Arial" w:cs="Arial"/>
        </w:rPr>
        <w:t>CMDs, BPD traits, PTSD, and sleep problems were more common,</w:t>
      </w:r>
      <w:r w:rsidR="00DB08AA" w:rsidRPr="008D3E74">
        <w:rPr>
          <w:rFonts w:ascii="Arial" w:hAnsi="Arial" w:cs="Arial"/>
        </w:rPr>
        <w:t xml:space="preserve"> and</w:t>
      </w:r>
      <w:r w:rsidR="007633D9" w:rsidRPr="008D3E74">
        <w:rPr>
          <w:rFonts w:ascii="Arial" w:hAnsi="Arial" w:cs="Arial"/>
        </w:rPr>
        <w:t xml:space="preserve"> age and social support lower</w:t>
      </w:r>
      <w:r w:rsidR="00DB08AA" w:rsidRPr="008D3E74">
        <w:rPr>
          <w:rFonts w:ascii="Arial" w:hAnsi="Arial" w:cs="Arial"/>
        </w:rPr>
        <w:t>,</w:t>
      </w:r>
      <w:r w:rsidR="007633D9" w:rsidRPr="008D3E74">
        <w:rPr>
          <w:rFonts w:ascii="Arial" w:hAnsi="Arial" w:cs="Arial"/>
        </w:rPr>
        <w:t xml:space="preserve"> </w:t>
      </w:r>
      <w:r w:rsidR="00561263" w:rsidRPr="008D3E74">
        <w:rPr>
          <w:rFonts w:ascii="Arial" w:hAnsi="Arial" w:cs="Arial"/>
        </w:rPr>
        <w:t>while</w:t>
      </w:r>
      <w:r w:rsidR="007633D9" w:rsidRPr="008D3E74">
        <w:rPr>
          <w:rFonts w:ascii="Arial" w:hAnsi="Arial" w:cs="Arial"/>
        </w:rPr>
        <w:t xml:space="preserve"> the number of stressful life events higher</w:t>
      </w:r>
      <w:r w:rsidR="00DB08AA" w:rsidRPr="008D3E74">
        <w:rPr>
          <w:rFonts w:ascii="Arial" w:hAnsi="Arial" w:cs="Arial"/>
        </w:rPr>
        <w:t xml:space="preserve"> in non-heterosexual than in heterosexual individuals</w:t>
      </w:r>
      <w:r w:rsidR="007633D9" w:rsidRPr="008D3E74">
        <w:rPr>
          <w:rFonts w:ascii="Arial" w:hAnsi="Arial" w:cs="Arial"/>
        </w:rPr>
        <w:t>.</w:t>
      </w:r>
      <w:r w:rsidR="00D37B4C" w:rsidRPr="008D3E74">
        <w:rPr>
          <w:rFonts w:ascii="Arial" w:hAnsi="Arial" w:cs="Arial"/>
        </w:rPr>
        <w:t xml:space="preserve"> </w:t>
      </w:r>
      <w:r w:rsidR="00D747D5" w:rsidRPr="008D3E74">
        <w:rPr>
          <w:rFonts w:ascii="Arial" w:hAnsi="Arial" w:cs="Arial"/>
        </w:rPr>
        <w:t xml:space="preserve">The prevalence of any PE was 10.6% and 5.1% in non-heterosexual and heterosexual participants, respectively. </w:t>
      </w:r>
      <w:r w:rsidR="00D0383F" w:rsidRPr="008D3E74">
        <w:rPr>
          <w:rFonts w:ascii="Arial" w:hAnsi="Arial" w:cs="Arial"/>
        </w:rPr>
        <w:t xml:space="preserve">After adjusting for </w:t>
      </w:r>
      <w:r w:rsidR="00EE6F28" w:rsidRPr="008D3E74">
        <w:rPr>
          <w:rFonts w:ascii="Arial" w:hAnsi="Arial" w:cs="Arial"/>
        </w:rPr>
        <w:t xml:space="preserve">sociodemographic factors </w:t>
      </w:r>
      <w:r w:rsidR="00D0383F" w:rsidRPr="008D3E74">
        <w:rPr>
          <w:rFonts w:ascii="Arial" w:hAnsi="Arial" w:cs="Arial"/>
        </w:rPr>
        <w:t xml:space="preserve">(i.e., sex, age, ethnicity), non-heterosexual orientation was positively </w:t>
      </w:r>
      <w:r w:rsidR="001A6296" w:rsidRPr="008D3E74">
        <w:rPr>
          <w:rFonts w:ascii="Arial" w:hAnsi="Arial" w:cs="Arial"/>
        </w:rPr>
        <w:t xml:space="preserve">associated </w:t>
      </w:r>
      <w:r w:rsidR="00D0383F" w:rsidRPr="008D3E74">
        <w:rPr>
          <w:rFonts w:ascii="Arial" w:hAnsi="Arial" w:cs="Arial"/>
        </w:rPr>
        <w:t xml:space="preserve">with any PE </w:t>
      </w:r>
      <w:r w:rsidR="00CD343C" w:rsidRPr="008D3E74">
        <w:rPr>
          <w:rFonts w:ascii="Arial" w:hAnsi="Arial" w:cs="Arial"/>
        </w:rPr>
        <w:t>[</w:t>
      </w:r>
      <w:r w:rsidR="003A29B0" w:rsidRPr="008D3E74">
        <w:rPr>
          <w:rFonts w:ascii="Arial" w:hAnsi="Arial" w:cs="Arial"/>
        </w:rPr>
        <w:t>odds ratio (</w:t>
      </w:r>
      <w:r w:rsidR="00D0383F" w:rsidRPr="008D3E74">
        <w:rPr>
          <w:rFonts w:ascii="Arial" w:hAnsi="Arial" w:cs="Arial"/>
        </w:rPr>
        <w:t>OR</w:t>
      </w:r>
      <w:r w:rsidR="003A29B0" w:rsidRPr="008D3E74">
        <w:rPr>
          <w:rFonts w:ascii="Arial" w:hAnsi="Arial" w:cs="Arial"/>
        </w:rPr>
        <w:t>)</w:t>
      </w:r>
      <w:r w:rsidR="00D0383F" w:rsidRPr="008D3E74">
        <w:rPr>
          <w:rFonts w:ascii="Arial" w:hAnsi="Arial" w:cs="Arial"/>
        </w:rPr>
        <w:t>=</w:t>
      </w:r>
      <w:r w:rsidR="00512F3D" w:rsidRPr="008D3E74">
        <w:rPr>
          <w:rFonts w:ascii="Arial" w:hAnsi="Arial" w:cs="Arial"/>
        </w:rPr>
        <w:t>1.</w:t>
      </w:r>
      <w:r w:rsidR="0008479E" w:rsidRPr="008D3E74">
        <w:rPr>
          <w:rFonts w:ascii="Arial" w:hAnsi="Arial" w:cs="Arial"/>
        </w:rPr>
        <w:t>99</w:t>
      </w:r>
      <w:r w:rsidR="00A84915" w:rsidRPr="008D3E74">
        <w:rPr>
          <w:rFonts w:ascii="Arial" w:hAnsi="Arial" w:cs="Arial"/>
        </w:rPr>
        <w:t>; 95% confidence interval (CI): 1.</w:t>
      </w:r>
      <w:r w:rsidR="00C0094E" w:rsidRPr="008D3E74">
        <w:rPr>
          <w:rFonts w:ascii="Arial" w:hAnsi="Arial" w:cs="Arial"/>
        </w:rPr>
        <w:t>34</w:t>
      </w:r>
      <w:r w:rsidR="00A84915" w:rsidRPr="008D3E74">
        <w:rPr>
          <w:rFonts w:ascii="Arial" w:hAnsi="Arial" w:cs="Arial"/>
        </w:rPr>
        <w:t>-2.</w:t>
      </w:r>
      <w:r w:rsidR="00C0094E" w:rsidRPr="008D3E74">
        <w:rPr>
          <w:rFonts w:ascii="Arial" w:hAnsi="Arial" w:cs="Arial"/>
        </w:rPr>
        <w:t>93</w:t>
      </w:r>
      <w:r w:rsidR="00A84915" w:rsidRPr="008D3E74">
        <w:rPr>
          <w:rFonts w:ascii="Arial" w:hAnsi="Arial" w:cs="Arial"/>
        </w:rPr>
        <w:t>]</w:t>
      </w:r>
      <w:r w:rsidR="00512F3D" w:rsidRPr="008D3E74">
        <w:rPr>
          <w:rFonts w:ascii="Arial" w:hAnsi="Arial" w:cs="Arial"/>
        </w:rPr>
        <w:t>, hypomania</w:t>
      </w:r>
      <w:r w:rsidR="007F34C5" w:rsidRPr="008D3E74">
        <w:rPr>
          <w:rFonts w:ascii="Arial" w:hAnsi="Arial" w:cs="Arial"/>
        </w:rPr>
        <w:t>/mania</w:t>
      </w:r>
      <w:r w:rsidR="00512F3D" w:rsidRPr="008D3E74">
        <w:rPr>
          <w:rFonts w:ascii="Arial" w:hAnsi="Arial" w:cs="Arial"/>
        </w:rPr>
        <w:t xml:space="preserve"> (OR=3.</w:t>
      </w:r>
      <w:r w:rsidR="009219B4" w:rsidRPr="008D3E74">
        <w:rPr>
          <w:rFonts w:ascii="Arial" w:hAnsi="Arial" w:cs="Arial"/>
        </w:rPr>
        <w:t>66</w:t>
      </w:r>
      <w:r w:rsidR="00864F71" w:rsidRPr="008D3E74">
        <w:rPr>
          <w:rFonts w:ascii="Arial" w:hAnsi="Arial" w:cs="Arial"/>
        </w:rPr>
        <w:t>; 95%CI: 1.4</w:t>
      </w:r>
      <w:r w:rsidR="00175E46" w:rsidRPr="008D3E74">
        <w:rPr>
          <w:rFonts w:ascii="Arial" w:hAnsi="Arial" w:cs="Arial"/>
        </w:rPr>
        <w:t>7</w:t>
      </w:r>
      <w:r w:rsidR="00864F71" w:rsidRPr="008D3E74">
        <w:rPr>
          <w:rFonts w:ascii="Arial" w:hAnsi="Arial" w:cs="Arial"/>
        </w:rPr>
        <w:t>-9.</w:t>
      </w:r>
      <w:r w:rsidR="00C606F0" w:rsidRPr="008D3E74">
        <w:rPr>
          <w:rFonts w:ascii="Arial" w:hAnsi="Arial" w:cs="Arial"/>
        </w:rPr>
        <w:t>13</w:t>
      </w:r>
      <w:r w:rsidR="00512F3D" w:rsidRPr="008D3E74">
        <w:rPr>
          <w:rFonts w:ascii="Arial" w:hAnsi="Arial" w:cs="Arial"/>
        </w:rPr>
        <w:t>), paranoia (OR=</w:t>
      </w:r>
      <w:r w:rsidR="00803804" w:rsidRPr="008D3E74">
        <w:rPr>
          <w:rFonts w:ascii="Arial" w:hAnsi="Arial" w:cs="Arial"/>
        </w:rPr>
        <w:t>2.06</w:t>
      </w:r>
      <w:r w:rsidR="001A2685" w:rsidRPr="008D3E74">
        <w:rPr>
          <w:rFonts w:ascii="Arial" w:hAnsi="Arial" w:cs="Arial"/>
        </w:rPr>
        <w:t>; 95%CI: 1.</w:t>
      </w:r>
      <w:r w:rsidR="00803804" w:rsidRPr="008D3E74">
        <w:rPr>
          <w:rFonts w:ascii="Arial" w:hAnsi="Arial" w:cs="Arial"/>
        </w:rPr>
        <w:t>17</w:t>
      </w:r>
      <w:r w:rsidR="001A2685" w:rsidRPr="008D3E74">
        <w:rPr>
          <w:rFonts w:ascii="Arial" w:hAnsi="Arial" w:cs="Arial"/>
        </w:rPr>
        <w:t>-3.</w:t>
      </w:r>
      <w:r w:rsidR="00803804" w:rsidRPr="008D3E74">
        <w:rPr>
          <w:rFonts w:ascii="Arial" w:hAnsi="Arial" w:cs="Arial"/>
        </w:rPr>
        <w:t>63</w:t>
      </w:r>
      <w:r w:rsidR="00512F3D" w:rsidRPr="008D3E74">
        <w:rPr>
          <w:rFonts w:ascii="Arial" w:hAnsi="Arial" w:cs="Arial"/>
        </w:rPr>
        <w:t>), and strange experiences (OR=</w:t>
      </w:r>
      <w:r w:rsidR="00131224" w:rsidRPr="008D3E74">
        <w:rPr>
          <w:rFonts w:ascii="Arial" w:hAnsi="Arial" w:cs="Arial"/>
        </w:rPr>
        <w:t>2.19</w:t>
      </w:r>
      <w:r w:rsidR="00512F3D" w:rsidRPr="008D3E74">
        <w:rPr>
          <w:rFonts w:ascii="Arial" w:hAnsi="Arial" w:cs="Arial"/>
        </w:rPr>
        <w:t>;</w:t>
      </w:r>
      <w:r w:rsidR="00056CA5" w:rsidRPr="008D3E74">
        <w:rPr>
          <w:rFonts w:ascii="Arial" w:hAnsi="Arial" w:cs="Arial"/>
        </w:rPr>
        <w:t xml:space="preserve"> 95%CI: 1.</w:t>
      </w:r>
      <w:r w:rsidR="00131224" w:rsidRPr="008D3E74">
        <w:rPr>
          <w:rFonts w:ascii="Arial" w:hAnsi="Arial" w:cs="Arial"/>
        </w:rPr>
        <w:t>38</w:t>
      </w:r>
      <w:r w:rsidR="00056CA5" w:rsidRPr="008D3E74">
        <w:rPr>
          <w:rFonts w:ascii="Arial" w:hAnsi="Arial" w:cs="Arial"/>
        </w:rPr>
        <w:t>-3.</w:t>
      </w:r>
      <w:r w:rsidR="00131224" w:rsidRPr="008D3E74">
        <w:rPr>
          <w:rFonts w:ascii="Arial" w:hAnsi="Arial" w:cs="Arial"/>
        </w:rPr>
        <w:t>46</w:t>
      </w:r>
      <w:r w:rsidR="00056CA5" w:rsidRPr="008D3E74">
        <w:rPr>
          <w:rFonts w:ascii="Arial" w:hAnsi="Arial" w:cs="Arial"/>
        </w:rPr>
        <w:t>;</w:t>
      </w:r>
      <w:r w:rsidR="00512F3D" w:rsidRPr="008D3E74">
        <w:rPr>
          <w:rFonts w:ascii="Arial" w:hAnsi="Arial" w:cs="Arial"/>
        </w:rPr>
        <w:t xml:space="preserve"> </w:t>
      </w:r>
      <w:r w:rsidR="00512F3D" w:rsidRPr="008D3E74">
        <w:rPr>
          <w:rFonts w:ascii="Arial" w:hAnsi="Arial" w:cs="Arial"/>
          <w:b/>
        </w:rPr>
        <w:t xml:space="preserve">Figure </w:t>
      </w:r>
      <w:r w:rsidR="00814BE7" w:rsidRPr="008D3E74">
        <w:rPr>
          <w:rFonts w:ascii="Arial" w:hAnsi="Arial" w:cs="Arial"/>
          <w:b/>
        </w:rPr>
        <w:t>1</w:t>
      </w:r>
      <w:r w:rsidR="00512F3D" w:rsidRPr="008D3E74">
        <w:rPr>
          <w:rFonts w:ascii="Arial" w:hAnsi="Arial" w:cs="Arial"/>
        </w:rPr>
        <w:t xml:space="preserve">). </w:t>
      </w:r>
      <w:r w:rsidR="00DC0313" w:rsidRPr="008D3E74">
        <w:rPr>
          <w:rFonts w:ascii="Arial" w:hAnsi="Arial" w:cs="Arial"/>
        </w:rPr>
        <w:t xml:space="preserve">Interaction analysis further revealed that </w:t>
      </w:r>
      <w:r w:rsidR="00031C16" w:rsidRPr="008D3E74">
        <w:rPr>
          <w:rFonts w:ascii="Arial" w:hAnsi="Arial" w:cs="Arial"/>
        </w:rPr>
        <w:t>sex was not a significant effect modifier in the sexual orientation-PE relationship</w:t>
      </w:r>
      <w:r w:rsidR="00143DE9" w:rsidRPr="008D3E74">
        <w:rPr>
          <w:rFonts w:ascii="Arial" w:hAnsi="Arial" w:cs="Arial"/>
        </w:rPr>
        <w:t xml:space="preserve"> (data not shown)</w:t>
      </w:r>
      <w:r w:rsidR="00031C16" w:rsidRPr="008D3E74">
        <w:rPr>
          <w:rFonts w:ascii="Arial" w:hAnsi="Arial" w:cs="Arial"/>
        </w:rPr>
        <w:t xml:space="preserve">. </w:t>
      </w:r>
      <w:r w:rsidR="00F76C8E" w:rsidRPr="008D3E74">
        <w:rPr>
          <w:rFonts w:ascii="Arial" w:hAnsi="Arial" w:cs="Arial"/>
        </w:rPr>
        <w:t xml:space="preserve">The results of the sensitivity analysis by the two groups </w:t>
      </w:r>
      <w:r w:rsidR="00C203B0" w:rsidRPr="008D3E74">
        <w:rPr>
          <w:rFonts w:ascii="Arial" w:hAnsi="Arial" w:cs="Arial"/>
        </w:rPr>
        <w:t>that</w:t>
      </w:r>
      <w:r w:rsidR="00F76C8E" w:rsidRPr="008D3E74">
        <w:rPr>
          <w:rFonts w:ascii="Arial" w:hAnsi="Arial" w:cs="Arial"/>
        </w:rPr>
        <w:t xml:space="preserve"> were administered different questions on sexual orientation were similar, and this suggests that the phrasing of the question had little impact on the results. </w:t>
      </w:r>
      <w:r w:rsidR="00512F3D" w:rsidRPr="008D3E74">
        <w:rPr>
          <w:rFonts w:ascii="Arial" w:hAnsi="Arial" w:cs="Arial"/>
        </w:rPr>
        <w:t xml:space="preserve">Finally, the results of the mediation analyses are </w:t>
      </w:r>
      <w:r w:rsidR="00EE6F28" w:rsidRPr="008D3E74">
        <w:rPr>
          <w:rFonts w:ascii="Arial" w:hAnsi="Arial" w:cs="Arial"/>
        </w:rPr>
        <w:t xml:space="preserve">shown </w:t>
      </w:r>
      <w:r w:rsidR="00512F3D" w:rsidRPr="008D3E74">
        <w:rPr>
          <w:rFonts w:ascii="Arial" w:hAnsi="Arial" w:cs="Arial"/>
        </w:rPr>
        <w:t xml:space="preserve">in </w:t>
      </w:r>
      <w:r w:rsidR="00512F3D" w:rsidRPr="008D3E74">
        <w:rPr>
          <w:rFonts w:ascii="Arial" w:hAnsi="Arial" w:cs="Arial"/>
          <w:b/>
        </w:rPr>
        <w:t>Table 2</w:t>
      </w:r>
      <w:r w:rsidR="00512F3D" w:rsidRPr="008D3E74">
        <w:rPr>
          <w:rFonts w:ascii="Arial" w:hAnsi="Arial" w:cs="Arial"/>
        </w:rPr>
        <w:t xml:space="preserve">. The association between sexual orientation and any </w:t>
      </w:r>
      <w:r w:rsidR="00EE6F28" w:rsidRPr="008D3E74">
        <w:rPr>
          <w:rFonts w:ascii="Arial" w:hAnsi="Arial" w:cs="Arial"/>
        </w:rPr>
        <w:t xml:space="preserve">PE </w:t>
      </w:r>
      <w:r w:rsidR="00512F3D" w:rsidRPr="008D3E74">
        <w:rPr>
          <w:rFonts w:ascii="Arial" w:hAnsi="Arial" w:cs="Arial"/>
        </w:rPr>
        <w:t xml:space="preserve">was significantly mediated by </w:t>
      </w:r>
      <w:r w:rsidR="00C02B02" w:rsidRPr="008D3E74">
        <w:rPr>
          <w:rFonts w:ascii="Arial" w:hAnsi="Arial" w:cs="Arial"/>
        </w:rPr>
        <w:t>BPD traits (</w:t>
      </w:r>
      <w:r w:rsidR="00C1334D" w:rsidRPr="008D3E74">
        <w:rPr>
          <w:rFonts w:ascii="Arial" w:hAnsi="Arial" w:cs="Arial"/>
        </w:rPr>
        <w:t>mediated percentage=</w:t>
      </w:r>
      <w:r w:rsidR="00C02B02" w:rsidRPr="008D3E74">
        <w:rPr>
          <w:rFonts w:ascii="Arial" w:hAnsi="Arial" w:cs="Arial"/>
        </w:rPr>
        <w:t>33.5%),</w:t>
      </w:r>
      <w:r w:rsidR="00C1334D" w:rsidRPr="008D3E74">
        <w:rPr>
          <w:rFonts w:ascii="Arial" w:hAnsi="Arial" w:cs="Arial"/>
        </w:rPr>
        <w:t xml:space="preserve"> loneliness (29.1%),</w:t>
      </w:r>
      <w:r w:rsidR="00FB1661" w:rsidRPr="008D3E74">
        <w:rPr>
          <w:rFonts w:ascii="Arial" w:hAnsi="Arial" w:cs="Arial"/>
        </w:rPr>
        <w:t xml:space="preserve"> stressful life events (25.4%),</w:t>
      </w:r>
      <w:r w:rsidR="00632F23" w:rsidRPr="008D3E74">
        <w:rPr>
          <w:rFonts w:ascii="Arial" w:hAnsi="Arial" w:cs="Arial"/>
        </w:rPr>
        <w:t xml:space="preserve"> sleep problems (19.1%),</w:t>
      </w:r>
      <w:r w:rsidR="00266CDF" w:rsidRPr="008D3E74">
        <w:rPr>
          <w:rFonts w:ascii="Arial" w:hAnsi="Arial" w:cs="Arial"/>
        </w:rPr>
        <w:t xml:space="preserve"> CMDs (18.1%),</w:t>
      </w:r>
      <w:r w:rsidR="00A83B07" w:rsidRPr="008D3E74">
        <w:rPr>
          <w:rFonts w:ascii="Arial" w:hAnsi="Arial" w:cs="Arial"/>
        </w:rPr>
        <w:t xml:space="preserve"> bullying victimization (15.9%),</w:t>
      </w:r>
      <w:r w:rsidR="005E4365" w:rsidRPr="008D3E74">
        <w:rPr>
          <w:rFonts w:ascii="Arial" w:hAnsi="Arial" w:cs="Arial"/>
        </w:rPr>
        <w:t xml:space="preserve"> marital status (13.0%),</w:t>
      </w:r>
      <w:r w:rsidR="00DB4E1B" w:rsidRPr="008D3E74">
        <w:rPr>
          <w:rFonts w:ascii="Arial" w:hAnsi="Arial" w:cs="Arial"/>
        </w:rPr>
        <w:t xml:space="preserve"> social support (10.5%),</w:t>
      </w:r>
      <w:r w:rsidR="009A385D" w:rsidRPr="008D3E74">
        <w:rPr>
          <w:rFonts w:ascii="Arial" w:hAnsi="Arial" w:cs="Arial"/>
        </w:rPr>
        <w:t xml:space="preserve"> perceived stress (8.9%),</w:t>
      </w:r>
      <w:r w:rsidR="00F05522" w:rsidRPr="008D3E74">
        <w:rPr>
          <w:rFonts w:ascii="Arial" w:hAnsi="Arial" w:cs="Arial"/>
        </w:rPr>
        <w:t xml:space="preserve"> </w:t>
      </w:r>
      <w:r w:rsidR="00CE5A73" w:rsidRPr="008D3E74">
        <w:rPr>
          <w:rFonts w:ascii="Arial" w:hAnsi="Arial" w:cs="Arial"/>
        </w:rPr>
        <w:t>cannabis use (8.4%),</w:t>
      </w:r>
      <w:r w:rsidR="006F11CE" w:rsidRPr="008D3E74">
        <w:rPr>
          <w:rFonts w:ascii="Arial" w:hAnsi="Arial" w:cs="Arial"/>
        </w:rPr>
        <w:t xml:space="preserve"> </w:t>
      </w:r>
      <w:r w:rsidR="000E0892" w:rsidRPr="008D3E74">
        <w:rPr>
          <w:rFonts w:ascii="Arial" w:hAnsi="Arial" w:cs="Arial"/>
        </w:rPr>
        <w:t xml:space="preserve">PTSD (8.3%), </w:t>
      </w:r>
      <w:r w:rsidR="006F11CE" w:rsidRPr="008D3E74">
        <w:rPr>
          <w:rFonts w:ascii="Arial" w:hAnsi="Arial" w:cs="Arial"/>
        </w:rPr>
        <w:t>and alcohol dependence (6.4%).</w:t>
      </w:r>
      <w:r w:rsidR="00F453FF" w:rsidRPr="008D3E74">
        <w:rPr>
          <w:rFonts w:ascii="Arial" w:hAnsi="Arial" w:cs="Arial"/>
        </w:rPr>
        <w:t xml:space="preserve"> </w:t>
      </w:r>
      <w:r w:rsidR="00044414" w:rsidRPr="008D3E74">
        <w:rPr>
          <w:rFonts w:ascii="Arial" w:hAnsi="Arial" w:cs="Arial"/>
        </w:rPr>
        <w:t xml:space="preserve">The mediated percentage for cannabis use was </w:t>
      </w:r>
      <w:r w:rsidR="007A747C" w:rsidRPr="008D3E74">
        <w:rPr>
          <w:rFonts w:ascii="Arial" w:hAnsi="Arial" w:cs="Arial"/>
        </w:rPr>
        <w:t xml:space="preserve">5.9% </w:t>
      </w:r>
      <w:r w:rsidR="00044414" w:rsidRPr="008D3E74">
        <w:rPr>
          <w:rFonts w:ascii="Arial" w:hAnsi="Arial" w:cs="Arial"/>
        </w:rPr>
        <w:t xml:space="preserve">when frequency (i.e., ≥ or &lt;10 times in life) was </w:t>
      </w:r>
      <w:proofErr w:type="gramStart"/>
      <w:r w:rsidR="00044414" w:rsidRPr="008D3E74">
        <w:rPr>
          <w:rFonts w:ascii="Arial" w:hAnsi="Arial" w:cs="Arial"/>
        </w:rPr>
        <w:t>taken into account</w:t>
      </w:r>
      <w:proofErr w:type="gramEnd"/>
      <w:r w:rsidR="00044414" w:rsidRPr="008D3E74">
        <w:rPr>
          <w:rFonts w:ascii="Arial" w:hAnsi="Arial" w:cs="Arial"/>
        </w:rPr>
        <w:t xml:space="preserve"> (</w:t>
      </w:r>
      <w:r w:rsidR="007A747C" w:rsidRPr="008D3E74">
        <w:rPr>
          <w:rFonts w:ascii="Arial" w:hAnsi="Arial" w:cs="Arial"/>
        </w:rPr>
        <w:t xml:space="preserve">data shown only in text). </w:t>
      </w:r>
      <w:r w:rsidR="00277659" w:rsidRPr="008D3E74">
        <w:rPr>
          <w:rFonts w:ascii="Arial" w:hAnsi="Arial" w:cs="Arial"/>
        </w:rPr>
        <w:t xml:space="preserve">The level of pair-wise correlation between the mediators is shown in </w:t>
      </w:r>
      <w:r w:rsidR="00277659" w:rsidRPr="008D3E74">
        <w:rPr>
          <w:rFonts w:ascii="Arial" w:hAnsi="Arial" w:cs="Arial"/>
          <w:b/>
          <w:bCs/>
        </w:rPr>
        <w:t>Appendix 3</w:t>
      </w:r>
      <w:r w:rsidR="00277659" w:rsidRPr="008D3E74">
        <w:rPr>
          <w:rFonts w:ascii="Arial" w:hAnsi="Arial" w:cs="Arial"/>
        </w:rPr>
        <w:t>. A high level of correlation was not observed for any of the pairs.</w:t>
      </w:r>
      <w:r w:rsidR="00297DEF" w:rsidRPr="008D3E74">
        <w:rPr>
          <w:rFonts w:ascii="Arial" w:hAnsi="Arial" w:cs="Arial"/>
        </w:rPr>
        <w:t xml:space="preserve"> </w:t>
      </w:r>
    </w:p>
    <w:p w14:paraId="613564DC" w14:textId="77777777" w:rsidR="00D9625E" w:rsidRPr="008D3E74" w:rsidRDefault="00D9625E" w:rsidP="0036632E">
      <w:pPr>
        <w:pStyle w:val="Heading1"/>
      </w:pPr>
      <w:r w:rsidRPr="008D3E74">
        <w:lastRenderedPageBreak/>
        <w:t>Discussion</w:t>
      </w:r>
    </w:p>
    <w:p w14:paraId="586B3EC9" w14:textId="5473F329" w:rsidR="00D9625E" w:rsidRPr="008D3E74" w:rsidRDefault="00D9625E" w:rsidP="000050E5">
      <w:pPr>
        <w:spacing w:line="480" w:lineRule="auto"/>
        <w:jc w:val="both"/>
        <w:rPr>
          <w:rFonts w:ascii="Arial" w:hAnsi="Arial" w:cs="Arial"/>
        </w:rPr>
      </w:pPr>
    </w:p>
    <w:p w14:paraId="7F44571D" w14:textId="2A0AD810" w:rsidR="00D37B4C" w:rsidRPr="008D3E74" w:rsidRDefault="00D37B4C" w:rsidP="000050E5">
      <w:pPr>
        <w:spacing w:line="480" w:lineRule="auto"/>
        <w:jc w:val="both"/>
        <w:rPr>
          <w:rFonts w:ascii="Arial" w:hAnsi="Arial" w:cs="Arial"/>
          <w:i/>
        </w:rPr>
      </w:pPr>
      <w:r w:rsidRPr="008D3E74">
        <w:rPr>
          <w:rFonts w:ascii="Arial" w:hAnsi="Arial" w:cs="Arial"/>
          <w:i/>
        </w:rPr>
        <w:t>Main findings</w:t>
      </w:r>
    </w:p>
    <w:p w14:paraId="7D0FAD15" w14:textId="0920AE23" w:rsidR="00D37B4C" w:rsidRPr="008D3E74" w:rsidRDefault="00E66830" w:rsidP="000050E5">
      <w:pPr>
        <w:spacing w:line="480" w:lineRule="auto"/>
        <w:jc w:val="both"/>
        <w:rPr>
          <w:rFonts w:ascii="Arial" w:hAnsi="Arial" w:cs="Arial"/>
        </w:rPr>
      </w:pPr>
      <w:r w:rsidRPr="008D3E74">
        <w:rPr>
          <w:rFonts w:ascii="Arial" w:hAnsi="Arial" w:cs="Arial"/>
        </w:rPr>
        <w:t xml:space="preserve">To the best of our knowledge, this is one of the first studies </w:t>
      </w:r>
      <w:r w:rsidR="00FF3FC8" w:rsidRPr="008D3E74">
        <w:rPr>
          <w:rFonts w:ascii="Arial" w:hAnsi="Arial" w:cs="Arial"/>
        </w:rPr>
        <w:t xml:space="preserve">to examine </w:t>
      </w:r>
      <w:r w:rsidRPr="008D3E74">
        <w:rPr>
          <w:rFonts w:ascii="Arial" w:hAnsi="Arial" w:cs="Arial"/>
        </w:rPr>
        <w:t xml:space="preserve">the association between sexual orientation and PEs, while it is the first to investigate the potential </w:t>
      </w:r>
      <w:r w:rsidR="000A185F" w:rsidRPr="008D3E74">
        <w:rPr>
          <w:rFonts w:ascii="Arial" w:hAnsi="Arial" w:cs="Arial"/>
        </w:rPr>
        <w:t xml:space="preserve">mediating </w:t>
      </w:r>
      <w:r w:rsidRPr="008D3E74">
        <w:rPr>
          <w:rFonts w:ascii="Arial" w:hAnsi="Arial" w:cs="Arial"/>
        </w:rPr>
        <w:t xml:space="preserve">role played by a wide range of factors in this association. </w:t>
      </w:r>
      <w:r w:rsidR="00AA145C" w:rsidRPr="008D3E74">
        <w:rPr>
          <w:rFonts w:ascii="Arial" w:hAnsi="Arial" w:cs="Arial"/>
        </w:rPr>
        <w:t xml:space="preserve">In this nationally representative study </w:t>
      </w:r>
      <w:r w:rsidR="00083DD1" w:rsidRPr="008D3E74">
        <w:rPr>
          <w:rFonts w:ascii="Arial" w:hAnsi="Arial" w:cs="Arial"/>
        </w:rPr>
        <w:t>of English adults</w:t>
      </w:r>
      <w:r w:rsidR="00AA145C" w:rsidRPr="008D3E74">
        <w:rPr>
          <w:rFonts w:ascii="Arial" w:hAnsi="Arial" w:cs="Arial"/>
        </w:rPr>
        <w:t xml:space="preserve">, the prevalence of any PE was around 11% in </w:t>
      </w:r>
      <w:r w:rsidR="009C3DC7" w:rsidRPr="008D3E74">
        <w:rPr>
          <w:rFonts w:ascii="Arial" w:hAnsi="Arial" w:cs="Arial"/>
        </w:rPr>
        <w:t xml:space="preserve">the </w:t>
      </w:r>
      <w:r w:rsidR="00AA145C" w:rsidRPr="008D3E74">
        <w:rPr>
          <w:rFonts w:ascii="Arial" w:hAnsi="Arial" w:cs="Arial"/>
        </w:rPr>
        <w:t xml:space="preserve">non-heterosexual </w:t>
      </w:r>
      <w:r w:rsidR="009C3DC7" w:rsidRPr="008D3E74">
        <w:rPr>
          <w:rFonts w:ascii="Arial" w:hAnsi="Arial" w:cs="Arial"/>
        </w:rPr>
        <w:t>group</w:t>
      </w:r>
      <w:r w:rsidR="00AA145C" w:rsidRPr="008D3E74">
        <w:rPr>
          <w:rFonts w:ascii="Arial" w:hAnsi="Arial" w:cs="Arial"/>
        </w:rPr>
        <w:t xml:space="preserve"> and 5% in </w:t>
      </w:r>
      <w:r w:rsidR="009C3DC7" w:rsidRPr="008D3E74">
        <w:rPr>
          <w:rFonts w:ascii="Arial" w:hAnsi="Arial" w:cs="Arial"/>
        </w:rPr>
        <w:t xml:space="preserve">the </w:t>
      </w:r>
      <w:r w:rsidR="00AA145C" w:rsidRPr="008D3E74">
        <w:rPr>
          <w:rFonts w:ascii="Arial" w:hAnsi="Arial" w:cs="Arial"/>
        </w:rPr>
        <w:t xml:space="preserve">heterosexual </w:t>
      </w:r>
      <w:r w:rsidR="009C3DC7" w:rsidRPr="008D3E74">
        <w:rPr>
          <w:rFonts w:ascii="Arial" w:hAnsi="Arial" w:cs="Arial"/>
        </w:rPr>
        <w:t>group</w:t>
      </w:r>
      <w:r w:rsidR="00AA145C" w:rsidRPr="008D3E74">
        <w:rPr>
          <w:rFonts w:ascii="Arial" w:hAnsi="Arial" w:cs="Arial"/>
        </w:rPr>
        <w:t xml:space="preserve">. The regression analysis adjusted for </w:t>
      </w:r>
      <w:r w:rsidR="00FF3FC8" w:rsidRPr="008D3E74">
        <w:rPr>
          <w:rFonts w:ascii="Arial" w:hAnsi="Arial" w:cs="Arial"/>
        </w:rPr>
        <w:t xml:space="preserve">sociodemographic factors </w:t>
      </w:r>
      <w:r w:rsidR="00AA145C" w:rsidRPr="008D3E74">
        <w:rPr>
          <w:rFonts w:ascii="Arial" w:hAnsi="Arial" w:cs="Arial"/>
        </w:rPr>
        <w:t xml:space="preserve">(i.e., sex, age, ethnicity) further revealed that non-heterosexual orientation was associated with a </w:t>
      </w:r>
      <w:r w:rsidR="00CB06BD" w:rsidRPr="008D3E74">
        <w:rPr>
          <w:rFonts w:ascii="Arial" w:hAnsi="Arial" w:cs="Arial"/>
        </w:rPr>
        <w:t>2.0</w:t>
      </w:r>
      <w:r w:rsidR="00AA145C" w:rsidRPr="008D3E74">
        <w:rPr>
          <w:rFonts w:ascii="Arial" w:hAnsi="Arial" w:cs="Arial"/>
        </w:rPr>
        <w:t xml:space="preserve">-fold increase in the risk for any PE compared to heterosexual orientation. </w:t>
      </w:r>
      <w:r w:rsidR="00C64941" w:rsidRPr="008D3E74">
        <w:rPr>
          <w:rFonts w:ascii="Arial" w:hAnsi="Arial" w:cs="Arial"/>
        </w:rPr>
        <w:t xml:space="preserve">We </w:t>
      </w:r>
      <w:r w:rsidR="0080757E" w:rsidRPr="008D3E74">
        <w:rPr>
          <w:rFonts w:ascii="Arial" w:hAnsi="Arial" w:cs="Arial"/>
        </w:rPr>
        <w:t xml:space="preserve">also </w:t>
      </w:r>
      <w:r w:rsidR="00C64941" w:rsidRPr="008D3E74">
        <w:rPr>
          <w:rFonts w:ascii="Arial" w:hAnsi="Arial" w:cs="Arial"/>
        </w:rPr>
        <w:t xml:space="preserve">found that the association of sexual orientation with hypomania/mania, paranoia and strange experiences was particularly strong and this suggests that sexual orientation may not impact all types of PEs similarly. </w:t>
      </w:r>
      <w:r w:rsidR="00AA145C" w:rsidRPr="008D3E74">
        <w:rPr>
          <w:rFonts w:ascii="Arial" w:hAnsi="Arial" w:cs="Arial"/>
        </w:rPr>
        <w:t xml:space="preserve">Finally, </w:t>
      </w:r>
      <w:r w:rsidR="00290549" w:rsidRPr="008D3E74">
        <w:rPr>
          <w:rFonts w:ascii="Arial" w:hAnsi="Arial" w:cs="Arial"/>
        </w:rPr>
        <w:t xml:space="preserve">BPD traits, loneliness and </w:t>
      </w:r>
      <w:r w:rsidR="00AA145C" w:rsidRPr="008D3E74">
        <w:rPr>
          <w:rFonts w:ascii="Arial" w:hAnsi="Arial" w:cs="Arial"/>
        </w:rPr>
        <w:t>stressful life events</w:t>
      </w:r>
      <w:r w:rsidR="00290549" w:rsidRPr="008D3E74">
        <w:rPr>
          <w:rFonts w:ascii="Arial" w:hAnsi="Arial" w:cs="Arial"/>
        </w:rPr>
        <w:t xml:space="preserve"> </w:t>
      </w:r>
      <w:r w:rsidR="00AA145C" w:rsidRPr="008D3E74">
        <w:rPr>
          <w:rFonts w:ascii="Arial" w:hAnsi="Arial" w:cs="Arial"/>
        </w:rPr>
        <w:t>explained around 2</w:t>
      </w:r>
      <w:r w:rsidR="0094371F" w:rsidRPr="008D3E74">
        <w:rPr>
          <w:rFonts w:ascii="Arial" w:hAnsi="Arial" w:cs="Arial"/>
        </w:rPr>
        <w:t>5</w:t>
      </w:r>
      <w:r w:rsidR="00AA145C" w:rsidRPr="008D3E74">
        <w:rPr>
          <w:rFonts w:ascii="Arial" w:hAnsi="Arial" w:cs="Arial"/>
        </w:rPr>
        <w:t>%</w:t>
      </w:r>
      <w:r w:rsidR="00A1608F" w:rsidRPr="008D3E74">
        <w:rPr>
          <w:rFonts w:ascii="Arial" w:hAnsi="Arial" w:cs="Arial"/>
        </w:rPr>
        <w:t xml:space="preserve"> </w:t>
      </w:r>
      <w:r w:rsidR="00787323" w:rsidRPr="008D3E74">
        <w:rPr>
          <w:rFonts w:ascii="Arial" w:hAnsi="Arial" w:cs="Arial"/>
        </w:rPr>
        <w:t xml:space="preserve">to </w:t>
      </w:r>
      <w:r w:rsidR="0094371F" w:rsidRPr="008D3E74">
        <w:rPr>
          <w:rFonts w:ascii="Arial" w:hAnsi="Arial" w:cs="Arial"/>
        </w:rPr>
        <w:t>34</w:t>
      </w:r>
      <w:r w:rsidR="00A817AB" w:rsidRPr="008D3E74">
        <w:rPr>
          <w:rFonts w:ascii="Arial" w:hAnsi="Arial" w:cs="Arial"/>
        </w:rPr>
        <w:t xml:space="preserve">% </w:t>
      </w:r>
      <w:r w:rsidR="00A1608F" w:rsidRPr="008D3E74">
        <w:rPr>
          <w:rFonts w:ascii="Arial" w:hAnsi="Arial" w:cs="Arial"/>
        </w:rPr>
        <w:t xml:space="preserve">of the sexual orientation-any PE relationship. </w:t>
      </w:r>
      <w:r w:rsidR="00193910" w:rsidRPr="008D3E74">
        <w:rPr>
          <w:rFonts w:ascii="Arial" w:hAnsi="Arial" w:cs="Arial"/>
        </w:rPr>
        <w:t xml:space="preserve">Substance use had very little influence in the association. </w:t>
      </w:r>
    </w:p>
    <w:p w14:paraId="38397269" w14:textId="0EE6FC77" w:rsidR="003B3076" w:rsidRPr="008D3E74" w:rsidRDefault="003B3076" w:rsidP="000050E5">
      <w:pPr>
        <w:spacing w:line="480" w:lineRule="auto"/>
        <w:jc w:val="both"/>
        <w:rPr>
          <w:rFonts w:ascii="Arial" w:hAnsi="Arial" w:cs="Arial"/>
        </w:rPr>
      </w:pPr>
    </w:p>
    <w:p w14:paraId="4E701E4C" w14:textId="395F90AB" w:rsidR="003B3076" w:rsidRPr="008D3E74" w:rsidRDefault="003B3076" w:rsidP="000050E5">
      <w:pPr>
        <w:spacing w:line="480" w:lineRule="auto"/>
        <w:jc w:val="both"/>
        <w:rPr>
          <w:rFonts w:ascii="Arial" w:hAnsi="Arial" w:cs="Arial"/>
          <w:i/>
        </w:rPr>
      </w:pPr>
      <w:r w:rsidRPr="008D3E74">
        <w:rPr>
          <w:rFonts w:ascii="Arial" w:hAnsi="Arial" w:cs="Arial"/>
          <w:i/>
        </w:rPr>
        <w:t>Interpretation of the findings</w:t>
      </w:r>
    </w:p>
    <w:p w14:paraId="54C79900" w14:textId="4E206D1D" w:rsidR="00482C69" w:rsidRPr="008D3E74" w:rsidRDefault="004F64E7" w:rsidP="000050E5">
      <w:pPr>
        <w:spacing w:line="480" w:lineRule="auto"/>
        <w:jc w:val="both"/>
        <w:rPr>
          <w:rFonts w:ascii="Arial" w:hAnsi="Arial" w:cs="Arial"/>
        </w:rPr>
      </w:pPr>
      <w:r w:rsidRPr="008D3E74">
        <w:rPr>
          <w:rFonts w:ascii="Arial" w:hAnsi="Arial" w:cs="Arial"/>
        </w:rPr>
        <w:t xml:space="preserve">The </w:t>
      </w:r>
      <w:r w:rsidR="00D65126" w:rsidRPr="008D3E74">
        <w:rPr>
          <w:rFonts w:ascii="Arial" w:hAnsi="Arial" w:cs="Arial"/>
        </w:rPr>
        <w:t xml:space="preserve">fact that non-heterosexual individuals were at higher risk for PE in our study is in line with </w:t>
      </w:r>
      <w:r w:rsidR="002D2E1F" w:rsidRPr="008D3E74">
        <w:rPr>
          <w:rFonts w:ascii="Arial" w:hAnsi="Arial" w:cs="Arial"/>
        </w:rPr>
        <w:t>the</w:t>
      </w:r>
      <w:r w:rsidR="00417D9A" w:rsidRPr="008D3E74">
        <w:rPr>
          <w:rFonts w:ascii="Arial" w:hAnsi="Arial" w:cs="Arial"/>
        </w:rPr>
        <w:t xml:space="preserve"> earlier</w:t>
      </w:r>
      <w:r w:rsidR="00D65126" w:rsidRPr="008D3E74">
        <w:rPr>
          <w:rFonts w:ascii="Arial" w:hAnsi="Arial" w:cs="Arial"/>
        </w:rPr>
        <w:t xml:space="preserve"> Dutch study which found that non-heterose</w:t>
      </w:r>
      <w:r w:rsidR="00537739" w:rsidRPr="008D3E74">
        <w:rPr>
          <w:rFonts w:ascii="Arial" w:hAnsi="Arial" w:cs="Arial"/>
        </w:rPr>
        <w:t>xual orientation was associated</w:t>
      </w:r>
      <w:r w:rsidR="00D65126" w:rsidRPr="008D3E74">
        <w:rPr>
          <w:rFonts w:ascii="Arial" w:hAnsi="Arial" w:cs="Arial"/>
        </w:rPr>
        <w:t xml:space="preserve"> with a </w:t>
      </w:r>
      <w:r w:rsidR="00780D00" w:rsidRPr="008D3E74">
        <w:rPr>
          <w:rFonts w:ascii="Arial" w:hAnsi="Arial" w:cs="Arial"/>
        </w:rPr>
        <w:t>2.3</w:t>
      </w:r>
      <w:r w:rsidR="00D36232" w:rsidRPr="008D3E74">
        <w:rPr>
          <w:rFonts w:ascii="Arial" w:hAnsi="Arial" w:cs="Arial"/>
        </w:rPr>
        <w:t>0</w:t>
      </w:r>
      <w:r w:rsidR="00780D00" w:rsidRPr="008D3E74">
        <w:rPr>
          <w:rFonts w:ascii="Arial" w:hAnsi="Arial" w:cs="Arial"/>
        </w:rPr>
        <w:t>-2.</w:t>
      </w:r>
      <w:r w:rsidR="00D36232" w:rsidRPr="008D3E74">
        <w:rPr>
          <w:rFonts w:ascii="Arial" w:hAnsi="Arial" w:cs="Arial"/>
        </w:rPr>
        <w:t>5</w:t>
      </w:r>
      <w:r w:rsidR="00780D00" w:rsidRPr="008D3E74">
        <w:rPr>
          <w:rFonts w:ascii="Arial" w:hAnsi="Arial" w:cs="Arial"/>
        </w:rPr>
        <w:t>6</w:t>
      </w:r>
      <w:r w:rsidR="00D65126" w:rsidRPr="008D3E74">
        <w:rPr>
          <w:rFonts w:ascii="Arial" w:hAnsi="Arial" w:cs="Arial"/>
        </w:rPr>
        <w:t xml:space="preserve"> times higher odds for PE</w:t>
      </w:r>
      <w:r w:rsidR="00603041" w:rsidRPr="008D3E74">
        <w:rPr>
          <w:rFonts w:ascii="Arial" w:hAnsi="Arial" w:cs="Arial"/>
        </w:rPr>
        <w:t xml:space="preserve"> </w:t>
      </w:r>
      <w:r w:rsidR="0000529B" w:rsidRPr="008D3E74">
        <w:rPr>
          <w:rFonts w:ascii="Arial" w:hAnsi="Arial" w:cs="Arial"/>
        </w:rPr>
        <w:fldChar w:fldCharType="begin"/>
      </w:r>
      <w:r w:rsidR="00754C02" w:rsidRPr="008D3E74">
        <w:rPr>
          <w:rFonts w:ascii="Arial" w:hAnsi="Arial" w:cs="Arial"/>
        </w:rPr>
        <w:instrText xml:space="preserve"> ADDIN ZOTERO_ITEM CSL_CITATION {"citationID":"vvmcgcnz","properties":{"formattedCitation":"(Gevonden {\\i{}et al.} 2014)","plainCitation":"(Gevonden et al. 2014)","noteIndex":0},"citationItems":[{"id":1124,"uris":["http://zotero.org/users/local/hhPVnw6l/items/GA8SRVT5"],"uri":["http://zotero.org/users/local/hhPVnw6l/items/GA8SRVT5"],"itemData":{"id":1124,"type":"article-journal","title":"Sexual minority status and psychotic symptoms: findings from the Netherlands Mental Health Survey and Incidence Studies (NEMESIS)","container-title":"Psychological Medicine","page":"421-433","volume":"44","issue":"2","source":"Cambridge Core","abstract":"Background\nEthnic minority position is associated with increased risk for psychotic outcomes, which may be mediated by experiences of social exclusion, defeat and discrimination. Sexual minorities are subject to similar stressors. The aim of this study is to examine whether sexual minorities are at increased risk for psychotic symptoms and to explore mediating pathways.\n\n\nMethod\nA cross-sectional survey was performed assessing cumulative incidence of psychotic symptoms with the Composite International Diagnostic Interview in two separate random general population samples (NEMESIS-1 and NEMESIS-2). Participants were sexually active and aged 18–64 years (n = 5927, n = 5308). Being lesbian, gay or bisexual (LGB) was defined as having sexual relations with at least one same-sex partner during the past year. Lifetime experience of any psychotic symptom was analysed using logistic regression, adjusted for gender, educational level, urbanicity, foreign-born parents, living without a partner, cannabis use and other drug use.\n\n\nResults\nThe rate of any psychotic symptom was elevated in the LGB population as compared with the heterosexual population both in NEMESIS-1 [odds ratio (OR) 2.56, 95% confidence interval (CI) 1.71–3.84] and NEMESIS-2 (OR 2.30, 95% CI 1.42–3.71). Childhood trauma, bullying and experience of discrimination partly mediated the association.\n\n\nConclusions\nThe finding that LGB orientation is associated with psychotic symptoms adds to the growing body of literature linking minority status with psychosis and other mental health problems, and suggests that exposure to minority stress represents an important mechanism.","DOI":"10.1017/S0033291713000718","ISSN":"0033-2917, 1469-8978","title-short":"Sexual minority status and psychotic symptoms","language":"en","author":[{"family":"Gevonden","given":"M. J."},{"family":"Selten","given":"J. P."},{"family":"Myin-Germeys","given":"I."},{"family":"Graaf","given":"R.","dropping-particle":"de"},{"family":"Have","given":"M.","dropping-particle":"ten"},{"family":"Dorsselaer","given":"S.","dropping-particle":"van"},{"family":"Os","given":"J.","dropping-particle":"van"},{"family":"Veling","given":"W."}],"issued":{"date-parts":[["2014",1]]}}}],"schema":"https://github.com/citation-style-language/schema/raw/master/csl-citation.json"} </w:instrText>
      </w:r>
      <w:r w:rsidR="0000529B" w:rsidRPr="008D3E74">
        <w:rPr>
          <w:rFonts w:ascii="Arial" w:hAnsi="Arial" w:cs="Arial"/>
        </w:rPr>
        <w:fldChar w:fldCharType="separate"/>
      </w:r>
      <w:r w:rsidR="00754C02" w:rsidRPr="008D3E74">
        <w:rPr>
          <w:rFonts w:ascii="Arial" w:hAnsi="Arial" w:cs="Arial"/>
        </w:rPr>
        <w:t xml:space="preserve">(Gevonden </w:t>
      </w:r>
      <w:r w:rsidR="00754C02" w:rsidRPr="008D3E74">
        <w:rPr>
          <w:rFonts w:ascii="Arial" w:hAnsi="Arial" w:cs="Arial"/>
          <w:i/>
          <w:iCs/>
        </w:rPr>
        <w:t>et al.</w:t>
      </w:r>
      <w:r w:rsidR="00754C02" w:rsidRPr="008D3E74">
        <w:rPr>
          <w:rFonts w:ascii="Arial" w:hAnsi="Arial" w:cs="Arial"/>
        </w:rPr>
        <w:t xml:space="preserve"> 2014)</w:t>
      </w:r>
      <w:r w:rsidR="0000529B" w:rsidRPr="008D3E74">
        <w:rPr>
          <w:rFonts w:ascii="Arial" w:hAnsi="Arial" w:cs="Arial"/>
        </w:rPr>
        <w:fldChar w:fldCharType="end"/>
      </w:r>
      <w:r w:rsidR="00603041" w:rsidRPr="008D3E74">
        <w:rPr>
          <w:rFonts w:ascii="Arial" w:hAnsi="Arial" w:cs="Arial"/>
        </w:rPr>
        <w:t>.</w:t>
      </w:r>
      <w:r w:rsidR="00D65126" w:rsidRPr="008D3E74">
        <w:rPr>
          <w:rFonts w:ascii="Arial" w:hAnsi="Arial" w:cs="Arial"/>
        </w:rPr>
        <w:t xml:space="preserve"> The results also accord with </w:t>
      </w:r>
      <w:r w:rsidR="00AB19A5" w:rsidRPr="008D3E74">
        <w:rPr>
          <w:rFonts w:ascii="Arial" w:hAnsi="Arial" w:cs="Arial"/>
        </w:rPr>
        <w:t xml:space="preserve">those of </w:t>
      </w:r>
      <w:r w:rsidR="00D65126" w:rsidRPr="008D3E74">
        <w:rPr>
          <w:rFonts w:ascii="Arial" w:hAnsi="Arial" w:cs="Arial"/>
        </w:rPr>
        <w:t>previous studies</w:t>
      </w:r>
      <w:r w:rsidR="00AB19A5" w:rsidRPr="008D3E74">
        <w:rPr>
          <w:rFonts w:ascii="Arial" w:hAnsi="Arial" w:cs="Arial"/>
        </w:rPr>
        <w:t xml:space="preserve"> that</w:t>
      </w:r>
      <w:r w:rsidR="00D65126" w:rsidRPr="008D3E74">
        <w:rPr>
          <w:rFonts w:ascii="Arial" w:hAnsi="Arial" w:cs="Arial"/>
        </w:rPr>
        <w:t xml:space="preserve"> have investigated the association between sexual orientation and more severe forms of psychosis. For example, a</w:t>
      </w:r>
      <w:r w:rsidR="00482C69" w:rsidRPr="008D3E74">
        <w:rPr>
          <w:rFonts w:ascii="Arial" w:hAnsi="Arial" w:cs="Arial"/>
        </w:rPr>
        <w:t xml:space="preserve"> nationally representative study using </w:t>
      </w:r>
      <w:r w:rsidR="00482C69" w:rsidRPr="008D3E74">
        <w:rPr>
          <w:rFonts w:ascii="Arial" w:hAnsi="Arial" w:cs="Arial"/>
        </w:rPr>
        <w:lastRenderedPageBreak/>
        <w:t xml:space="preserve">data from around 34700 US participants showed that sexual minorities (e.g., gay, bisexual) were at an increased risk for psychosis, with </w:t>
      </w:r>
      <w:r w:rsidR="0000529B" w:rsidRPr="008D3E74">
        <w:rPr>
          <w:rFonts w:ascii="Arial" w:hAnsi="Arial" w:cs="Arial"/>
        </w:rPr>
        <w:t>ORs</w:t>
      </w:r>
      <w:r w:rsidR="00482C69" w:rsidRPr="008D3E74">
        <w:rPr>
          <w:rFonts w:ascii="Arial" w:hAnsi="Arial" w:cs="Arial"/>
        </w:rPr>
        <w:t xml:space="preserve"> ranging from 1.99 to 2.70</w:t>
      </w:r>
      <w:r w:rsidR="00603041" w:rsidRPr="008D3E74">
        <w:rPr>
          <w:rFonts w:ascii="Arial" w:hAnsi="Arial" w:cs="Arial"/>
        </w:rPr>
        <w:t xml:space="preserve"> </w:t>
      </w:r>
      <w:r w:rsidR="00482C69" w:rsidRPr="008D3E74">
        <w:rPr>
          <w:rFonts w:ascii="Arial" w:hAnsi="Arial" w:cs="Arial"/>
        </w:rPr>
        <w:fldChar w:fldCharType="begin"/>
      </w:r>
      <w:r w:rsidR="00754C02" w:rsidRPr="008D3E74">
        <w:rPr>
          <w:rFonts w:ascii="Arial" w:hAnsi="Arial" w:cs="Arial"/>
        </w:rPr>
        <w:instrText xml:space="preserve"> ADDIN ZOTERO_ITEM CSL_CITATION {"citationID":"qHPsTEvY","properties":{"formattedCitation":"(Bolton &amp; Sareen 2011)","plainCitation":"(Bolton &amp; Sareen 2011)","noteIndex":0},"citationItems":[{"id":1122,"uris":["http://zotero.org/users/local/hhPVnw6l/items/KT27QQZY"],"uri":["http://zotero.org/users/local/hhPVnw6l/items/KT27QQZY"],"itemData":{"id":1122,"type":"article-journal","title":"Sexual orientation and its relation to mental disorders and suicide attempts: findings from a nationally representative sample","container-title":"Canadian Journal of Psychiatry. Revue Canadienne De Psychiatrie","page":"35-43","volume":"56","issue":"1","source":"PubMed","abstract":"OBJECTIVE: To compare the rates of all Axis I and II mental disorders and suicide attempts in sexual orientation minorities with rates in heterosexuals using a nationally representative sample.\nMETHOD: Data used were from the National Epidemiologic Survey on Alcohol and Related Conditions Wave 2 (n = 34 653, response rate = 70.2%). Cross-tabulations and multivariate logistic regression analyses were performed to determine differences in rates of mental disorders and suicide attempts by sexual orientation. All analyses were stratified by sex.\nRESULTS: Compared with their heterosexual counterparts, lesbians and bisexual women demonstrated a 3-fold increased likelihood of substance use disorders, and gay and bisexual men showed twice the rate of anxiety disorders and schizophrenia and (or) psychotic illness, even after accounting for mental disorder comorbidity. Suicide attempts were independently associated with bisexuality, with odds 3 times higher than in heterosexuals.\nCONCLUSION: Findings from our study emphasize the fact that sexual orientation minorities are vulnerable to poor mental health outcomes, including suicide attempts. Clinicians need to be aware of these specific negative mental health consequences when assessing sexual orientation minorities.","DOI":"10.1177/070674371105600107","ISSN":"1497-0015","note":"PMID: 21324241","title-short":"Sexual orientation and its relation to mental disorders and suicide attempts","journalAbbreviation":"Can J Psychiatry","language":"eng","author":[{"family":"Bolton","given":"Shay-Lee"},{"family":"Sareen","given":"Jitender"}],"issued":{"date-parts":[["2011",1]]}}}],"schema":"https://github.com/citation-style-language/schema/raw/master/csl-citation.json"} </w:instrText>
      </w:r>
      <w:r w:rsidR="00482C69" w:rsidRPr="008D3E74">
        <w:rPr>
          <w:rFonts w:ascii="Arial" w:hAnsi="Arial" w:cs="Arial"/>
        </w:rPr>
        <w:fldChar w:fldCharType="separate"/>
      </w:r>
      <w:r w:rsidR="00754C02" w:rsidRPr="008D3E74">
        <w:rPr>
          <w:rFonts w:ascii="Arial" w:hAnsi="Arial" w:cs="Arial"/>
        </w:rPr>
        <w:t>(Bolton &amp; Sareen 2011)</w:t>
      </w:r>
      <w:r w:rsidR="00482C69" w:rsidRPr="008D3E74">
        <w:rPr>
          <w:rFonts w:ascii="Arial" w:hAnsi="Arial" w:cs="Arial"/>
        </w:rPr>
        <w:fldChar w:fldCharType="end"/>
      </w:r>
      <w:r w:rsidR="00603041" w:rsidRPr="008D3E74">
        <w:rPr>
          <w:rFonts w:ascii="Arial" w:hAnsi="Arial" w:cs="Arial"/>
        </w:rPr>
        <w:t>.</w:t>
      </w:r>
      <w:r w:rsidR="00482C69" w:rsidRPr="008D3E74">
        <w:rPr>
          <w:rFonts w:ascii="Arial" w:hAnsi="Arial" w:cs="Arial"/>
        </w:rPr>
        <w:t xml:space="preserve"> Another UK study found in more than 7400 adults that there was </w:t>
      </w:r>
      <w:r w:rsidR="00B31F25" w:rsidRPr="008D3E74">
        <w:rPr>
          <w:rFonts w:ascii="Arial" w:hAnsi="Arial" w:cs="Arial"/>
        </w:rPr>
        <w:t>more than a three-fold</w:t>
      </w:r>
      <w:r w:rsidR="00482C69" w:rsidRPr="008D3E74">
        <w:rPr>
          <w:rFonts w:ascii="Arial" w:hAnsi="Arial" w:cs="Arial"/>
        </w:rPr>
        <w:t xml:space="preserve"> increase in the risk for probable psychosis in non-heterosexual individuals compared to heterosexual individuals</w:t>
      </w:r>
      <w:r w:rsidR="00603041" w:rsidRPr="008D3E74">
        <w:rPr>
          <w:rFonts w:ascii="Arial" w:hAnsi="Arial" w:cs="Arial"/>
        </w:rPr>
        <w:t xml:space="preserve"> </w:t>
      </w:r>
      <w:r w:rsidR="00482C69" w:rsidRPr="008D3E74">
        <w:rPr>
          <w:rFonts w:ascii="Arial" w:hAnsi="Arial" w:cs="Arial"/>
        </w:rPr>
        <w:fldChar w:fldCharType="begin"/>
      </w:r>
      <w:r w:rsidR="00754C02" w:rsidRPr="008D3E74">
        <w:rPr>
          <w:rFonts w:ascii="Arial" w:hAnsi="Arial" w:cs="Arial"/>
        </w:rPr>
        <w:instrText xml:space="preserve"> ADDIN ZOTERO_ITEM CSL_CITATION {"citationID":"L5DiurAQ","properties":{"formattedCitation":"(Chakraborty {\\i{}et al.} 2011)","plainCitation":"(Chakraborty et al. 2011)","noteIndex":0},"citationItems":[{"id":1126,"uris":["http://zotero.org/users/local/hhPVnw6l/items/KQSAVCL3"],"uri":["http://zotero.org/users/local/hhPVnw6l/items/KQSAVCL3"],"itemData":{"id":1126,"type":"article-journal","title":"Mental health of the non-heterosexual population of England","container-title":"The British Journal of Psychiatry","page":"143-148","volume":"198","issue":"2","source":"PubMed","abstract":"BACKGROUND: There has been little research into the prevalence of mental health problems in lesbian, gay and bisexual (LGB) people in the UK with most work conducted in the USA.\nAIMS: To relate the prevalence of mental disorder, self-harm and suicide attempts to sexual orientation in England, and to test whether psychiatric problems were associated with discrimination on grounds of sexuality.\nMETHOD: The Adult Psychiatric Morbidity Survey 2007 (n = 7403) was representative of the population living in private UK households. Standardised questions provided demographic information. Neurotic symptoms, common mental disorders, probable psychosis, suicidality, alcohol and drug dependence and service utilisation were assessed. In addition, detailed information was obtained about aspects of sexual identity and perceived discrimination on these grounds.\nRESULTS: Self-reported identification as non-heterosexual (determined by both orientation and sexual partnership, separately) was associated with unhappiness, neurotic disorders overall, depressive episodes, generalised anxiety disorder, obsessive-compulsive disorder, phobic disorder, probable psychosis, suicidal thoughts and acts, self-harm and alcohol and drug dependence. Mental health-related general practitioner consultations and community care service use over the previous year were also elevated. In the non-heterosexual group, discrimination on the grounds of sexual orientation predicted certain neurotic disorder outcomes, even after adjustment for potentially confounding demographic variables.\nCONCLUSIONS: This study corroborates international findings that people of non-heterosexual orientation report elevated levels of mental health problems and service usage, and it lends further support to the suggestion that perceived discrimination may act as a social stressor in the genesis of mental health problems in this population.","DOI":"10.1192/bjp.bp.110.082271","ISSN":"1472-1465","note":"PMID: 21282785","journalAbbreviation":"Br J Psychiatry","language":"eng","author":[{"family":"Chakraborty","given":"Apu"},{"family":"McManus","given":"Sally"},{"family":"Brugha","given":"Terry S."},{"family":"Bebbington","given":"Paul"},{"family":"King","given":"Michael"}],"issued":{"date-parts":[["2011",2]]}}}],"schema":"https://github.com/citation-style-language/schema/raw/master/csl-citation.json"} </w:instrText>
      </w:r>
      <w:r w:rsidR="00482C69" w:rsidRPr="008D3E74">
        <w:rPr>
          <w:rFonts w:ascii="Arial" w:hAnsi="Arial" w:cs="Arial"/>
        </w:rPr>
        <w:fldChar w:fldCharType="separate"/>
      </w:r>
      <w:r w:rsidR="00754C02" w:rsidRPr="008D3E74">
        <w:rPr>
          <w:rFonts w:ascii="Arial" w:hAnsi="Arial" w:cs="Arial"/>
        </w:rPr>
        <w:t xml:space="preserve">(Chakraborty </w:t>
      </w:r>
      <w:r w:rsidR="00754C02" w:rsidRPr="008D3E74">
        <w:rPr>
          <w:rFonts w:ascii="Arial" w:hAnsi="Arial" w:cs="Arial"/>
          <w:i/>
          <w:iCs/>
        </w:rPr>
        <w:t>et al.</w:t>
      </w:r>
      <w:r w:rsidR="00754C02" w:rsidRPr="008D3E74">
        <w:rPr>
          <w:rFonts w:ascii="Arial" w:hAnsi="Arial" w:cs="Arial"/>
        </w:rPr>
        <w:t xml:space="preserve"> 2011)</w:t>
      </w:r>
      <w:r w:rsidR="00482C69" w:rsidRPr="008D3E74">
        <w:rPr>
          <w:rFonts w:ascii="Arial" w:hAnsi="Arial" w:cs="Arial"/>
        </w:rPr>
        <w:fldChar w:fldCharType="end"/>
      </w:r>
      <w:r w:rsidR="00603041" w:rsidRPr="008D3E74">
        <w:rPr>
          <w:rFonts w:ascii="Arial" w:hAnsi="Arial" w:cs="Arial"/>
        </w:rPr>
        <w:t>.</w:t>
      </w:r>
    </w:p>
    <w:p w14:paraId="47619CAE" w14:textId="77777777" w:rsidR="00D65126" w:rsidRPr="008D3E74" w:rsidRDefault="00D65126" w:rsidP="000050E5">
      <w:pPr>
        <w:spacing w:line="480" w:lineRule="auto"/>
        <w:jc w:val="both"/>
        <w:rPr>
          <w:rFonts w:ascii="Arial" w:hAnsi="Arial" w:cs="Arial"/>
        </w:rPr>
      </w:pPr>
    </w:p>
    <w:p w14:paraId="24A9854B" w14:textId="52838FC8" w:rsidR="006D53F8" w:rsidRPr="008D3E74" w:rsidRDefault="006D53F8" w:rsidP="000050E5">
      <w:pPr>
        <w:spacing w:line="480" w:lineRule="auto"/>
        <w:jc w:val="both"/>
        <w:rPr>
          <w:rFonts w:ascii="Arial" w:hAnsi="Arial" w:cs="Arial"/>
        </w:rPr>
      </w:pPr>
      <w:r w:rsidRPr="008D3E74">
        <w:rPr>
          <w:rFonts w:ascii="Arial" w:hAnsi="Arial" w:cs="Arial"/>
        </w:rPr>
        <w:t>In terms of the mediators, we found that</w:t>
      </w:r>
      <w:r w:rsidR="00892F57" w:rsidRPr="008D3E74">
        <w:rPr>
          <w:rFonts w:ascii="Arial" w:hAnsi="Arial" w:cs="Arial"/>
        </w:rPr>
        <w:t xml:space="preserve"> borderline personality traits, loneliness and</w:t>
      </w:r>
      <w:r w:rsidRPr="008D3E74">
        <w:rPr>
          <w:rFonts w:ascii="Arial" w:hAnsi="Arial" w:cs="Arial"/>
        </w:rPr>
        <w:t xml:space="preserve"> stressful life events</w:t>
      </w:r>
      <w:r w:rsidR="00892F57" w:rsidRPr="008D3E74">
        <w:rPr>
          <w:rFonts w:ascii="Arial" w:hAnsi="Arial" w:cs="Arial"/>
        </w:rPr>
        <w:t xml:space="preserve"> </w:t>
      </w:r>
      <w:r w:rsidRPr="008D3E74">
        <w:rPr>
          <w:rFonts w:ascii="Arial" w:hAnsi="Arial" w:cs="Arial"/>
        </w:rPr>
        <w:t>explained more than 2</w:t>
      </w:r>
      <w:r w:rsidR="00892F57" w:rsidRPr="008D3E74">
        <w:rPr>
          <w:rFonts w:ascii="Arial" w:hAnsi="Arial" w:cs="Arial"/>
        </w:rPr>
        <w:t>5</w:t>
      </w:r>
      <w:r w:rsidRPr="008D3E74">
        <w:rPr>
          <w:rFonts w:ascii="Arial" w:hAnsi="Arial" w:cs="Arial"/>
        </w:rPr>
        <w:t xml:space="preserve">% of the association between sexual orientation and PE, while other factors such as sleep disorders, </w:t>
      </w:r>
      <w:r w:rsidR="0055295D" w:rsidRPr="008D3E74">
        <w:rPr>
          <w:rFonts w:ascii="Arial" w:hAnsi="Arial" w:cs="Arial"/>
        </w:rPr>
        <w:t xml:space="preserve">CMDs, </w:t>
      </w:r>
      <w:r w:rsidRPr="008D3E74">
        <w:rPr>
          <w:rFonts w:ascii="Arial" w:hAnsi="Arial" w:cs="Arial"/>
        </w:rPr>
        <w:t xml:space="preserve">bullying victimization, </w:t>
      </w:r>
      <w:r w:rsidR="00A33BE6" w:rsidRPr="008D3E74">
        <w:rPr>
          <w:rFonts w:ascii="Arial" w:hAnsi="Arial" w:cs="Arial"/>
        </w:rPr>
        <w:t>marital status</w:t>
      </w:r>
      <w:r w:rsidR="00745627" w:rsidRPr="008D3E74">
        <w:rPr>
          <w:rFonts w:ascii="Arial" w:hAnsi="Arial" w:cs="Arial"/>
        </w:rPr>
        <w:t>,</w:t>
      </w:r>
      <w:r w:rsidR="00A33BE6" w:rsidRPr="008D3E74">
        <w:rPr>
          <w:rFonts w:ascii="Arial" w:hAnsi="Arial" w:cs="Arial"/>
        </w:rPr>
        <w:t xml:space="preserve"> </w:t>
      </w:r>
      <w:r w:rsidRPr="008D3E74">
        <w:rPr>
          <w:rFonts w:ascii="Arial" w:hAnsi="Arial" w:cs="Arial"/>
        </w:rPr>
        <w:t xml:space="preserve">and </w:t>
      </w:r>
      <w:r w:rsidR="00A33BE6" w:rsidRPr="008D3E74">
        <w:rPr>
          <w:rFonts w:ascii="Arial" w:hAnsi="Arial" w:cs="Arial"/>
        </w:rPr>
        <w:t>social support</w:t>
      </w:r>
      <w:r w:rsidRPr="008D3E74">
        <w:rPr>
          <w:rFonts w:ascii="Arial" w:hAnsi="Arial" w:cs="Arial"/>
        </w:rPr>
        <w:t xml:space="preserve"> explained </w:t>
      </w:r>
      <w:r w:rsidR="00924B44" w:rsidRPr="008D3E74">
        <w:rPr>
          <w:rFonts w:ascii="Arial" w:hAnsi="Arial" w:cs="Arial"/>
        </w:rPr>
        <w:t xml:space="preserve">10-20% </w:t>
      </w:r>
      <w:r w:rsidRPr="008D3E74">
        <w:rPr>
          <w:rFonts w:ascii="Arial" w:hAnsi="Arial" w:cs="Arial"/>
        </w:rPr>
        <w:t xml:space="preserve">of the association. </w:t>
      </w:r>
      <w:r w:rsidR="00787323" w:rsidRPr="008D3E74">
        <w:rPr>
          <w:rFonts w:ascii="Arial" w:hAnsi="Arial" w:cs="Arial"/>
        </w:rPr>
        <w:t>In</w:t>
      </w:r>
      <w:r w:rsidR="00527DAB" w:rsidRPr="008D3E74">
        <w:rPr>
          <w:rFonts w:ascii="Arial" w:hAnsi="Arial" w:cs="Arial"/>
        </w:rPr>
        <w:t xml:space="preserve"> contrast, the most important mediator identified in the Dutch study was </w:t>
      </w:r>
      <w:r w:rsidR="00FA3A54" w:rsidRPr="008D3E74">
        <w:rPr>
          <w:rFonts w:ascii="Arial" w:hAnsi="Arial" w:cs="Arial"/>
        </w:rPr>
        <w:t xml:space="preserve">past-year discrimination </w:t>
      </w:r>
      <w:r w:rsidR="00787323" w:rsidRPr="008D3E74">
        <w:rPr>
          <w:rFonts w:ascii="Arial" w:hAnsi="Arial" w:cs="Arial"/>
        </w:rPr>
        <w:t xml:space="preserve">due to sexual orientation </w:t>
      </w:r>
      <w:r w:rsidR="00FA3A54" w:rsidRPr="008D3E74">
        <w:rPr>
          <w:rFonts w:ascii="Arial" w:hAnsi="Arial" w:cs="Arial"/>
        </w:rPr>
        <w:t>(</w:t>
      </w:r>
      <w:r w:rsidR="00F93FFB" w:rsidRPr="008D3E74">
        <w:rPr>
          <w:rFonts w:ascii="Arial" w:hAnsi="Arial" w:cs="Arial"/>
        </w:rPr>
        <w:t>34%</w:t>
      </w:r>
      <w:r w:rsidR="00FA3A54" w:rsidRPr="008D3E74">
        <w:rPr>
          <w:rFonts w:ascii="Arial" w:hAnsi="Arial" w:cs="Arial"/>
        </w:rPr>
        <w:t>)</w:t>
      </w:r>
      <w:r w:rsidR="00603041" w:rsidRPr="008D3E74">
        <w:rPr>
          <w:rFonts w:ascii="Arial" w:hAnsi="Arial" w:cs="Arial"/>
        </w:rPr>
        <w:t xml:space="preserve"> </w:t>
      </w:r>
      <w:r w:rsidR="00FA3A54" w:rsidRPr="008D3E74">
        <w:rPr>
          <w:rFonts w:ascii="Arial" w:hAnsi="Arial" w:cs="Arial"/>
        </w:rPr>
        <w:fldChar w:fldCharType="begin"/>
      </w:r>
      <w:r w:rsidR="00754C02" w:rsidRPr="008D3E74">
        <w:rPr>
          <w:rFonts w:ascii="Arial" w:hAnsi="Arial" w:cs="Arial"/>
        </w:rPr>
        <w:instrText xml:space="preserve"> ADDIN ZOTERO_ITEM CSL_CITATION {"citationID":"6nwtjLCK","properties":{"formattedCitation":"(Gevonden {\\i{}et al.} 2014)","plainCitation":"(Gevonden et al. 2014)","noteIndex":0},"citationItems":[{"id":1124,"uris":["http://zotero.org/users/local/hhPVnw6l/items/GA8SRVT5"],"uri":["http://zotero.org/users/local/hhPVnw6l/items/GA8SRVT5"],"itemData":{"id":1124,"type":"article-journal","title":"Sexual minority status and psychotic symptoms: findings from the Netherlands Mental Health Survey and Incidence Studies (NEMESIS)","container-title":"Psychological Medicine","page":"421-433","volume":"44","issue":"2","source":"Cambridge Core","abstract":"Background\nEthnic minority position is associated with increased risk for psychotic outcomes, which may be mediated by experiences of social exclusion, defeat and discrimination. Sexual minorities are subject to similar stressors. The aim of this study is to examine whether sexual minorities are at increased risk for psychotic symptoms and to explore mediating pathways.\n\n\nMethod\nA cross-sectional survey was performed assessing cumulative incidence of psychotic symptoms with the Composite International Diagnostic Interview in two separate random general population samples (NEMESIS-1 and NEMESIS-2). Participants were sexually active and aged 18–64 years (n = 5927, n = 5308). Being lesbian, gay or bisexual (LGB) was defined as having sexual relations with at least one same-sex partner during the past year. Lifetime experience of any psychotic symptom was analysed using logistic regression, adjusted for gender, educational level, urbanicity, foreign-born parents, living without a partner, cannabis use and other drug use.\n\n\nResults\nThe rate of any psychotic symptom was elevated in the LGB population as compared with the heterosexual population both in NEMESIS-1 [odds ratio (OR) 2.56, 95% confidence interval (CI) 1.71–3.84] and NEMESIS-2 (OR 2.30, 95% CI 1.42–3.71). Childhood trauma, bullying and experience of discrimination partly mediated the association.\n\n\nConclusions\nThe finding that LGB orientation is associated with psychotic symptoms adds to the growing body of literature linking minority status with psychosis and other mental health problems, and suggests that exposure to minority stress represents an important mechanism.","DOI":"10.1017/S0033291713000718","ISSN":"0033-2917, 1469-8978","title-short":"Sexual minority status and psychotic symptoms","language":"en","author":[{"family":"Gevonden","given":"M. J."},{"family":"Selten","given":"J. P."},{"family":"Myin-Germeys","given":"I."},{"family":"Graaf","given":"R.","dropping-particle":"de"},{"family":"Have","given":"M.","dropping-particle":"ten"},{"family":"Dorsselaer","given":"S.","dropping-particle":"van"},{"family":"Os","given":"J.","dropping-particle":"van"},{"family":"Veling","given":"W."}],"issued":{"date-parts":[["2014",1]]}}}],"schema":"https://github.com/citation-style-language/schema/raw/master/csl-citation.json"} </w:instrText>
      </w:r>
      <w:r w:rsidR="00FA3A54" w:rsidRPr="008D3E74">
        <w:rPr>
          <w:rFonts w:ascii="Arial" w:hAnsi="Arial" w:cs="Arial"/>
        </w:rPr>
        <w:fldChar w:fldCharType="separate"/>
      </w:r>
      <w:r w:rsidR="00754C02" w:rsidRPr="008D3E74">
        <w:rPr>
          <w:rFonts w:ascii="Arial" w:hAnsi="Arial" w:cs="Arial"/>
        </w:rPr>
        <w:t xml:space="preserve">(Gevonden </w:t>
      </w:r>
      <w:r w:rsidR="00754C02" w:rsidRPr="008D3E74">
        <w:rPr>
          <w:rFonts w:ascii="Arial" w:hAnsi="Arial" w:cs="Arial"/>
          <w:i/>
          <w:iCs/>
        </w:rPr>
        <w:t>et al.</w:t>
      </w:r>
      <w:r w:rsidR="00754C02" w:rsidRPr="008D3E74">
        <w:rPr>
          <w:rFonts w:ascii="Arial" w:hAnsi="Arial" w:cs="Arial"/>
        </w:rPr>
        <w:t xml:space="preserve"> 2014)</w:t>
      </w:r>
      <w:r w:rsidR="00FA3A54" w:rsidRPr="008D3E74">
        <w:rPr>
          <w:rFonts w:ascii="Arial" w:hAnsi="Arial" w:cs="Arial"/>
        </w:rPr>
        <w:fldChar w:fldCharType="end"/>
      </w:r>
      <w:r w:rsidR="00603041" w:rsidRPr="008D3E74">
        <w:rPr>
          <w:rFonts w:ascii="Arial" w:hAnsi="Arial" w:cs="Arial"/>
        </w:rPr>
        <w:t>.</w:t>
      </w:r>
      <w:r w:rsidR="00F93FFB" w:rsidRPr="008D3E74">
        <w:rPr>
          <w:rFonts w:ascii="Arial" w:hAnsi="Arial" w:cs="Arial"/>
        </w:rPr>
        <w:t xml:space="preserve"> Although we used a similar variable, </w:t>
      </w:r>
      <w:r w:rsidR="00BC522A" w:rsidRPr="008D3E74">
        <w:rPr>
          <w:rFonts w:ascii="Arial" w:hAnsi="Arial" w:cs="Arial"/>
        </w:rPr>
        <w:t xml:space="preserve">discrimination due to sexual orientation was not a significant mediator in our study. </w:t>
      </w:r>
      <w:r w:rsidR="000A577B" w:rsidRPr="008D3E74">
        <w:rPr>
          <w:rFonts w:ascii="Arial" w:hAnsi="Arial" w:cs="Arial"/>
        </w:rPr>
        <w:t>This discrepancy in the findings high</w:t>
      </w:r>
      <w:r w:rsidR="00FA1750" w:rsidRPr="008D3E74">
        <w:rPr>
          <w:rFonts w:ascii="Arial" w:hAnsi="Arial" w:cs="Arial"/>
        </w:rPr>
        <w:t xml:space="preserve">lights the fact that </w:t>
      </w:r>
      <w:r w:rsidR="00460105" w:rsidRPr="008D3E74">
        <w:rPr>
          <w:rFonts w:ascii="Arial" w:hAnsi="Arial" w:cs="Arial"/>
        </w:rPr>
        <w:t xml:space="preserve">psychosocial </w:t>
      </w:r>
      <w:r w:rsidR="00FC3701" w:rsidRPr="008D3E74">
        <w:rPr>
          <w:rFonts w:ascii="Arial" w:hAnsi="Arial" w:cs="Arial"/>
        </w:rPr>
        <w:t>factors</w:t>
      </w:r>
      <w:r w:rsidR="00FA1750" w:rsidRPr="008D3E74">
        <w:rPr>
          <w:rFonts w:ascii="Arial" w:hAnsi="Arial" w:cs="Arial"/>
        </w:rPr>
        <w:t xml:space="preserve"> involved in the sexual orientation-PE relationship may be population or context specific. </w:t>
      </w:r>
      <w:r w:rsidR="00460105" w:rsidRPr="008D3E74">
        <w:rPr>
          <w:rFonts w:ascii="Arial" w:hAnsi="Arial" w:cs="Arial"/>
        </w:rPr>
        <w:t xml:space="preserve">Regarding substance use, the results of the two studies concur </w:t>
      </w:r>
      <w:r w:rsidR="00FC3701" w:rsidRPr="008D3E74">
        <w:rPr>
          <w:rFonts w:ascii="Arial" w:hAnsi="Arial" w:cs="Arial"/>
        </w:rPr>
        <w:t xml:space="preserve">and </w:t>
      </w:r>
      <w:r w:rsidR="00577B9E" w:rsidRPr="008D3E74">
        <w:rPr>
          <w:rFonts w:ascii="Arial" w:hAnsi="Arial" w:cs="Arial"/>
        </w:rPr>
        <w:t xml:space="preserve">show </w:t>
      </w:r>
      <w:r w:rsidR="00F74246" w:rsidRPr="008D3E74">
        <w:rPr>
          <w:rFonts w:ascii="Arial" w:hAnsi="Arial" w:cs="Arial"/>
        </w:rPr>
        <w:t xml:space="preserve">that </w:t>
      </w:r>
      <w:r w:rsidR="004B3CA9" w:rsidRPr="008D3E74">
        <w:rPr>
          <w:rFonts w:ascii="Arial" w:hAnsi="Arial" w:cs="Arial"/>
        </w:rPr>
        <w:t>it</w:t>
      </w:r>
      <w:r w:rsidR="00F74246" w:rsidRPr="008D3E74">
        <w:rPr>
          <w:rFonts w:ascii="Arial" w:hAnsi="Arial" w:cs="Arial"/>
        </w:rPr>
        <w:t xml:space="preserve"> only play</w:t>
      </w:r>
      <w:r w:rsidR="004B3CA9" w:rsidRPr="008D3E74">
        <w:rPr>
          <w:rFonts w:ascii="Arial" w:hAnsi="Arial" w:cs="Arial"/>
        </w:rPr>
        <w:t>s</w:t>
      </w:r>
      <w:r w:rsidR="00F74246" w:rsidRPr="008D3E74">
        <w:rPr>
          <w:rFonts w:ascii="Arial" w:hAnsi="Arial" w:cs="Arial"/>
        </w:rPr>
        <w:t xml:space="preserve"> a minor mediating rol</w:t>
      </w:r>
      <w:r w:rsidR="00264F45" w:rsidRPr="008D3E74">
        <w:rPr>
          <w:rFonts w:ascii="Arial" w:hAnsi="Arial" w:cs="Arial"/>
        </w:rPr>
        <w:t>e.</w:t>
      </w:r>
      <w:r w:rsidR="00A971D9" w:rsidRPr="008D3E74">
        <w:rPr>
          <w:rFonts w:ascii="Arial" w:hAnsi="Arial" w:cs="Arial"/>
        </w:rPr>
        <w:t xml:space="preserve"> </w:t>
      </w:r>
    </w:p>
    <w:p w14:paraId="09003D6B" w14:textId="77777777" w:rsidR="00527DAB" w:rsidRPr="008D3E74" w:rsidRDefault="00527DAB" w:rsidP="000050E5">
      <w:pPr>
        <w:spacing w:line="480" w:lineRule="auto"/>
        <w:jc w:val="both"/>
        <w:rPr>
          <w:rFonts w:ascii="Arial" w:hAnsi="Arial" w:cs="Arial"/>
        </w:rPr>
      </w:pPr>
    </w:p>
    <w:p w14:paraId="1330D57A" w14:textId="1C092535" w:rsidR="002240D3" w:rsidRPr="008D3E74" w:rsidRDefault="00787323" w:rsidP="000050E5">
      <w:pPr>
        <w:spacing w:line="480" w:lineRule="auto"/>
        <w:jc w:val="both"/>
        <w:rPr>
          <w:rFonts w:ascii="Arial" w:hAnsi="Arial" w:cs="Arial"/>
        </w:rPr>
      </w:pPr>
      <w:r w:rsidRPr="008D3E74">
        <w:rPr>
          <w:rFonts w:ascii="Arial" w:hAnsi="Arial" w:cs="Arial"/>
        </w:rPr>
        <w:t>In our study, s</w:t>
      </w:r>
      <w:r w:rsidR="00537739" w:rsidRPr="008D3E74">
        <w:rPr>
          <w:rFonts w:ascii="Arial" w:hAnsi="Arial" w:cs="Arial"/>
        </w:rPr>
        <w:t xml:space="preserve">tressful </w:t>
      </w:r>
      <w:r w:rsidR="00924B44" w:rsidRPr="008D3E74">
        <w:rPr>
          <w:rFonts w:ascii="Arial" w:hAnsi="Arial" w:cs="Arial"/>
        </w:rPr>
        <w:t xml:space="preserve">life events </w:t>
      </w:r>
      <w:r w:rsidR="000A185F" w:rsidRPr="008D3E74">
        <w:rPr>
          <w:rFonts w:ascii="Arial" w:hAnsi="Arial" w:cs="Arial"/>
        </w:rPr>
        <w:t xml:space="preserve">explained </w:t>
      </w:r>
      <w:r w:rsidR="006802E0" w:rsidRPr="008D3E74">
        <w:rPr>
          <w:rFonts w:ascii="Arial" w:hAnsi="Arial" w:cs="Arial"/>
        </w:rPr>
        <w:t>around</w:t>
      </w:r>
      <w:r w:rsidR="000A185F" w:rsidRPr="008D3E74">
        <w:rPr>
          <w:rFonts w:ascii="Arial" w:hAnsi="Arial" w:cs="Arial"/>
        </w:rPr>
        <w:t xml:space="preserve"> </w:t>
      </w:r>
      <w:r w:rsidR="006802E0" w:rsidRPr="008D3E74">
        <w:rPr>
          <w:rFonts w:ascii="Arial" w:hAnsi="Arial" w:cs="Arial"/>
        </w:rPr>
        <w:t>25</w:t>
      </w:r>
      <w:r w:rsidR="000A185F" w:rsidRPr="008D3E74">
        <w:rPr>
          <w:rFonts w:ascii="Arial" w:hAnsi="Arial" w:cs="Arial"/>
        </w:rPr>
        <w:t xml:space="preserve">% of the sexual orientation-PE </w:t>
      </w:r>
      <w:r w:rsidR="00964DCA" w:rsidRPr="008D3E74">
        <w:rPr>
          <w:rFonts w:ascii="Arial" w:hAnsi="Arial" w:cs="Arial"/>
        </w:rPr>
        <w:t>relationship. A longitudinal study conducted in the US and including young adults followed for more than a decade showed that stressful life event</w:t>
      </w:r>
      <w:r w:rsidR="00BE2D65" w:rsidRPr="008D3E74">
        <w:rPr>
          <w:rFonts w:ascii="Arial" w:hAnsi="Arial" w:cs="Arial"/>
        </w:rPr>
        <w:t>s</w:t>
      </w:r>
      <w:r w:rsidR="00964DCA" w:rsidRPr="008D3E74">
        <w:rPr>
          <w:rFonts w:ascii="Arial" w:hAnsi="Arial" w:cs="Arial"/>
        </w:rPr>
        <w:t xml:space="preserve"> </w:t>
      </w:r>
      <w:r w:rsidR="00342D51" w:rsidRPr="008D3E74">
        <w:rPr>
          <w:rFonts w:ascii="Arial" w:hAnsi="Arial" w:cs="Arial"/>
        </w:rPr>
        <w:t xml:space="preserve">(e.g., </w:t>
      </w:r>
      <w:r w:rsidR="000948C4" w:rsidRPr="008D3E74">
        <w:rPr>
          <w:rFonts w:ascii="Arial" w:hAnsi="Arial" w:cs="Arial"/>
        </w:rPr>
        <w:t xml:space="preserve">a </w:t>
      </w:r>
      <w:r w:rsidR="00193359" w:rsidRPr="008D3E74">
        <w:rPr>
          <w:rFonts w:ascii="Arial" w:hAnsi="Arial" w:cs="Arial"/>
        </w:rPr>
        <w:t>life-threatening event, death of a loved one</w:t>
      </w:r>
      <w:r w:rsidR="00F07774" w:rsidRPr="008D3E74">
        <w:rPr>
          <w:rFonts w:ascii="Arial" w:hAnsi="Arial" w:cs="Arial"/>
        </w:rPr>
        <w:t>, divorce</w:t>
      </w:r>
      <w:r w:rsidR="00342D51" w:rsidRPr="008D3E74">
        <w:rPr>
          <w:rFonts w:ascii="Arial" w:hAnsi="Arial" w:cs="Arial"/>
        </w:rPr>
        <w:t xml:space="preserve">) </w:t>
      </w:r>
      <w:r w:rsidR="007966E2" w:rsidRPr="008D3E74">
        <w:rPr>
          <w:rFonts w:ascii="Arial" w:hAnsi="Arial" w:cs="Arial"/>
        </w:rPr>
        <w:t>were</w:t>
      </w:r>
      <w:r w:rsidR="00964DCA" w:rsidRPr="008D3E74">
        <w:rPr>
          <w:rFonts w:ascii="Arial" w:hAnsi="Arial" w:cs="Arial"/>
        </w:rPr>
        <w:t xml:space="preserve"> </w:t>
      </w:r>
      <w:r w:rsidR="005808FC" w:rsidRPr="008D3E74">
        <w:rPr>
          <w:rFonts w:ascii="Arial" w:hAnsi="Arial" w:cs="Arial"/>
        </w:rPr>
        <w:t xml:space="preserve">more </w:t>
      </w:r>
      <w:r w:rsidR="007966E2" w:rsidRPr="008D3E74">
        <w:rPr>
          <w:rFonts w:ascii="Arial" w:hAnsi="Arial" w:cs="Arial"/>
        </w:rPr>
        <w:t>frequent</w:t>
      </w:r>
      <w:r w:rsidR="00964DCA" w:rsidRPr="008D3E74">
        <w:rPr>
          <w:rFonts w:ascii="Arial" w:hAnsi="Arial" w:cs="Arial"/>
        </w:rPr>
        <w:t xml:space="preserve"> </w:t>
      </w:r>
      <w:r w:rsidR="007C7B45" w:rsidRPr="008D3E74">
        <w:rPr>
          <w:rFonts w:ascii="Arial" w:hAnsi="Arial" w:cs="Arial"/>
        </w:rPr>
        <w:t>in bisexual or lesbian and in mostly heterosexual women</w:t>
      </w:r>
      <w:r w:rsidR="00964DCA" w:rsidRPr="008D3E74">
        <w:rPr>
          <w:rFonts w:ascii="Arial" w:hAnsi="Arial" w:cs="Arial"/>
        </w:rPr>
        <w:t xml:space="preserve"> than in </w:t>
      </w:r>
      <w:r w:rsidR="00964DCA" w:rsidRPr="008D3E74">
        <w:rPr>
          <w:rFonts w:ascii="Arial" w:hAnsi="Arial" w:cs="Arial"/>
        </w:rPr>
        <w:lastRenderedPageBreak/>
        <w:t xml:space="preserve">their </w:t>
      </w:r>
      <w:r w:rsidR="007C7B45" w:rsidRPr="008D3E74">
        <w:rPr>
          <w:rFonts w:ascii="Arial" w:hAnsi="Arial" w:cs="Arial"/>
        </w:rPr>
        <w:t xml:space="preserve">completely </w:t>
      </w:r>
      <w:r w:rsidR="00964DCA" w:rsidRPr="008D3E74">
        <w:rPr>
          <w:rFonts w:ascii="Arial" w:hAnsi="Arial" w:cs="Arial"/>
        </w:rPr>
        <w:t>heterosexual counterparts</w:t>
      </w:r>
      <w:r w:rsidR="00603041" w:rsidRPr="008D3E74">
        <w:rPr>
          <w:rFonts w:ascii="Arial" w:hAnsi="Arial" w:cs="Arial"/>
        </w:rPr>
        <w:t xml:space="preserve"> </w:t>
      </w:r>
      <w:r w:rsidR="00964DCA" w:rsidRPr="008D3E74">
        <w:rPr>
          <w:rFonts w:ascii="Arial" w:hAnsi="Arial" w:cs="Arial"/>
        </w:rPr>
        <w:fldChar w:fldCharType="begin"/>
      </w:r>
      <w:r w:rsidR="00754C02" w:rsidRPr="008D3E74">
        <w:rPr>
          <w:rFonts w:ascii="Arial" w:hAnsi="Arial" w:cs="Arial"/>
        </w:rPr>
        <w:instrText xml:space="preserve"> ADDIN ZOTERO_ITEM CSL_CITATION {"citationID":"0bPrZz57","properties":{"formattedCitation":"(Austin {\\i{}et al.} 2016)","plainCitation":"(Austin et al. 2016)","noteIndex":0},"citationItems":[{"id":1276,"uris":["http://zotero.org/users/local/hhPVnw6l/items/7QPG5X4Q"],"uri":["http://zotero.org/users/local/hhPVnw6l/items/7QPG5X4Q"],"itemData":{"id":1276,"type":"article-journal","title":"Sexual orientation and diurnal cortisol patterns in a cohort of U.S. young adults","container-title":"Psychoneuroendocrinology","page":"197-208","volume":"69","source":"PubMed Central","abstract":"Sexual minorities in the United States are at elevated risk of bullying, discrimination, and violence victimization, all stressors that have been linked to psychological and behavioral stress responses including depressive and anxious symptoms and substance use. Acute and chronic stressors may also elicit physiologic stress responses, including changes in the regulation of the hypothalamic-pituitary-adrenocortical (HPA) axis. Few studies, however, have examined the relationship between minority sexual orientation and diurnal cortisol patterns. The present study included 1670 young adults ages 18–32 years (69% female, 31% male) from the Growing Up Today Study, a prospective cohort of U.S. youth. Participants provided five saliva samples over one day to estimate diurnal cortisol patterns. Sexual orientation groups included: completely heterosexual with no same-sex partners (referent), completely heterosexual with same-sex partners/mostly heterosexual, and gay/lesbian/bisexual. Covariates included perceived stress and stressful life events in the past month. Sex-stratified multilevel models of log-transformed cortisol values were used to model diurnal cortisol patterns, and generalized estimating equations were used to model area under the curve (AUC), both with respect to ground (AUCg) and increase (AUCi). Among females, sexual minorities reported significantly more stressful life events in the past month than their heterosexual counterparts. In adjusted multilevel models, sexual orientation was not significantly associated with diurnal cortisol patterns or with AUCg or AUCi in either females or males. There were no significant interactions between sexual orientation and stressful life events. Time-varying negative mood was significantly associated with higher cortisol levels across the day for both female and male participants, after adjusting for all covariates. This study from a large cohort of U.S. young adults did not detect a relationship between sexual orientation and diurnal cortisol patterns. Despite consistent evidence indicating that, compared to heterosexuals, sexual minorities experience elevated exposure to multiple forms of stressors and adversity across the life course, we did not find differences in diurnal cortisol rhythms by sexual orientation. One possible explanation is that sexual minority participants in the study exhibited physiologic resilience.","DOI":"10.1016/j.psyneuen.2016.04.012","ISSN":"0306-4530","note":"PMID: 27131052\nPMCID: PMC4880491","journalAbbreviation":"Psychoneuroendocrinology","author":[{"family":"Austin","given":"S. Bryn"},{"family":"Rosario","given":"Margaret"},{"family":"McLaughlin","given":"Katie A."},{"family":"Roberts","given":"Andrea L."},{"family":"Gordon","given":"Allegra R."},{"family":"Sarda","given":"Vishnudas"},{"family":"Missmer","given":"Stacey"},{"family":"Anatale-Tardiff","given":"Laura"},{"family":"Scherer","given":"Emily A."}],"issued":{"date-parts":[["2016",7]]}}}],"schema":"https://github.com/citation-style-language/schema/raw/master/csl-citation.json"} </w:instrText>
      </w:r>
      <w:r w:rsidR="00964DCA" w:rsidRPr="008D3E74">
        <w:rPr>
          <w:rFonts w:ascii="Arial" w:hAnsi="Arial" w:cs="Arial"/>
        </w:rPr>
        <w:fldChar w:fldCharType="separate"/>
      </w:r>
      <w:r w:rsidR="00754C02" w:rsidRPr="008D3E74">
        <w:rPr>
          <w:rFonts w:ascii="Arial" w:hAnsi="Arial" w:cs="Arial"/>
        </w:rPr>
        <w:t xml:space="preserve">(Austin </w:t>
      </w:r>
      <w:r w:rsidR="00754C02" w:rsidRPr="008D3E74">
        <w:rPr>
          <w:rFonts w:ascii="Arial" w:hAnsi="Arial" w:cs="Arial"/>
          <w:i/>
          <w:iCs/>
        </w:rPr>
        <w:t>et al.</w:t>
      </w:r>
      <w:r w:rsidR="00754C02" w:rsidRPr="008D3E74">
        <w:rPr>
          <w:rFonts w:ascii="Arial" w:hAnsi="Arial" w:cs="Arial"/>
        </w:rPr>
        <w:t xml:space="preserve"> 2016)</w:t>
      </w:r>
      <w:r w:rsidR="00964DCA" w:rsidRPr="008D3E74">
        <w:rPr>
          <w:rFonts w:ascii="Arial" w:hAnsi="Arial" w:cs="Arial"/>
        </w:rPr>
        <w:fldChar w:fldCharType="end"/>
      </w:r>
      <w:r w:rsidR="00603041" w:rsidRPr="008D3E74">
        <w:rPr>
          <w:rFonts w:ascii="Arial" w:hAnsi="Arial" w:cs="Arial"/>
        </w:rPr>
        <w:t>.</w:t>
      </w:r>
      <w:r w:rsidR="00DE6DA3" w:rsidRPr="008D3E74">
        <w:rPr>
          <w:rFonts w:ascii="Arial" w:hAnsi="Arial" w:cs="Arial"/>
        </w:rPr>
        <w:t xml:space="preserve"> </w:t>
      </w:r>
      <w:r w:rsidR="00924B44" w:rsidRPr="008D3E74">
        <w:rPr>
          <w:rFonts w:ascii="Arial" w:hAnsi="Arial" w:cs="Arial"/>
        </w:rPr>
        <w:t>On the other hand</w:t>
      </w:r>
      <w:r w:rsidR="00DE6DA3" w:rsidRPr="008D3E74">
        <w:rPr>
          <w:rFonts w:ascii="Arial" w:hAnsi="Arial" w:cs="Arial"/>
        </w:rPr>
        <w:t xml:space="preserve">, a meta-analysis of 16 studies further reported that stressful life events increased the risk for psychotic disorder or subclinical </w:t>
      </w:r>
      <w:r w:rsidR="000B0032" w:rsidRPr="008D3E74">
        <w:rPr>
          <w:rFonts w:ascii="Arial" w:hAnsi="Arial" w:cs="Arial"/>
          <w:lang w:eastAsia="ja-JP"/>
        </w:rPr>
        <w:t xml:space="preserve">psychosis </w:t>
      </w:r>
      <w:r w:rsidR="00DE6DA3" w:rsidRPr="008D3E74">
        <w:rPr>
          <w:rFonts w:ascii="Arial" w:hAnsi="Arial" w:cs="Arial"/>
        </w:rPr>
        <w:t>(OR=3.19)</w:t>
      </w:r>
      <w:r w:rsidR="00603041" w:rsidRPr="008D3E74">
        <w:rPr>
          <w:rFonts w:ascii="Arial" w:hAnsi="Arial" w:cs="Arial"/>
        </w:rPr>
        <w:t xml:space="preserve"> </w:t>
      </w:r>
      <w:r w:rsidR="00DE6DA3" w:rsidRPr="008D3E74">
        <w:rPr>
          <w:rFonts w:ascii="Arial" w:hAnsi="Arial" w:cs="Arial"/>
        </w:rPr>
        <w:fldChar w:fldCharType="begin"/>
      </w:r>
      <w:r w:rsidR="00754C02" w:rsidRPr="008D3E74">
        <w:rPr>
          <w:rFonts w:ascii="Arial" w:hAnsi="Arial" w:cs="Arial"/>
        </w:rPr>
        <w:instrText xml:space="preserve"> ADDIN ZOTERO_ITEM CSL_CITATION {"citationID":"Zk5xDuSz","properties":{"formattedCitation":"(Beards {\\i{}et al.} 2013)","plainCitation":"(Beards et al. 2013)","noteIndex":0},"citationItems":[{"id":1132,"uris":["http://zotero.org/users/local/hhPVnw6l/items/VS9MQTPW"],"uri":["http://zotero.org/users/local/hhPVnw6l/items/VS9MQTPW"],"itemData":{"id":1132,"type":"article-journal","title":"Life Events and Psychosis: A Review and Meta-analysis","container-title":"Schizophrenia Bulletin","page":"740-747","volume":"39","issue":"4","source":"PubMed Central","abstract":"Introduction:Recent models of psychosis implicate stressful events in its etiology. However, while evidence has accumulated for childhood trauma, the role of adult life events has received less attention. Therefore, a review of the existing literature on the relationship between life events and onset of psychotic disorder/experiences is timely. Methods: A search was conducted using PsychInfo, Medline, Embase, and Web of Science to identify studies of life events and the onset of psychosis or psychotic experiences within the general population. Given previous methodological concerns, this review included a novel quality assessment tool and focused on findings from the most robust studies. A meta-analysis was performed on a subgroup of 13 studies. Results: Sixteen studies published between 1968 and 2012 were included. Of these, 14 reported positive associations between exposure to adult life events and subsequent onset of psychotic disorder/experiences. The meta-analysis yielded an overall weighted OR of 3.19 (95% CI 2.15–4.75). However, many studies were limited by small sample sizes and the use of checklist measures of life events, with no consideration of contextual influences on the meaning and interpretation of events. Conclusions: Few studies have assessed the role of adult life events in the onset of psychosis. There was some evidence that reported exposure to adult life events was associated with increased risk of psychotic disorder and subclinical psychotic experiences. However, the methodological quality of the majority of studies was low, which urges caution in interpreting the results and points toward a need for more methodologically robust studies.","DOI":"10.1093/schbul/sbt065","ISSN":"0586-7614","note":"PMID: 23671196\nPMCID: PMC3686461","title-short":"Life Events and Psychosis","journalAbbreviation":"Schizophr Bull","author":[{"family":"Beards","given":"Stephanie"},{"family":"Gayer-Anderson","given":"Charlotte"},{"family":"Borges","given":"Susana"},{"family":"Dewey","given":"Michael E."},{"family":"Fisher","given":"Helen L."},{"family":"Morgan","given":"Craig"}],"issued":{"date-parts":[["2013",7]]}}}],"schema":"https://github.com/citation-style-language/schema/raw/master/csl-citation.json"} </w:instrText>
      </w:r>
      <w:r w:rsidR="00DE6DA3" w:rsidRPr="008D3E74">
        <w:rPr>
          <w:rFonts w:ascii="Arial" w:hAnsi="Arial" w:cs="Arial"/>
        </w:rPr>
        <w:fldChar w:fldCharType="separate"/>
      </w:r>
      <w:r w:rsidR="00754C02" w:rsidRPr="008D3E74">
        <w:rPr>
          <w:rFonts w:ascii="Arial" w:hAnsi="Arial" w:cs="Arial"/>
        </w:rPr>
        <w:t xml:space="preserve">(Beards </w:t>
      </w:r>
      <w:r w:rsidR="00754C02" w:rsidRPr="008D3E74">
        <w:rPr>
          <w:rFonts w:ascii="Arial" w:hAnsi="Arial" w:cs="Arial"/>
          <w:i/>
          <w:iCs/>
        </w:rPr>
        <w:t>et al.</w:t>
      </w:r>
      <w:r w:rsidR="00754C02" w:rsidRPr="008D3E74">
        <w:rPr>
          <w:rFonts w:ascii="Arial" w:hAnsi="Arial" w:cs="Arial"/>
        </w:rPr>
        <w:t xml:space="preserve"> 2013)</w:t>
      </w:r>
      <w:r w:rsidR="00DE6DA3" w:rsidRPr="008D3E74">
        <w:rPr>
          <w:rFonts w:ascii="Arial" w:hAnsi="Arial" w:cs="Arial"/>
        </w:rPr>
        <w:fldChar w:fldCharType="end"/>
      </w:r>
      <w:r w:rsidR="00603041" w:rsidRPr="008D3E74">
        <w:rPr>
          <w:rFonts w:ascii="Arial" w:hAnsi="Arial" w:cs="Arial"/>
        </w:rPr>
        <w:t>.</w:t>
      </w:r>
      <w:r w:rsidR="00DE6DA3" w:rsidRPr="008D3E74">
        <w:rPr>
          <w:rFonts w:ascii="Arial" w:hAnsi="Arial" w:cs="Arial"/>
        </w:rPr>
        <w:t xml:space="preserve"> </w:t>
      </w:r>
      <w:r w:rsidR="005C25F0" w:rsidRPr="008D3E74">
        <w:rPr>
          <w:rFonts w:ascii="Arial" w:hAnsi="Arial" w:cs="Arial"/>
        </w:rPr>
        <w:t xml:space="preserve">The association between stressful life events and PEs likely involves </w:t>
      </w:r>
      <w:r w:rsidR="00573AAC" w:rsidRPr="008D3E74">
        <w:rPr>
          <w:rFonts w:ascii="Arial" w:hAnsi="Arial" w:cs="Arial"/>
        </w:rPr>
        <w:t xml:space="preserve">several mechanisms such as </w:t>
      </w:r>
      <w:r w:rsidR="005C25F0" w:rsidRPr="008D3E74">
        <w:rPr>
          <w:rFonts w:ascii="Arial" w:hAnsi="Arial" w:cs="Arial"/>
        </w:rPr>
        <w:t xml:space="preserve">negative distortions of perception of the external world and dysregulations of the </w:t>
      </w:r>
      <w:r w:rsidR="0087079E" w:rsidRPr="008D3E74">
        <w:rPr>
          <w:rFonts w:ascii="Arial" w:hAnsi="Arial" w:cs="Arial"/>
        </w:rPr>
        <w:t>HPA</w:t>
      </w:r>
      <w:r w:rsidR="005C25F0" w:rsidRPr="008D3E74">
        <w:rPr>
          <w:rFonts w:ascii="Arial" w:hAnsi="Arial" w:cs="Arial"/>
        </w:rPr>
        <w:t xml:space="preserve"> axis</w:t>
      </w:r>
      <w:r w:rsidR="00603041" w:rsidRPr="008D3E74">
        <w:rPr>
          <w:rFonts w:ascii="Arial" w:hAnsi="Arial" w:cs="Arial"/>
        </w:rPr>
        <w:t xml:space="preserve"> </w:t>
      </w:r>
      <w:r w:rsidR="005F38F0" w:rsidRPr="008D3E74">
        <w:rPr>
          <w:rFonts w:ascii="Arial" w:hAnsi="Arial" w:cs="Arial"/>
        </w:rPr>
        <w:fldChar w:fldCharType="begin"/>
      </w:r>
      <w:r w:rsidR="00754C02" w:rsidRPr="008D3E74">
        <w:rPr>
          <w:rFonts w:ascii="Arial" w:hAnsi="Arial" w:cs="Arial"/>
        </w:rPr>
        <w:instrText xml:space="preserve"> ADDIN ZOTERO_ITEM CSL_CITATION {"citationID":"PIw4fQZL","properties":{"formattedCitation":"(Beards {\\i{}et al.} 2013)","plainCitation":"(Beards et al. 2013)","noteIndex":0},"citationItems":[{"id":1132,"uris":["http://zotero.org/users/local/hhPVnw6l/items/VS9MQTPW"],"uri":["http://zotero.org/users/local/hhPVnw6l/items/VS9MQTPW"],"itemData":{"id":1132,"type":"article-journal","title":"Life Events and Psychosis: A Review and Meta-analysis","container-title":"Schizophrenia Bulletin","page":"740-747","volume":"39","issue":"4","source":"PubMed Central","abstract":"Introduction:Recent models of psychosis implicate stressful events in its etiology. However, while evidence has accumulated for childhood trauma, the role of adult life events has received less attention. Therefore, a review of the existing literature on the relationship between life events and onset of psychotic disorder/experiences is timely. Methods: A search was conducted using PsychInfo, Medline, Embase, and Web of Science to identify studies of life events and the onset of psychosis or psychotic experiences within the general population. Given previous methodological concerns, this review included a novel quality assessment tool and focused on findings from the most robust studies. A meta-analysis was performed on a subgroup of 13 studies. Results: Sixteen studies published between 1968 and 2012 were included. Of these, 14 reported positive associations between exposure to adult life events and subsequent onset of psychotic disorder/experiences. The meta-analysis yielded an overall weighted OR of 3.19 (95% CI 2.15–4.75). However, many studies were limited by small sample sizes and the use of checklist measures of life events, with no consideration of contextual influences on the meaning and interpretation of events. Conclusions: Few studies have assessed the role of adult life events in the onset of psychosis. There was some evidence that reported exposure to adult life events was associated with increased risk of psychotic disorder and subclinical psychotic experiences. However, the methodological quality of the majority of studies was low, which urges caution in interpreting the results and points toward a need for more methodologically robust studies.","DOI":"10.1093/schbul/sbt065","ISSN":"0586-7614","note":"PMID: 23671196\nPMCID: PMC3686461","title-short":"Life Events and Psychosis","journalAbbreviation":"Schizophr Bull","author":[{"family":"Beards","given":"Stephanie"},{"family":"Gayer-Anderson","given":"Charlotte"},{"family":"Borges","given":"Susana"},{"family":"Dewey","given":"Michael E."},{"family":"Fisher","given":"Helen L."},{"family":"Morgan","given":"Craig"}],"issued":{"date-parts":[["2013",7]]}}}],"schema":"https://github.com/citation-style-language/schema/raw/master/csl-citation.json"} </w:instrText>
      </w:r>
      <w:r w:rsidR="005F38F0" w:rsidRPr="008D3E74">
        <w:rPr>
          <w:rFonts w:ascii="Arial" w:hAnsi="Arial" w:cs="Arial"/>
        </w:rPr>
        <w:fldChar w:fldCharType="separate"/>
      </w:r>
      <w:r w:rsidR="00754C02" w:rsidRPr="008D3E74">
        <w:rPr>
          <w:rFonts w:ascii="Arial" w:hAnsi="Arial" w:cs="Arial"/>
        </w:rPr>
        <w:t xml:space="preserve">(Beards </w:t>
      </w:r>
      <w:r w:rsidR="00754C02" w:rsidRPr="008D3E74">
        <w:rPr>
          <w:rFonts w:ascii="Arial" w:hAnsi="Arial" w:cs="Arial"/>
          <w:i/>
          <w:iCs/>
        </w:rPr>
        <w:t>et al.</w:t>
      </w:r>
      <w:r w:rsidR="00754C02" w:rsidRPr="008D3E74">
        <w:rPr>
          <w:rFonts w:ascii="Arial" w:hAnsi="Arial" w:cs="Arial"/>
        </w:rPr>
        <w:t xml:space="preserve"> 2013)</w:t>
      </w:r>
      <w:r w:rsidR="005F38F0" w:rsidRPr="008D3E74">
        <w:rPr>
          <w:rFonts w:ascii="Arial" w:hAnsi="Arial" w:cs="Arial"/>
        </w:rPr>
        <w:fldChar w:fldCharType="end"/>
      </w:r>
      <w:r w:rsidR="00603041" w:rsidRPr="008D3E74">
        <w:rPr>
          <w:rFonts w:ascii="Arial" w:hAnsi="Arial" w:cs="Arial"/>
        </w:rPr>
        <w:t>.</w:t>
      </w:r>
      <w:r w:rsidR="005C25F0" w:rsidRPr="008D3E74">
        <w:rPr>
          <w:rFonts w:ascii="Arial" w:hAnsi="Arial" w:cs="Arial"/>
        </w:rPr>
        <w:t xml:space="preserve"> </w:t>
      </w:r>
      <w:r w:rsidR="002240D3" w:rsidRPr="008D3E74">
        <w:rPr>
          <w:rFonts w:ascii="Arial" w:hAnsi="Arial" w:cs="Arial"/>
        </w:rPr>
        <w:t>Bullying victimizatio</w:t>
      </w:r>
      <w:r w:rsidR="00537739" w:rsidRPr="008D3E74">
        <w:rPr>
          <w:rFonts w:ascii="Arial" w:hAnsi="Arial" w:cs="Arial"/>
        </w:rPr>
        <w:t>n may also be implicated in the sexual orientation-PE</w:t>
      </w:r>
      <w:r w:rsidR="002240D3" w:rsidRPr="008D3E74">
        <w:rPr>
          <w:rFonts w:ascii="Arial" w:hAnsi="Arial" w:cs="Arial"/>
        </w:rPr>
        <w:t xml:space="preserve"> association in a similar way. </w:t>
      </w:r>
      <w:r w:rsidR="00C66B5C" w:rsidRPr="008D3E74">
        <w:rPr>
          <w:rFonts w:ascii="Arial" w:hAnsi="Arial" w:cs="Arial"/>
        </w:rPr>
        <w:t>Although some stressful life events and bullying victimization could have occurred</w:t>
      </w:r>
      <w:r w:rsidR="008926F6" w:rsidRPr="008D3E74">
        <w:rPr>
          <w:rFonts w:ascii="Arial" w:hAnsi="Arial" w:cs="Arial"/>
        </w:rPr>
        <w:t xml:space="preserve"> for a variety of reasons</w:t>
      </w:r>
      <w:r w:rsidR="00C66B5C" w:rsidRPr="008D3E74">
        <w:rPr>
          <w:rFonts w:ascii="Arial" w:hAnsi="Arial" w:cs="Arial"/>
        </w:rPr>
        <w:t xml:space="preserve"> </w:t>
      </w:r>
      <w:r w:rsidR="00B91A36" w:rsidRPr="008D3E74">
        <w:rPr>
          <w:rFonts w:ascii="Arial" w:hAnsi="Arial" w:cs="Arial"/>
        </w:rPr>
        <w:t>during childhood and adolescent development</w:t>
      </w:r>
      <w:r w:rsidR="00F126A7" w:rsidRPr="008D3E74">
        <w:rPr>
          <w:rFonts w:ascii="Arial" w:hAnsi="Arial" w:cs="Arial"/>
        </w:rPr>
        <w:t>al</w:t>
      </w:r>
      <w:r w:rsidR="00B91A36" w:rsidRPr="008D3E74">
        <w:rPr>
          <w:rFonts w:ascii="Arial" w:hAnsi="Arial" w:cs="Arial"/>
        </w:rPr>
        <w:t xml:space="preserve"> stages, </w:t>
      </w:r>
      <w:r w:rsidR="002C60A7" w:rsidRPr="008D3E74">
        <w:rPr>
          <w:rFonts w:ascii="Arial" w:hAnsi="Arial" w:cs="Arial"/>
        </w:rPr>
        <w:t xml:space="preserve">youths who will later identify as </w:t>
      </w:r>
      <w:r w:rsidR="00F126A7" w:rsidRPr="008D3E74">
        <w:rPr>
          <w:rFonts w:ascii="Arial" w:hAnsi="Arial" w:cs="Arial"/>
        </w:rPr>
        <w:t xml:space="preserve">being </w:t>
      </w:r>
      <w:r w:rsidR="002C60A7" w:rsidRPr="008D3E74">
        <w:rPr>
          <w:rFonts w:ascii="Arial" w:hAnsi="Arial" w:cs="Arial"/>
        </w:rPr>
        <w:t>non-heterosexual</w:t>
      </w:r>
      <w:r w:rsidR="00DE642E" w:rsidRPr="008D3E74">
        <w:rPr>
          <w:rFonts w:ascii="Arial" w:hAnsi="Arial" w:cs="Arial"/>
        </w:rPr>
        <w:t xml:space="preserve"> may display certain levels of gender non-conformity</w:t>
      </w:r>
      <w:r w:rsidR="000E26D1" w:rsidRPr="008D3E74">
        <w:rPr>
          <w:rFonts w:ascii="Arial" w:hAnsi="Arial" w:cs="Arial"/>
        </w:rPr>
        <w:t>, and this could</w:t>
      </w:r>
      <w:r w:rsidR="00C66B5C" w:rsidRPr="008D3E74">
        <w:rPr>
          <w:rFonts w:ascii="Arial" w:hAnsi="Arial" w:cs="Arial"/>
        </w:rPr>
        <w:t xml:space="preserve"> make them more susceptible to </w:t>
      </w:r>
      <w:r w:rsidR="002C60A7" w:rsidRPr="008D3E74">
        <w:rPr>
          <w:rFonts w:ascii="Arial" w:hAnsi="Arial" w:cs="Arial"/>
        </w:rPr>
        <w:t>parental maltreatment at home or peer bullying at school</w:t>
      </w:r>
      <w:r w:rsidR="001538CD" w:rsidRPr="008D3E74">
        <w:rPr>
          <w:rFonts w:ascii="Arial" w:hAnsi="Arial" w:cs="Arial"/>
        </w:rPr>
        <w:t xml:space="preserve"> during this formative period</w:t>
      </w:r>
      <w:r w:rsidR="00603041" w:rsidRPr="008D3E74">
        <w:rPr>
          <w:rFonts w:ascii="Arial" w:hAnsi="Arial" w:cs="Arial"/>
        </w:rPr>
        <w:t xml:space="preserve"> </w:t>
      </w:r>
      <w:r w:rsidR="002C60A7" w:rsidRPr="008D3E74">
        <w:rPr>
          <w:rFonts w:ascii="Arial" w:hAnsi="Arial" w:cs="Arial"/>
        </w:rPr>
        <w:fldChar w:fldCharType="begin"/>
      </w:r>
      <w:r w:rsidR="00754C02" w:rsidRPr="008D3E74">
        <w:rPr>
          <w:rFonts w:ascii="Arial" w:hAnsi="Arial" w:cs="Arial"/>
        </w:rPr>
        <w:instrText xml:space="preserve"> ADDIN ZOTERO_ITEM CSL_CITATION {"citationID":"a3rGCWdg","properties":{"formattedCitation":"(Gevonden {\\i{}et al.} 2014)","plainCitation":"(Gevonden et al. 2014)","noteIndex":0},"citationItems":[{"id":1124,"uris":["http://zotero.org/users/local/hhPVnw6l/items/GA8SRVT5"],"uri":["http://zotero.org/users/local/hhPVnw6l/items/GA8SRVT5"],"itemData":{"id":1124,"type":"article-journal","title":"Sexual minority status and psychotic symptoms: findings from the Netherlands Mental Health Survey and Incidence Studies (NEMESIS)","container-title":"Psychological Medicine","page":"421-433","volume":"44","issue":"2","source":"Cambridge Core","abstract":"Background\nEthnic minority position is associated with increased risk for psychotic outcomes, which may be mediated by experiences of social exclusion, defeat and discrimination. Sexual minorities are subject to similar stressors. The aim of this study is to examine whether sexual minorities are at increased risk for psychotic symptoms and to explore mediating pathways.\n\n\nMethod\nA cross-sectional survey was performed assessing cumulative incidence of psychotic symptoms with the Composite International Diagnostic Interview in two separate random general population samples (NEMESIS-1 and NEMESIS-2). Participants were sexually active and aged 18–64 years (n = 5927, n = 5308). Being lesbian, gay or bisexual (LGB) was defined as having sexual relations with at least one same-sex partner during the past year. Lifetime experience of any psychotic symptom was analysed using logistic regression, adjusted for gender, educational level, urbanicity, foreign-born parents, living without a partner, cannabis use and other drug use.\n\n\nResults\nThe rate of any psychotic symptom was elevated in the LGB population as compared with the heterosexual population both in NEMESIS-1 [odds ratio (OR) 2.56, 95% confidence interval (CI) 1.71–3.84] and NEMESIS-2 (OR 2.30, 95% CI 1.42–3.71). Childhood trauma, bullying and experience of discrimination partly mediated the association.\n\n\nConclusions\nThe finding that LGB orientation is associated with psychotic symptoms adds to the growing body of literature linking minority status with psychosis and other mental health problems, and suggests that exposure to minority stress represents an important mechanism.","DOI":"10.1017/S0033291713000718","ISSN":"0033-2917, 1469-8978","title-short":"Sexual minority status and psychotic symptoms","language":"en","author":[{"family":"Gevonden","given":"M. J."},{"family":"Selten","given":"J. P."},{"family":"Myin-Germeys","given":"I."},{"family":"Graaf","given":"R.","dropping-particle":"de"},{"family":"Have","given":"M.","dropping-particle":"ten"},{"family":"Dorsselaer","given":"S.","dropping-particle":"van"},{"family":"Os","given":"J.","dropping-particle":"van"},{"family":"Veling","given":"W."}],"issued":{"date-parts":[["2014",1]]}}}],"schema":"https://github.com/citation-style-language/schema/raw/master/csl-citation.json"} </w:instrText>
      </w:r>
      <w:r w:rsidR="002C60A7" w:rsidRPr="008D3E74">
        <w:rPr>
          <w:rFonts w:ascii="Arial" w:hAnsi="Arial" w:cs="Arial"/>
        </w:rPr>
        <w:fldChar w:fldCharType="separate"/>
      </w:r>
      <w:r w:rsidR="00754C02" w:rsidRPr="008D3E74">
        <w:rPr>
          <w:rFonts w:ascii="Arial" w:hAnsi="Arial" w:cs="Arial"/>
        </w:rPr>
        <w:t xml:space="preserve">(Gevonden </w:t>
      </w:r>
      <w:r w:rsidR="00754C02" w:rsidRPr="008D3E74">
        <w:rPr>
          <w:rFonts w:ascii="Arial" w:hAnsi="Arial" w:cs="Arial"/>
          <w:i/>
          <w:iCs/>
        </w:rPr>
        <w:t>et al.</w:t>
      </w:r>
      <w:r w:rsidR="00754C02" w:rsidRPr="008D3E74">
        <w:rPr>
          <w:rFonts w:ascii="Arial" w:hAnsi="Arial" w:cs="Arial"/>
        </w:rPr>
        <w:t xml:space="preserve"> 2014)</w:t>
      </w:r>
      <w:r w:rsidR="002C60A7" w:rsidRPr="008D3E74">
        <w:rPr>
          <w:rFonts w:ascii="Arial" w:hAnsi="Arial" w:cs="Arial"/>
        </w:rPr>
        <w:fldChar w:fldCharType="end"/>
      </w:r>
      <w:r w:rsidR="00603041" w:rsidRPr="008D3E74">
        <w:rPr>
          <w:rFonts w:ascii="Arial" w:hAnsi="Arial" w:cs="Arial"/>
        </w:rPr>
        <w:t>.</w:t>
      </w:r>
    </w:p>
    <w:p w14:paraId="2B14F76F" w14:textId="77777777" w:rsidR="00347A97" w:rsidRPr="008D3E74" w:rsidRDefault="00347A97" w:rsidP="000050E5">
      <w:pPr>
        <w:spacing w:line="480" w:lineRule="auto"/>
        <w:jc w:val="both"/>
        <w:rPr>
          <w:rFonts w:ascii="Arial" w:hAnsi="Arial" w:cs="Arial"/>
        </w:rPr>
      </w:pPr>
    </w:p>
    <w:p w14:paraId="6C4AA8C9" w14:textId="783B251C" w:rsidR="00D3471D" w:rsidRPr="008D3E74" w:rsidRDefault="00BE5DBB" w:rsidP="000050E5">
      <w:pPr>
        <w:spacing w:line="480" w:lineRule="auto"/>
        <w:jc w:val="both"/>
        <w:rPr>
          <w:rFonts w:ascii="Arial" w:hAnsi="Arial" w:cs="Arial"/>
        </w:rPr>
      </w:pPr>
      <w:r w:rsidRPr="008D3E74">
        <w:rPr>
          <w:rFonts w:ascii="Arial" w:hAnsi="Arial" w:cs="Arial"/>
        </w:rPr>
        <w:t>Loneliness also explained a</w:t>
      </w:r>
      <w:r w:rsidR="0050623B" w:rsidRPr="008D3E74">
        <w:rPr>
          <w:rFonts w:ascii="Arial" w:hAnsi="Arial" w:cs="Arial"/>
        </w:rPr>
        <w:t xml:space="preserve">n important </w:t>
      </w:r>
      <w:r w:rsidRPr="008D3E74">
        <w:rPr>
          <w:rFonts w:ascii="Arial" w:hAnsi="Arial" w:cs="Arial"/>
        </w:rPr>
        <w:t xml:space="preserve">proportion of the association </w:t>
      </w:r>
      <w:r w:rsidR="00014222" w:rsidRPr="008D3E74">
        <w:rPr>
          <w:rFonts w:ascii="Arial" w:hAnsi="Arial" w:cs="Arial"/>
        </w:rPr>
        <w:t>between sexual orientation and PEs</w:t>
      </w:r>
      <w:r w:rsidRPr="008D3E74">
        <w:rPr>
          <w:rFonts w:ascii="Arial" w:hAnsi="Arial" w:cs="Arial"/>
        </w:rPr>
        <w:t>. A previous study showed that s</w:t>
      </w:r>
      <w:r w:rsidR="005C25F0" w:rsidRPr="008D3E74">
        <w:rPr>
          <w:rFonts w:ascii="Arial" w:hAnsi="Arial" w:cs="Arial"/>
        </w:rPr>
        <w:t xml:space="preserve">exual minorities (i.e., </w:t>
      </w:r>
      <w:r w:rsidR="00360EAC" w:rsidRPr="008D3E74">
        <w:rPr>
          <w:rFonts w:ascii="Arial" w:hAnsi="Arial" w:cs="Arial"/>
        </w:rPr>
        <w:t>mostly heterosexual, bisexual, mostly gay/lesbian, gay/lesbian</w:t>
      </w:r>
      <w:r w:rsidR="005C25F0" w:rsidRPr="008D3E74">
        <w:rPr>
          <w:rFonts w:ascii="Arial" w:hAnsi="Arial" w:cs="Arial"/>
        </w:rPr>
        <w:t xml:space="preserve">) </w:t>
      </w:r>
      <w:r w:rsidRPr="008D3E74">
        <w:rPr>
          <w:rFonts w:ascii="Arial" w:hAnsi="Arial" w:cs="Arial"/>
        </w:rPr>
        <w:t>are more likely to be lonely possibly due to marginalization</w:t>
      </w:r>
      <w:r w:rsidR="00603041" w:rsidRPr="008D3E74">
        <w:rPr>
          <w:rFonts w:ascii="Arial" w:hAnsi="Arial" w:cs="Arial"/>
        </w:rPr>
        <w:t xml:space="preserve"> </w:t>
      </w:r>
      <w:r w:rsidR="008105E4" w:rsidRPr="008D3E74">
        <w:rPr>
          <w:rFonts w:ascii="Arial" w:hAnsi="Arial" w:cs="Arial"/>
        </w:rPr>
        <w:fldChar w:fldCharType="begin"/>
      </w:r>
      <w:r w:rsidR="00754C02" w:rsidRPr="008D3E74">
        <w:rPr>
          <w:rFonts w:ascii="Arial" w:hAnsi="Arial" w:cs="Arial"/>
        </w:rPr>
        <w:instrText xml:space="preserve"> ADDIN ZOTERO_ITEM CSL_CITATION {"citationID":"hDj7FArC","properties":{"formattedCitation":"(Doyle &amp; Molix 2016)","plainCitation":"(Doyle &amp; Molix 2016)","noteIndex":0},"citationItems":[{"id":1203,"uris":["http://zotero.org/users/local/hhPVnw6l/items/H4LXDCN5"],"uri":["http://zotero.org/users/local/hhPVnw6l/items/H4LXDCN5"],"itemData":{"id":1203,"type":"article-journal","title":"Disparities in Social Health by Sexual Orientation and the Etiologic Role of Self-Reported Discrimination","container-title":"Archives of Sexual Behavior","page":"1317-1327","volume":"45","issue":"6","source":"PubMed","abstract":"Some past work indicates that sexual minorities may experience impairments in social health, or the perceived and actual availability and quality of one's social relationships, relative to heterosexuals; however, research has been limited in many ways. Furthermore, it is important to investigate etiological factors that may be associated with these disparities, such as self-reported discrimination. The current work tested whether sexual minority adults in the United States reported less positive social health (i.e., loneliness, friendship strain, familial strain, and social capital) relative to heterosexuals and whether self-reported discrimination accounted for these disparities. Participants for the current study (N = 579) were recruited via Amazon's Mechanical Turk, including 365 self-identified heterosexuals (105 women) and 214 sexual minorities (103 women). Consistent with hypotheses, sexual minorities reported impaired social health relative to heterosexuals, with divergent patterns emerging by sexual orientation subgroup (which were generally consistent across sexes). Additionally, self-reported discrimination accounted for disparities across three of four indicators of social health. These findings suggest that sexual minorities may face obstacles related to prejudice and discrimination that impair the functioning of their relationships and overall social health. Moreover, because social health is closely related to psychological and physical health, remediating disparities in social relationships may be necessary to address other health disparities based upon sexual orientation. Expanding upon these results, implications for efforts to build resilience among sexual minorities are discussed.","DOI":"10.1007/s10508-015-0639-5","ISSN":"1573-2800","note":"PMID: 26566900\nPMCID: PMC4866902","journalAbbreviation":"Arch Sex Behav","language":"eng","author":[{"family":"Doyle","given":"David Matthew"},{"family":"Molix","given":"Lisa"}],"issued":{"date-parts":[["2016"]]}}}],"schema":"https://github.com/citation-style-language/schema/raw/master/csl-citation.json"} </w:instrText>
      </w:r>
      <w:r w:rsidR="008105E4" w:rsidRPr="008D3E74">
        <w:rPr>
          <w:rFonts w:ascii="Arial" w:hAnsi="Arial" w:cs="Arial"/>
        </w:rPr>
        <w:fldChar w:fldCharType="separate"/>
      </w:r>
      <w:r w:rsidR="00754C02" w:rsidRPr="008D3E74">
        <w:rPr>
          <w:rFonts w:ascii="Arial" w:hAnsi="Arial" w:cs="Arial"/>
        </w:rPr>
        <w:t>(Doyle &amp; Molix 2016)</w:t>
      </w:r>
      <w:r w:rsidR="008105E4" w:rsidRPr="008D3E74">
        <w:rPr>
          <w:rFonts w:ascii="Arial" w:hAnsi="Arial" w:cs="Arial"/>
        </w:rPr>
        <w:fldChar w:fldCharType="end"/>
      </w:r>
      <w:r w:rsidR="00603041" w:rsidRPr="008D3E74">
        <w:rPr>
          <w:rFonts w:ascii="Arial" w:hAnsi="Arial" w:cs="Arial"/>
        </w:rPr>
        <w:t>.</w:t>
      </w:r>
      <w:r w:rsidR="003B3D34" w:rsidRPr="008D3E74">
        <w:rPr>
          <w:rFonts w:ascii="Arial" w:hAnsi="Arial" w:cs="Arial"/>
        </w:rPr>
        <w:t xml:space="preserve"> </w:t>
      </w:r>
      <w:r w:rsidR="00B67914" w:rsidRPr="008D3E74">
        <w:rPr>
          <w:rFonts w:ascii="Arial" w:hAnsi="Arial" w:cs="Arial"/>
        </w:rPr>
        <w:t>In turn, l</w:t>
      </w:r>
      <w:r w:rsidRPr="008D3E74">
        <w:rPr>
          <w:rFonts w:ascii="Arial" w:hAnsi="Arial" w:cs="Arial"/>
        </w:rPr>
        <w:t xml:space="preserve">oneliness may lead to PE via </w:t>
      </w:r>
      <w:r w:rsidR="00B67914" w:rsidRPr="008D3E74">
        <w:rPr>
          <w:rFonts w:ascii="Arial" w:hAnsi="Arial" w:cs="Arial"/>
        </w:rPr>
        <w:t xml:space="preserve">depression </w:t>
      </w:r>
      <w:r w:rsidR="007E5BA6" w:rsidRPr="008D3E74">
        <w:rPr>
          <w:rFonts w:ascii="Arial" w:hAnsi="Arial" w:cs="Arial"/>
        </w:rPr>
        <w:t>and other mental disorders</w:t>
      </w:r>
      <w:r w:rsidR="00603041" w:rsidRPr="008D3E74">
        <w:rPr>
          <w:rFonts w:ascii="Arial" w:hAnsi="Arial" w:cs="Arial"/>
        </w:rPr>
        <w:t xml:space="preserve"> </w:t>
      </w:r>
      <w:r w:rsidR="007E5BA6" w:rsidRPr="008D3E74">
        <w:rPr>
          <w:rFonts w:ascii="Arial" w:hAnsi="Arial" w:cs="Arial"/>
        </w:rPr>
        <w:fldChar w:fldCharType="begin"/>
      </w:r>
      <w:r w:rsidR="00754C02" w:rsidRPr="008D3E74">
        <w:rPr>
          <w:rFonts w:ascii="Arial" w:hAnsi="Arial" w:cs="Arial"/>
        </w:rPr>
        <w:instrText xml:space="preserve"> ADDIN ZOTERO_ITEM CSL_CITATION {"citationID":"08H2tlZJ","properties":{"formattedCitation":"(Jaya {\\i{}et al.} 2017)","plainCitation":"(Jaya et al. 2017)","noteIndex":0},"citationItems":[{"id":1137,"uris":["http://zotero.org/users/local/hhPVnw6l/items/HZ5KM4FZ"],"uri":["http://zotero.org/users/local/hhPVnw6l/items/HZ5KM4FZ"],"itemData":{"id":1137,"type":"article-journal","title":"Loneliness and Psychotic Symptoms: The Mediating Role of Depression","container-title":"Cognitive Therapy and Research","page":"106-116","volume":"41","issue":"1","source":"Springer Link","abstract":"Psychotic symptoms have been shown to be associated with numerous social factors, such as migration and urban upbringing, of which one plausible common component is loneliness. This suggests a relationship between loneliness and positive psychotic symptoms. According to current cognitive models of psychosis, the relationship between loneliness and positive symptoms is likely to be explained by affective states. The current study examined the cross-sectional relationship between loneliness, depression, and positive symptoms in four separate community samples (combined N = 766) with regression based mediation analysis and network analysis. The results showed that depression completely mediated the relationship between loneliness and positive symptoms in three out of four samples. Partial mediation was found in one sample. Network analysis revealed that loneliness, depression, and positive symptoms clustered separately and that there was a unique connection between loneliness and items that assess paranoid beliefs, in the sense that loneliness was not found to be connected to other psychotic symptoms, such as hallucinations. As expected, loneliness is related to positive symptoms and depression played a strong role in explaining the association. Thus, early interventions of psychosis that target loneliness are likely to be beneficial, especially if these interventions additionally target depression. Furthermore, the specific connection of loneliness and paranoid beliefs supports the theory that specific adversity leads to specific psychotic symptoms.","DOI":"10.1007/s10608-016-9799-4","ISSN":"1573-2819","title-short":"Loneliness and Psychotic Symptoms","journalAbbreviation":"Cogn Ther Res","language":"en","author":[{"family":"Jaya","given":"Edo S."},{"family":"Hillmann","given":"Tobias E."},{"family":"Reininger","given":"Klaus Michael"},{"family":"Gollwitzer","given":"Anton"},{"family":"Lincoln","given":"Tania M."}],"issued":{"date-parts":[["2017",2,1]]}}}],"schema":"https://github.com/citation-style-language/schema/raw/master/csl-citation.json"} </w:instrText>
      </w:r>
      <w:r w:rsidR="007E5BA6" w:rsidRPr="008D3E74">
        <w:rPr>
          <w:rFonts w:ascii="Arial" w:hAnsi="Arial" w:cs="Arial"/>
        </w:rPr>
        <w:fldChar w:fldCharType="separate"/>
      </w:r>
      <w:r w:rsidR="00754C02" w:rsidRPr="008D3E74">
        <w:rPr>
          <w:rFonts w:ascii="Arial" w:hAnsi="Arial" w:cs="Arial"/>
        </w:rPr>
        <w:t xml:space="preserve">(Jaya </w:t>
      </w:r>
      <w:r w:rsidR="00754C02" w:rsidRPr="008D3E74">
        <w:rPr>
          <w:rFonts w:ascii="Arial" w:hAnsi="Arial" w:cs="Arial"/>
          <w:i/>
          <w:iCs/>
        </w:rPr>
        <w:t>et al.</w:t>
      </w:r>
      <w:r w:rsidR="00754C02" w:rsidRPr="008D3E74">
        <w:rPr>
          <w:rFonts w:ascii="Arial" w:hAnsi="Arial" w:cs="Arial"/>
        </w:rPr>
        <w:t xml:space="preserve"> 2017)</w:t>
      </w:r>
      <w:r w:rsidR="007E5BA6" w:rsidRPr="008D3E74">
        <w:rPr>
          <w:rFonts w:ascii="Arial" w:hAnsi="Arial" w:cs="Arial"/>
        </w:rPr>
        <w:fldChar w:fldCharType="end"/>
      </w:r>
      <w:r w:rsidR="00603041" w:rsidRPr="008D3E74">
        <w:rPr>
          <w:rFonts w:ascii="Arial" w:hAnsi="Arial" w:cs="Arial"/>
        </w:rPr>
        <w:t>.</w:t>
      </w:r>
      <w:r w:rsidRPr="008D3E74">
        <w:rPr>
          <w:rFonts w:ascii="Arial" w:hAnsi="Arial" w:cs="Arial"/>
        </w:rPr>
        <w:t xml:space="preserve"> </w:t>
      </w:r>
      <w:r w:rsidR="002240D3" w:rsidRPr="008D3E74">
        <w:rPr>
          <w:rFonts w:ascii="Arial" w:hAnsi="Arial" w:cs="Arial"/>
        </w:rPr>
        <w:t>Interestingly, despite this finding on loneliness, social support explained the sexual orientation-PE association to a much lesser extent</w:t>
      </w:r>
      <w:r w:rsidR="00430A81" w:rsidRPr="008D3E74">
        <w:rPr>
          <w:rFonts w:ascii="Arial" w:hAnsi="Arial" w:cs="Arial"/>
        </w:rPr>
        <w:t xml:space="preserve"> in our study</w:t>
      </w:r>
      <w:r w:rsidR="002240D3" w:rsidRPr="008D3E74">
        <w:rPr>
          <w:rFonts w:ascii="Arial" w:hAnsi="Arial" w:cs="Arial"/>
        </w:rPr>
        <w:t xml:space="preserve">. This may mean that the self-perception </w:t>
      </w:r>
      <w:r w:rsidR="00430A81" w:rsidRPr="008D3E74">
        <w:rPr>
          <w:rFonts w:ascii="Arial" w:hAnsi="Arial" w:cs="Arial"/>
        </w:rPr>
        <w:t xml:space="preserve">of social relationships is more important than actual social ties. </w:t>
      </w:r>
    </w:p>
    <w:p w14:paraId="5A2E07D7" w14:textId="77777777" w:rsidR="00D3471D" w:rsidRPr="008D3E74" w:rsidRDefault="00D3471D" w:rsidP="000050E5">
      <w:pPr>
        <w:spacing w:line="480" w:lineRule="auto"/>
        <w:jc w:val="both"/>
        <w:rPr>
          <w:rFonts w:ascii="Arial" w:hAnsi="Arial" w:cs="Arial"/>
        </w:rPr>
      </w:pPr>
    </w:p>
    <w:p w14:paraId="036362E2" w14:textId="010EE6B0" w:rsidR="00DE6835" w:rsidRPr="008D3E74" w:rsidRDefault="00BE5DBB" w:rsidP="000050E5">
      <w:pPr>
        <w:spacing w:line="480" w:lineRule="auto"/>
        <w:jc w:val="both"/>
        <w:rPr>
          <w:rFonts w:ascii="Arial" w:eastAsia="Times New Roman" w:hAnsi="Arial" w:cs="Arial"/>
        </w:rPr>
      </w:pPr>
      <w:r w:rsidRPr="008D3E74">
        <w:rPr>
          <w:rFonts w:ascii="Arial" w:hAnsi="Arial" w:cs="Arial"/>
        </w:rPr>
        <w:lastRenderedPageBreak/>
        <w:t xml:space="preserve">Next, </w:t>
      </w:r>
      <w:r w:rsidR="00826879" w:rsidRPr="008D3E74">
        <w:rPr>
          <w:rFonts w:ascii="Arial" w:hAnsi="Arial" w:cs="Arial"/>
        </w:rPr>
        <w:t>a variety of psychopathology including BPD</w:t>
      </w:r>
      <w:r w:rsidR="00B6221F" w:rsidRPr="008D3E74">
        <w:rPr>
          <w:rFonts w:ascii="Arial" w:hAnsi="Arial" w:cs="Arial"/>
        </w:rPr>
        <w:t>,</w:t>
      </w:r>
      <w:r w:rsidR="00826879" w:rsidRPr="008D3E74">
        <w:rPr>
          <w:rFonts w:ascii="Arial" w:hAnsi="Arial" w:cs="Arial"/>
        </w:rPr>
        <w:t xml:space="preserve"> </w:t>
      </w:r>
      <w:r w:rsidR="00B6221F" w:rsidRPr="008D3E74">
        <w:rPr>
          <w:rFonts w:ascii="Arial" w:hAnsi="Arial" w:cs="Arial"/>
        </w:rPr>
        <w:t xml:space="preserve">CMDs and PTSD </w:t>
      </w:r>
      <w:r w:rsidR="00933FB7" w:rsidRPr="008D3E74">
        <w:rPr>
          <w:rFonts w:ascii="Arial" w:hAnsi="Arial" w:cs="Arial"/>
        </w:rPr>
        <w:t>has</w:t>
      </w:r>
      <w:r w:rsidR="00826879" w:rsidRPr="008D3E74">
        <w:rPr>
          <w:rFonts w:ascii="Arial" w:hAnsi="Arial" w:cs="Arial"/>
        </w:rPr>
        <w:t xml:space="preserve"> been reported to be more common in non-heterosexual individuals</w:t>
      </w:r>
      <w:r w:rsidR="00272D38" w:rsidRPr="008D3E74">
        <w:rPr>
          <w:rFonts w:ascii="Arial" w:hAnsi="Arial" w:cs="Arial"/>
        </w:rPr>
        <w:t>, and</w:t>
      </w:r>
      <w:r w:rsidR="00826879" w:rsidRPr="008D3E74">
        <w:rPr>
          <w:rFonts w:ascii="Arial" w:hAnsi="Arial" w:cs="Arial"/>
        </w:rPr>
        <w:t xml:space="preserve"> </w:t>
      </w:r>
      <w:r w:rsidR="00272D38" w:rsidRPr="008D3E74">
        <w:rPr>
          <w:rFonts w:ascii="Arial" w:hAnsi="Arial" w:cs="Arial"/>
        </w:rPr>
        <w:t>this</w:t>
      </w:r>
      <w:r w:rsidR="00826879" w:rsidRPr="008D3E74">
        <w:rPr>
          <w:rFonts w:ascii="Arial" w:hAnsi="Arial" w:cs="Arial"/>
        </w:rPr>
        <w:t xml:space="preserve"> may be due to factors such as </w:t>
      </w:r>
      <w:r w:rsidR="00715510" w:rsidRPr="008D3E74">
        <w:rPr>
          <w:rFonts w:ascii="Arial" w:hAnsi="Arial" w:cs="Arial"/>
        </w:rPr>
        <w:t>chronic environmental invalidation</w:t>
      </w:r>
      <w:r w:rsidR="00FE41E0" w:rsidRPr="008D3E74">
        <w:rPr>
          <w:rFonts w:ascii="Arial" w:hAnsi="Arial" w:cs="Arial"/>
        </w:rPr>
        <w:t xml:space="preserve"> (e.g.,</w:t>
      </w:r>
      <w:r w:rsidR="00F6511B" w:rsidRPr="008D3E74">
        <w:rPr>
          <w:rFonts w:ascii="Arial" w:hAnsi="Arial" w:cs="Arial"/>
        </w:rPr>
        <w:t xml:space="preserve"> negation of emotions, dismissal of cognitive experiences</w:t>
      </w:r>
      <w:r w:rsidR="00FE41E0" w:rsidRPr="008D3E74">
        <w:rPr>
          <w:rFonts w:ascii="Arial" w:hAnsi="Arial" w:cs="Arial"/>
        </w:rPr>
        <w:t>)</w:t>
      </w:r>
      <w:r w:rsidR="00715510" w:rsidRPr="008D3E74">
        <w:rPr>
          <w:rFonts w:ascii="Arial" w:hAnsi="Arial" w:cs="Arial"/>
        </w:rPr>
        <w:t xml:space="preserve"> </w:t>
      </w:r>
      <w:r w:rsidR="00F6196D" w:rsidRPr="008D3E74">
        <w:rPr>
          <w:rFonts w:ascii="Arial" w:hAnsi="Arial" w:cs="Arial"/>
        </w:rPr>
        <w:t>and disruptions in identity formation</w:t>
      </w:r>
      <w:r w:rsidR="00603041" w:rsidRPr="008D3E74">
        <w:rPr>
          <w:rFonts w:ascii="Arial" w:hAnsi="Arial" w:cs="Arial"/>
        </w:rPr>
        <w:t xml:space="preserve"> </w:t>
      </w:r>
      <w:r w:rsidR="00B5088D" w:rsidRPr="008D3E74">
        <w:rPr>
          <w:rFonts w:ascii="Arial" w:hAnsi="Arial" w:cs="Arial"/>
        </w:rPr>
        <w:fldChar w:fldCharType="begin"/>
      </w:r>
      <w:r w:rsidR="00754C02" w:rsidRPr="008D3E74">
        <w:rPr>
          <w:rFonts w:ascii="Arial" w:hAnsi="Arial" w:cs="Arial"/>
        </w:rPr>
        <w:instrText xml:space="preserve"> ADDIN ZOTERO_ITEM CSL_CITATION {"citationID":"bhrcBpv1","properties":{"formattedCitation":"(Reuter {\\i{}et al.} 2016)","plainCitation":"(Reuter et al. 2016)","noteIndex":0},"citationItems":[{"id":1138,"uris":["http://zotero.org/users/local/hhPVnw6l/items/5F29C5MW"],"uri":["http://zotero.org/users/local/hhPVnw6l/items/5F29C5MW"],"itemData":{"id":1138,"type":"article-journal","title":"Sexual Orientation and Borderline Personality Disorder Features in a Community Sample of Adolescents","container-title":"Journal of Personality Disorders","page":"694-707","volume":"30","issue":"5","source":"PubMed","abstract":"Empirical literature demonstrates that sexual minorities are at an increased risk of developing psychopathology, including borderline personality disorder (BPD). The specific link between sexual orientation and BPD has received significantly less attention in youth, and it remains unclear what drives this relation. Given that there are higher rates of psychopathology in both sexual minorities and individuals with BPD, the present study aimed to determine if sexual orientation uniquely contributes to borderline personality pathology, controlling for other psychopathology. An ethnically diverse sample of 835 adolescents completed self-report measures of borderline features, depression, anxiety, and sexual orientation. Sexual minorities scored higher on borderline features compared to heterosexual adolescents. When controlling for depression and anxiety, sexual orientation remained significantly associated with borderline features. The relation between sexual orientation and BPD cannot fully be explained by other psychopathology. Future research is necessary to understand potential mechanisms underlying this relation.","DOI":"10.1521/pedi_2015_29_224","ISSN":"1943-2763","note":"PMID: 26583589","journalAbbreviation":"J. Pers. Disord.","language":"eng","author":[{"family":"Reuter","given":"Tyson R."},{"family":"Sharp","given":"Carla"},{"family":"Kalpakci","given":"Allison H."},{"family":"Choi","given":"Hye J."},{"family":"Temple","given":"Jeff R."}],"issued":{"date-parts":[["2016"]]}}}],"schema":"https://github.com/citation-style-language/schema/raw/master/csl-citation.json"} </w:instrText>
      </w:r>
      <w:r w:rsidR="00B5088D" w:rsidRPr="008D3E74">
        <w:rPr>
          <w:rFonts w:ascii="Arial" w:hAnsi="Arial" w:cs="Arial"/>
        </w:rPr>
        <w:fldChar w:fldCharType="separate"/>
      </w:r>
      <w:r w:rsidR="00754C02" w:rsidRPr="008D3E74">
        <w:rPr>
          <w:rFonts w:ascii="Arial" w:hAnsi="Arial" w:cs="Arial"/>
        </w:rPr>
        <w:t xml:space="preserve">(Reuter </w:t>
      </w:r>
      <w:r w:rsidR="00754C02" w:rsidRPr="008D3E74">
        <w:rPr>
          <w:rFonts w:ascii="Arial" w:hAnsi="Arial" w:cs="Arial"/>
          <w:i/>
          <w:iCs/>
        </w:rPr>
        <w:t>et al.</w:t>
      </w:r>
      <w:r w:rsidR="00754C02" w:rsidRPr="008D3E74">
        <w:rPr>
          <w:rFonts w:ascii="Arial" w:hAnsi="Arial" w:cs="Arial"/>
        </w:rPr>
        <w:t xml:space="preserve"> 2016)</w:t>
      </w:r>
      <w:r w:rsidR="00B5088D" w:rsidRPr="008D3E74">
        <w:rPr>
          <w:rFonts w:ascii="Arial" w:hAnsi="Arial" w:cs="Arial"/>
        </w:rPr>
        <w:fldChar w:fldCharType="end"/>
      </w:r>
      <w:r w:rsidR="00603041" w:rsidRPr="008D3E74">
        <w:rPr>
          <w:rFonts w:ascii="Arial" w:hAnsi="Arial" w:cs="Arial"/>
        </w:rPr>
        <w:t>.</w:t>
      </w:r>
      <w:r w:rsidR="0044783F" w:rsidRPr="008D3E74">
        <w:rPr>
          <w:rFonts w:ascii="Arial" w:hAnsi="Arial" w:cs="Arial"/>
        </w:rPr>
        <w:t xml:space="preserve"> On the other hand</w:t>
      </w:r>
      <w:r w:rsidR="003A514C" w:rsidRPr="008D3E74">
        <w:rPr>
          <w:rFonts w:ascii="Arial" w:hAnsi="Arial" w:cs="Arial"/>
        </w:rPr>
        <w:t>,</w:t>
      </w:r>
      <w:r w:rsidR="00826879" w:rsidRPr="008D3E74">
        <w:rPr>
          <w:rFonts w:ascii="Arial" w:hAnsi="Arial" w:cs="Arial"/>
        </w:rPr>
        <w:t xml:space="preserve"> </w:t>
      </w:r>
      <w:r w:rsidR="00933FB7" w:rsidRPr="008D3E74">
        <w:rPr>
          <w:rFonts w:ascii="Arial" w:hAnsi="Arial" w:cs="Arial"/>
        </w:rPr>
        <w:t>PE</w:t>
      </w:r>
      <w:r w:rsidR="000A4285" w:rsidRPr="008D3E74">
        <w:rPr>
          <w:rFonts w:ascii="Arial" w:hAnsi="Arial" w:cs="Arial"/>
        </w:rPr>
        <w:t>s</w:t>
      </w:r>
      <w:r w:rsidR="00933FB7" w:rsidRPr="008D3E74">
        <w:rPr>
          <w:rFonts w:ascii="Arial" w:hAnsi="Arial" w:cs="Arial"/>
        </w:rPr>
        <w:t xml:space="preserve"> </w:t>
      </w:r>
      <w:r w:rsidR="000A4285" w:rsidRPr="008D3E74">
        <w:rPr>
          <w:rFonts w:ascii="Arial" w:hAnsi="Arial" w:cs="Arial"/>
        </w:rPr>
        <w:t>are</w:t>
      </w:r>
      <w:r w:rsidR="00933FB7" w:rsidRPr="008D3E74">
        <w:rPr>
          <w:rFonts w:ascii="Arial" w:hAnsi="Arial" w:cs="Arial"/>
        </w:rPr>
        <w:t xml:space="preserve"> known to be highly prevalent among those with </w:t>
      </w:r>
      <w:r w:rsidR="00077560" w:rsidRPr="008D3E74">
        <w:rPr>
          <w:rFonts w:ascii="Arial" w:hAnsi="Arial" w:cs="Arial"/>
        </w:rPr>
        <w:t>BPD</w:t>
      </w:r>
      <w:r w:rsidR="00BE4737" w:rsidRPr="008D3E74">
        <w:rPr>
          <w:rFonts w:ascii="Arial" w:hAnsi="Arial" w:cs="Arial"/>
        </w:rPr>
        <w:t xml:space="preserve"> and other psychiatric conditions</w:t>
      </w:r>
      <w:r w:rsidR="00603041" w:rsidRPr="008D3E74">
        <w:rPr>
          <w:rFonts w:ascii="Arial" w:hAnsi="Arial" w:cs="Arial"/>
        </w:rPr>
        <w:t xml:space="preserve"> </w:t>
      </w:r>
      <w:r w:rsidR="00077560" w:rsidRPr="008D3E74">
        <w:rPr>
          <w:rFonts w:ascii="Arial" w:hAnsi="Arial" w:cs="Arial"/>
        </w:rPr>
        <w:fldChar w:fldCharType="begin"/>
      </w:r>
      <w:r w:rsidR="00754C02" w:rsidRPr="008D3E74">
        <w:rPr>
          <w:rFonts w:ascii="Arial" w:hAnsi="Arial" w:cs="Arial"/>
        </w:rPr>
        <w:instrText xml:space="preserve"> ADDIN ZOTERO_ITEM CSL_CITATION {"citationID":"4ZTmT3ES","properties":{"formattedCitation":"(Niemantsverdriet {\\i{}et al.} 2017)","plainCitation":"(Niemantsverdriet et al. 2017)","noteIndex":0},"citationItems":[{"id":1140,"uris":["http://zotero.org/users/local/hhPVnw6l/items/ZWC4D9AT"],"uri":["http://zotero.org/users/local/hhPVnw6l/items/ZWC4D9AT"],"itemData":{"id":1140,"type":"article-journal","title":"Hallucinations in borderline personality disorder: Prevalence, characteristics and associations with comorbid symptoms and disorders","container-title":"Scientific Reports","page":"13920","volume":"7","issue":"1","source":"www.nature.com","abstract":"To establish the point prevalence of hallucinations in borderline personality disorder (BPD), telephone interviews were conducted with 324 outpatients diagnosed with BPD. Then a subgroup (n = 98) was interviewed in person to investigate the co-occurrence of these phenomena with other psychotic symptoms, comorbid psychiatric disorders, prior childhood adversities, and adult life stressors. For hallucinations in general a point prevalence of 43% was found, with rates for hallucinations in separate sensory modalities ranging from 8–21%. Auditory verbal hallucinations consisted mostly of verbal abuse and were generally experienced as distressing. A significant association was found between the severity of hallucinations on the one hand, and delusions and unusual thought content on the other; this association was absent for negative symptoms and disorganization. The presence of hallucinations also correlated with the number of comorbid psychiatric disorders, and with posttraumatic stress disorder (PTSD) specifically. Childhood emotional abuse and adult life stressors were also associated with hallucinations. The latter three associations suggest that patients with BPD might have an etiological mechanism in common with other patient/nonpatient groups who experience hallucinations. Based on these findings, we advise to treat PTSD and hallucinations when found to be present in patients with BPD.","DOI":"10.1038/s41598-017-13108-6","ISSN":"2045-2322","title-short":"Hallucinations in borderline personality disorder","language":"En","author":[{"family":"Niemantsverdriet","given":"Maria B. A."},{"family":"Slotema","given":"Christina W."},{"family":"Blom","given":"Jan Dirk"},{"family":"Franken","given":"Ingmar H."},{"family":"Hoek","given":"Hans W."},{"family":"Sommer","given":"Iris E. C."},{"family":"Gaag","given":"Mark","dropping-particle":"van der"}],"issued":{"date-parts":[["2017",10,24]]}}}],"schema":"https://github.com/citation-style-language/schema/raw/master/csl-citation.json"} </w:instrText>
      </w:r>
      <w:r w:rsidR="00077560" w:rsidRPr="008D3E74">
        <w:rPr>
          <w:rFonts w:ascii="Arial" w:hAnsi="Arial" w:cs="Arial"/>
        </w:rPr>
        <w:fldChar w:fldCharType="separate"/>
      </w:r>
      <w:r w:rsidR="00754C02" w:rsidRPr="008D3E74">
        <w:rPr>
          <w:rFonts w:ascii="Arial" w:hAnsi="Arial" w:cs="Arial"/>
        </w:rPr>
        <w:t xml:space="preserve">(Niemantsverdriet </w:t>
      </w:r>
      <w:r w:rsidR="00754C02" w:rsidRPr="008D3E74">
        <w:rPr>
          <w:rFonts w:ascii="Arial" w:hAnsi="Arial" w:cs="Arial"/>
          <w:i/>
          <w:iCs/>
        </w:rPr>
        <w:t>et al.</w:t>
      </w:r>
      <w:r w:rsidR="00754C02" w:rsidRPr="008D3E74">
        <w:rPr>
          <w:rFonts w:ascii="Arial" w:hAnsi="Arial" w:cs="Arial"/>
        </w:rPr>
        <w:t xml:space="preserve"> 2017)</w:t>
      </w:r>
      <w:r w:rsidR="00077560" w:rsidRPr="008D3E74">
        <w:rPr>
          <w:rFonts w:ascii="Arial" w:hAnsi="Arial" w:cs="Arial"/>
        </w:rPr>
        <w:fldChar w:fldCharType="end"/>
      </w:r>
      <w:r w:rsidR="00603041" w:rsidRPr="008D3E74">
        <w:rPr>
          <w:rFonts w:ascii="Arial" w:hAnsi="Arial" w:cs="Arial"/>
        </w:rPr>
        <w:t>.</w:t>
      </w:r>
      <w:r w:rsidR="00933FB7" w:rsidRPr="008D3E74">
        <w:rPr>
          <w:rFonts w:ascii="Arial" w:hAnsi="Arial" w:cs="Arial"/>
        </w:rPr>
        <w:t xml:space="preserve"> </w:t>
      </w:r>
      <w:r w:rsidR="009825CF" w:rsidRPr="008D3E74">
        <w:rPr>
          <w:rFonts w:ascii="Arial" w:hAnsi="Arial" w:cs="Arial"/>
        </w:rPr>
        <w:t>Moreover,</w:t>
      </w:r>
      <w:r w:rsidR="009A130C" w:rsidRPr="008D3E74">
        <w:rPr>
          <w:rFonts w:ascii="Arial" w:hAnsi="Arial" w:cs="Arial"/>
        </w:rPr>
        <w:t xml:space="preserve"> </w:t>
      </w:r>
      <w:r w:rsidR="009825CF" w:rsidRPr="008D3E74">
        <w:rPr>
          <w:rFonts w:ascii="Arial" w:hAnsi="Arial" w:cs="Arial"/>
        </w:rPr>
        <w:t>an important proportion of non-heterosexual individuals are affected by sleep disorders</w:t>
      </w:r>
      <w:r w:rsidR="00603041" w:rsidRPr="008D3E74">
        <w:rPr>
          <w:rFonts w:ascii="Arial" w:hAnsi="Arial" w:cs="Arial"/>
        </w:rPr>
        <w:t xml:space="preserve"> </w:t>
      </w:r>
      <w:r w:rsidR="009825CF" w:rsidRPr="008D3E74">
        <w:rPr>
          <w:rFonts w:ascii="Arial" w:hAnsi="Arial" w:cs="Arial"/>
        </w:rPr>
        <w:fldChar w:fldCharType="begin"/>
      </w:r>
      <w:r w:rsidR="00754C02" w:rsidRPr="008D3E74">
        <w:rPr>
          <w:rFonts w:ascii="Arial" w:hAnsi="Arial" w:cs="Arial"/>
        </w:rPr>
        <w:instrText xml:space="preserve"> ADDIN ZOTERO_ITEM CSL_CITATION {"citationID":"yV1jMRRL","properties":{"formattedCitation":"(Chen &amp; Shiu 2017)","plainCitation":"(Chen &amp; Shiu 2017)","noteIndex":0},"citationItems":[{"id":1143,"uris":["http://zotero.org/users/local/hhPVnw6l/items/SZ9DZU3S"],"uri":["http://zotero.org/users/local/hhPVnw6l/items/SZ9DZU3S"],"itemData":{"id":1143,"type":"article-journal","title":"Sexual Orientation and Sleep in the U.S.: A National Profile","container-title":"American Journal of Preventive Medicine","page":"433-442","volume":"52","issue":"4","source":"PubMed","abstract":"INTRODUCTION: Sexual minorities often experience poorer health than non-sexual minorities. However, extant knowledge remains limited regarding the sleep characteristics, a risk factor for chronic diseases and excess mortality, of sexual minorities compared with non-sexual minorities at the population level.\nMETHODS: This study analyzed the 2013-2014 National Health Interview Survey, Adult Sample (n=68,960) to examine the reported sleep duration and sleep disturbances (i.e., not feeling rested, difficulty falling asleep, and waking up at night) by sexual orientation (i.e., homosexual [n=1,149], bisexual [n=515], and other sexual minorities [n=144]). Statistical analysis, conducted in 2015, used multinomial logistic and logistic regressions to estimate the associations between sexual orientation and sleep variables.\nRESULTS: Adult sexual minorities had higher risks of sleep disturbances than heterosexual adults. Differences in SES and physical and mental health conditions partly explained the gaps. Sexual minority women had greater odds of waking up at night than sexual minority men did, but sexual minority adults who were also racial minorities showed no differences in odds of sleep disturbances compared to white sexual minority adults. Results found that sexual orientation was not associated with an increased risk of short or long sleep duration.\nCONCLUSIONS: This study documented substantial disparities in sleep disturbances between sexual minorities and non-sexual minorities. These gaps cannot simply be explained by social and demographic factors. Interventions that target sexual minorities should pay attention to disparities in sleep and investigate methods to promote sleep health of sexual minorities.","DOI":"10.1016/j.amepre.2016.10.039","ISSN":"1873-2607","note":"PMID: 28062273","title-short":"Sexual Orientation and Sleep in the U.S.","journalAbbreviation":"Am J Prev Med","language":"eng","author":[{"family":"Chen","given":"Jen-Hao"},{"family":"Shiu","given":"Cheng-Shi"}],"issued":{"date-parts":[["2017",4]]}}}],"schema":"https://github.com/citation-style-language/schema/raw/master/csl-citation.json"} </w:instrText>
      </w:r>
      <w:r w:rsidR="009825CF" w:rsidRPr="008D3E74">
        <w:rPr>
          <w:rFonts w:ascii="Arial" w:hAnsi="Arial" w:cs="Arial"/>
        </w:rPr>
        <w:fldChar w:fldCharType="separate"/>
      </w:r>
      <w:r w:rsidR="00754C02" w:rsidRPr="008D3E74">
        <w:rPr>
          <w:rFonts w:ascii="Arial" w:hAnsi="Arial" w:cs="Arial"/>
        </w:rPr>
        <w:t>(Chen &amp; Shiu 2017)</w:t>
      </w:r>
      <w:r w:rsidR="009825CF" w:rsidRPr="008D3E74">
        <w:rPr>
          <w:rFonts w:ascii="Arial" w:hAnsi="Arial" w:cs="Arial"/>
        </w:rPr>
        <w:fldChar w:fldCharType="end"/>
      </w:r>
      <w:r w:rsidR="00603041" w:rsidRPr="008D3E74">
        <w:rPr>
          <w:rFonts w:ascii="Arial" w:hAnsi="Arial" w:cs="Arial"/>
        </w:rPr>
        <w:t>,</w:t>
      </w:r>
      <w:r w:rsidR="00871D3F" w:rsidRPr="008D3E74">
        <w:rPr>
          <w:rFonts w:ascii="Arial" w:hAnsi="Arial" w:cs="Arial"/>
        </w:rPr>
        <w:t xml:space="preserve"> </w:t>
      </w:r>
      <w:r w:rsidR="00FF4F9D" w:rsidRPr="008D3E74">
        <w:rPr>
          <w:rFonts w:ascii="Arial" w:hAnsi="Arial" w:cs="Arial"/>
        </w:rPr>
        <w:t xml:space="preserve">and </w:t>
      </w:r>
      <w:r w:rsidR="00823644" w:rsidRPr="008D3E74">
        <w:rPr>
          <w:rFonts w:ascii="Arial" w:hAnsi="Arial" w:cs="Arial"/>
        </w:rPr>
        <w:t xml:space="preserve">sleep problems have been reported to induce PEs </w:t>
      </w:r>
      <w:r w:rsidR="00245825" w:rsidRPr="008D3E74">
        <w:rPr>
          <w:rFonts w:ascii="Arial" w:hAnsi="Arial" w:cs="Arial"/>
        </w:rPr>
        <w:fldChar w:fldCharType="begin"/>
      </w:r>
      <w:r w:rsidR="00754C02" w:rsidRPr="008D3E74">
        <w:rPr>
          <w:rFonts w:ascii="Arial" w:hAnsi="Arial" w:cs="Arial"/>
        </w:rPr>
        <w:instrText xml:space="preserve"> ADDIN ZOTERO_ITEM CSL_CITATION {"citationID":"1PGnpTxa","properties":{"formattedCitation":"(Koyanagi &amp; Stickley 2015)","plainCitation":"(Koyanagi &amp; Stickley 2015)","noteIndex":0},"citationItems":[{"id":1281,"uris":["http://zotero.org/users/local/hhPVnw6l/items/VM7G3PA8"],"uri":["http://zotero.org/users/local/hhPVnw6l/items/VM7G3PA8"],"itemData":{"id":1281,"type":"article-journal","title":"The Association between Sleep Problems and Psychotic Symptoms in the General Population: A Global Perspective","container-title":"Sleep","page":"1875-1885","volume":"38","issue":"12","source":"PubMed Central","abstract":"Study Objectives:\nTo assess the prevalence of sleep problems and their association with psychotic symptoms using a global database.\n\nDesign:\nCommunity-based cross-sectional study.\n\nSetting:\nData were analyzed from the World Health Organization's World Health Survey (WHS), a population-based survey conducted in 70 countries between 2002 and 2004.\n\nPatients or Participants:\n261,547 individuals aged ≥ 18 years from 56 countries.\n\nInterventions:\nN/A.\n\nMeasurements and Results:\nThe presence of psychotic symptoms in the past 12 months was established using 4 questions pertaining to positive symptoms from the psychosis screening module of the Composite International Diagnostic Interview. Sleep problems referred to severe or extreme sleep problems in the past 30 days. Multivariable logistic regression was used to estimate the associations. The overall prevalence of sleep problems was 7.6% and ranged from 1.6% (China) to 18.6% (Morocco). Sleep problems were associated with significantly higher odds for at least one psychotic symptom in the vast majority of countries. In the pooled sample, after adjusting for demographic factors, alcohol consumption, smoking, and chronic medical conditions, having sleep problems resulted in an odds ratio (OR) for at least one psychotic symptom of 2.41 (95% confidence interval [CI] 2.18–2.65). This OR was 1.59 (1.40–1.81) when further adjusted for anxiety and depression.\n\nConclusions:\nA strong association between sleep problems and psychotic symptoms was observed globally. These results have clinical implications and serve as a basis for future studies to elucidate the causal association between psychotic symptoms and sleep problems.\n\nCitation:\nKoyanagi A, Stickley A. The association between sleep problems and psychotic symptoms in the general population: a global perspective. SLEEP 2015;38(12):1875–1885.","DOI":"10.5665/sleep.5232","ISSN":"0161-8105","note":"PMID: 26085291\nPMCID: PMC4667394","title-short":"The Association between Sleep Problems and Psychotic Symptoms in the General Population","journalAbbreviation":"Sleep","author":[{"family":"Koyanagi","given":"Ai"},{"family":"Stickley","given":"Andrew"}],"issued":{"date-parts":[["2015",12,1]]}}}],"schema":"https://github.com/citation-style-language/schema/raw/master/csl-citation.json"} </w:instrText>
      </w:r>
      <w:r w:rsidR="00245825" w:rsidRPr="008D3E74">
        <w:rPr>
          <w:rFonts w:ascii="Arial" w:hAnsi="Arial" w:cs="Arial"/>
        </w:rPr>
        <w:fldChar w:fldCharType="separate"/>
      </w:r>
      <w:r w:rsidR="00754C02" w:rsidRPr="008D3E74">
        <w:rPr>
          <w:rFonts w:ascii="Arial" w:hAnsi="Arial" w:cs="Arial"/>
        </w:rPr>
        <w:t>(Koyanagi &amp; Stickley 2015)</w:t>
      </w:r>
      <w:r w:rsidR="00245825" w:rsidRPr="008D3E74">
        <w:rPr>
          <w:rFonts w:ascii="Arial" w:hAnsi="Arial" w:cs="Arial"/>
        </w:rPr>
        <w:fldChar w:fldCharType="end"/>
      </w:r>
      <w:r w:rsidR="00603041" w:rsidRPr="008D3E74">
        <w:rPr>
          <w:rFonts w:ascii="Arial" w:hAnsi="Arial" w:cs="Arial"/>
        </w:rPr>
        <w:t>.</w:t>
      </w:r>
      <w:r w:rsidR="00170D50" w:rsidRPr="008D3E74">
        <w:rPr>
          <w:rFonts w:ascii="Arial" w:hAnsi="Arial" w:cs="Arial"/>
        </w:rPr>
        <w:t xml:space="preserve"> </w:t>
      </w:r>
      <w:r w:rsidR="00681382" w:rsidRPr="008D3E74">
        <w:rPr>
          <w:rFonts w:ascii="Arial" w:hAnsi="Arial" w:cs="Arial"/>
        </w:rPr>
        <w:t>Furthermore, p</w:t>
      </w:r>
      <w:r w:rsidR="00A969EB" w:rsidRPr="008D3E74">
        <w:rPr>
          <w:rFonts w:ascii="Arial" w:hAnsi="Arial" w:cs="Arial"/>
        </w:rPr>
        <w:t xml:space="preserve">erceived stress </w:t>
      </w:r>
      <w:r w:rsidR="002F22BB" w:rsidRPr="008D3E74">
        <w:rPr>
          <w:rFonts w:ascii="Arial" w:hAnsi="Arial" w:cs="Arial"/>
        </w:rPr>
        <w:t>is highly frequent in sexual minorities</w:t>
      </w:r>
      <w:r w:rsidR="00603041" w:rsidRPr="008D3E74">
        <w:rPr>
          <w:rFonts w:ascii="Arial" w:hAnsi="Arial" w:cs="Arial"/>
        </w:rPr>
        <w:t xml:space="preserve"> </w:t>
      </w:r>
      <w:r w:rsidR="006D79FA" w:rsidRPr="008D3E74">
        <w:rPr>
          <w:rFonts w:ascii="Arial" w:hAnsi="Arial" w:cs="Arial"/>
        </w:rPr>
        <w:fldChar w:fldCharType="begin"/>
      </w:r>
      <w:r w:rsidR="00754C02" w:rsidRPr="008D3E74">
        <w:rPr>
          <w:rFonts w:ascii="Arial" w:hAnsi="Arial" w:cs="Arial"/>
        </w:rPr>
        <w:instrText xml:space="preserve"> ADDIN ZOTERO_ITEM CSL_CITATION {"citationID":"bogbSoyd","properties":{"formattedCitation":"(Krueger {\\i{}et al.} 2018)","plainCitation":"(Krueger et al. 2018)","noteIndex":0},"citationItems":[{"id":1176,"uris":["http://zotero.org/users/local/hhPVnw6l/items/AXWQRWUT"],"uri":["http://zotero.org/users/local/hhPVnw6l/items/AXWQRWUT"],"itemData":{"id":1176,"type":"article-journal","title":"Sexual Orientation Group Differences in Perceived Stress and Depressive Symptoms Among Young Adults in the United States","container-title":"LGBT Health","page":"242-249","volume":"5","issue":"4","source":"PubMed Central","abstract":"Purpose: Overall, sexual minorities have poorer mental health than heterosexual individuals, and stress is thought to underlie such disparities. However, sexual minorities include both those identifying as lesbian, gay, or bisexual (LGB) and many who do not (e.g., individuals identifying as mostly heterosexual, or as heterosexual but with discordant same-sex attractions or behaviors), and little is known about the mental health or stress experiences of non-LGB identified sexual minorities. This study assessed perceived stress and depressive symptom differences between concordant heterosexual individuals and three groups of sexual minority young adults (LGB, mostly heterosexual, and discordant heterosexual individuals)., Methods: Data were from the National Longitudinal Study of Adolescent to Adult Health, Wave IV (2008–2009). Descriptive and bivariate statistics were estimated. Path analyses assessed whether perceived stress mediated differences in depressive symptomatology. Analyses were weighted and gender-stratified., Results: Mostly heterosexual individuals comprised the largest sexual minority group, for both men (3.58%) and women (15.88%). All sexual minority groups reported significantly more depressive symptoms than concordant heterosexual individuals, for both men and women (all P &lt; 0.05). Among women, all sexual minority groups reported significantly higher perceived stress than concordant heterosexual individuals (all P &lt; 0.05), which partially mediated elevations in depressive symptomatology (all P &lt; 0.05). Mostly-heterosexual-identified men reported significantly higher perceived stress than concordant heterosexual men (P &lt; 0.01), which partially mediated elevations in depressive symptomatology (P &lt; 0.01)., Conclusions: Our results underscore the importance of assessing sexual orientation comprehensively to fully understand sexual minority health disparities. Additional research should examine the stressors specific to different sexual minority groups.","DOI":"10.1089/lgbt.2017.0228","ISSN":"2325-8292","note":"PMID: 29741980\nPMCID: PMC5994153","journalAbbreviation":"LGBT Health","author":[{"family":"Krueger","given":"Evan A."},{"family":"Meyer","given":"Ilan H."},{"family":"Upchurch","given":"Dawn M."}],"issued":{"date-parts":[["2018",6,1]]}}}],"schema":"https://github.com/citation-style-language/schema/raw/master/csl-citation.json"} </w:instrText>
      </w:r>
      <w:r w:rsidR="006D79FA" w:rsidRPr="008D3E74">
        <w:rPr>
          <w:rFonts w:ascii="Arial" w:hAnsi="Arial" w:cs="Arial"/>
        </w:rPr>
        <w:fldChar w:fldCharType="separate"/>
      </w:r>
      <w:r w:rsidR="00754C02" w:rsidRPr="008D3E74">
        <w:rPr>
          <w:rFonts w:ascii="Arial" w:hAnsi="Arial" w:cs="Arial"/>
        </w:rPr>
        <w:t xml:space="preserve">(Krueger </w:t>
      </w:r>
      <w:r w:rsidR="00754C02" w:rsidRPr="008D3E74">
        <w:rPr>
          <w:rFonts w:ascii="Arial" w:hAnsi="Arial" w:cs="Arial"/>
          <w:i/>
          <w:iCs/>
        </w:rPr>
        <w:t>et al.</w:t>
      </w:r>
      <w:r w:rsidR="00754C02" w:rsidRPr="008D3E74">
        <w:rPr>
          <w:rFonts w:ascii="Arial" w:hAnsi="Arial" w:cs="Arial"/>
        </w:rPr>
        <w:t xml:space="preserve"> 2018)</w:t>
      </w:r>
      <w:r w:rsidR="006D79FA" w:rsidRPr="008D3E74">
        <w:rPr>
          <w:rFonts w:ascii="Arial" w:hAnsi="Arial" w:cs="Arial"/>
        </w:rPr>
        <w:fldChar w:fldCharType="end"/>
      </w:r>
      <w:r w:rsidR="00603041" w:rsidRPr="008D3E74">
        <w:rPr>
          <w:rFonts w:ascii="Arial" w:hAnsi="Arial" w:cs="Arial"/>
        </w:rPr>
        <w:t>,</w:t>
      </w:r>
      <w:r w:rsidR="002F22BB" w:rsidRPr="008D3E74">
        <w:rPr>
          <w:rFonts w:ascii="Arial" w:hAnsi="Arial" w:cs="Arial"/>
        </w:rPr>
        <w:t xml:space="preserve"> and </w:t>
      </w:r>
      <w:r w:rsidR="006D79FA" w:rsidRPr="008D3E74">
        <w:rPr>
          <w:rFonts w:ascii="Arial" w:hAnsi="Arial" w:cs="Arial"/>
        </w:rPr>
        <w:t>the association between perceived stress and PE</w:t>
      </w:r>
      <w:r w:rsidR="006E3F14" w:rsidRPr="008D3E74">
        <w:rPr>
          <w:rFonts w:ascii="Arial" w:hAnsi="Arial" w:cs="Arial"/>
        </w:rPr>
        <w:t>s</w:t>
      </w:r>
      <w:r w:rsidR="006D79FA" w:rsidRPr="008D3E74">
        <w:rPr>
          <w:rFonts w:ascii="Arial" w:hAnsi="Arial" w:cs="Arial"/>
        </w:rPr>
        <w:t xml:space="preserve"> may involve chronic hyperactivity of the HPA axis</w:t>
      </w:r>
      <w:r w:rsidR="00603041" w:rsidRPr="008D3E74">
        <w:rPr>
          <w:rFonts w:ascii="Arial" w:hAnsi="Arial" w:cs="Arial"/>
        </w:rPr>
        <w:t xml:space="preserve"> </w:t>
      </w:r>
      <w:r w:rsidR="006D79FA" w:rsidRPr="008D3E74">
        <w:rPr>
          <w:rFonts w:ascii="Arial" w:hAnsi="Arial" w:cs="Arial"/>
        </w:rPr>
        <w:fldChar w:fldCharType="begin"/>
      </w:r>
      <w:r w:rsidR="00754C02" w:rsidRPr="008D3E74">
        <w:rPr>
          <w:rFonts w:ascii="Arial" w:hAnsi="Arial" w:cs="Arial"/>
        </w:rPr>
        <w:instrText xml:space="preserve"> ADDIN ZOTERO_ITEM CSL_CITATION {"citationID":"amE9BXSr","properties":{"formattedCitation":"(DeVylder {\\i{}et al.} 2016)","plainCitation":"(DeVylder et al. 2016)","noteIndex":0},"citationItems":[{"id":1179,"uris":["http://zotero.org/users/local/hhPVnw6l/items/QQDNKHM7"],"uri":["http://zotero.org/users/local/hhPVnw6l/items/QQDNKHM7"],"itemData":{"id":1179,"type":"article-journal","title":"Stress Sensitivity and Psychotic Experiences in 39 Low- and Middle-Income Countries","container-title":"Schizophrenia Bulletin","page":"1353-1362","volume":"42","issue":"6","source":"academic.oup.com","abstract":"Abstract.   Stress has a central role in most theories of psychosis etiology, but the relation between stress and psychosis has rarely been examined in large po","DOI":"10.1093/schbul/sbw044","ISSN":"0586-7614","journalAbbreviation":"Schizophr Bull","language":"en","author":[{"family":"DeVylder","given":"Jordan E."},{"family":"Koyanagi","given":"Ai"},{"family":"Unick","given":"Jay"},{"family":"Oh","given":"Hans"},{"family":"Nam","given":"Boyoung"},{"family":"Stickley","given":"Andrew"}],"issued":{"date-parts":[["2016",11,1]]}}}],"schema":"https://github.com/citation-style-language/schema/raw/master/csl-citation.json"} </w:instrText>
      </w:r>
      <w:r w:rsidR="006D79FA" w:rsidRPr="008D3E74">
        <w:rPr>
          <w:rFonts w:ascii="Arial" w:hAnsi="Arial" w:cs="Arial"/>
        </w:rPr>
        <w:fldChar w:fldCharType="separate"/>
      </w:r>
      <w:r w:rsidR="00754C02" w:rsidRPr="008D3E74">
        <w:rPr>
          <w:rFonts w:ascii="Arial" w:hAnsi="Arial" w:cs="Arial"/>
        </w:rPr>
        <w:t xml:space="preserve">(DeVylder </w:t>
      </w:r>
      <w:r w:rsidR="00754C02" w:rsidRPr="008D3E74">
        <w:rPr>
          <w:rFonts w:ascii="Arial" w:hAnsi="Arial" w:cs="Arial"/>
          <w:i/>
          <w:iCs/>
        </w:rPr>
        <w:t>et al.</w:t>
      </w:r>
      <w:r w:rsidR="00754C02" w:rsidRPr="008D3E74">
        <w:rPr>
          <w:rFonts w:ascii="Arial" w:hAnsi="Arial" w:cs="Arial"/>
        </w:rPr>
        <w:t xml:space="preserve"> 2016)</w:t>
      </w:r>
      <w:r w:rsidR="006D79FA" w:rsidRPr="008D3E74">
        <w:rPr>
          <w:rFonts w:ascii="Arial" w:hAnsi="Arial" w:cs="Arial"/>
        </w:rPr>
        <w:fldChar w:fldCharType="end"/>
      </w:r>
      <w:r w:rsidR="00603041" w:rsidRPr="008D3E74">
        <w:rPr>
          <w:rFonts w:ascii="Arial" w:hAnsi="Arial" w:cs="Arial"/>
        </w:rPr>
        <w:t>.</w:t>
      </w:r>
      <w:r w:rsidR="006D79FA" w:rsidRPr="008D3E74">
        <w:rPr>
          <w:rFonts w:ascii="Arial" w:hAnsi="Arial" w:cs="Arial"/>
        </w:rPr>
        <w:t xml:space="preserve"> </w:t>
      </w:r>
      <w:r w:rsidR="00823644" w:rsidRPr="008D3E74">
        <w:rPr>
          <w:rFonts w:ascii="Arial" w:hAnsi="Arial" w:cs="Arial"/>
        </w:rPr>
        <w:t xml:space="preserve">However, it is also important to note that the mediators identified in our study may be operating at multiple levels of the causal pathway. </w:t>
      </w:r>
      <w:r w:rsidR="00823644" w:rsidRPr="008D3E74">
        <w:rPr>
          <w:rFonts w:ascii="Arial" w:eastAsia="Times New Roman" w:hAnsi="Arial" w:cs="Arial"/>
        </w:rPr>
        <w:t>For example, non-heterosexual orientation may lead to increased levels of perceived stress</w:t>
      </w:r>
      <w:r w:rsidR="00A436F2" w:rsidRPr="008D3E74">
        <w:rPr>
          <w:rFonts w:ascii="Arial" w:eastAsia="Times New Roman" w:hAnsi="Arial" w:cs="Arial"/>
        </w:rPr>
        <w:t xml:space="preserve"> </w:t>
      </w:r>
      <w:r w:rsidR="00A436F2" w:rsidRPr="008D3E74">
        <w:rPr>
          <w:rFonts w:ascii="Arial" w:eastAsia="Times New Roman" w:hAnsi="Arial" w:cs="Arial"/>
        </w:rPr>
        <w:fldChar w:fldCharType="begin"/>
      </w:r>
      <w:r w:rsidR="00A436F2" w:rsidRPr="008D3E74">
        <w:rPr>
          <w:rFonts w:ascii="Arial" w:eastAsia="Times New Roman" w:hAnsi="Arial" w:cs="Arial"/>
        </w:rPr>
        <w:instrText xml:space="preserve"> ADDIN ZOTERO_ITEM CSL_CITATION {"citationID":"CsqrgJRc","properties":{"formattedCitation":"(Krueger {\\i{}et al.} 2018)","plainCitation":"(Krueger et al. 2018)","noteIndex":0},"citationItems":[{"id":1176,"uris":["http://zotero.org/users/local/hhPVnw6l/items/AXWQRWUT"],"uri":["http://zotero.org/users/local/hhPVnw6l/items/AXWQRWUT"],"itemData":{"id":1176,"type":"article-journal","title":"Sexual Orientation Group Differences in Perceived Stress and Depressive Symptoms Among Young Adults in the United States","container-title":"LGBT Health","page":"242-249","volume":"5","issue":"4","source":"PubMed Central","abstract":"Purpose: Overall, sexual minorities have poorer mental health than heterosexual individuals, and stress is thought to underlie such disparities. However, sexual minorities include both those identifying as lesbian, gay, or bisexual (LGB) and many who do not (e.g., individuals identifying as mostly heterosexual, or as heterosexual but with discordant same-sex attractions or behaviors), and little is known about the mental health or stress experiences of non-LGB identified sexual minorities. This study assessed perceived stress and depressive symptom differences between concordant heterosexual individuals and three groups of sexual minority young adults (LGB, mostly heterosexual, and discordant heterosexual individuals)., Methods: Data were from the National Longitudinal Study of Adolescent to Adult Health, Wave IV (2008–2009). Descriptive and bivariate statistics were estimated. Path analyses assessed whether perceived stress mediated differences in depressive symptomatology. Analyses were weighted and gender-stratified., Results: Mostly heterosexual individuals comprised the largest sexual minority group, for both men (3.58%) and women (15.88%). All sexual minority groups reported significantly more depressive symptoms than concordant heterosexual individuals, for both men and women (all P &lt; 0.05). Among women, all sexual minority groups reported significantly higher perceived stress than concordant heterosexual individuals (all P &lt; 0.05), which partially mediated elevations in depressive symptomatology (all P &lt; 0.05). Mostly-heterosexual-identified men reported significantly higher perceived stress than concordant heterosexual men (P &lt; 0.01), which partially mediated elevations in depressive symptomatology (P &lt; 0.01)., Conclusions: Our results underscore the importance of assessing sexual orientation comprehensively to fully understand sexual minority health disparities. Additional research should examine the stressors specific to different sexual minority groups.","DOI":"10.1089/lgbt.2017.0228","ISSN":"2325-8292","note":"PMID: 29741980\nPMCID: PMC5994153","journalAbbreviation":"LGBT Health","author":[{"family":"Krueger","given":"Evan A."},{"family":"Meyer","given":"Ilan H."},{"family":"Upchurch","given":"Dawn M."}],"issued":{"date-parts":[["2018",6,1]]}}}],"schema":"https://github.com/citation-style-language/schema/raw/master/csl-citation.json"} </w:instrText>
      </w:r>
      <w:r w:rsidR="00A436F2" w:rsidRPr="008D3E74">
        <w:rPr>
          <w:rFonts w:ascii="Arial" w:eastAsia="Times New Roman" w:hAnsi="Arial" w:cs="Arial"/>
        </w:rPr>
        <w:fldChar w:fldCharType="separate"/>
      </w:r>
      <w:r w:rsidR="00A436F2" w:rsidRPr="008D3E74">
        <w:rPr>
          <w:rFonts w:ascii="Arial" w:hAnsi="Arial" w:cs="Arial"/>
        </w:rPr>
        <w:t xml:space="preserve">(Krueger </w:t>
      </w:r>
      <w:r w:rsidR="00A436F2" w:rsidRPr="008D3E74">
        <w:rPr>
          <w:rFonts w:ascii="Arial" w:hAnsi="Arial" w:cs="Arial"/>
          <w:i/>
          <w:iCs/>
        </w:rPr>
        <w:t>et al.</w:t>
      </w:r>
      <w:r w:rsidR="00A436F2" w:rsidRPr="008D3E74">
        <w:rPr>
          <w:rFonts w:ascii="Arial" w:hAnsi="Arial" w:cs="Arial"/>
        </w:rPr>
        <w:t xml:space="preserve"> 2018)</w:t>
      </w:r>
      <w:r w:rsidR="00A436F2" w:rsidRPr="008D3E74">
        <w:rPr>
          <w:rFonts w:ascii="Arial" w:eastAsia="Times New Roman" w:hAnsi="Arial" w:cs="Arial"/>
        </w:rPr>
        <w:fldChar w:fldCharType="end"/>
      </w:r>
      <w:r w:rsidR="00823644" w:rsidRPr="008D3E74">
        <w:rPr>
          <w:rFonts w:ascii="Arial" w:eastAsia="Times New Roman" w:hAnsi="Arial" w:cs="Arial"/>
        </w:rPr>
        <w:t>, while this in turn, may increase risk for sleep problems</w:t>
      </w:r>
      <w:r w:rsidR="00392AF0" w:rsidRPr="008D3E74">
        <w:rPr>
          <w:rFonts w:ascii="Arial" w:eastAsia="Times New Roman" w:hAnsi="Arial" w:cs="Arial"/>
        </w:rPr>
        <w:t xml:space="preserve"> </w:t>
      </w:r>
      <w:r w:rsidR="00392AF0" w:rsidRPr="008D3E74">
        <w:rPr>
          <w:rFonts w:ascii="Arial" w:eastAsia="Times New Roman" w:hAnsi="Arial" w:cs="Arial"/>
        </w:rPr>
        <w:fldChar w:fldCharType="begin"/>
      </w:r>
      <w:r w:rsidR="00392AF0" w:rsidRPr="008D3E74">
        <w:rPr>
          <w:rFonts w:ascii="Arial" w:eastAsia="Times New Roman" w:hAnsi="Arial" w:cs="Arial"/>
        </w:rPr>
        <w:instrText xml:space="preserve"> ADDIN ZOTERO_ITEM CSL_CITATION {"citationID":"PNEe2JBA","properties":{"formattedCitation":"(Charles {\\i{}et al.} 2011)","plainCitation":"(Charles et al. 2011)","noteIndex":0},"citationItems":[{"id":2287,"uris":["http://zotero.org/users/local/hhPVnw6l/items/2TXX2N22"],"uri":["http://zotero.org/users/local/hhPVnw6l/items/2TXX2N22"],"itemData":{"id":2287,"type":"article-journal","title":"Association of Perceived Stress with Sleep Duration and Sleep Quality in Police Officers","container-title":"International journal of emergency mental health","page":"229-241","volume":"13","issue":"4","source":"PubMed Central","abstract":"The objective was to investigate associations of perceived stress with sleep duration and quality among 430 police officers. Perceived stress was assessed using the Perceived Stress Scale. Sleep duration and quality were assessed using the Pittsburg Sleep Quality Index questionnaire. Mean hours of sleep were determined across quartiles of perceived stress using ANOVA/ANCOVA. Logistic regression was used to obtain odds ratios and 95% confidence intervals for poor sleep quality across perceived stress quartiles. Mean age was 42.1 years. Perceived stress was inversely associated with sleep duration among certain groups: men (p = 0.004), higher-ranked officers (p = 0.002), those with higher depressive symptoms (p = 0.097), no military experience (p = 0.006), and higher workload (p = 0.003). Gender, police rank, depressive symptoms, and workload each significantly modified the association between stress and sleep duration. Prevalence of poor sleep quality increased with higher levels of perceived stress; the trend was significant among men only (p &lt;0.0001), and gender significantly modified this association (interaction p = 0.015). Compared to those in the first quartile of perceived stress, women in the fourth quartile were almost four times and men almost six times more likely to have poor sleep quality. Perceived stress was inversely associated with sleep duration and positively associated with poor sleep quality.","ISSN":"1522-4821","note":"PMID: 22900457\nPMCID: PMC4681282","journalAbbreviation":"Int J Emerg Ment Health","author":[{"family":"Charles","given":"Luenda E."},{"family":"Slaven","given":"James E."},{"family":"Mnatsakanova","given":"Anna"},{"family":"Ma","given":"Claudia"},{"family":"Violanti","given":"John M"},{"family":"Fekedulegn","given":"Desta"},{"family":"Andrew","given":"Michael E."},{"family":"Vila","given":"Bryan J."},{"family":"Burchfiel","given":"Cecil M."}],"issued":{"date-parts":[["2011"]]}}}],"schema":"https://github.com/citation-style-language/schema/raw/master/csl-citation.json"} </w:instrText>
      </w:r>
      <w:r w:rsidR="00392AF0" w:rsidRPr="008D3E74">
        <w:rPr>
          <w:rFonts w:ascii="Arial" w:eastAsia="Times New Roman" w:hAnsi="Arial" w:cs="Arial"/>
        </w:rPr>
        <w:fldChar w:fldCharType="separate"/>
      </w:r>
      <w:r w:rsidR="00392AF0" w:rsidRPr="008D3E74">
        <w:rPr>
          <w:rFonts w:ascii="Arial" w:hAnsi="Arial" w:cs="Arial"/>
        </w:rPr>
        <w:t xml:space="preserve">(Charles </w:t>
      </w:r>
      <w:r w:rsidR="00392AF0" w:rsidRPr="008D3E74">
        <w:rPr>
          <w:rFonts w:ascii="Arial" w:hAnsi="Arial" w:cs="Arial"/>
          <w:i/>
          <w:iCs/>
        </w:rPr>
        <w:t>et al.</w:t>
      </w:r>
      <w:r w:rsidR="00392AF0" w:rsidRPr="008D3E74">
        <w:rPr>
          <w:rFonts w:ascii="Arial" w:hAnsi="Arial" w:cs="Arial"/>
        </w:rPr>
        <w:t xml:space="preserve"> 2011)</w:t>
      </w:r>
      <w:r w:rsidR="00392AF0" w:rsidRPr="008D3E74">
        <w:rPr>
          <w:rFonts w:ascii="Arial" w:eastAsia="Times New Roman" w:hAnsi="Arial" w:cs="Arial"/>
        </w:rPr>
        <w:fldChar w:fldCharType="end"/>
      </w:r>
      <w:r w:rsidR="00823644" w:rsidRPr="008D3E74">
        <w:rPr>
          <w:rFonts w:ascii="Arial" w:eastAsia="Times New Roman" w:hAnsi="Arial" w:cs="Arial"/>
        </w:rPr>
        <w:t xml:space="preserve"> and a variety of mental disorders</w:t>
      </w:r>
      <w:r w:rsidR="007F6BB8" w:rsidRPr="008D3E74">
        <w:rPr>
          <w:rFonts w:ascii="Arial" w:eastAsia="Times New Roman" w:hAnsi="Arial" w:cs="Arial"/>
        </w:rPr>
        <w:t xml:space="preserve"> </w:t>
      </w:r>
      <w:r w:rsidR="007F6BB8" w:rsidRPr="008D3E74">
        <w:rPr>
          <w:rFonts w:ascii="Arial" w:eastAsia="Times New Roman" w:hAnsi="Arial" w:cs="Arial"/>
        </w:rPr>
        <w:fldChar w:fldCharType="begin"/>
      </w:r>
      <w:r w:rsidR="007F6BB8" w:rsidRPr="008D3E74">
        <w:rPr>
          <w:rFonts w:ascii="Arial" w:eastAsia="Times New Roman" w:hAnsi="Arial" w:cs="Arial"/>
        </w:rPr>
        <w:instrText xml:space="preserve"> ADDIN ZOTERO_ITEM CSL_CITATION {"citationID":"qZpoN6RM","properties":{"formattedCitation":"(Bergdahl &amp; Bergdahl 2002)","plainCitation":"(Bergdahl &amp; Bergdahl 2002)","noteIndex":0},"citationItems":[{"id":2290,"uris":["http://zotero.org/users/local/hhPVnw6l/items/RY4B43L8"],"uri":["http://zotero.org/users/local/hhPVnw6l/items/RY4B43L8"],"itemData":{"id":2290,"type":"article-journal","title":"Perceived stress in adults: Prevalence and association of depression, anxiety and medication in a Swedish population","container-title":"Stress and Health: Journal of the International Society for the Investigation of Stress","page":"235-241","volume":"18","issue":"5","source":"APA PsycNET","abstract":"Measured the prevalence of perceived stress (PS) in 1275 adults (Subjects [Ss]; 581 men and 694 women) and evaluated gender and age differences in stress level. Association between PS and depression, anxiety and medication was also studied. PS and stress level (moderate and high) were measured with the Perceived Stress Questionnaire (PSQ). Ss completed the Beck Depression Inventory (BDI) and the State and Trait Anxiety Inventory (STAI). The prevalence of moderate stress was 10%, lowest in the 60-69 yr and highest in the 40-44 yr age group. 11.1 % of women and 5.9% of men aged 30-34 yrs reported moderate stress. The prevalence of high stress was 4%, higher in women (5.5%) than in men (2.2%). Women aged 30-34 yrs (12.7%) and 35-39 yrs (8.1%) reported high stress more than the men (0% for both age groups). Low and moderate stress were associated with STAI and high stress with the BDI (self-punitive wishes, sleep disturbances and loss of appetite). High stress was associated with psychotropic drugs, primarily antidepressants. Women in the 30-39 yr age group are exposed to high stress and are therefore a vulnerable group. Anxiety is more important in moderate stress levels and depression in high stress levels. Psychotropic drugs alone are not sufficient to reduce stress levels. (PsycINFO Database Record (c) 2016 APA, all rights reserved)","DOI":"10.1002/smi.946","ISSN":"1532-2998(Electronic),1532-3005(Print)","title-short":"Perceived stress in adults","author":[{"family":"Bergdahl","given":"Jan"},{"family":"Bergdahl","given":"Maud"}],"issued":{"date-parts":[["2002"]]}}}],"schema":"https://github.com/citation-style-language/schema/raw/master/csl-citation.json"} </w:instrText>
      </w:r>
      <w:r w:rsidR="007F6BB8" w:rsidRPr="008D3E74">
        <w:rPr>
          <w:rFonts w:ascii="Arial" w:eastAsia="Times New Roman" w:hAnsi="Arial" w:cs="Arial"/>
        </w:rPr>
        <w:fldChar w:fldCharType="separate"/>
      </w:r>
      <w:r w:rsidR="007F6BB8" w:rsidRPr="008D3E74">
        <w:rPr>
          <w:rFonts w:ascii="Arial" w:eastAsia="Times New Roman" w:hAnsi="Arial" w:cs="Arial"/>
          <w:noProof/>
        </w:rPr>
        <w:t>(Bergdahl &amp; Bergdahl 2002)</w:t>
      </w:r>
      <w:r w:rsidR="007F6BB8" w:rsidRPr="008D3E74">
        <w:rPr>
          <w:rFonts w:ascii="Arial" w:eastAsia="Times New Roman" w:hAnsi="Arial" w:cs="Arial"/>
        </w:rPr>
        <w:fldChar w:fldCharType="end"/>
      </w:r>
      <w:r w:rsidR="00823644" w:rsidRPr="008D3E74">
        <w:rPr>
          <w:rFonts w:ascii="Arial" w:eastAsia="Times New Roman" w:hAnsi="Arial" w:cs="Arial"/>
        </w:rPr>
        <w:t xml:space="preserve">, which could lead to the emergence of PEs </w:t>
      </w:r>
      <w:r w:rsidR="0065246B" w:rsidRPr="008D3E74">
        <w:rPr>
          <w:rFonts w:ascii="Arial" w:eastAsia="Times New Roman" w:hAnsi="Arial" w:cs="Arial"/>
        </w:rPr>
        <w:fldChar w:fldCharType="begin"/>
      </w:r>
      <w:r w:rsidR="002144C8" w:rsidRPr="008D3E74">
        <w:rPr>
          <w:rFonts w:ascii="Arial" w:eastAsia="Times New Roman" w:hAnsi="Arial" w:cs="Arial"/>
        </w:rPr>
        <w:instrText xml:space="preserve"> ADDIN ZOTERO_ITEM CSL_CITATION {"citationID":"c1g4pu9Z","properties":{"formattedCitation":"(Varghese {\\i{}et al.} 2011; Reeve {\\i{}et al.} 2018)","plainCitation":"(Varghese et al. 2011; Reeve et al. 2018)","noteIndex":0},"citationItems":[{"id":1151,"uris":["http://zotero.org/users/local/hhPVnw6l/items/HLDSMQAN"],"uri":["http://zotero.org/users/local/hhPVnw6l/items/HLDSMQAN"],"itemData":{"id":1151,"type":"article-journal","title":"Psychotic-Like Experiences in Major Depression and Anxiety Disorders: A Population-Based Survey in Young Adults","container-title":"Schizophrenia Bulletin","page":"389-393","volume":"37","issue":"2","source":"PubMed Central","abstract":"Objective: Population-based surveys have confirmed that psychotic-like experiences are prevalent in the community. However, it is unclear if these experiences are associated with common mental disorders. The aim of this study was to examine the prevalence of psychotic-like experiences in those with affective and anxiety disorders. Methods: Subjects were drawn from the Mater-University of Queensland Study of Pregnancy. Delusion-like experiences were assessed with the Peters Delusional Inventory (PDI). The Composite International Diagnostic Interview (CIDI) was used to identify individuals with Diagnostic and Statistical Manual of Mental Disorders (Fourth Edition) lifetime diagnoses of major depression, anxiety disorder, substance use/dependence, and psychotic disorders. The influence of affective and anxiety disorders on PDI and CIDI psychosis-related items’ scores were assessed with logistic regression, with adjustments for age, sex, and the presence of the other comorbid psychiatric diagnoses. Results: Having either a lifetime diagnosis of major depressive disorder or an anxiety disorder was associated with significantly higher PDI total scores (highest vs lowest quartile adjusted odds ratios [ORs] and 95% confidence intervals [CIs] = 4.43, 3.09–6.36; 3.08, 2.26–4.20, respectively). The odds of endorsing any CIDI hallucination or delusion item was increased in those with a major depressive or anxiety disorder. The presence of current anxiety disorder symptoms was significantly associated with PDI score (OR = 5.81, 95% CI = 3.68–9.16). Conclusion: While psychotic-like experiences are usually associated with psychotic disorders, individuals with depression and anxiety are also more likely to report these symptoms compared with well individuals. Psychotic-like experiences are associated with a range of common mental disorders.","DOI":"10.1093/schbul/sbp083","ISSN":"0586-7614","note":"PMID: 19687152\nPMCID: PMC3044630","title-short":"Psychotic-Like Experiences in Major Depression and Anxiety Disorders","journalAbbreviation":"Schizophr Bull","author":[{"family":"Varghese","given":"Daniel"},{"family":"Scott","given":"James"},{"family":"Welham","given":"Joy"},{"family":"Bor","given":"William"},{"family":"Najman","given":"Jake"},{"family":"O'Callaghan","given":"Michael"},{"family":"Williams","given":"Gail"},{"family":"McGrath","given":"John"}],"issued":{"date-parts":[["2011",3]]}}},{"id":1145,"uris":["http://zotero.org/users/local/hhPVnw6l/items/QFD6P4RS"],"uri":["http://zotero.org/users/local/hhPVnw6l/items/QFD6P4RS"],"itemData":{"id":1145,"type":"article-journal","title":"Disrupting Sleep: The Effects of Sleep Loss on Psychotic Experiences Tested in an Experimental Study With Mediation Analysis","container-title":"Schizophrenia Bulletin","page":"662-671","volume":"44","issue":"3","source":"PubMed Central","abstract":"Our view is that insomnia may be a causal factor in the occurrence of psychotic experiences such as paranoia and hallucinations. However, the causal relationship is not established. The aim of the study was to investigate the causal role of insomnia in psychotic experiences via a sleep restriction manipulation. The study was a within-subjects crossover design that included a planned mediation analysis. Sixty-eight nonclinical volunteers underwent a sleep loss condition (restricted to 4 h sleep for 3 nights) and a control condition (standard sleep) in randomized order in 2 consecutive weeks, with a weekend washout period. Psychotic experiences (paranoia, hallucinations, grandiosity, and cognitive disorganization) and candidate mediating variables (negative affect and related processes, working memory, decision making, and perceptual processing) were assessed before and after each condition. Actigraphy verified an average sleep duration of 5 h 15 min in the sleep loss condition, vs 6 h 58 min in the control condition. After the sleep loss condition, relative to the control condition, participants reported significant increases in paranoia, hallucinations, and cognitive disorganization, with no significant changes in grandiosity. The sleep loss condition was also associated with significant increases in negative affect, negative self and other cognitions, worry, and working memory impairment. Mediation analyses indicated that changes in psychotic experiences were mediated by changes in negative affect and related processes, but not memory impairment. The overall conclusion is that insomnia has a causal role in the occurrence of certain psychotic experiences, and that a key route is via negative affect.","DOI":"10.1093/schbul/sbx103","ISSN":"0586-7614","note":"PMID: 28981834\nPMCID: PMC5890488","title-short":"Disrupting Sleep","journalAbbreviation":"Schizophr Bull","author":[{"family":"Reeve","given":"Sarah"},{"family":"Emsley","given":"Richard"},{"family":"Sheaves","given":"Bryony"},{"family":"Freeman","given":"Daniel"}],"issued":{"date-parts":[["2018",4]]}}}],"schema":"https://github.com/citation-style-language/schema/raw/master/csl-citation.json"} </w:instrText>
      </w:r>
      <w:r w:rsidR="0065246B" w:rsidRPr="008D3E74">
        <w:rPr>
          <w:rFonts w:ascii="Arial" w:eastAsia="Times New Roman" w:hAnsi="Arial" w:cs="Arial"/>
        </w:rPr>
        <w:fldChar w:fldCharType="separate"/>
      </w:r>
      <w:r w:rsidR="002144C8" w:rsidRPr="008D3E74">
        <w:rPr>
          <w:rFonts w:ascii="Arial" w:hAnsi="Arial" w:cs="Arial"/>
        </w:rPr>
        <w:t xml:space="preserve">(Varghese </w:t>
      </w:r>
      <w:r w:rsidR="002144C8" w:rsidRPr="008D3E74">
        <w:rPr>
          <w:rFonts w:ascii="Arial" w:hAnsi="Arial" w:cs="Arial"/>
          <w:i/>
          <w:iCs/>
        </w:rPr>
        <w:t>et al.</w:t>
      </w:r>
      <w:r w:rsidR="002144C8" w:rsidRPr="008D3E74">
        <w:rPr>
          <w:rFonts w:ascii="Arial" w:hAnsi="Arial" w:cs="Arial"/>
        </w:rPr>
        <w:t xml:space="preserve"> 2011; Reeve </w:t>
      </w:r>
      <w:r w:rsidR="002144C8" w:rsidRPr="008D3E74">
        <w:rPr>
          <w:rFonts w:ascii="Arial" w:hAnsi="Arial" w:cs="Arial"/>
          <w:i/>
          <w:iCs/>
        </w:rPr>
        <w:t>et al.</w:t>
      </w:r>
      <w:r w:rsidR="002144C8" w:rsidRPr="008D3E74">
        <w:rPr>
          <w:rFonts w:ascii="Arial" w:hAnsi="Arial" w:cs="Arial"/>
        </w:rPr>
        <w:t xml:space="preserve"> 2018)</w:t>
      </w:r>
      <w:r w:rsidR="0065246B" w:rsidRPr="008D3E74">
        <w:rPr>
          <w:rFonts w:ascii="Arial" w:eastAsia="Times New Roman" w:hAnsi="Arial" w:cs="Arial"/>
        </w:rPr>
        <w:fldChar w:fldCharType="end"/>
      </w:r>
      <w:r w:rsidR="00823644" w:rsidRPr="008D3E74">
        <w:rPr>
          <w:rFonts w:ascii="Arial" w:eastAsia="Times New Roman" w:hAnsi="Arial" w:cs="Arial"/>
        </w:rPr>
        <w:t xml:space="preserve">. </w:t>
      </w:r>
      <w:r w:rsidR="00D02800" w:rsidRPr="008D3E74">
        <w:rPr>
          <w:rFonts w:ascii="Arial" w:hAnsi="Arial" w:cs="Arial"/>
        </w:rPr>
        <w:t xml:space="preserve">Finally, </w:t>
      </w:r>
      <w:r w:rsidR="00582592" w:rsidRPr="008D3E74">
        <w:rPr>
          <w:rFonts w:ascii="Arial" w:hAnsi="Arial" w:cs="Arial"/>
        </w:rPr>
        <w:t xml:space="preserve">it is possible that </w:t>
      </w:r>
      <w:r w:rsidR="00D02800" w:rsidRPr="008D3E74">
        <w:rPr>
          <w:rFonts w:ascii="Arial" w:hAnsi="Arial" w:cs="Arial"/>
        </w:rPr>
        <w:t>other factors which were not measured in our study may be implicated</w:t>
      </w:r>
      <w:r w:rsidR="00582592" w:rsidRPr="008D3E74">
        <w:rPr>
          <w:rFonts w:ascii="Arial" w:hAnsi="Arial" w:cs="Arial"/>
        </w:rPr>
        <w:t xml:space="preserve"> in the sexual orientation-PE relationship, and</w:t>
      </w:r>
      <w:r w:rsidR="00D02800" w:rsidRPr="008D3E74">
        <w:rPr>
          <w:rFonts w:ascii="Arial" w:hAnsi="Arial" w:cs="Arial"/>
        </w:rPr>
        <w:t xml:space="preserve"> </w:t>
      </w:r>
      <w:r w:rsidR="00582592" w:rsidRPr="008D3E74">
        <w:rPr>
          <w:rFonts w:ascii="Arial" w:hAnsi="Arial" w:cs="Arial"/>
        </w:rPr>
        <w:t>t</w:t>
      </w:r>
      <w:r w:rsidR="00D02800" w:rsidRPr="008D3E74">
        <w:rPr>
          <w:rFonts w:ascii="Arial" w:hAnsi="Arial" w:cs="Arial"/>
        </w:rPr>
        <w:t xml:space="preserve">hese may include factors such as </w:t>
      </w:r>
      <w:r w:rsidR="00167A27" w:rsidRPr="008D3E74">
        <w:rPr>
          <w:rFonts w:ascii="Arial" w:hAnsi="Arial" w:cs="Arial"/>
        </w:rPr>
        <w:t xml:space="preserve">cortisol </w:t>
      </w:r>
      <w:r w:rsidR="008D01C6" w:rsidRPr="008D3E74">
        <w:rPr>
          <w:rFonts w:ascii="Arial" w:hAnsi="Arial" w:cs="Arial"/>
        </w:rPr>
        <w:t>levels</w:t>
      </w:r>
      <w:r w:rsidR="00603041" w:rsidRPr="008D3E74">
        <w:rPr>
          <w:rFonts w:ascii="Arial" w:hAnsi="Arial" w:cs="Arial"/>
        </w:rPr>
        <w:t xml:space="preserve"> </w:t>
      </w:r>
      <w:r w:rsidR="00996112" w:rsidRPr="008D3E74">
        <w:rPr>
          <w:rFonts w:ascii="Arial" w:hAnsi="Arial" w:cs="Arial"/>
        </w:rPr>
        <w:fldChar w:fldCharType="begin"/>
      </w:r>
      <w:r w:rsidR="00754C02" w:rsidRPr="008D3E74">
        <w:rPr>
          <w:rFonts w:ascii="Arial" w:hAnsi="Arial" w:cs="Arial"/>
        </w:rPr>
        <w:instrText xml:space="preserve"> ADDIN ZOTERO_ITEM CSL_CITATION {"citationID":"Q6tVM3ZS","properties":{"formattedCitation":"(Collip {\\i{}et al.} 2011)","plainCitation":"(Collip et al. 2011)","noteIndex":0},"citationItems":[{"id":1287,"uris":["http://zotero.org/users/local/hhPVnw6l/items/8FJ8X7UU"],"uri":["http://zotero.org/users/local/hhPVnw6l/items/8FJ8X7UU"],"itemData":{"id":1287,"type":"article-journal","title":"Daily cortisol, stress reactivity and psychotic experiences in individuals at above average genetic risk for psychosis","container-title":"Psychological Medicine","page":"2305-2315","volume":"41","issue":"11","source":"PubMed","abstract":"BACKGROUND: Hypothalamic-pituitary-adrenocortical (HPA) axis abnormalities have been found in patients with a psychotic disorder and first-degree relatives of patients with a psychotic disorder react with subtle increases in non-clinical psychotic experiences and negative emotions in the face of everyday stress. The current study investigated whether HPA axis functioning is altered in individuals at above average genetic risk for psychotic disorder, examining diurnal cortisol profiles, cortisol reactivity to daily stressors and the association between HPA axis activity and subclinical psychotic experiences.\nMETHOD: Participants included siblings of patients with a psychotic disorder (n=60) and a healthy comparison group (n=63). The Experience Sampling Method (a structured diary technique) was employed to assess stress, psychotic experiences, negative affect and salivary cortisol repeatedly in the flow of daily life.\nRESULTS: Multi-level analyses revealed higher diurnal cortisol levels and heightened cortisol reactivity to negative daily events in siblings compared with controls. Diurnal cortisol slope did not differ between the two groups, but momentary increases in psychotic experiences and negative affect were associated with increased cortisol in the sibling group.\nCONCLUSIONS: Findings support altered HPA axis activity in individuals at above average genetic risk for psychotic disorder, as evidenced by higher diurnal cortisol levels and increased cortisol reactivity to daily stress. Results also suggest a dynamic association between cortisol secretion and the intensity of psychotic-like experiences and negative emotions in daily life, although the direction of this association remains to be elucidated.","DOI":"10.1017/S0033291711000602","ISSN":"1469-8978","note":"PMID: 21733219","journalAbbreviation":"Psychol Med","language":"eng","author":[{"family":"Collip","given":"D."},{"family":"Nicolson","given":"N. A."},{"family":"Lardinois","given":"M."},{"family":"Lataster","given":"T."},{"family":"Os","given":"J.","non-dropping-particle":"van"},{"family":"Myin-Germeys","given":"I."},{"literal":"G.R.O.U.P"}],"issued":{"date-parts":[["2011",11]]}}}],"schema":"https://github.com/citation-style-language/schema/raw/master/csl-citation.json"} </w:instrText>
      </w:r>
      <w:r w:rsidR="00996112" w:rsidRPr="008D3E74">
        <w:rPr>
          <w:rFonts w:ascii="Arial" w:hAnsi="Arial" w:cs="Arial"/>
        </w:rPr>
        <w:fldChar w:fldCharType="separate"/>
      </w:r>
      <w:r w:rsidR="00754C02" w:rsidRPr="008D3E74">
        <w:rPr>
          <w:rFonts w:ascii="Arial" w:hAnsi="Arial" w:cs="Arial"/>
        </w:rPr>
        <w:t xml:space="preserve">(Collip </w:t>
      </w:r>
      <w:r w:rsidR="00754C02" w:rsidRPr="008D3E74">
        <w:rPr>
          <w:rFonts w:ascii="Arial" w:hAnsi="Arial" w:cs="Arial"/>
          <w:i/>
          <w:iCs/>
        </w:rPr>
        <w:t>et al.</w:t>
      </w:r>
      <w:r w:rsidR="00754C02" w:rsidRPr="008D3E74">
        <w:rPr>
          <w:rFonts w:ascii="Arial" w:hAnsi="Arial" w:cs="Arial"/>
        </w:rPr>
        <w:t xml:space="preserve"> 2011)</w:t>
      </w:r>
      <w:r w:rsidR="00996112" w:rsidRPr="008D3E74">
        <w:rPr>
          <w:rFonts w:ascii="Arial" w:hAnsi="Arial" w:cs="Arial"/>
        </w:rPr>
        <w:fldChar w:fldCharType="end"/>
      </w:r>
      <w:r w:rsidR="00996112" w:rsidRPr="008D3E74">
        <w:rPr>
          <w:rFonts w:ascii="Arial" w:hAnsi="Arial" w:cs="Arial"/>
        </w:rPr>
        <w:t xml:space="preserve"> and </w:t>
      </w:r>
      <w:r w:rsidR="00AE51EE" w:rsidRPr="008D3E74">
        <w:rPr>
          <w:rFonts w:ascii="Arial" w:hAnsi="Arial" w:cs="Arial"/>
        </w:rPr>
        <w:t>sexually transmitted diseases</w:t>
      </w:r>
      <w:r w:rsidR="00603041" w:rsidRPr="008D3E74">
        <w:rPr>
          <w:rFonts w:ascii="Arial" w:hAnsi="Arial" w:cs="Arial"/>
        </w:rPr>
        <w:t xml:space="preserve"> </w:t>
      </w:r>
      <w:r w:rsidR="00AE51EE" w:rsidRPr="008D3E74">
        <w:rPr>
          <w:rFonts w:ascii="Arial" w:hAnsi="Arial" w:cs="Arial"/>
        </w:rPr>
        <w:fldChar w:fldCharType="begin"/>
      </w:r>
      <w:r w:rsidR="00DA3776" w:rsidRPr="008D3E74">
        <w:rPr>
          <w:rFonts w:ascii="Arial" w:hAnsi="Arial" w:cs="Arial"/>
        </w:rPr>
        <w:instrText xml:space="preserve"> ADDIN ZOTERO_ITEM CSL_CITATION {"citationID":"jRvvJB0Q","properties":{"formattedCitation":"(Alciati {\\i{}et al.} 2001; Fenton {\\i{}et al.} 2005)","plainCitation":"(Alciati et al. 2001; Fenton et al. 2005)","noteIndex":0},"citationItems":[{"id":1289,"uris":["http://zotero.org/users/local/hhPVnw6l/items/G6C8WEBP"],"uri":["http://zotero.org/users/local/hhPVnw6l/items/G6C8WEBP"],"itemData":{"id":1289,"type":"article-journal","title":"New-onset delusions and hallucinations in patients infected with HIV","container-title":"Journal of psychiatry &amp; neuroscience: JPN","page":"229-234","volume":"26","issue":"3","source":"PubMed","abstract":"OBJECTIVE: To assess the relationship between HIV-associated psychotic symptoms (i.e., delusions, hallucinations) and demographic, psychopathological and medical variables by comparing patients with and without cerebral opportunistic infections or metabolic encephalopathy.\nDESIGN: Cross-sectional study.\nPATIENTS: 26 patients admitted to hospital with HIV and new-onset psychotic symptoms, defined according to DSM-III-R criteria.\nOUTCOME MEASURES: A semistructured psychiatric interview using the Psychopathology Assessment Scale (AMDP-4) of the Association for Methodology and Documentation in Psychiatry system. Comprehensive medical assessments, including laboratory tests and computed tomographic scans, were also performed.\nRESULTS: Patients with cerebral opportunistic infections or metabolic encephalopathy (i.e., \"secondary\" psychosis, n = 13) were more likely to show disorders of consciousness, disorders of orientation and disturbances of attention and memory than those with no evidence of HIV-related cerebral disease (i.e., \"primary\" psychosis, n = 13); 10 patients (77%) with cerebral opportunistic infections or metabolic encephalopathy and only 1 (8%) patient without (p &lt; 0.001) were diagnosed with delirium. These associations were stronger for the \"secondary\" patients with no focal brain lesions than for those with lesions.\nCONCLUSIONS: These findings suggest that \"organic\" symptoms of psychosis in those infected with HIV are related to the systemic and cerebral complications of HIV infection rather than to the psychotic process itself.","ISSN":"1180-4882","note":"PMID: 11394192\nPMCID: PMC1408305","journalAbbreviation":"J Psychiatry Neurosci","language":"eng","author":[{"family":"Alciati","given":"A."},{"family":"Fusi","given":"A."},{"family":"D'Arminio Monforte","given":"A."},{"family":"Coen","given":"M."},{"family":"Ferri","given":"A."},{"family":"Mellado","given":"C."}],"issued":{"date-parts":[["2001",5]]}}},{"id":2257,"uris":["http://zotero.org/users/local/hhPVnw6l/items/T9LA6E39"],"uri":["http://zotero.org/users/local/hhPVnw6l/items/T9LA6E39"],"itemData":{"id":2257,"type":"article-journal","title":"Reported Sexually Transmitted Disease Clinic Attendance and Sexually Transmitted Infections in Britain: Prevalence, Risk Factors, and Proportionate Population Burden","container-title":"The Journal of Infectious Diseases","page":"S127-S138","volume":"191","issue":"Supplement_1","source":"academic.oup.com","abstract":"Abstract.  BackgroundWe examined attendance at sexually transmitted disease (STD) clinics and the prevalence, distribution, and associated demographic and behav","DOI":"10.1086/425286","ISSN":"0022-1899","title-short":"Reported Sexually Transmitted Disease Clinic Attendance and Sexually Transmitted Infections in Britain","journalAbbreviation":"J Infect Dis","language":"en","author":[{"family":"Fenton","given":"Kevin A."},{"family":"Mercer","given":"Catherine H."},{"family":"Johnson","given":"Anne M."},{"family":"Byron","given":"Christos L."},{"family":"McManus","given":"Sally"},{"family":"Erens","given":"Bob"},{"family":"Copas","given":"Andrew J."},{"family":"Nanchahal","given":"Kiran"},{"family":"Macdowall","given":"Wendy"},{"family":"Wellings","given":"Kaye"}],"issued":{"date-parts":[["2005",2,1]]}}}],"schema":"https://github.com/citation-style-language/schema/raw/master/csl-citation.json"} </w:instrText>
      </w:r>
      <w:r w:rsidR="00AE51EE" w:rsidRPr="008D3E74">
        <w:rPr>
          <w:rFonts w:ascii="Arial" w:hAnsi="Arial" w:cs="Arial"/>
        </w:rPr>
        <w:fldChar w:fldCharType="separate"/>
      </w:r>
      <w:r w:rsidR="00DA3776" w:rsidRPr="008D3E74">
        <w:rPr>
          <w:rFonts w:ascii="Arial" w:hAnsi="Arial" w:cs="Arial"/>
        </w:rPr>
        <w:t xml:space="preserve">(Alciati </w:t>
      </w:r>
      <w:r w:rsidR="00DA3776" w:rsidRPr="008D3E74">
        <w:rPr>
          <w:rFonts w:ascii="Arial" w:hAnsi="Arial" w:cs="Arial"/>
          <w:i/>
          <w:iCs/>
        </w:rPr>
        <w:t>et al.</w:t>
      </w:r>
      <w:r w:rsidR="00DA3776" w:rsidRPr="008D3E74">
        <w:rPr>
          <w:rFonts w:ascii="Arial" w:hAnsi="Arial" w:cs="Arial"/>
        </w:rPr>
        <w:t xml:space="preserve"> 2001; Fenton </w:t>
      </w:r>
      <w:r w:rsidR="00DA3776" w:rsidRPr="008D3E74">
        <w:rPr>
          <w:rFonts w:ascii="Arial" w:hAnsi="Arial" w:cs="Arial"/>
          <w:i/>
          <w:iCs/>
        </w:rPr>
        <w:t>et al.</w:t>
      </w:r>
      <w:r w:rsidR="00DA3776" w:rsidRPr="008D3E74">
        <w:rPr>
          <w:rFonts w:ascii="Arial" w:hAnsi="Arial" w:cs="Arial"/>
        </w:rPr>
        <w:t xml:space="preserve"> 2005)</w:t>
      </w:r>
      <w:r w:rsidR="00AE51EE" w:rsidRPr="008D3E74">
        <w:rPr>
          <w:rFonts w:ascii="Arial" w:hAnsi="Arial" w:cs="Arial"/>
        </w:rPr>
        <w:fldChar w:fldCharType="end"/>
      </w:r>
      <w:r w:rsidR="00603041" w:rsidRPr="008D3E74">
        <w:rPr>
          <w:rFonts w:ascii="Arial" w:hAnsi="Arial" w:cs="Arial"/>
        </w:rPr>
        <w:t>.</w:t>
      </w:r>
    </w:p>
    <w:p w14:paraId="0311A95C" w14:textId="14C23212" w:rsidR="00F8190A" w:rsidRDefault="00F8190A" w:rsidP="000050E5">
      <w:pPr>
        <w:spacing w:line="480" w:lineRule="auto"/>
        <w:jc w:val="both"/>
        <w:rPr>
          <w:rFonts w:ascii="Arial" w:hAnsi="Arial" w:cs="Arial"/>
        </w:rPr>
      </w:pPr>
    </w:p>
    <w:p w14:paraId="7907A883" w14:textId="35D8B0D6" w:rsidR="0036632E" w:rsidRDefault="0036632E" w:rsidP="000050E5">
      <w:pPr>
        <w:spacing w:line="480" w:lineRule="auto"/>
        <w:jc w:val="both"/>
        <w:rPr>
          <w:rFonts w:ascii="Arial" w:hAnsi="Arial" w:cs="Arial"/>
        </w:rPr>
      </w:pPr>
    </w:p>
    <w:p w14:paraId="5504D656" w14:textId="77777777" w:rsidR="0036632E" w:rsidRPr="008D3E74" w:rsidRDefault="0036632E" w:rsidP="000050E5">
      <w:pPr>
        <w:spacing w:line="480" w:lineRule="auto"/>
        <w:jc w:val="both"/>
        <w:rPr>
          <w:rFonts w:ascii="Arial" w:hAnsi="Arial" w:cs="Arial"/>
        </w:rPr>
      </w:pPr>
    </w:p>
    <w:p w14:paraId="320CDC24" w14:textId="55F02AAB" w:rsidR="0070117A" w:rsidRPr="008D3E74" w:rsidRDefault="0070117A" w:rsidP="000050E5">
      <w:pPr>
        <w:spacing w:line="480" w:lineRule="auto"/>
        <w:jc w:val="both"/>
        <w:rPr>
          <w:rFonts w:ascii="Arial" w:hAnsi="Arial" w:cs="Arial"/>
          <w:i/>
        </w:rPr>
      </w:pPr>
      <w:r w:rsidRPr="008D3E74">
        <w:rPr>
          <w:rFonts w:ascii="Arial" w:hAnsi="Arial" w:cs="Arial"/>
          <w:i/>
        </w:rPr>
        <w:lastRenderedPageBreak/>
        <w:t>Clinical implications</w:t>
      </w:r>
      <w:r w:rsidR="00CA7749" w:rsidRPr="008D3E74">
        <w:rPr>
          <w:rFonts w:ascii="Arial" w:hAnsi="Arial" w:cs="Arial"/>
          <w:i/>
        </w:rPr>
        <w:t xml:space="preserve"> and </w:t>
      </w:r>
      <w:r w:rsidR="00A54C53" w:rsidRPr="008D3E74">
        <w:rPr>
          <w:rFonts w:ascii="Arial" w:hAnsi="Arial" w:cs="Arial"/>
          <w:i/>
        </w:rPr>
        <w:t>directions</w:t>
      </w:r>
      <w:r w:rsidR="00CA7749" w:rsidRPr="008D3E74">
        <w:rPr>
          <w:rFonts w:ascii="Arial" w:hAnsi="Arial" w:cs="Arial"/>
          <w:i/>
        </w:rPr>
        <w:t xml:space="preserve"> for future research</w:t>
      </w:r>
    </w:p>
    <w:p w14:paraId="31C1789B" w14:textId="0B75DC72" w:rsidR="0070117A" w:rsidRPr="008D3E74" w:rsidRDefault="0070117A" w:rsidP="000050E5">
      <w:pPr>
        <w:spacing w:line="480" w:lineRule="auto"/>
        <w:jc w:val="both"/>
        <w:rPr>
          <w:rFonts w:ascii="Arial" w:hAnsi="Arial" w:cs="Arial"/>
        </w:rPr>
      </w:pPr>
      <w:r w:rsidRPr="008D3E74">
        <w:rPr>
          <w:rFonts w:ascii="Arial" w:hAnsi="Arial" w:cs="Arial"/>
        </w:rPr>
        <w:t>The results of our study showed that PE</w:t>
      </w:r>
      <w:r w:rsidR="00EA5B58" w:rsidRPr="008D3E74">
        <w:rPr>
          <w:rFonts w:ascii="Arial" w:hAnsi="Arial" w:cs="Arial"/>
        </w:rPr>
        <w:t>s</w:t>
      </w:r>
      <w:r w:rsidRPr="008D3E74">
        <w:rPr>
          <w:rFonts w:ascii="Arial" w:hAnsi="Arial" w:cs="Arial"/>
        </w:rPr>
        <w:t xml:space="preserve"> in non-heterosexual individuals are likely to be explained</w:t>
      </w:r>
      <w:r w:rsidR="0068755B" w:rsidRPr="008D3E74">
        <w:rPr>
          <w:rFonts w:ascii="Arial" w:hAnsi="Arial" w:cs="Arial"/>
        </w:rPr>
        <w:t>, at least in part,</w:t>
      </w:r>
      <w:r w:rsidRPr="008D3E74">
        <w:rPr>
          <w:rFonts w:ascii="Arial" w:hAnsi="Arial" w:cs="Arial"/>
        </w:rPr>
        <w:t xml:space="preserve"> by </w:t>
      </w:r>
      <w:r w:rsidR="00345BCA" w:rsidRPr="008D3E74">
        <w:rPr>
          <w:rFonts w:ascii="Arial" w:hAnsi="Arial" w:cs="Arial"/>
        </w:rPr>
        <w:t>psychosocial factors</w:t>
      </w:r>
      <w:r w:rsidR="006D7B60" w:rsidRPr="008D3E74">
        <w:rPr>
          <w:rFonts w:ascii="Arial" w:hAnsi="Arial" w:cs="Arial"/>
        </w:rPr>
        <w:t xml:space="preserve"> (e.g., </w:t>
      </w:r>
      <w:r w:rsidR="001321EF" w:rsidRPr="008D3E74">
        <w:rPr>
          <w:rFonts w:ascii="Arial" w:hAnsi="Arial" w:cs="Arial"/>
        </w:rPr>
        <w:t xml:space="preserve">loneliness, </w:t>
      </w:r>
      <w:r w:rsidR="006D7B60" w:rsidRPr="008D3E74">
        <w:rPr>
          <w:rFonts w:ascii="Arial" w:hAnsi="Arial" w:cs="Arial"/>
        </w:rPr>
        <w:t>stressful life events, bullying victimization)</w:t>
      </w:r>
      <w:r w:rsidR="00345BCA" w:rsidRPr="008D3E74">
        <w:rPr>
          <w:rFonts w:ascii="Arial" w:hAnsi="Arial" w:cs="Arial"/>
        </w:rPr>
        <w:t xml:space="preserve"> and</w:t>
      </w:r>
      <w:r w:rsidRPr="008D3E74">
        <w:rPr>
          <w:rFonts w:ascii="Arial" w:hAnsi="Arial" w:cs="Arial"/>
        </w:rPr>
        <w:t xml:space="preserve"> mental health conditions</w:t>
      </w:r>
      <w:r w:rsidR="006D7B60" w:rsidRPr="008D3E74">
        <w:rPr>
          <w:rFonts w:ascii="Arial" w:hAnsi="Arial" w:cs="Arial"/>
        </w:rPr>
        <w:t xml:space="preserve"> (e.g.</w:t>
      </w:r>
      <w:r w:rsidR="00BB1C68" w:rsidRPr="008D3E74">
        <w:rPr>
          <w:rFonts w:ascii="Arial" w:hAnsi="Arial" w:cs="Arial"/>
        </w:rPr>
        <w:t xml:space="preserve">, </w:t>
      </w:r>
      <w:r w:rsidR="006D7B60" w:rsidRPr="008D3E74">
        <w:rPr>
          <w:rFonts w:ascii="Arial" w:hAnsi="Arial" w:cs="Arial"/>
        </w:rPr>
        <w:t>BPD traits, CMDs, PTSD)</w:t>
      </w:r>
      <w:r w:rsidR="000A3C3A" w:rsidRPr="008D3E74">
        <w:rPr>
          <w:rFonts w:ascii="Arial" w:hAnsi="Arial" w:cs="Arial"/>
        </w:rPr>
        <w:t xml:space="preserve">. </w:t>
      </w:r>
      <w:r w:rsidRPr="008D3E74">
        <w:rPr>
          <w:rFonts w:ascii="Arial" w:hAnsi="Arial" w:cs="Arial"/>
        </w:rPr>
        <w:t>Clinicians should be aware that these conditions are more common among non-heterosexual</w:t>
      </w:r>
      <w:r w:rsidR="00143AF3" w:rsidRPr="008D3E74">
        <w:rPr>
          <w:rFonts w:ascii="Arial" w:hAnsi="Arial" w:cs="Arial"/>
        </w:rPr>
        <w:t xml:space="preserve">s </w:t>
      </w:r>
      <w:r w:rsidR="00243C0D" w:rsidRPr="008D3E74">
        <w:rPr>
          <w:rFonts w:ascii="Arial" w:hAnsi="Arial" w:cs="Arial"/>
        </w:rPr>
        <w:t>and</w:t>
      </w:r>
      <w:r w:rsidRPr="008D3E74">
        <w:rPr>
          <w:rFonts w:ascii="Arial" w:hAnsi="Arial" w:cs="Arial"/>
        </w:rPr>
        <w:t xml:space="preserve"> that these may be underlying factors </w:t>
      </w:r>
      <w:r w:rsidR="002E0D89" w:rsidRPr="008D3E74">
        <w:rPr>
          <w:rFonts w:ascii="Arial" w:hAnsi="Arial" w:cs="Arial"/>
        </w:rPr>
        <w:t>for</w:t>
      </w:r>
      <w:r w:rsidRPr="008D3E74">
        <w:rPr>
          <w:rFonts w:ascii="Arial" w:hAnsi="Arial" w:cs="Arial"/>
        </w:rPr>
        <w:t xml:space="preserve"> PE</w:t>
      </w:r>
      <w:r w:rsidR="004E7D06" w:rsidRPr="008D3E74">
        <w:rPr>
          <w:rFonts w:ascii="Arial" w:hAnsi="Arial" w:cs="Arial"/>
        </w:rPr>
        <w:t>s</w:t>
      </w:r>
      <w:r w:rsidRPr="008D3E74">
        <w:rPr>
          <w:rFonts w:ascii="Arial" w:hAnsi="Arial" w:cs="Arial"/>
        </w:rPr>
        <w:t xml:space="preserve">. </w:t>
      </w:r>
      <w:r w:rsidR="005628C1" w:rsidRPr="008D3E74">
        <w:rPr>
          <w:rFonts w:ascii="Arial" w:hAnsi="Arial" w:cs="Arial"/>
        </w:rPr>
        <w:t>Tak</w:t>
      </w:r>
      <w:r w:rsidR="00243C0D" w:rsidRPr="008D3E74">
        <w:rPr>
          <w:rFonts w:ascii="Arial" w:hAnsi="Arial" w:cs="Arial"/>
        </w:rPr>
        <w:t>en</w:t>
      </w:r>
      <w:r w:rsidR="005628C1" w:rsidRPr="008D3E74">
        <w:rPr>
          <w:rFonts w:ascii="Arial" w:hAnsi="Arial" w:cs="Arial"/>
        </w:rPr>
        <w:t xml:space="preserve"> together, our findings highlight the importance of the social context in the sexual orientation-PE relationship</w:t>
      </w:r>
      <w:r w:rsidR="004B7D15" w:rsidRPr="008D3E74">
        <w:rPr>
          <w:rFonts w:ascii="Arial" w:hAnsi="Arial" w:cs="Arial"/>
        </w:rPr>
        <w:t>.</w:t>
      </w:r>
      <w:r w:rsidR="00540F4A" w:rsidRPr="008D3E74">
        <w:rPr>
          <w:rFonts w:ascii="Arial" w:hAnsi="Arial" w:cs="Arial"/>
        </w:rPr>
        <w:t xml:space="preserve"> </w:t>
      </w:r>
      <w:r w:rsidR="004B7D15" w:rsidRPr="008D3E74">
        <w:rPr>
          <w:rFonts w:ascii="Arial" w:hAnsi="Arial" w:cs="Arial"/>
        </w:rPr>
        <w:t>These findings also</w:t>
      </w:r>
      <w:r w:rsidR="00540F4A" w:rsidRPr="008D3E74">
        <w:rPr>
          <w:rFonts w:ascii="Arial" w:hAnsi="Arial" w:cs="Arial"/>
        </w:rPr>
        <w:t xml:space="preserve"> underline the need for new programs aiming at the </w:t>
      </w:r>
      <w:r w:rsidR="004B7D15" w:rsidRPr="008D3E74">
        <w:rPr>
          <w:rFonts w:ascii="Arial" w:hAnsi="Arial" w:cs="Arial"/>
        </w:rPr>
        <w:t xml:space="preserve">improvement of the health, safety and well-being of sexual minorities. </w:t>
      </w:r>
      <w:r w:rsidR="001D463A" w:rsidRPr="008D3E74">
        <w:rPr>
          <w:rFonts w:ascii="Arial" w:hAnsi="Arial" w:cs="Arial"/>
        </w:rPr>
        <w:t xml:space="preserve">In addition, lack of acceptance of non-heterosexual individuals may have considerable effects on their health and well-being, and this should be the focus of collective efforts in the future. </w:t>
      </w:r>
      <w:r w:rsidR="00CA7749" w:rsidRPr="008D3E74">
        <w:rPr>
          <w:rFonts w:ascii="Arial" w:hAnsi="Arial" w:cs="Arial"/>
        </w:rPr>
        <w:t xml:space="preserve">Finally, </w:t>
      </w:r>
      <w:r w:rsidR="001754B5" w:rsidRPr="008D3E74">
        <w:rPr>
          <w:rFonts w:ascii="Arial" w:hAnsi="Arial" w:cs="Arial"/>
        </w:rPr>
        <w:t>further</w:t>
      </w:r>
      <w:r w:rsidR="00CA7749" w:rsidRPr="008D3E74">
        <w:rPr>
          <w:rFonts w:ascii="Arial" w:hAnsi="Arial" w:cs="Arial"/>
        </w:rPr>
        <w:t xml:space="preserve"> studies that investigate the underlying mechanisms that lead to stronger associations between sexual orientation and certain types of PE are warranted.</w:t>
      </w:r>
    </w:p>
    <w:p w14:paraId="64C806F3" w14:textId="68BF9448" w:rsidR="00156A58" w:rsidRPr="008D3E74" w:rsidRDefault="00156A58" w:rsidP="000050E5">
      <w:pPr>
        <w:spacing w:line="480" w:lineRule="auto"/>
        <w:jc w:val="both"/>
        <w:rPr>
          <w:rFonts w:ascii="Arial" w:hAnsi="Arial" w:cs="Arial"/>
        </w:rPr>
      </w:pPr>
    </w:p>
    <w:p w14:paraId="18A87F9A" w14:textId="140E6F89" w:rsidR="00156A58" w:rsidRPr="008D3E74" w:rsidRDefault="00193D5F" w:rsidP="000050E5">
      <w:pPr>
        <w:spacing w:line="480" w:lineRule="auto"/>
        <w:jc w:val="both"/>
        <w:rPr>
          <w:rFonts w:ascii="Arial" w:hAnsi="Arial" w:cs="Arial"/>
          <w:i/>
        </w:rPr>
      </w:pPr>
      <w:r w:rsidRPr="008D3E74">
        <w:rPr>
          <w:rFonts w:ascii="Arial" w:hAnsi="Arial" w:cs="Arial"/>
          <w:i/>
        </w:rPr>
        <w:t>L</w:t>
      </w:r>
      <w:r w:rsidR="00156A58" w:rsidRPr="008D3E74">
        <w:rPr>
          <w:rFonts w:ascii="Arial" w:hAnsi="Arial" w:cs="Arial"/>
          <w:i/>
        </w:rPr>
        <w:t>imitations</w:t>
      </w:r>
    </w:p>
    <w:p w14:paraId="79745E0C" w14:textId="11AD937F" w:rsidR="00090963" w:rsidRPr="008D3E74" w:rsidRDefault="00FA1B09" w:rsidP="000050E5">
      <w:pPr>
        <w:spacing w:line="480" w:lineRule="auto"/>
        <w:jc w:val="both"/>
        <w:rPr>
          <w:rFonts w:ascii="Arial" w:hAnsi="Arial" w:cs="Arial"/>
        </w:rPr>
      </w:pPr>
      <w:r w:rsidRPr="008D3E74">
        <w:rPr>
          <w:rFonts w:ascii="Arial" w:hAnsi="Arial" w:cs="Arial"/>
        </w:rPr>
        <w:t>First</w:t>
      </w:r>
      <w:r w:rsidR="00C54456" w:rsidRPr="008D3E74">
        <w:rPr>
          <w:rFonts w:ascii="Arial" w:hAnsi="Arial" w:cs="Arial"/>
        </w:rPr>
        <w:t xml:space="preserve">, in order to achieve a sample of individuals without clinical psychosis, we used a conservative approach of excluding not only individuals with a definitive psychosis diagnosis but also people with probable psychosis. However, it is possible that some individuals with probable psychosis did not have clinical psychosis, and thus, some individuals without clinical psychosis could have been excluded. </w:t>
      </w:r>
      <w:r w:rsidR="00CF460F" w:rsidRPr="008D3E74">
        <w:rPr>
          <w:rFonts w:ascii="Arial" w:hAnsi="Arial" w:cs="Arial"/>
        </w:rPr>
        <w:t>Second</w:t>
      </w:r>
      <w:r w:rsidR="00090963" w:rsidRPr="008D3E74">
        <w:rPr>
          <w:rFonts w:ascii="Arial" w:hAnsi="Arial" w:cs="Arial"/>
        </w:rPr>
        <w:t>, the design of this study was cross-sectional, and it was thus not possible to determine causality or temporality in the sexual orientation-PE relationship</w:t>
      </w:r>
      <w:r w:rsidR="00E4241B" w:rsidRPr="008D3E74">
        <w:rPr>
          <w:rFonts w:ascii="Arial" w:hAnsi="Arial" w:cs="Arial"/>
        </w:rPr>
        <w:t>. Relatedly, m</w:t>
      </w:r>
      <w:r w:rsidR="00A62A6A" w:rsidRPr="008D3E74">
        <w:rPr>
          <w:rFonts w:ascii="Arial" w:hAnsi="Arial" w:cs="Arial"/>
        </w:rPr>
        <w:t xml:space="preserve">ediation and confounding </w:t>
      </w:r>
      <w:r w:rsidR="00346692" w:rsidRPr="008D3E74">
        <w:rPr>
          <w:rFonts w:ascii="Arial" w:hAnsi="Arial" w:cs="Arial"/>
        </w:rPr>
        <w:t>have been found to be</w:t>
      </w:r>
      <w:r w:rsidR="00A62A6A" w:rsidRPr="008D3E74">
        <w:rPr>
          <w:rFonts w:ascii="Arial" w:hAnsi="Arial" w:cs="Arial"/>
        </w:rPr>
        <w:t xml:space="preserve"> identical statistically and distinguished only on conceptual grounds</w:t>
      </w:r>
      <w:r w:rsidR="00346692" w:rsidRPr="008D3E74">
        <w:rPr>
          <w:rFonts w:ascii="Arial" w:hAnsi="Arial" w:cs="Arial"/>
        </w:rPr>
        <w:t xml:space="preserve"> in the </w:t>
      </w:r>
      <w:r w:rsidR="00346692" w:rsidRPr="008D3E74">
        <w:rPr>
          <w:rFonts w:ascii="Arial" w:hAnsi="Arial" w:cs="Arial"/>
        </w:rPr>
        <w:lastRenderedPageBreak/>
        <w:t xml:space="preserve">context of </w:t>
      </w:r>
      <w:r w:rsidR="00DD4FD6" w:rsidRPr="008D3E74">
        <w:rPr>
          <w:rFonts w:ascii="Arial" w:hAnsi="Arial" w:cs="Arial"/>
        </w:rPr>
        <w:t>ordinary least squares regression</w:t>
      </w:r>
      <w:r w:rsidR="00145137" w:rsidRPr="008D3E74">
        <w:rPr>
          <w:rFonts w:ascii="Arial" w:hAnsi="Arial" w:cs="Arial"/>
        </w:rPr>
        <w:t xml:space="preserve"> </w:t>
      </w:r>
      <w:r w:rsidR="00D573C5" w:rsidRPr="008D3E74">
        <w:rPr>
          <w:rFonts w:ascii="Arial" w:hAnsi="Arial" w:cs="Arial"/>
        </w:rPr>
        <w:fldChar w:fldCharType="begin"/>
      </w:r>
      <w:r w:rsidR="00D573C5" w:rsidRPr="008D3E74">
        <w:rPr>
          <w:rFonts w:ascii="Arial" w:hAnsi="Arial" w:cs="Arial"/>
        </w:rPr>
        <w:instrText xml:space="preserve"> ADDIN ZOTERO_ITEM CSL_CITATION {"citationID":"XPleRGs2","properties":{"formattedCitation":"(MacKinnon {\\i{}et al.} 2000)","plainCitation":"(MacKinnon et al. 2000)","noteIndex":0},"citationItems":[{"id":1284,"uris":["http://zotero.org/users/local/hhPVnw6l/items/NXRRTB9E"],"uri":["http://zotero.org/users/local/hhPVnw6l/items/NXRRTB9E"],"itemData":{"id":1284,"type":"article-journal","title":"Equivalence of the Mediation, Confounding and Suppression Effect","container-title":"Prevention science : the official journal of the Society for Prevention Research","page":"173","volume":"1","issue":"4","source":"PubMed Central","abstract":"This paper describes the statistical similarities among mediation, confounding, and suppression. Each is quantified by measuring the change in the relationship between an independent and a dependent variable after adding a third variable to the analysis. Mediation and confounding are identical statistically and can be distinguished only on conceptual grounds. Methods to determine the confidence intervals for confounding and suppression effects are proposed based on methods developed for mediated effects. Although the statistical estimation of effects and standard errors is the same, there are important conceptual differences among the three types of effects.","ISSN":"1389-4986","note":"PMID: 11523746\nPMCID: PMC2819361","journalAbbreviation":"Prev Sci","author":[{"family":"MacKinnon","given":"David P."},{"family":"Krull","given":"Jennifer L."},{"family":"Lockwood","given":"Chondra M."}],"issued":{"date-parts":[["2000",12]]}}}],"schema":"https://github.com/citation-style-language/schema/raw/master/csl-citation.json"} </w:instrText>
      </w:r>
      <w:r w:rsidR="00D573C5" w:rsidRPr="008D3E74">
        <w:rPr>
          <w:rFonts w:ascii="Arial" w:hAnsi="Arial" w:cs="Arial"/>
        </w:rPr>
        <w:fldChar w:fldCharType="separate"/>
      </w:r>
      <w:r w:rsidR="00D573C5" w:rsidRPr="008D3E74">
        <w:rPr>
          <w:rFonts w:ascii="Arial" w:hAnsi="Arial" w:cs="Arial"/>
        </w:rPr>
        <w:t xml:space="preserve">(MacKinnon </w:t>
      </w:r>
      <w:r w:rsidR="00D573C5" w:rsidRPr="008D3E74">
        <w:rPr>
          <w:rFonts w:ascii="Arial" w:hAnsi="Arial" w:cs="Arial"/>
          <w:i/>
          <w:iCs/>
        </w:rPr>
        <w:t>et al.</w:t>
      </w:r>
      <w:r w:rsidR="00D573C5" w:rsidRPr="008D3E74">
        <w:rPr>
          <w:rFonts w:ascii="Arial" w:hAnsi="Arial" w:cs="Arial"/>
        </w:rPr>
        <w:t xml:space="preserve"> 2000)</w:t>
      </w:r>
      <w:r w:rsidR="00D573C5" w:rsidRPr="008D3E74">
        <w:rPr>
          <w:rFonts w:ascii="Arial" w:hAnsi="Arial" w:cs="Arial"/>
        </w:rPr>
        <w:fldChar w:fldCharType="end"/>
      </w:r>
      <w:r w:rsidR="00A62A6A" w:rsidRPr="008D3E74">
        <w:rPr>
          <w:rFonts w:ascii="Arial" w:hAnsi="Arial" w:cs="Arial"/>
        </w:rPr>
        <w:t>. While many of the mediating variables assessed in this study can be conceptualized as mediators, it is not possible to determine whether the attenuation in the ORs after the inclusion of the mediating variable is due to mediation or confounding in our cross-sectional study. Nonetheless, given that the influential factors in the association between sexual orientation and PE are largely unknown, we believe that our study provides an important platform for future longitudinal studies to provide more concrete evidence for the establishment of causality.</w:t>
      </w:r>
    </w:p>
    <w:p w14:paraId="0A63067E" w14:textId="77777777" w:rsidR="00090963" w:rsidRPr="008D3E74" w:rsidRDefault="00090963" w:rsidP="000050E5">
      <w:pPr>
        <w:spacing w:line="480" w:lineRule="auto"/>
        <w:jc w:val="both"/>
        <w:rPr>
          <w:rFonts w:ascii="Arial" w:hAnsi="Arial" w:cs="Arial"/>
        </w:rPr>
      </w:pPr>
    </w:p>
    <w:p w14:paraId="222BA248" w14:textId="5CEE9BC8" w:rsidR="00090963" w:rsidRPr="008D3E74" w:rsidRDefault="00090963" w:rsidP="000050E5">
      <w:pPr>
        <w:spacing w:line="480" w:lineRule="auto"/>
        <w:jc w:val="both"/>
        <w:rPr>
          <w:rFonts w:ascii="Arial" w:hAnsi="Arial" w:cs="Arial"/>
          <w:i/>
        </w:rPr>
      </w:pPr>
      <w:r w:rsidRPr="008D3E74">
        <w:rPr>
          <w:rFonts w:ascii="Arial" w:hAnsi="Arial" w:cs="Arial"/>
          <w:i/>
        </w:rPr>
        <w:t>Conclusion</w:t>
      </w:r>
    </w:p>
    <w:p w14:paraId="11EF2D8E" w14:textId="4403F498" w:rsidR="00156A58" w:rsidRPr="008D3E74" w:rsidRDefault="00E4241B" w:rsidP="000050E5">
      <w:pPr>
        <w:spacing w:line="480" w:lineRule="auto"/>
        <w:jc w:val="both"/>
        <w:rPr>
          <w:rFonts w:ascii="Arial" w:hAnsi="Arial" w:cs="Arial"/>
        </w:rPr>
      </w:pPr>
      <w:r w:rsidRPr="008D3E74">
        <w:rPr>
          <w:rFonts w:ascii="Arial" w:hAnsi="Arial" w:cs="Arial"/>
        </w:rPr>
        <w:t xml:space="preserve">Our </w:t>
      </w:r>
      <w:r w:rsidR="00090963" w:rsidRPr="008D3E74">
        <w:rPr>
          <w:rFonts w:ascii="Arial" w:hAnsi="Arial" w:cs="Arial"/>
        </w:rPr>
        <w:t xml:space="preserve">findings suggest that there is a positive relationship between </w:t>
      </w:r>
      <w:r w:rsidR="00193910" w:rsidRPr="008D3E74">
        <w:rPr>
          <w:rFonts w:ascii="Arial" w:hAnsi="Arial" w:cs="Arial"/>
        </w:rPr>
        <w:t xml:space="preserve">non-heterosexual </w:t>
      </w:r>
      <w:r w:rsidR="00090963" w:rsidRPr="008D3E74">
        <w:rPr>
          <w:rFonts w:ascii="Arial" w:hAnsi="Arial" w:cs="Arial"/>
        </w:rPr>
        <w:t xml:space="preserve">orientation and PEs in the general population in England, and that underlying mechanisms may involve </w:t>
      </w:r>
      <w:r w:rsidR="00193910" w:rsidRPr="008D3E74">
        <w:rPr>
          <w:rFonts w:ascii="Arial" w:hAnsi="Arial" w:cs="Arial"/>
        </w:rPr>
        <w:t xml:space="preserve">other mental health conditions as well as </w:t>
      </w:r>
      <w:r w:rsidR="00CF208A" w:rsidRPr="008D3E74">
        <w:rPr>
          <w:rFonts w:ascii="Arial" w:hAnsi="Arial" w:cs="Arial"/>
        </w:rPr>
        <w:t>psychosocial factors</w:t>
      </w:r>
      <w:r w:rsidR="00193910" w:rsidRPr="008D3E74">
        <w:rPr>
          <w:rFonts w:ascii="Arial" w:hAnsi="Arial" w:cs="Arial"/>
        </w:rPr>
        <w:t xml:space="preserve">. </w:t>
      </w:r>
      <w:r w:rsidR="00090963" w:rsidRPr="008D3E74">
        <w:rPr>
          <w:rFonts w:ascii="Arial" w:hAnsi="Arial" w:cs="Arial"/>
        </w:rPr>
        <w:t xml:space="preserve">Further studies </w:t>
      </w:r>
      <w:r w:rsidR="00A36285" w:rsidRPr="008D3E74">
        <w:rPr>
          <w:rFonts w:ascii="Arial" w:hAnsi="Arial" w:cs="Arial"/>
        </w:rPr>
        <w:t>with a</w:t>
      </w:r>
      <w:r w:rsidR="00090963" w:rsidRPr="008D3E74">
        <w:rPr>
          <w:rFonts w:ascii="Arial" w:hAnsi="Arial" w:cs="Arial"/>
        </w:rPr>
        <w:t xml:space="preserve"> longitudinal design are warranted to </w:t>
      </w:r>
      <w:r w:rsidR="00A81A6C" w:rsidRPr="008D3E74">
        <w:rPr>
          <w:rFonts w:ascii="Arial" w:hAnsi="Arial" w:cs="Arial"/>
        </w:rPr>
        <w:t>understand in more detail, how these factors are implicated in the association between sexual orientation and PE</w:t>
      </w:r>
      <w:r w:rsidR="00F65175" w:rsidRPr="008D3E74">
        <w:rPr>
          <w:rFonts w:ascii="Arial" w:hAnsi="Arial" w:cs="Arial"/>
        </w:rPr>
        <w:t>s</w:t>
      </w:r>
      <w:r w:rsidR="00A81A6C" w:rsidRPr="008D3E74">
        <w:rPr>
          <w:rFonts w:ascii="Arial" w:hAnsi="Arial" w:cs="Arial"/>
        </w:rPr>
        <w:t>.</w:t>
      </w:r>
    </w:p>
    <w:p w14:paraId="379C7BF4" w14:textId="094C23E6" w:rsidR="00B06688" w:rsidRPr="008D3E74" w:rsidRDefault="00B06688" w:rsidP="000050E5">
      <w:pPr>
        <w:spacing w:line="480" w:lineRule="auto"/>
        <w:jc w:val="both"/>
        <w:rPr>
          <w:rFonts w:ascii="Arial" w:hAnsi="Arial" w:cs="Arial"/>
        </w:rPr>
      </w:pPr>
    </w:p>
    <w:p w14:paraId="1B64DC41" w14:textId="77777777" w:rsidR="00B06688" w:rsidRPr="008D3E74" w:rsidRDefault="00B06688" w:rsidP="0036632E">
      <w:pPr>
        <w:pStyle w:val="Heading1"/>
      </w:pPr>
      <w:r w:rsidRPr="008D3E74">
        <w:t>Acknowledgements</w:t>
      </w:r>
    </w:p>
    <w:p w14:paraId="07625F31" w14:textId="77777777" w:rsidR="00B06688" w:rsidRPr="008D3E74" w:rsidRDefault="00B06688" w:rsidP="000050E5">
      <w:pPr>
        <w:spacing w:line="480" w:lineRule="auto"/>
        <w:jc w:val="both"/>
        <w:rPr>
          <w:rFonts w:ascii="Arial" w:hAnsi="Arial" w:cs="Arial"/>
        </w:rPr>
      </w:pPr>
      <w:r w:rsidRPr="008D3E74">
        <w:rPr>
          <w:rFonts w:ascii="Arial" w:hAnsi="Arial" w:cs="Arial"/>
        </w:rPr>
        <w:t>We would like to thank the National Center for Social Research and the University of Leicester who were the Principal Investigators of this survey. In addition, we would also like to thank the UK Data Archive, the National Center for Social Research, and other relevant bodies for making these data publicly available. They bear no responsibility for this analysis or interpretation of this publicly available dataset.</w:t>
      </w:r>
    </w:p>
    <w:p w14:paraId="63EA8968" w14:textId="77777777" w:rsidR="00B06688" w:rsidRPr="008D3E74" w:rsidRDefault="00B06688" w:rsidP="000050E5">
      <w:pPr>
        <w:spacing w:line="480" w:lineRule="auto"/>
        <w:rPr>
          <w:rFonts w:ascii="Arial" w:hAnsi="Arial" w:cs="Arial"/>
          <w:b/>
        </w:rPr>
      </w:pPr>
    </w:p>
    <w:p w14:paraId="37A633DF" w14:textId="77777777" w:rsidR="00B06688" w:rsidRPr="008D3E74" w:rsidRDefault="00B06688" w:rsidP="000050E5">
      <w:pPr>
        <w:spacing w:line="480" w:lineRule="auto"/>
        <w:jc w:val="both"/>
        <w:rPr>
          <w:rFonts w:ascii="Arial" w:hAnsi="Arial" w:cs="Arial"/>
          <w:b/>
        </w:rPr>
      </w:pPr>
      <w:r w:rsidRPr="008D3E74">
        <w:rPr>
          <w:rFonts w:ascii="Arial" w:hAnsi="Arial" w:cs="Arial"/>
          <w:b/>
        </w:rPr>
        <w:lastRenderedPageBreak/>
        <w:t>Availability of Data and Materials</w:t>
      </w:r>
    </w:p>
    <w:p w14:paraId="7E20CAB9" w14:textId="77777777" w:rsidR="00B06688" w:rsidRPr="008D3E74" w:rsidRDefault="00B06688" w:rsidP="000050E5">
      <w:pPr>
        <w:spacing w:line="480" w:lineRule="auto"/>
        <w:jc w:val="both"/>
        <w:rPr>
          <w:rFonts w:ascii="Arial" w:hAnsi="Arial" w:cs="Arial"/>
        </w:rPr>
      </w:pPr>
      <w:r w:rsidRPr="008D3E74">
        <w:rPr>
          <w:rFonts w:ascii="Arial" w:hAnsi="Arial" w:cs="Arial"/>
        </w:rPr>
        <w:t xml:space="preserve">The dataset on which the present study was based is publicly available to all interested </w:t>
      </w:r>
      <w:proofErr w:type="gramStart"/>
      <w:r w:rsidRPr="008D3E74">
        <w:rPr>
          <w:rFonts w:ascii="Arial" w:hAnsi="Arial" w:cs="Arial"/>
        </w:rPr>
        <w:t>researchers</w:t>
      </w:r>
      <w:proofErr w:type="gramEnd"/>
      <w:r w:rsidRPr="008D3E74">
        <w:rPr>
          <w:rFonts w:ascii="Arial" w:hAnsi="Arial" w:cs="Arial"/>
        </w:rPr>
        <w:t xml:space="preserve"> but they must make a formal request to the UK data service data repository (https://www.ukdataservice.ac.uk/) where the dataset is stored.</w:t>
      </w:r>
    </w:p>
    <w:p w14:paraId="4B0E1DCF" w14:textId="77777777" w:rsidR="00B06688" w:rsidRPr="008D3E74" w:rsidRDefault="00B06688" w:rsidP="000050E5">
      <w:pPr>
        <w:spacing w:line="480" w:lineRule="auto"/>
        <w:jc w:val="both"/>
        <w:rPr>
          <w:rFonts w:ascii="Arial" w:hAnsi="Arial" w:cs="Arial"/>
        </w:rPr>
      </w:pPr>
    </w:p>
    <w:p w14:paraId="779A58C0" w14:textId="77777777" w:rsidR="00B06688" w:rsidRPr="008D3E74" w:rsidRDefault="00B06688" w:rsidP="000050E5">
      <w:pPr>
        <w:spacing w:line="480" w:lineRule="auto"/>
        <w:jc w:val="both"/>
        <w:rPr>
          <w:rFonts w:ascii="Arial" w:hAnsi="Arial" w:cs="Arial"/>
          <w:b/>
        </w:rPr>
      </w:pPr>
      <w:r w:rsidRPr="008D3E74">
        <w:rPr>
          <w:rFonts w:ascii="Arial" w:hAnsi="Arial" w:cs="Arial"/>
          <w:b/>
        </w:rPr>
        <w:t>Conflict of Interest</w:t>
      </w:r>
    </w:p>
    <w:p w14:paraId="774BB3AF" w14:textId="77777777" w:rsidR="00B06688" w:rsidRPr="008D3E74" w:rsidRDefault="00B06688" w:rsidP="000050E5">
      <w:pPr>
        <w:spacing w:line="480" w:lineRule="auto"/>
        <w:jc w:val="both"/>
        <w:rPr>
          <w:rFonts w:ascii="Arial" w:hAnsi="Arial" w:cs="Arial"/>
        </w:rPr>
      </w:pPr>
      <w:r w:rsidRPr="008D3E74">
        <w:rPr>
          <w:rFonts w:ascii="Arial" w:hAnsi="Arial" w:cs="Arial"/>
        </w:rPr>
        <w:t>None.</w:t>
      </w:r>
    </w:p>
    <w:p w14:paraId="2E393D2E" w14:textId="77777777" w:rsidR="00B06688" w:rsidRPr="008D3E74" w:rsidRDefault="00B06688" w:rsidP="000050E5">
      <w:pPr>
        <w:spacing w:line="480" w:lineRule="auto"/>
        <w:jc w:val="both"/>
        <w:rPr>
          <w:rFonts w:ascii="Arial" w:hAnsi="Arial" w:cs="Arial"/>
          <w:b/>
        </w:rPr>
      </w:pPr>
    </w:p>
    <w:p w14:paraId="64ECEA3F" w14:textId="77777777" w:rsidR="00B06688" w:rsidRPr="008D3E74" w:rsidRDefault="00B06688" w:rsidP="000050E5">
      <w:pPr>
        <w:spacing w:line="480" w:lineRule="auto"/>
        <w:jc w:val="both"/>
        <w:rPr>
          <w:rFonts w:ascii="Arial" w:hAnsi="Arial" w:cs="Arial"/>
          <w:b/>
        </w:rPr>
      </w:pPr>
      <w:r w:rsidRPr="008D3E74">
        <w:rPr>
          <w:rFonts w:ascii="Arial" w:hAnsi="Arial" w:cs="Arial"/>
          <w:b/>
        </w:rPr>
        <w:t>Financial Support</w:t>
      </w:r>
    </w:p>
    <w:p w14:paraId="6FE3593C" w14:textId="77777777" w:rsidR="00B06688" w:rsidRPr="008D3E74" w:rsidRDefault="00B06688" w:rsidP="000050E5">
      <w:pPr>
        <w:spacing w:line="480" w:lineRule="auto"/>
        <w:jc w:val="both"/>
        <w:rPr>
          <w:rFonts w:ascii="Arial" w:hAnsi="Arial" w:cs="Arial"/>
        </w:rPr>
      </w:pPr>
      <w:r w:rsidRPr="008D3E74">
        <w:rPr>
          <w:rFonts w:ascii="Arial" w:hAnsi="Arial" w:cs="Arial"/>
        </w:rPr>
        <w:t>This research received no specific grant from any funding agency, commercial or not-for-profit sectors.</w:t>
      </w:r>
    </w:p>
    <w:p w14:paraId="7FE357A4" w14:textId="77777777" w:rsidR="00B06688" w:rsidRPr="008D3E74" w:rsidRDefault="00B06688" w:rsidP="000050E5">
      <w:pPr>
        <w:spacing w:line="480" w:lineRule="auto"/>
        <w:jc w:val="both"/>
        <w:rPr>
          <w:rFonts w:ascii="Arial" w:hAnsi="Arial" w:cs="Arial"/>
        </w:rPr>
      </w:pPr>
    </w:p>
    <w:p w14:paraId="4FA630BA" w14:textId="77777777" w:rsidR="00B06688" w:rsidRPr="008D3E74" w:rsidRDefault="00B06688" w:rsidP="000050E5">
      <w:pPr>
        <w:spacing w:line="480" w:lineRule="auto"/>
        <w:jc w:val="both"/>
        <w:rPr>
          <w:rFonts w:ascii="Arial" w:hAnsi="Arial" w:cs="Arial"/>
          <w:b/>
        </w:rPr>
      </w:pPr>
      <w:r w:rsidRPr="008D3E74">
        <w:rPr>
          <w:rFonts w:ascii="Arial" w:hAnsi="Arial" w:cs="Arial"/>
          <w:b/>
        </w:rPr>
        <w:t>Contributors</w:t>
      </w:r>
    </w:p>
    <w:p w14:paraId="35A83D0B" w14:textId="77777777" w:rsidR="00B06688" w:rsidRPr="008D3E74" w:rsidRDefault="00B06688" w:rsidP="000050E5">
      <w:pPr>
        <w:spacing w:line="480" w:lineRule="auto"/>
        <w:jc w:val="both"/>
        <w:rPr>
          <w:rFonts w:ascii="Arial" w:hAnsi="Arial" w:cs="Arial"/>
        </w:rPr>
      </w:pPr>
      <w:r w:rsidRPr="008D3E74">
        <w:rPr>
          <w:rFonts w:ascii="Arial" w:hAnsi="Arial" w:cs="Arial"/>
        </w:rPr>
        <w:t xml:space="preserve">Louis Jacob and Ai </w:t>
      </w:r>
      <w:proofErr w:type="spellStart"/>
      <w:r w:rsidRPr="008D3E74">
        <w:rPr>
          <w:rFonts w:ascii="Arial" w:hAnsi="Arial" w:cs="Arial"/>
        </w:rPr>
        <w:t>Koyanagi</w:t>
      </w:r>
      <w:proofErr w:type="spellEnd"/>
      <w:r w:rsidRPr="008D3E74">
        <w:rPr>
          <w:rFonts w:ascii="Arial" w:hAnsi="Arial" w:cs="Arial"/>
        </w:rPr>
        <w:t xml:space="preserve"> designed the study, managed the literature search, undertook the statistical analysis, and wrote the first draft of the manuscript. Lee Smith, Daragh McDermott, </w:t>
      </w:r>
      <w:proofErr w:type="spellStart"/>
      <w:r w:rsidRPr="008D3E74">
        <w:rPr>
          <w:rFonts w:ascii="Arial" w:hAnsi="Arial" w:cs="Arial"/>
        </w:rPr>
        <w:t>Josep</w:t>
      </w:r>
      <w:proofErr w:type="spellEnd"/>
      <w:r w:rsidRPr="008D3E74">
        <w:rPr>
          <w:rFonts w:ascii="Arial" w:hAnsi="Arial" w:cs="Arial"/>
        </w:rPr>
        <w:t xml:space="preserve"> Maria </w:t>
      </w:r>
      <w:proofErr w:type="spellStart"/>
      <w:r w:rsidRPr="008D3E74">
        <w:rPr>
          <w:rFonts w:ascii="Arial" w:hAnsi="Arial" w:cs="Arial"/>
        </w:rPr>
        <w:t>Haro</w:t>
      </w:r>
      <w:proofErr w:type="spellEnd"/>
      <w:r w:rsidRPr="008D3E74">
        <w:rPr>
          <w:rFonts w:ascii="Arial" w:hAnsi="Arial" w:cs="Arial"/>
        </w:rPr>
        <w:t>, and Andrew Stickley contributed to the design of the study and the intellectual content. All authors contributed to and have approved the final manuscript.</w:t>
      </w:r>
    </w:p>
    <w:p w14:paraId="4909E361" w14:textId="77777777" w:rsidR="00B06688" w:rsidRPr="008D3E74" w:rsidRDefault="00B06688" w:rsidP="000050E5">
      <w:pPr>
        <w:spacing w:line="480" w:lineRule="auto"/>
        <w:jc w:val="both"/>
        <w:rPr>
          <w:rFonts w:ascii="Arial" w:hAnsi="Arial" w:cs="Arial"/>
        </w:rPr>
      </w:pPr>
    </w:p>
    <w:p w14:paraId="4F1C9BD6" w14:textId="17934AB2" w:rsidR="00B74A00" w:rsidRPr="008D3E74" w:rsidRDefault="00B74A00" w:rsidP="000050E5">
      <w:pPr>
        <w:spacing w:line="480" w:lineRule="auto"/>
        <w:jc w:val="both"/>
        <w:rPr>
          <w:rFonts w:ascii="Arial" w:hAnsi="Arial" w:cs="Arial"/>
        </w:rPr>
      </w:pPr>
    </w:p>
    <w:p w14:paraId="7520D669" w14:textId="77777777" w:rsidR="000B7A52" w:rsidRPr="008D3E74" w:rsidRDefault="000B7A52" w:rsidP="000050E5">
      <w:pPr>
        <w:spacing w:line="480" w:lineRule="auto"/>
        <w:rPr>
          <w:rFonts w:ascii="Arial" w:hAnsi="Arial" w:cs="Arial"/>
          <w:b/>
        </w:rPr>
      </w:pPr>
      <w:r w:rsidRPr="008D3E74">
        <w:rPr>
          <w:rFonts w:ascii="Arial" w:hAnsi="Arial" w:cs="Arial"/>
          <w:b/>
        </w:rPr>
        <w:br w:type="page"/>
      </w:r>
    </w:p>
    <w:p w14:paraId="4A66C911" w14:textId="2EB87302" w:rsidR="00BB32FC" w:rsidRPr="008D3E74" w:rsidRDefault="00BB32FC" w:rsidP="0036632E">
      <w:pPr>
        <w:pStyle w:val="Heading1"/>
      </w:pPr>
      <w:r w:rsidRPr="008D3E74">
        <w:lastRenderedPageBreak/>
        <w:t>References</w:t>
      </w:r>
    </w:p>
    <w:p w14:paraId="43B356DC" w14:textId="5217FF80" w:rsidR="00350C06" w:rsidRPr="008D3E74" w:rsidRDefault="00350C06" w:rsidP="000050E5">
      <w:pPr>
        <w:spacing w:line="480" w:lineRule="auto"/>
        <w:jc w:val="both"/>
        <w:rPr>
          <w:rFonts w:ascii="Arial" w:hAnsi="Arial" w:cs="Arial"/>
        </w:rPr>
      </w:pPr>
    </w:p>
    <w:p w14:paraId="3C1ABDD1" w14:textId="77777777" w:rsidR="002144C8" w:rsidRPr="008D3E74" w:rsidRDefault="00CC5A15" w:rsidP="000050E5">
      <w:pPr>
        <w:widowControl w:val="0"/>
        <w:autoSpaceDE w:val="0"/>
        <w:autoSpaceDN w:val="0"/>
        <w:adjustRightInd w:val="0"/>
        <w:spacing w:line="480" w:lineRule="auto"/>
        <w:jc w:val="both"/>
        <w:rPr>
          <w:rFonts w:ascii="Arial" w:hAnsi="Arial" w:cs="Arial"/>
        </w:rPr>
      </w:pPr>
      <w:r w:rsidRPr="008D3E74">
        <w:rPr>
          <w:rFonts w:ascii="Arial" w:hAnsi="Arial" w:cs="Arial"/>
        </w:rPr>
        <w:fldChar w:fldCharType="begin"/>
      </w:r>
      <w:r w:rsidR="00754C02" w:rsidRPr="008D3E74">
        <w:rPr>
          <w:rFonts w:ascii="Arial" w:hAnsi="Arial" w:cs="Arial"/>
        </w:rPr>
        <w:instrText xml:space="preserve"> ADDIN ZOTERO_BIBL {"uncited":[],"omitted":[],"custom":[]} CSL_BIBLIOGRAPHY </w:instrText>
      </w:r>
      <w:r w:rsidRPr="008D3E74">
        <w:rPr>
          <w:rFonts w:ascii="Arial" w:hAnsi="Arial" w:cs="Arial"/>
        </w:rPr>
        <w:fldChar w:fldCharType="separate"/>
      </w:r>
      <w:r w:rsidR="002144C8" w:rsidRPr="008D3E74">
        <w:rPr>
          <w:rFonts w:ascii="Arial" w:hAnsi="Arial" w:cs="Arial"/>
          <w:b/>
          <w:bCs/>
        </w:rPr>
        <w:t>Alciati A, Fusi A, D’Arminio Monforte A, Coen M, Ferri A, Mellado C</w:t>
      </w:r>
      <w:r w:rsidR="002144C8" w:rsidRPr="008D3E74">
        <w:rPr>
          <w:rFonts w:ascii="Arial" w:hAnsi="Arial" w:cs="Arial"/>
        </w:rPr>
        <w:t xml:space="preserve"> (2001). New-onset delusions and hallucinations in patients infected with HIV. </w:t>
      </w:r>
      <w:r w:rsidR="002144C8" w:rsidRPr="008D3E74">
        <w:rPr>
          <w:rFonts w:ascii="Arial" w:hAnsi="Arial" w:cs="Arial"/>
          <w:i/>
          <w:iCs/>
        </w:rPr>
        <w:t>Journal of psychiatry &amp; neuroscience: JPN</w:t>
      </w:r>
      <w:r w:rsidR="002144C8" w:rsidRPr="008D3E74">
        <w:rPr>
          <w:rFonts w:ascii="Arial" w:hAnsi="Arial" w:cs="Arial"/>
        </w:rPr>
        <w:t xml:space="preserve"> </w:t>
      </w:r>
      <w:r w:rsidR="002144C8" w:rsidRPr="008D3E74">
        <w:rPr>
          <w:rFonts w:ascii="Arial" w:hAnsi="Arial" w:cs="Arial"/>
          <w:b/>
          <w:bCs/>
        </w:rPr>
        <w:t>26</w:t>
      </w:r>
      <w:r w:rsidR="002144C8" w:rsidRPr="008D3E74">
        <w:rPr>
          <w:rFonts w:ascii="Arial" w:hAnsi="Arial" w:cs="Arial"/>
        </w:rPr>
        <w:t>, 229–234.</w:t>
      </w:r>
    </w:p>
    <w:p w14:paraId="68F0E22D"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t>Alsawy S, Wood L, Taylor PJ, Morrison AP</w:t>
      </w:r>
      <w:r w:rsidRPr="008D3E74">
        <w:rPr>
          <w:rFonts w:ascii="Arial" w:hAnsi="Arial" w:cs="Arial"/>
        </w:rPr>
        <w:t xml:space="preserve"> (2015). Psychotic experiences and PTSD: exploring associations in a population survey. </w:t>
      </w:r>
      <w:r w:rsidRPr="008D3E74">
        <w:rPr>
          <w:rFonts w:ascii="Arial" w:hAnsi="Arial" w:cs="Arial"/>
          <w:i/>
          <w:iCs/>
        </w:rPr>
        <w:t>Psychological Medicine</w:t>
      </w:r>
      <w:r w:rsidRPr="008D3E74">
        <w:rPr>
          <w:rFonts w:ascii="Arial" w:hAnsi="Arial" w:cs="Arial"/>
        </w:rPr>
        <w:t xml:space="preserve"> </w:t>
      </w:r>
      <w:r w:rsidRPr="008D3E74">
        <w:rPr>
          <w:rFonts w:ascii="Arial" w:hAnsi="Arial" w:cs="Arial"/>
          <w:b/>
          <w:bCs/>
        </w:rPr>
        <w:t>45</w:t>
      </w:r>
      <w:r w:rsidRPr="008D3E74">
        <w:rPr>
          <w:rFonts w:ascii="Arial" w:hAnsi="Arial" w:cs="Arial"/>
        </w:rPr>
        <w:t>, 2849–2859.</w:t>
      </w:r>
    </w:p>
    <w:p w14:paraId="7C21BDB9"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t>Austin SB, Rosario M, McLaughlin KA, Roberts AL, Gordon AR, Sarda V, Missmer S, Anatale-Tardiff L, Scherer EA</w:t>
      </w:r>
      <w:r w:rsidRPr="008D3E74">
        <w:rPr>
          <w:rFonts w:ascii="Arial" w:hAnsi="Arial" w:cs="Arial"/>
        </w:rPr>
        <w:t xml:space="preserve"> (2016). Sexual orientation and diurnal cortisol patterns in a cohort of U.S. young adults. </w:t>
      </w:r>
      <w:r w:rsidRPr="008D3E74">
        <w:rPr>
          <w:rFonts w:ascii="Arial" w:hAnsi="Arial" w:cs="Arial"/>
          <w:i/>
          <w:iCs/>
        </w:rPr>
        <w:t>Psychoneuroendocrinology</w:t>
      </w:r>
      <w:r w:rsidRPr="008D3E74">
        <w:rPr>
          <w:rFonts w:ascii="Arial" w:hAnsi="Arial" w:cs="Arial"/>
        </w:rPr>
        <w:t xml:space="preserve"> </w:t>
      </w:r>
      <w:r w:rsidRPr="008D3E74">
        <w:rPr>
          <w:rFonts w:ascii="Arial" w:hAnsi="Arial" w:cs="Arial"/>
          <w:b/>
          <w:bCs/>
        </w:rPr>
        <w:t>69</w:t>
      </w:r>
      <w:r w:rsidRPr="008D3E74">
        <w:rPr>
          <w:rFonts w:ascii="Arial" w:hAnsi="Arial" w:cs="Arial"/>
        </w:rPr>
        <w:t>, 197–208.</w:t>
      </w:r>
    </w:p>
    <w:p w14:paraId="35785932"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t>Bauermeister JA, Meanley S, Hickok A, Pingel E, VanHemert W, Loveluck J</w:t>
      </w:r>
      <w:r w:rsidRPr="008D3E74">
        <w:rPr>
          <w:rFonts w:ascii="Arial" w:hAnsi="Arial" w:cs="Arial"/>
        </w:rPr>
        <w:t xml:space="preserve"> (2014). Sexuality-related work discrimination and its association with the health of sexual minority emerging and young adult men in the Detroit Metro Area. </w:t>
      </w:r>
      <w:r w:rsidRPr="008D3E74">
        <w:rPr>
          <w:rFonts w:ascii="Arial" w:hAnsi="Arial" w:cs="Arial"/>
          <w:i/>
          <w:iCs/>
        </w:rPr>
        <w:t>Sexuality research &amp; social policy : journal of NSRC : SR &amp; SP</w:t>
      </w:r>
      <w:r w:rsidRPr="008D3E74">
        <w:rPr>
          <w:rFonts w:ascii="Arial" w:hAnsi="Arial" w:cs="Arial"/>
        </w:rPr>
        <w:t xml:space="preserve"> </w:t>
      </w:r>
      <w:r w:rsidRPr="008D3E74">
        <w:rPr>
          <w:rFonts w:ascii="Arial" w:hAnsi="Arial" w:cs="Arial"/>
          <w:b/>
          <w:bCs/>
        </w:rPr>
        <w:t>11</w:t>
      </w:r>
      <w:r w:rsidRPr="008D3E74">
        <w:rPr>
          <w:rFonts w:ascii="Arial" w:hAnsi="Arial" w:cs="Arial"/>
        </w:rPr>
        <w:t>, 1–10.</w:t>
      </w:r>
    </w:p>
    <w:p w14:paraId="650297B9"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t>Beards S, Gayer-Anderson C, Borges S, Dewey ME, Fisher HL, Morgan C</w:t>
      </w:r>
      <w:r w:rsidRPr="008D3E74">
        <w:rPr>
          <w:rFonts w:ascii="Arial" w:hAnsi="Arial" w:cs="Arial"/>
        </w:rPr>
        <w:t xml:space="preserve"> (2013). Life Events and Psychosis: A Review and Meta-analysis. </w:t>
      </w:r>
      <w:r w:rsidRPr="008D3E74">
        <w:rPr>
          <w:rFonts w:ascii="Arial" w:hAnsi="Arial" w:cs="Arial"/>
          <w:i/>
          <w:iCs/>
        </w:rPr>
        <w:t>Schizophrenia Bulletin</w:t>
      </w:r>
      <w:r w:rsidRPr="008D3E74">
        <w:rPr>
          <w:rFonts w:ascii="Arial" w:hAnsi="Arial" w:cs="Arial"/>
        </w:rPr>
        <w:t xml:space="preserve"> </w:t>
      </w:r>
      <w:r w:rsidRPr="008D3E74">
        <w:rPr>
          <w:rFonts w:ascii="Arial" w:hAnsi="Arial" w:cs="Arial"/>
          <w:b/>
          <w:bCs/>
        </w:rPr>
        <w:t>39</w:t>
      </w:r>
      <w:r w:rsidRPr="008D3E74">
        <w:rPr>
          <w:rFonts w:ascii="Arial" w:hAnsi="Arial" w:cs="Arial"/>
        </w:rPr>
        <w:t>, 740–747.</w:t>
      </w:r>
    </w:p>
    <w:p w14:paraId="2F8375C4"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t>Bergdahl J, Bergdahl M</w:t>
      </w:r>
      <w:r w:rsidRPr="008D3E74">
        <w:rPr>
          <w:rFonts w:ascii="Arial" w:hAnsi="Arial" w:cs="Arial"/>
        </w:rPr>
        <w:t xml:space="preserve"> (2002). Perceived stress in adults: Prevalence and association of depression, anxiety and medication in a Swedish population. </w:t>
      </w:r>
      <w:r w:rsidRPr="008D3E74">
        <w:rPr>
          <w:rFonts w:ascii="Arial" w:hAnsi="Arial" w:cs="Arial"/>
          <w:i/>
          <w:iCs/>
        </w:rPr>
        <w:t>Stress and Health: Journal of the International Society for the Investigation of Stress</w:t>
      </w:r>
      <w:r w:rsidRPr="008D3E74">
        <w:rPr>
          <w:rFonts w:ascii="Arial" w:hAnsi="Arial" w:cs="Arial"/>
        </w:rPr>
        <w:t xml:space="preserve"> </w:t>
      </w:r>
      <w:r w:rsidRPr="008D3E74">
        <w:rPr>
          <w:rFonts w:ascii="Arial" w:hAnsi="Arial" w:cs="Arial"/>
          <w:b/>
          <w:bCs/>
        </w:rPr>
        <w:t>18</w:t>
      </w:r>
      <w:r w:rsidRPr="008D3E74">
        <w:rPr>
          <w:rFonts w:ascii="Arial" w:hAnsi="Arial" w:cs="Arial"/>
        </w:rPr>
        <w:t>, 235–241.</w:t>
      </w:r>
    </w:p>
    <w:p w14:paraId="6149A6B5"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t>Berlan ED, Corliss HL, Field AE, Goodman E, Austin SB</w:t>
      </w:r>
      <w:r w:rsidRPr="008D3E74">
        <w:rPr>
          <w:rFonts w:ascii="Arial" w:hAnsi="Arial" w:cs="Arial"/>
        </w:rPr>
        <w:t xml:space="preserve"> (2010). Sexual orientation and bullying among adolescents in the growing up today study. </w:t>
      </w:r>
      <w:r w:rsidRPr="008D3E74">
        <w:rPr>
          <w:rFonts w:ascii="Arial" w:hAnsi="Arial" w:cs="Arial"/>
          <w:i/>
          <w:iCs/>
        </w:rPr>
        <w:t xml:space="preserve">The </w:t>
      </w:r>
      <w:r w:rsidRPr="008D3E74">
        <w:rPr>
          <w:rFonts w:ascii="Arial" w:hAnsi="Arial" w:cs="Arial"/>
          <w:i/>
          <w:iCs/>
        </w:rPr>
        <w:lastRenderedPageBreak/>
        <w:t>Journal of Adolescent Health: Official Publication of the Society for Adolescent Medicine</w:t>
      </w:r>
      <w:r w:rsidRPr="008D3E74">
        <w:rPr>
          <w:rFonts w:ascii="Arial" w:hAnsi="Arial" w:cs="Arial"/>
        </w:rPr>
        <w:t xml:space="preserve"> </w:t>
      </w:r>
      <w:r w:rsidRPr="008D3E74">
        <w:rPr>
          <w:rFonts w:ascii="Arial" w:hAnsi="Arial" w:cs="Arial"/>
          <w:b/>
          <w:bCs/>
        </w:rPr>
        <w:t>46</w:t>
      </w:r>
      <w:r w:rsidRPr="008D3E74">
        <w:rPr>
          <w:rFonts w:ascii="Arial" w:hAnsi="Arial" w:cs="Arial"/>
        </w:rPr>
        <w:t>, 366–371.</w:t>
      </w:r>
    </w:p>
    <w:p w14:paraId="618D6B08"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t>Bolton S-L, Sareen J</w:t>
      </w:r>
      <w:r w:rsidRPr="008D3E74">
        <w:rPr>
          <w:rFonts w:ascii="Arial" w:hAnsi="Arial" w:cs="Arial"/>
        </w:rPr>
        <w:t xml:space="preserve"> (2011). Sexual orientation and its relation to mental disorders and suicide attempts: findings from a nationally representative sample. </w:t>
      </w:r>
      <w:r w:rsidRPr="008D3E74">
        <w:rPr>
          <w:rFonts w:ascii="Arial" w:hAnsi="Arial" w:cs="Arial"/>
          <w:i/>
          <w:iCs/>
        </w:rPr>
        <w:t>Canadian Journal of Psychiatry. Revue Canadienne De Psychiatrie</w:t>
      </w:r>
      <w:r w:rsidRPr="008D3E74">
        <w:rPr>
          <w:rFonts w:ascii="Arial" w:hAnsi="Arial" w:cs="Arial"/>
        </w:rPr>
        <w:t xml:space="preserve"> </w:t>
      </w:r>
      <w:r w:rsidRPr="008D3E74">
        <w:rPr>
          <w:rFonts w:ascii="Arial" w:hAnsi="Arial" w:cs="Arial"/>
          <w:b/>
          <w:bCs/>
        </w:rPr>
        <w:t>56</w:t>
      </w:r>
      <w:r w:rsidRPr="008D3E74">
        <w:rPr>
          <w:rFonts w:ascii="Arial" w:hAnsi="Arial" w:cs="Arial"/>
        </w:rPr>
        <w:t>, 35–43.</w:t>
      </w:r>
    </w:p>
    <w:p w14:paraId="095006B9"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t>Breen R, Karlson KB, Holm A</w:t>
      </w:r>
      <w:r w:rsidRPr="008D3E74">
        <w:rPr>
          <w:rFonts w:ascii="Arial" w:hAnsi="Arial" w:cs="Arial"/>
        </w:rPr>
        <w:t xml:space="preserve"> (2013). Total, Direct, and Indirect Effects in Logit and Probit Models. </w:t>
      </w:r>
      <w:r w:rsidRPr="008D3E74">
        <w:rPr>
          <w:rFonts w:ascii="Arial" w:hAnsi="Arial" w:cs="Arial"/>
          <w:i/>
          <w:iCs/>
        </w:rPr>
        <w:t>Sociological Methods &amp; Research</w:t>
      </w:r>
      <w:r w:rsidRPr="008D3E74">
        <w:rPr>
          <w:rFonts w:ascii="Arial" w:hAnsi="Arial" w:cs="Arial"/>
        </w:rPr>
        <w:t xml:space="preserve"> </w:t>
      </w:r>
      <w:r w:rsidRPr="008D3E74">
        <w:rPr>
          <w:rFonts w:ascii="Arial" w:hAnsi="Arial" w:cs="Arial"/>
          <w:b/>
          <w:bCs/>
        </w:rPr>
        <w:t>42</w:t>
      </w:r>
      <w:r w:rsidRPr="008D3E74">
        <w:rPr>
          <w:rFonts w:ascii="Arial" w:hAnsi="Arial" w:cs="Arial"/>
        </w:rPr>
        <w:t>, 164–191.</w:t>
      </w:r>
    </w:p>
    <w:p w14:paraId="5E1EA180" w14:textId="77777777" w:rsidR="002144C8" w:rsidRPr="008D3E74" w:rsidRDefault="002144C8" w:rsidP="000050E5">
      <w:pPr>
        <w:widowControl w:val="0"/>
        <w:autoSpaceDE w:val="0"/>
        <w:autoSpaceDN w:val="0"/>
        <w:adjustRightInd w:val="0"/>
        <w:spacing w:line="480" w:lineRule="auto"/>
        <w:jc w:val="both"/>
        <w:rPr>
          <w:rFonts w:ascii="Arial" w:hAnsi="Arial" w:cs="Arial"/>
          <w:lang w:val="fr-FR"/>
        </w:rPr>
      </w:pPr>
      <w:r w:rsidRPr="008D3E74">
        <w:rPr>
          <w:rFonts w:ascii="Arial" w:hAnsi="Arial" w:cs="Arial"/>
          <w:b/>
          <w:bCs/>
        </w:rPr>
        <w:t>Catone G, Marwaha S, Kuipers E, Lennox B, Freeman D, Bebbington P, Broome M</w:t>
      </w:r>
      <w:r w:rsidRPr="008D3E74">
        <w:rPr>
          <w:rFonts w:ascii="Arial" w:hAnsi="Arial" w:cs="Arial"/>
        </w:rPr>
        <w:t xml:space="preserve"> (2015). Bullying victimisation and risk of psychotic phenomena: analyses of British national survey data. </w:t>
      </w:r>
      <w:r w:rsidRPr="008D3E74">
        <w:rPr>
          <w:rFonts w:ascii="Arial" w:hAnsi="Arial" w:cs="Arial"/>
          <w:i/>
          <w:iCs/>
          <w:lang w:val="fr-FR"/>
        </w:rPr>
        <w:t>The Lancet Psychiatry</w:t>
      </w:r>
      <w:r w:rsidRPr="008D3E74">
        <w:rPr>
          <w:rFonts w:ascii="Arial" w:hAnsi="Arial" w:cs="Arial"/>
          <w:lang w:val="fr-FR"/>
        </w:rPr>
        <w:t xml:space="preserve"> </w:t>
      </w:r>
      <w:r w:rsidRPr="008D3E74">
        <w:rPr>
          <w:rFonts w:ascii="Arial" w:hAnsi="Arial" w:cs="Arial"/>
          <w:b/>
          <w:bCs/>
          <w:lang w:val="fr-FR"/>
        </w:rPr>
        <w:t>2</w:t>
      </w:r>
      <w:r w:rsidRPr="008D3E74">
        <w:rPr>
          <w:rFonts w:ascii="Arial" w:hAnsi="Arial" w:cs="Arial"/>
          <w:lang w:val="fr-FR"/>
        </w:rPr>
        <w:t>, 618–624.</w:t>
      </w:r>
    </w:p>
    <w:p w14:paraId="5826917A"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lang w:val="fr-FR"/>
        </w:rPr>
        <w:t>Chabrol H, Niezborala M, Chastan E, de Leon J</w:t>
      </w:r>
      <w:r w:rsidRPr="008D3E74">
        <w:rPr>
          <w:rFonts w:ascii="Arial" w:hAnsi="Arial" w:cs="Arial"/>
          <w:lang w:val="fr-FR"/>
        </w:rPr>
        <w:t xml:space="preserve"> (2005). </w:t>
      </w:r>
      <w:r w:rsidRPr="008D3E74">
        <w:rPr>
          <w:rFonts w:ascii="Arial" w:hAnsi="Arial" w:cs="Arial"/>
        </w:rPr>
        <w:t xml:space="preserve">Comparison of the Heavy Smoking Index and of the Fagerstrom Test for Nicotine Dependence in a sample of 749 cigarette smokers. </w:t>
      </w:r>
      <w:r w:rsidRPr="008D3E74">
        <w:rPr>
          <w:rFonts w:ascii="Arial" w:hAnsi="Arial" w:cs="Arial"/>
          <w:i/>
          <w:iCs/>
        </w:rPr>
        <w:t>Addictive Behaviors</w:t>
      </w:r>
      <w:r w:rsidRPr="008D3E74">
        <w:rPr>
          <w:rFonts w:ascii="Arial" w:hAnsi="Arial" w:cs="Arial"/>
        </w:rPr>
        <w:t xml:space="preserve"> </w:t>
      </w:r>
      <w:r w:rsidRPr="008D3E74">
        <w:rPr>
          <w:rFonts w:ascii="Arial" w:hAnsi="Arial" w:cs="Arial"/>
          <w:b/>
          <w:bCs/>
        </w:rPr>
        <w:t>30</w:t>
      </w:r>
      <w:r w:rsidRPr="008D3E74">
        <w:rPr>
          <w:rFonts w:ascii="Arial" w:hAnsi="Arial" w:cs="Arial"/>
        </w:rPr>
        <w:t>, 1474–1477.</w:t>
      </w:r>
    </w:p>
    <w:p w14:paraId="5AA7D753"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t>Chakraborty A, McManus S, Brugha TS, Bebbington P, King M</w:t>
      </w:r>
      <w:r w:rsidRPr="008D3E74">
        <w:rPr>
          <w:rFonts w:ascii="Arial" w:hAnsi="Arial" w:cs="Arial"/>
        </w:rPr>
        <w:t xml:space="preserve"> (2011). Mental health of the non-heterosexual population of England. </w:t>
      </w:r>
      <w:r w:rsidRPr="008D3E74">
        <w:rPr>
          <w:rFonts w:ascii="Arial" w:hAnsi="Arial" w:cs="Arial"/>
          <w:i/>
          <w:iCs/>
        </w:rPr>
        <w:t>The British Journal of Psychiatry</w:t>
      </w:r>
      <w:r w:rsidRPr="008D3E74">
        <w:rPr>
          <w:rFonts w:ascii="Arial" w:hAnsi="Arial" w:cs="Arial"/>
        </w:rPr>
        <w:t xml:space="preserve"> </w:t>
      </w:r>
      <w:r w:rsidRPr="008D3E74">
        <w:rPr>
          <w:rFonts w:ascii="Arial" w:hAnsi="Arial" w:cs="Arial"/>
          <w:b/>
          <w:bCs/>
        </w:rPr>
        <w:t>198</w:t>
      </w:r>
      <w:r w:rsidRPr="008D3E74">
        <w:rPr>
          <w:rFonts w:ascii="Arial" w:hAnsi="Arial" w:cs="Arial"/>
        </w:rPr>
        <w:t>, 143–148.</w:t>
      </w:r>
    </w:p>
    <w:p w14:paraId="73FC7B78"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lang w:val="fr-FR"/>
        </w:rPr>
        <w:t>Charles LE, Slaven JE, Mnatsakanova A, Ma C, Violanti JM, Fekedulegn D, Andrew ME, Vila BJ, Burchfiel CM</w:t>
      </w:r>
      <w:r w:rsidRPr="008D3E74">
        <w:rPr>
          <w:rFonts w:ascii="Arial" w:hAnsi="Arial" w:cs="Arial"/>
          <w:lang w:val="fr-FR"/>
        </w:rPr>
        <w:t xml:space="preserve"> (2011). </w:t>
      </w:r>
      <w:r w:rsidRPr="008D3E74">
        <w:rPr>
          <w:rFonts w:ascii="Arial" w:hAnsi="Arial" w:cs="Arial"/>
        </w:rPr>
        <w:t xml:space="preserve">Association of Perceived Stress with Sleep Duration and Sleep Quality in Police Officers. </w:t>
      </w:r>
      <w:r w:rsidRPr="008D3E74">
        <w:rPr>
          <w:rFonts w:ascii="Arial" w:hAnsi="Arial" w:cs="Arial"/>
          <w:i/>
          <w:iCs/>
        </w:rPr>
        <w:t>International journal of emergency mental health</w:t>
      </w:r>
      <w:r w:rsidRPr="008D3E74">
        <w:rPr>
          <w:rFonts w:ascii="Arial" w:hAnsi="Arial" w:cs="Arial"/>
        </w:rPr>
        <w:t xml:space="preserve"> </w:t>
      </w:r>
      <w:r w:rsidRPr="008D3E74">
        <w:rPr>
          <w:rFonts w:ascii="Arial" w:hAnsi="Arial" w:cs="Arial"/>
          <w:b/>
          <w:bCs/>
        </w:rPr>
        <w:t>13</w:t>
      </w:r>
      <w:r w:rsidRPr="008D3E74">
        <w:rPr>
          <w:rFonts w:ascii="Arial" w:hAnsi="Arial" w:cs="Arial"/>
        </w:rPr>
        <w:t>, 229–241.</w:t>
      </w:r>
    </w:p>
    <w:p w14:paraId="38198F26"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t>Charlton BM, Gordon AR, Reisner SL, Sarda V, Samnaliev M, Austin SB</w:t>
      </w:r>
      <w:r w:rsidRPr="008D3E74">
        <w:rPr>
          <w:rFonts w:ascii="Arial" w:hAnsi="Arial" w:cs="Arial"/>
        </w:rPr>
        <w:t xml:space="preserve"> (2018). Sexual orientation-related disparities in employment, health insurance, healthcare access and health-related quality of life: a cohort study of US male and female adolescents and young adults. </w:t>
      </w:r>
      <w:r w:rsidRPr="008D3E74">
        <w:rPr>
          <w:rFonts w:ascii="Arial" w:hAnsi="Arial" w:cs="Arial"/>
          <w:i/>
          <w:iCs/>
        </w:rPr>
        <w:t>BMJ Open</w:t>
      </w:r>
      <w:r w:rsidRPr="008D3E74">
        <w:rPr>
          <w:rFonts w:ascii="Arial" w:hAnsi="Arial" w:cs="Arial"/>
        </w:rPr>
        <w:t xml:space="preserve"> </w:t>
      </w:r>
      <w:r w:rsidRPr="008D3E74">
        <w:rPr>
          <w:rFonts w:ascii="Arial" w:hAnsi="Arial" w:cs="Arial"/>
          <w:b/>
          <w:bCs/>
        </w:rPr>
        <w:t>8</w:t>
      </w:r>
    </w:p>
    <w:p w14:paraId="479575A7"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lastRenderedPageBreak/>
        <w:t>Chen J-H, Shiu C-S</w:t>
      </w:r>
      <w:r w:rsidRPr="008D3E74">
        <w:rPr>
          <w:rFonts w:ascii="Arial" w:hAnsi="Arial" w:cs="Arial"/>
        </w:rPr>
        <w:t xml:space="preserve"> (2017). Sexual Orientation and Sleep in the U.S.: A National Profile. </w:t>
      </w:r>
      <w:r w:rsidRPr="008D3E74">
        <w:rPr>
          <w:rFonts w:ascii="Arial" w:hAnsi="Arial" w:cs="Arial"/>
          <w:i/>
          <w:iCs/>
        </w:rPr>
        <w:t>American Journal of Preventive Medicine</w:t>
      </w:r>
      <w:r w:rsidRPr="008D3E74">
        <w:rPr>
          <w:rFonts w:ascii="Arial" w:hAnsi="Arial" w:cs="Arial"/>
        </w:rPr>
        <w:t xml:space="preserve"> </w:t>
      </w:r>
      <w:r w:rsidRPr="008D3E74">
        <w:rPr>
          <w:rFonts w:ascii="Arial" w:hAnsi="Arial" w:cs="Arial"/>
          <w:b/>
          <w:bCs/>
        </w:rPr>
        <w:t>52</w:t>
      </w:r>
      <w:r w:rsidRPr="008D3E74">
        <w:rPr>
          <w:rFonts w:ascii="Arial" w:hAnsi="Arial" w:cs="Arial"/>
        </w:rPr>
        <w:t>, 433–442.</w:t>
      </w:r>
    </w:p>
    <w:p w14:paraId="4BCF6122"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t>Collip D, Nicolson NA, Lardinois M, Lataster T, van Os J, Myin-Germeys I, G.R.O.U.P</w:t>
      </w:r>
      <w:r w:rsidRPr="008D3E74">
        <w:rPr>
          <w:rFonts w:ascii="Arial" w:hAnsi="Arial" w:cs="Arial"/>
        </w:rPr>
        <w:t xml:space="preserve"> (2011). Daily cortisol, stress reactivity and psychotic experiences in individuals at above average genetic risk for psychosis. </w:t>
      </w:r>
      <w:r w:rsidRPr="008D3E74">
        <w:rPr>
          <w:rFonts w:ascii="Arial" w:hAnsi="Arial" w:cs="Arial"/>
          <w:i/>
          <w:iCs/>
        </w:rPr>
        <w:t>Psychological Medicine</w:t>
      </w:r>
      <w:r w:rsidRPr="008D3E74">
        <w:rPr>
          <w:rFonts w:ascii="Arial" w:hAnsi="Arial" w:cs="Arial"/>
        </w:rPr>
        <w:t xml:space="preserve"> </w:t>
      </w:r>
      <w:r w:rsidRPr="008D3E74">
        <w:rPr>
          <w:rFonts w:ascii="Arial" w:hAnsi="Arial" w:cs="Arial"/>
          <w:b/>
          <w:bCs/>
        </w:rPr>
        <w:t>41</w:t>
      </w:r>
      <w:r w:rsidRPr="008D3E74">
        <w:rPr>
          <w:rFonts w:ascii="Arial" w:hAnsi="Arial" w:cs="Arial"/>
        </w:rPr>
        <w:t>, 2305–2315.</w:t>
      </w:r>
    </w:p>
    <w:p w14:paraId="6DCE2A8B"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t>Davies J, Sullivan S, Zammit S</w:t>
      </w:r>
      <w:r w:rsidRPr="008D3E74">
        <w:rPr>
          <w:rFonts w:ascii="Arial" w:hAnsi="Arial" w:cs="Arial"/>
        </w:rPr>
        <w:t xml:space="preserve"> (2018). Adverse life outcomes associated with adolescent psychotic experiences and depressive symptoms. </w:t>
      </w:r>
      <w:r w:rsidRPr="008D3E74">
        <w:rPr>
          <w:rFonts w:ascii="Arial" w:hAnsi="Arial" w:cs="Arial"/>
          <w:i/>
          <w:iCs/>
        </w:rPr>
        <w:t>Social Psychiatry and Psychiatric Epidemiology</w:t>
      </w:r>
      <w:r w:rsidRPr="008D3E74">
        <w:rPr>
          <w:rFonts w:ascii="Arial" w:hAnsi="Arial" w:cs="Arial"/>
        </w:rPr>
        <w:t xml:space="preserve"> </w:t>
      </w:r>
      <w:r w:rsidRPr="008D3E74">
        <w:rPr>
          <w:rFonts w:ascii="Arial" w:hAnsi="Arial" w:cs="Arial"/>
          <w:b/>
          <w:bCs/>
        </w:rPr>
        <w:t>53</w:t>
      </w:r>
      <w:r w:rsidRPr="008D3E74">
        <w:rPr>
          <w:rFonts w:ascii="Arial" w:hAnsi="Arial" w:cs="Arial"/>
        </w:rPr>
        <w:t>, 497–507.</w:t>
      </w:r>
    </w:p>
    <w:p w14:paraId="1943047E"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t>DeVylder JE, Cogburn C, Oh HY, Anglin D, Smith ME, Sharpe T, Jun H-J, Schiffman J, Lukens E, Link B</w:t>
      </w:r>
      <w:r w:rsidRPr="008D3E74">
        <w:rPr>
          <w:rFonts w:ascii="Arial" w:hAnsi="Arial" w:cs="Arial"/>
        </w:rPr>
        <w:t xml:space="preserve"> (2017). Psychotic Experiences in the Context of Police Victimization: Data From the Survey of Police-Public Encounters. </w:t>
      </w:r>
      <w:r w:rsidRPr="008D3E74">
        <w:rPr>
          <w:rFonts w:ascii="Arial" w:hAnsi="Arial" w:cs="Arial"/>
          <w:i/>
          <w:iCs/>
        </w:rPr>
        <w:t>Schizophrenia Bulletin</w:t>
      </w:r>
      <w:r w:rsidRPr="008D3E74">
        <w:rPr>
          <w:rFonts w:ascii="Arial" w:hAnsi="Arial" w:cs="Arial"/>
        </w:rPr>
        <w:t xml:space="preserve"> </w:t>
      </w:r>
      <w:r w:rsidRPr="008D3E74">
        <w:rPr>
          <w:rFonts w:ascii="Arial" w:hAnsi="Arial" w:cs="Arial"/>
          <w:b/>
          <w:bCs/>
        </w:rPr>
        <w:t>43</w:t>
      </w:r>
      <w:r w:rsidRPr="008D3E74">
        <w:rPr>
          <w:rFonts w:ascii="Arial" w:hAnsi="Arial" w:cs="Arial"/>
        </w:rPr>
        <w:t>, 993–1001.</w:t>
      </w:r>
    </w:p>
    <w:p w14:paraId="3B102220"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t>DeVylder JE, Koyanagi A, Unick J, Oh H, Nam B, Stickley A</w:t>
      </w:r>
      <w:r w:rsidRPr="008D3E74">
        <w:rPr>
          <w:rFonts w:ascii="Arial" w:hAnsi="Arial" w:cs="Arial"/>
        </w:rPr>
        <w:t xml:space="preserve"> (2016). Stress Sensitivity and Psychotic Experiences in 39 Low- and Middle-Income Countries. </w:t>
      </w:r>
      <w:r w:rsidRPr="008D3E74">
        <w:rPr>
          <w:rFonts w:ascii="Arial" w:hAnsi="Arial" w:cs="Arial"/>
          <w:i/>
          <w:iCs/>
        </w:rPr>
        <w:t>Schizophrenia Bulletin</w:t>
      </w:r>
      <w:r w:rsidRPr="008D3E74">
        <w:rPr>
          <w:rFonts w:ascii="Arial" w:hAnsi="Arial" w:cs="Arial"/>
        </w:rPr>
        <w:t xml:space="preserve"> </w:t>
      </w:r>
      <w:r w:rsidRPr="008D3E74">
        <w:rPr>
          <w:rFonts w:ascii="Arial" w:hAnsi="Arial" w:cs="Arial"/>
          <w:b/>
          <w:bCs/>
        </w:rPr>
        <w:t>42</w:t>
      </w:r>
      <w:r w:rsidRPr="008D3E74">
        <w:rPr>
          <w:rFonts w:ascii="Arial" w:hAnsi="Arial" w:cs="Arial"/>
        </w:rPr>
        <w:t>, 1353–1362.</w:t>
      </w:r>
    </w:p>
    <w:p w14:paraId="74FA02FC"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t>Doyle DM, Molix L</w:t>
      </w:r>
      <w:r w:rsidRPr="008D3E74">
        <w:rPr>
          <w:rFonts w:ascii="Arial" w:hAnsi="Arial" w:cs="Arial"/>
        </w:rPr>
        <w:t xml:space="preserve"> (2016). Disparities in Social Health by Sexual Orientation and the Etiologic Role of Self-Reported Discrimination. </w:t>
      </w:r>
      <w:r w:rsidRPr="008D3E74">
        <w:rPr>
          <w:rFonts w:ascii="Arial" w:hAnsi="Arial" w:cs="Arial"/>
          <w:i/>
          <w:iCs/>
        </w:rPr>
        <w:t>Archives of Sexual Behavior</w:t>
      </w:r>
      <w:r w:rsidRPr="008D3E74">
        <w:rPr>
          <w:rFonts w:ascii="Arial" w:hAnsi="Arial" w:cs="Arial"/>
        </w:rPr>
        <w:t xml:space="preserve"> </w:t>
      </w:r>
      <w:r w:rsidRPr="008D3E74">
        <w:rPr>
          <w:rFonts w:ascii="Arial" w:hAnsi="Arial" w:cs="Arial"/>
          <w:b/>
          <w:bCs/>
        </w:rPr>
        <w:t>45</w:t>
      </w:r>
      <w:r w:rsidRPr="008D3E74">
        <w:rPr>
          <w:rFonts w:ascii="Arial" w:hAnsi="Arial" w:cs="Arial"/>
        </w:rPr>
        <w:t>, 1317–1327.</w:t>
      </w:r>
    </w:p>
    <w:p w14:paraId="365163D3"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t>Feizi A, Aliyari R, Roohafza H</w:t>
      </w:r>
      <w:r w:rsidRPr="008D3E74">
        <w:rPr>
          <w:rFonts w:ascii="Arial" w:hAnsi="Arial" w:cs="Arial"/>
        </w:rPr>
        <w:t xml:space="preserve"> (2012). Association of Perceived Stress with Stressful Life Events, Lifestyle and Sociodemographic Factors: A Large-Scale Community-Based Study Using Logistic Quantile Regression. </w:t>
      </w:r>
      <w:r w:rsidRPr="008D3E74">
        <w:rPr>
          <w:rFonts w:ascii="Arial" w:hAnsi="Arial" w:cs="Arial"/>
          <w:i/>
          <w:iCs/>
        </w:rPr>
        <w:t>Computational and Mathematical Methods in Medicine</w:t>
      </w:r>
      <w:r w:rsidRPr="008D3E74">
        <w:rPr>
          <w:rFonts w:ascii="Arial" w:hAnsi="Arial" w:cs="Arial"/>
        </w:rPr>
        <w:t xml:space="preserve"> </w:t>
      </w:r>
      <w:r w:rsidRPr="008D3E74">
        <w:rPr>
          <w:rFonts w:ascii="Arial" w:hAnsi="Arial" w:cs="Arial"/>
          <w:b/>
          <w:bCs/>
        </w:rPr>
        <w:t>2012</w:t>
      </w:r>
    </w:p>
    <w:p w14:paraId="6B6F6D3E"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t>Fenton KA, Mercer CH, Johnson AM, Byron CL, McManus S, Erens B, Copas AJ, Nanchahal K, Macdowall W, Wellings K</w:t>
      </w:r>
      <w:r w:rsidRPr="008D3E74">
        <w:rPr>
          <w:rFonts w:ascii="Arial" w:hAnsi="Arial" w:cs="Arial"/>
        </w:rPr>
        <w:t xml:space="preserve"> (2005). Reported </w:t>
      </w:r>
      <w:r w:rsidRPr="008D3E74">
        <w:rPr>
          <w:rFonts w:ascii="Arial" w:hAnsi="Arial" w:cs="Arial"/>
        </w:rPr>
        <w:lastRenderedPageBreak/>
        <w:t xml:space="preserve">Sexually Transmitted Disease Clinic Attendance and Sexually Transmitted Infections in Britain: Prevalence, Risk Factors, and Proportionate Population Burden. </w:t>
      </w:r>
      <w:r w:rsidRPr="008D3E74">
        <w:rPr>
          <w:rFonts w:ascii="Arial" w:hAnsi="Arial" w:cs="Arial"/>
          <w:i/>
          <w:iCs/>
        </w:rPr>
        <w:t>The Journal of Infectious Diseases</w:t>
      </w:r>
      <w:r w:rsidRPr="008D3E74">
        <w:rPr>
          <w:rFonts w:ascii="Arial" w:hAnsi="Arial" w:cs="Arial"/>
        </w:rPr>
        <w:t xml:space="preserve"> </w:t>
      </w:r>
      <w:r w:rsidRPr="008D3E74">
        <w:rPr>
          <w:rFonts w:ascii="Arial" w:hAnsi="Arial" w:cs="Arial"/>
          <w:b/>
          <w:bCs/>
        </w:rPr>
        <w:t>191</w:t>
      </w:r>
      <w:r w:rsidRPr="008D3E74">
        <w:rPr>
          <w:rFonts w:ascii="Arial" w:hAnsi="Arial" w:cs="Arial"/>
        </w:rPr>
        <w:t>, S127–S138.</w:t>
      </w:r>
    </w:p>
    <w:p w14:paraId="2CBECA54"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t>Gage SH, Hickman M, Heron J, Munafò MR, Lewis G, Macleod J, Zammit S</w:t>
      </w:r>
      <w:r w:rsidRPr="008D3E74">
        <w:rPr>
          <w:rFonts w:ascii="Arial" w:hAnsi="Arial" w:cs="Arial"/>
        </w:rPr>
        <w:t xml:space="preserve"> (2014). Associations of cannabis and cigarette use with psychotic experiences at age 18: findings from the Avon Longitudinal Study of Parents and Children. </w:t>
      </w:r>
      <w:r w:rsidRPr="008D3E74">
        <w:rPr>
          <w:rFonts w:ascii="Arial" w:hAnsi="Arial" w:cs="Arial"/>
          <w:i/>
          <w:iCs/>
        </w:rPr>
        <w:t>Psychological Medicine</w:t>
      </w:r>
      <w:r w:rsidRPr="008D3E74">
        <w:rPr>
          <w:rFonts w:ascii="Arial" w:hAnsi="Arial" w:cs="Arial"/>
        </w:rPr>
        <w:t xml:space="preserve"> </w:t>
      </w:r>
      <w:r w:rsidRPr="008D3E74">
        <w:rPr>
          <w:rFonts w:ascii="Arial" w:hAnsi="Arial" w:cs="Arial"/>
          <w:b/>
          <w:bCs/>
        </w:rPr>
        <w:t>44</w:t>
      </w:r>
      <w:r w:rsidRPr="008D3E74">
        <w:rPr>
          <w:rFonts w:ascii="Arial" w:hAnsi="Arial" w:cs="Arial"/>
        </w:rPr>
        <w:t>, 3435–3444.</w:t>
      </w:r>
    </w:p>
    <w:p w14:paraId="2E64B416"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t>Geary RS, Tanton C, Erens B, Clifton S, Prah P, Wellings K, Mitchell KR, Datta J, Gravningen K, Fuller E, Johnson AM, Sonnenberg P, Mercer CH</w:t>
      </w:r>
      <w:r w:rsidRPr="008D3E74">
        <w:rPr>
          <w:rFonts w:ascii="Arial" w:hAnsi="Arial" w:cs="Arial"/>
        </w:rPr>
        <w:t xml:space="preserve"> (2018). Sexual identity, attraction and behaviour in Britain: The implications of using different dimensions of sexual orientation to estimate the size of sexual minority populations and inform public health interventions. </w:t>
      </w:r>
      <w:r w:rsidRPr="008D3E74">
        <w:rPr>
          <w:rFonts w:ascii="Arial" w:hAnsi="Arial" w:cs="Arial"/>
          <w:i/>
          <w:iCs/>
        </w:rPr>
        <w:t>PLoS ONE</w:t>
      </w:r>
      <w:r w:rsidRPr="008D3E74">
        <w:rPr>
          <w:rFonts w:ascii="Arial" w:hAnsi="Arial" w:cs="Arial"/>
        </w:rPr>
        <w:t xml:space="preserve"> </w:t>
      </w:r>
      <w:r w:rsidRPr="008D3E74">
        <w:rPr>
          <w:rFonts w:ascii="Arial" w:hAnsi="Arial" w:cs="Arial"/>
          <w:b/>
          <w:bCs/>
        </w:rPr>
        <w:t>13</w:t>
      </w:r>
    </w:p>
    <w:p w14:paraId="685D72FA"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t>Gevonden MJ, Selten JP, Myin-Germeys I, Graaf R de, Have M ten, Dorsselaer S van, Os J van, Veling W</w:t>
      </w:r>
      <w:r w:rsidRPr="008D3E74">
        <w:rPr>
          <w:rFonts w:ascii="Arial" w:hAnsi="Arial" w:cs="Arial"/>
        </w:rPr>
        <w:t xml:space="preserve"> (2014). Sexual minority status and psychotic symptoms: findings from the Netherlands Mental Health Survey and Incidence Studies (NEMESIS). </w:t>
      </w:r>
      <w:r w:rsidRPr="008D3E74">
        <w:rPr>
          <w:rFonts w:ascii="Arial" w:hAnsi="Arial" w:cs="Arial"/>
          <w:i/>
          <w:iCs/>
        </w:rPr>
        <w:t>Psychological Medicine</w:t>
      </w:r>
      <w:r w:rsidRPr="008D3E74">
        <w:rPr>
          <w:rFonts w:ascii="Arial" w:hAnsi="Arial" w:cs="Arial"/>
        </w:rPr>
        <w:t xml:space="preserve"> </w:t>
      </w:r>
      <w:r w:rsidRPr="008D3E74">
        <w:rPr>
          <w:rFonts w:ascii="Arial" w:hAnsi="Arial" w:cs="Arial"/>
          <w:b/>
          <w:bCs/>
        </w:rPr>
        <w:t>44</w:t>
      </w:r>
      <w:r w:rsidRPr="008D3E74">
        <w:rPr>
          <w:rFonts w:ascii="Arial" w:hAnsi="Arial" w:cs="Arial"/>
        </w:rPr>
        <w:t>, 421–433.</w:t>
      </w:r>
    </w:p>
    <w:p w14:paraId="6410C97E"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t>Hagger-Johnson G, Taibjee R, Semlyen J, Fitchie I, Fish J, Meads C, Varney J</w:t>
      </w:r>
      <w:r w:rsidRPr="008D3E74">
        <w:rPr>
          <w:rFonts w:ascii="Arial" w:hAnsi="Arial" w:cs="Arial"/>
        </w:rPr>
        <w:t xml:space="preserve"> (2013). Sexual orientation identity in relation to smoking history and alcohol use at age 18/19: cross-sectional associations from the Longitudinal Study of Young People in England (LSYPE). </w:t>
      </w:r>
      <w:r w:rsidRPr="008D3E74">
        <w:rPr>
          <w:rFonts w:ascii="Arial" w:hAnsi="Arial" w:cs="Arial"/>
          <w:i/>
          <w:iCs/>
        </w:rPr>
        <w:t>BMJ Open</w:t>
      </w:r>
      <w:r w:rsidRPr="008D3E74">
        <w:rPr>
          <w:rFonts w:ascii="Arial" w:hAnsi="Arial" w:cs="Arial"/>
        </w:rPr>
        <w:t xml:space="preserve"> </w:t>
      </w:r>
      <w:r w:rsidRPr="008D3E74">
        <w:rPr>
          <w:rFonts w:ascii="Arial" w:hAnsi="Arial" w:cs="Arial"/>
          <w:b/>
          <w:bCs/>
        </w:rPr>
        <w:t>3</w:t>
      </w:r>
      <w:r w:rsidRPr="008D3E74">
        <w:rPr>
          <w:rFonts w:ascii="Arial" w:hAnsi="Arial" w:cs="Arial"/>
        </w:rPr>
        <w:t>, e002810.</w:t>
      </w:r>
    </w:p>
    <w:p w14:paraId="730EDD75"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t>Jacob L, Haro JM, Koyanagi A</w:t>
      </w:r>
      <w:r w:rsidRPr="008D3E74">
        <w:rPr>
          <w:rFonts w:ascii="Arial" w:hAnsi="Arial" w:cs="Arial"/>
        </w:rPr>
        <w:t xml:space="preserve"> (2018a). Association between intelligence quotient and violence perpetration in the English general population. </w:t>
      </w:r>
      <w:r w:rsidRPr="008D3E74">
        <w:rPr>
          <w:rFonts w:ascii="Arial" w:hAnsi="Arial" w:cs="Arial"/>
          <w:i/>
          <w:iCs/>
        </w:rPr>
        <w:t>Psychological Medicine</w:t>
      </w:r>
      <w:r w:rsidRPr="008D3E74">
        <w:rPr>
          <w:rFonts w:ascii="Arial" w:hAnsi="Arial" w:cs="Arial"/>
        </w:rPr>
        <w:t>, 1–8.</w:t>
      </w:r>
    </w:p>
    <w:p w14:paraId="1C52C6EB"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t>Jacob L, Haro JM, Koyanagi A</w:t>
      </w:r>
      <w:r w:rsidRPr="008D3E74">
        <w:rPr>
          <w:rFonts w:ascii="Arial" w:hAnsi="Arial" w:cs="Arial"/>
        </w:rPr>
        <w:t xml:space="preserve"> (2018b). The association between problem gambling and psychotic experiences: Findings from the Adult Psychiatric </w:t>
      </w:r>
      <w:r w:rsidRPr="008D3E74">
        <w:rPr>
          <w:rFonts w:ascii="Arial" w:hAnsi="Arial" w:cs="Arial"/>
        </w:rPr>
        <w:lastRenderedPageBreak/>
        <w:t xml:space="preserve">Morbidity Survey 2007. </w:t>
      </w:r>
      <w:r w:rsidRPr="008D3E74">
        <w:rPr>
          <w:rFonts w:ascii="Arial" w:hAnsi="Arial" w:cs="Arial"/>
          <w:i/>
          <w:iCs/>
        </w:rPr>
        <w:t>Schizophrenia Research</w:t>
      </w:r>
      <w:r w:rsidRPr="008D3E74">
        <w:rPr>
          <w:rFonts w:ascii="Arial" w:hAnsi="Arial" w:cs="Arial"/>
        </w:rPr>
        <w:t xml:space="preserve"> </w:t>
      </w:r>
      <w:r w:rsidRPr="008D3E74">
        <w:rPr>
          <w:rFonts w:ascii="Arial" w:hAnsi="Arial" w:cs="Arial"/>
          <w:b/>
          <w:bCs/>
        </w:rPr>
        <w:t>201</w:t>
      </w:r>
      <w:r w:rsidRPr="008D3E74">
        <w:rPr>
          <w:rFonts w:ascii="Arial" w:hAnsi="Arial" w:cs="Arial"/>
        </w:rPr>
        <w:t>, 79–84.</w:t>
      </w:r>
    </w:p>
    <w:p w14:paraId="2EA5F120"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t>Jacob L, Haro JM, Koyanagi A</w:t>
      </w:r>
      <w:r w:rsidRPr="008D3E74">
        <w:rPr>
          <w:rFonts w:ascii="Arial" w:hAnsi="Arial" w:cs="Arial"/>
        </w:rPr>
        <w:t xml:space="preserve"> (2019). The association of religiosity with suicidal ideation and suicide attempts in the United Kingdom. </w:t>
      </w:r>
      <w:r w:rsidRPr="008D3E74">
        <w:rPr>
          <w:rFonts w:ascii="Arial" w:hAnsi="Arial" w:cs="Arial"/>
          <w:i/>
          <w:iCs/>
        </w:rPr>
        <w:t>Acta Psychiatrica Scandinavica</w:t>
      </w:r>
      <w:r w:rsidRPr="008D3E74">
        <w:rPr>
          <w:rFonts w:ascii="Arial" w:hAnsi="Arial" w:cs="Arial"/>
        </w:rPr>
        <w:t xml:space="preserve"> </w:t>
      </w:r>
      <w:r w:rsidRPr="008D3E74">
        <w:rPr>
          <w:rFonts w:ascii="Arial" w:hAnsi="Arial" w:cs="Arial"/>
          <w:b/>
          <w:bCs/>
        </w:rPr>
        <w:t>139</w:t>
      </w:r>
      <w:r w:rsidRPr="008D3E74">
        <w:rPr>
          <w:rFonts w:ascii="Arial" w:hAnsi="Arial" w:cs="Arial"/>
        </w:rPr>
        <w:t>, 164–173.</w:t>
      </w:r>
    </w:p>
    <w:p w14:paraId="2F20249B"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t>Jaya ES, Hillmann TE, Reininger KM, Gollwitzer A, Lincoln TM</w:t>
      </w:r>
      <w:r w:rsidRPr="008D3E74">
        <w:rPr>
          <w:rFonts w:ascii="Arial" w:hAnsi="Arial" w:cs="Arial"/>
        </w:rPr>
        <w:t xml:space="preserve"> (2017). Loneliness and Psychotic Symptoms: The Mediating Role of Depression. </w:t>
      </w:r>
      <w:r w:rsidRPr="008D3E74">
        <w:rPr>
          <w:rFonts w:ascii="Arial" w:hAnsi="Arial" w:cs="Arial"/>
          <w:i/>
          <w:iCs/>
        </w:rPr>
        <w:t>Cognitive Therapy and Research</w:t>
      </w:r>
      <w:r w:rsidRPr="008D3E74">
        <w:rPr>
          <w:rFonts w:ascii="Arial" w:hAnsi="Arial" w:cs="Arial"/>
        </w:rPr>
        <w:t xml:space="preserve"> </w:t>
      </w:r>
      <w:r w:rsidRPr="008D3E74">
        <w:rPr>
          <w:rFonts w:ascii="Arial" w:hAnsi="Arial" w:cs="Arial"/>
          <w:b/>
          <w:bCs/>
        </w:rPr>
        <w:t>41</w:t>
      </w:r>
      <w:r w:rsidRPr="008D3E74">
        <w:rPr>
          <w:rFonts w:ascii="Arial" w:hAnsi="Arial" w:cs="Arial"/>
        </w:rPr>
        <w:t>, 106–116.</w:t>
      </w:r>
    </w:p>
    <w:p w14:paraId="7F2908D3"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t>Jenkins R, Meltzer H, Bebbington P, Brugha T, Farrell M, McManus S, Singleton N</w:t>
      </w:r>
      <w:r w:rsidRPr="008D3E74">
        <w:rPr>
          <w:rFonts w:ascii="Arial" w:hAnsi="Arial" w:cs="Arial"/>
        </w:rPr>
        <w:t xml:space="preserve"> (2009). The British Mental Health Survey Programme: achievements and latest findings. </w:t>
      </w:r>
      <w:r w:rsidRPr="008D3E74">
        <w:rPr>
          <w:rFonts w:ascii="Arial" w:hAnsi="Arial" w:cs="Arial"/>
          <w:i/>
          <w:iCs/>
        </w:rPr>
        <w:t>Social Psychiatry and Psychiatric Epidemiology</w:t>
      </w:r>
      <w:r w:rsidRPr="008D3E74">
        <w:rPr>
          <w:rFonts w:ascii="Arial" w:hAnsi="Arial" w:cs="Arial"/>
        </w:rPr>
        <w:t xml:space="preserve"> </w:t>
      </w:r>
      <w:r w:rsidRPr="008D3E74">
        <w:rPr>
          <w:rFonts w:ascii="Arial" w:hAnsi="Arial" w:cs="Arial"/>
          <w:b/>
          <w:bCs/>
        </w:rPr>
        <w:t>44</w:t>
      </w:r>
      <w:r w:rsidRPr="008D3E74">
        <w:rPr>
          <w:rFonts w:ascii="Arial" w:hAnsi="Arial" w:cs="Arial"/>
        </w:rPr>
        <w:t>, 899–904.</w:t>
      </w:r>
    </w:p>
    <w:p w14:paraId="64448188"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t>Kaymaz N, Drukker M, Lieb R, Wittchen H-U, Werbeloff N, Weiser M, Lataster T, van Os J</w:t>
      </w:r>
      <w:r w:rsidRPr="008D3E74">
        <w:rPr>
          <w:rFonts w:ascii="Arial" w:hAnsi="Arial" w:cs="Arial"/>
        </w:rPr>
        <w:t xml:space="preserve"> (2012). Do subthreshold psychotic experiences predict clinical outcomes in unselected non-help-seeking population-based samples? A systematic review and meta-analysis, enriched with new results. </w:t>
      </w:r>
      <w:r w:rsidRPr="008D3E74">
        <w:rPr>
          <w:rFonts w:ascii="Arial" w:hAnsi="Arial" w:cs="Arial"/>
          <w:i/>
          <w:iCs/>
        </w:rPr>
        <w:t>Psychological Medicine</w:t>
      </w:r>
      <w:r w:rsidRPr="008D3E74">
        <w:rPr>
          <w:rFonts w:ascii="Arial" w:hAnsi="Arial" w:cs="Arial"/>
        </w:rPr>
        <w:t xml:space="preserve"> </w:t>
      </w:r>
      <w:r w:rsidRPr="008D3E74">
        <w:rPr>
          <w:rFonts w:ascii="Arial" w:hAnsi="Arial" w:cs="Arial"/>
          <w:b/>
          <w:bCs/>
        </w:rPr>
        <w:t>42</w:t>
      </w:r>
      <w:r w:rsidRPr="008D3E74">
        <w:rPr>
          <w:rFonts w:ascii="Arial" w:hAnsi="Arial" w:cs="Arial"/>
        </w:rPr>
        <w:t>, 2239–2253.</w:t>
      </w:r>
    </w:p>
    <w:p w14:paraId="332A3A6A"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t>Kelleher I, Ramsay H, DeVylder J</w:t>
      </w:r>
      <w:r w:rsidRPr="008D3E74">
        <w:rPr>
          <w:rFonts w:ascii="Arial" w:hAnsi="Arial" w:cs="Arial"/>
        </w:rPr>
        <w:t xml:space="preserve"> (2017). Psychotic experiences and suicide attempt risk in common mental disorders and borderline personality disorder. </w:t>
      </w:r>
      <w:r w:rsidRPr="008D3E74">
        <w:rPr>
          <w:rFonts w:ascii="Arial" w:hAnsi="Arial" w:cs="Arial"/>
          <w:i/>
          <w:iCs/>
        </w:rPr>
        <w:t>Acta Psychiatrica Scandinavica</w:t>
      </w:r>
      <w:r w:rsidRPr="008D3E74">
        <w:rPr>
          <w:rFonts w:ascii="Arial" w:hAnsi="Arial" w:cs="Arial"/>
        </w:rPr>
        <w:t xml:space="preserve"> </w:t>
      </w:r>
      <w:r w:rsidRPr="008D3E74">
        <w:rPr>
          <w:rFonts w:ascii="Arial" w:hAnsi="Arial" w:cs="Arial"/>
          <w:b/>
          <w:bCs/>
        </w:rPr>
        <w:t>135</w:t>
      </w:r>
      <w:r w:rsidRPr="008D3E74">
        <w:rPr>
          <w:rFonts w:ascii="Arial" w:hAnsi="Arial" w:cs="Arial"/>
        </w:rPr>
        <w:t>, 212–218.</w:t>
      </w:r>
    </w:p>
    <w:p w14:paraId="760FBF95"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t>Koyanagi A, Stickley A</w:t>
      </w:r>
      <w:r w:rsidRPr="008D3E74">
        <w:rPr>
          <w:rFonts w:ascii="Arial" w:hAnsi="Arial" w:cs="Arial"/>
        </w:rPr>
        <w:t xml:space="preserve"> (2015). The Association between Sleep Problems and Psychotic Symptoms in the General Population: A Global Perspective. </w:t>
      </w:r>
      <w:r w:rsidRPr="008D3E74">
        <w:rPr>
          <w:rFonts w:ascii="Arial" w:hAnsi="Arial" w:cs="Arial"/>
          <w:i/>
          <w:iCs/>
        </w:rPr>
        <w:t>Sleep</w:t>
      </w:r>
      <w:r w:rsidRPr="008D3E74">
        <w:rPr>
          <w:rFonts w:ascii="Arial" w:hAnsi="Arial" w:cs="Arial"/>
        </w:rPr>
        <w:t xml:space="preserve"> </w:t>
      </w:r>
      <w:r w:rsidRPr="008D3E74">
        <w:rPr>
          <w:rFonts w:ascii="Arial" w:hAnsi="Arial" w:cs="Arial"/>
          <w:b/>
          <w:bCs/>
        </w:rPr>
        <w:t>38</w:t>
      </w:r>
      <w:r w:rsidRPr="008D3E74">
        <w:rPr>
          <w:rFonts w:ascii="Arial" w:hAnsi="Arial" w:cs="Arial"/>
        </w:rPr>
        <w:t>, 1875–1885.</w:t>
      </w:r>
    </w:p>
    <w:p w14:paraId="5535B77B"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t>Krueger EA, Meyer IH, Upchurch DM</w:t>
      </w:r>
      <w:r w:rsidRPr="008D3E74">
        <w:rPr>
          <w:rFonts w:ascii="Arial" w:hAnsi="Arial" w:cs="Arial"/>
        </w:rPr>
        <w:t xml:space="preserve"> (2018). Sexual Orientation Group Differences in Perceived Stress and Depressive Symptoms Among Young Adults in the United States. </w:t>
      </w:r>
      <w:r w:rsidRPr="008D3E74">
        <w:rPr>
          <w:rFonts w:ascii="Arial" w:hAnsi="Arial" w:cs="Arial"/>
          <w:i/>
          <w:iCs/>
        </w:rPr>
        <w:t>LGBT Health</w:t>
      </w:r>
      <w:r w:rsidRPr="008D3E74">
        <w:rPr>
          <w:rFonts w:ascii="Arial" w:hAnsi="Arial" w:cs="Arial"/>
        </w:rPr>
        <w:t xml:space="preserve"> </w:t>
      </w:r>
      <w:r w:rsidRPr="008D3E74">
        <w:rPr>
          <w:rFonts w:ascii="Arial" w:hAnsi="Arial" w:cs="Arial"/>
          <w:b/>
          <w:bCs/>
        </w:rPr>
        <w:t>5</w:t>
      </w:r>
      <w:r w:rsidRPr="008D3E74">
        <w:rPr>
          <w:rFonts w:ascii="Arial" w:hAnsi="Arial" w:cs="Arial"/>
        </w:rPr>
        <w:t>, 242–249.</w:t>
      </w:r>
    </w:p>
    <w:p w14:paraId="08CCC95F"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lastRenderedPageBreak/>
        <w:t>Lindström M, Axelsson J, Modén B, Rosvall M</w:t>
      </w:r>
      <w:r w:rsidRPr="008D3E74">
        <w:rPr>
          <w:rFonts w:ascii="Arial" w:hAnsi="Arial" w:cs="Arial"/>
        </w:rPr>
        <w:t xml:space="preserve"> (2014). Sexual orientation, social capital and daily tobacco smoking: a population-based study. </w:t>
      </w:r>
      <w:r w:rsidRPr="008D3E74">
        <w:rPr>
          <w:rFonts w:ascii="Arial" w:hAnsi="Arial" w:cs="Arial"/>
          <w:i/>
          <w:iCs/>
        </w:rPr>
        <w:t>BMC Public Health</w:t>
      </w:r>
      <w:r w:rsidRPr="008D3E74">
        <w:rPr>
          <w:rFonts w:ascii="Arial" w:hAnsi="Arial" w:cs="Arial"/>
        </w:rPr>
        <w:t xml:space="preserve"> </w:t>
      </w:r>
      <w:r w:rsidRPr="008D3E74">
        <w:rPr>
          <w:rFonts w:ascii="Arial" w:hAnsi="Arial" w:cs="Arial"/>
          <w:b/>
          <w:bCs/>
        </w:rPr>
        <w:t>14</w:t>
      </w:r>
      <w:r w:rsidRPr="008D3E74">
        <w:rPr>
          <w:rFonts w:ascii="Arial" w:hAnsi="Arial" w:cs="Arial"/>
        </w:rPr>
        <w:t>, 565.</w:t>
      </w:r>
    </w:p>
    <w:p w14:paraId="3355F344"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t>Linscott RJ, van Os J</w:t>
      </w:r>
      <w:r w:rsidRPr="008D3E74">
        <w:rPr>
          <w:rFonts w:ascii="Arial" w:hAnsi="Arial" w:cs="Arial"/>
        </w:rPr>
        <w:t xml:space="preserve"> (2013). An updated and conservative systematic review and meta-analysis of epidemiological evidence on psychotic experiences in children and adults: on the pathway from proneness to persistence to dimensional expression across mental disorders. </w:t>
      </w:r>
      <w:r w:rsidRPr="008D3E74">
        <w:rPr>
          <w:rFonts w:ascii="Arial" w:hAnsi="Arial" w:cs="Arial"/>
          <w:i/>
          <w:iCs/>
        </w:rPr>
        <w:t>Psychological Medicine</w:t>
      </w:r>
      <w:r w:rsidRPr="008D3E74">
        <w:rPr>
          <w:rFonts w:ascii="Arial" w:hAnsi="Arial" w:cs="Arial"/>
        </w:rPr>
        <w:t xml:space="preserve"> </w:t>
      </w:r>
      <w:r w:rsidRPr="008D3E74">
        <w:rPr>
          <w:rFonts w:ascii="Arial" w:hAnsi="Arial" w:cs="Arial"/>
          <w:b/>
          <w:bCs/>
        </w:rPr>
        <w:t>43</w:t>
      </w:r>
      <w:r w:rsidRPr="008D3E74">
        <w:rPr>
          <w:rFonts w:ascii="Arial" w:hAnsi="Arial" w:cs="Arial"/>
        </w:rPr>
        <w:t>, 1133–1149.</w:t>
      </w:r>
    </w:p>
    <w:p w14:paraId="0362428F"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t>Lunn MR, Cui W, Zack MM, Thompson WW, Blank MB, Yehia BR</w:t>
      </w:r>
      <w:r w:rsidRPr="008D3E74">
        <w:rPr>
          <w:rFonts w:ascii="Arial" w:hAnsi="Arial" w:cs="Arial"/>
        </w:rPr>
        <w:t xml:space="preserve"> (2017). Sociodemographic Characteristics and Health Outcomes Among Lesbian, Gay, and Bisexual U.S. Adults Using Healthy People 2020 Leading Health Indicators. </w:t>
      </w:r>
      <w:r w:rsidRPr="008D3E74">
        <w:rPr>
          <w:rFonts w:ascii="Arial" w:hAnsi="Arial" w:cs="Arial"/>
          <w:i/>
          <w:iCs/>
        </w:rPr>
        <w:t>LGBT Health</w:t>
      </w:r>
      <w:r w:rsidRPr="008D3E74">
        <w:rPr>
          <w:rFonts w:ascii="Arial" w:hAnsi="Arial" w:cs="Arial"/>
        </w:rPr>
        <w:t xml:space="preserve"> </w:t>
      </w:r>
      <w:r w:rsidRPr="008D3E74">
        <w:rPr>
          <w:rFonts w:ascii="Arial" w:hAnsi="Arial" w:cs="Arial"/>
          <w:b/>
          <w:bCs/>
        </w:rPr>
        <w:t>4</w:t>
      </w:r>
      <w:r w:rsidRPr="008D3E74">
        <w:rPr>
          <w:rFonts w:ascii="Arial" w:hAnsi="Arial" w:cs="Arial"/>
        </w:rPr>
        <w:t>, 283–294.</w:t>
      </w:r>
    </w:p>
    <w:p w14:paraId="6BA02D08"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t>MacKinnon DP, Krull JL, Lockwood CM</w:t>
      </w:r>
      <w:r w:rsidRPr="008D3E74">
        <w:rPr>
          <w:rFonts w:ascii="Arial" w:hAnsi="Arial" w:cs="Arial"/>
        </w:rPr>
        <w:t xml:space="preserve"> (2000). Equivalence of the Mediation, Confounding and Suppression Effect. </w:t>
      </w:r>
      <w:r w:rsidRPr="008D3E74">
        <w:rPr>
          <w:rFonts w:ascii="Arial" w:hAnsi="Arial" w:cs="Arial"/>
          <w:i/>
          <w:iCs/>
        </w:rPr>
        <w:t>Prevention science : the official journal of the Society for Prevention Research</w:t>
      </w:r>
      <w:r w:rsidRPr="008D3E74">
        <w:rPr>
          <w:rFonts w:ascii="Arial" w:hAnsi="Arial" w:cs="Arial"/>
        </w:rPr>
        <w:t xml:space="preserve"> </w:t>
      </w:r>
      <w:r w:rsidRPr="008D3E74">
        <w:rPr>
          <w:rFonts w:ascii="Arial" w:hAnsi="Arial" w:cs="Arial"/>
          <w:b/>
          <w:bCs/>
        </w:rPr>
        <w:t>1</w:t>
      </w:r>
      <w:r w:rsidRPr="008D3E74">
        <w:rPr>
          <w:rFonts w:ascii="Arial" w:hAnsi="Arial" w:cs="Arial"/>
        </w:rPr>
        <w:t>, 173.</w:t>
      </w:r>
    </w:p>
    <w:p w14:paraId="7AEC77E0"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t>McGrath JJ, Saha S, Al-Hamzawi A, Alonso J, Bromet EJ, Bruffaerts R, Caldas-de-Almeida JM, Chiu WT, de Jonge P, Fayyad J, Florescu S, Gureje O, Haro JM, Hu C, Kovess-Masfety V, Lepine JP, Lim CW, Mora MEM, Navarro-Mateu F, Ochoa S, Sampson N, Scott K, Viana MC, Kessler RC</w:t>
      </w:r>
      <w:r w:rsidRPr="008D3E74">
        <w:rPr>
          <w:rFonts w:ascii="Arial" w:hAnsi="Arial" w:cs="Arial"/>
        </w:rPr>
        <w:t xml:space="preserve"> (2015). Psychotic experiences in the general population: a cross-national analysis based on 31,261 respondents from 18 countries. </w:t>
      </w:r>
      <w:r w:rsidRPr="008D3E74">
        <w:rPr>
          <w:rFonts w:ascii="Arial" w:hAnsi="Arial" w:cs="Arial"/>
          <w:i/>
          <w:iCs/>
        </w:rPr>
        <w:t>JAMA psychiatry</w:t>
      </w:r>
      <w:r w:rsidRPr="008D3E74">
        <w:rPr>
          <w:rFonts w:ascii="Arial" w:hAnsi="Arial" w:cs="Arial"/>
        </w:rPr>
        <w:t xml:space="preserve"> </w:t>
      </w:r>
      <w:r w:rsidRPr="008D3E74">
        <w:rPr>
          <w:rFonts w:ascii="Arial" w:hAnsi="Arial" w:cs="Arial"/>
          <w:b/>
          <w:bCs/>
        </w:rPr>
        <w:t>72</w:t>
      </w:r>
      <w:r w:rsidRPr="008D3E74">
        <w:rPr>
          <w:rFonts w:ascii="Arial" w:hAnsi="Arial" w:cs="Arial"/>
        </w:rPr>
        <w:t>, 697–705.</w:t>
      </w:r>
    </w:p>
    <w:p w14:paraId="5CBFC2D6"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t>McManus S, Meltzer H, Brugha T, Bebbington P, Jenkins R</w:t>
      </w:r>
      <w:r w:rsidRPr="008D3E74">
        <w:rPr>
          <w:rFonts w:ascii="Arial" w:hAnsi="Arial" w:cs="Arial"/>
        </w:rPr>
        <w:t xml:space="preserve"> (2009). </w:t>
      </w:r>
      <w:r w:rsidRPr="008D3E74">
        <w:rPr>
          <w:rFonts w:ascii="Arial" w:hAnsi="Arial" w:cs="Arial"/>
          <w:i/>
          <w:iCs/>
        </w:rPr>
        <w:t>Adult Psychiatric Morbidity in England, 2007: Results of a Household Survey.</w:t>
      </w:r>
      <w:r w:rsidRPr="008D3E74">
        <w:rPr>
          <w:rFonts w:ascii="Arial" w:hAnsi="Arial" w:cs="Arial"/>
        </w:rPr>
        <w:t xml:space="preserve"> The NHS Information Centre for Health and Social Care: London.</w:t>
      </w:r>
    </w:p>
    <w:p w14:paraId="43A26C53"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lastRenderedPageBreak/>
        <w:t>McNamara MC, Ng H</w:t>
      </w:r>
      <w:r w:rsidRPr="008D3E74">
        <w:rPr>
          <w:rFonts w:ascii="Arial" w:hAnsi="Arial" w:cs="Arial"/>
        </w:rPr>
        <w:t xml:space="preserve"> (2016). Best practices in LGBT care: A guide for primary care physicians. </w:t>
      </w:r>
      <w:r w:rsidRPr="008D3E74">
        <w:rPr>
          <w:rFonts w:ascii="Arial" w:hAnsi="Arial" w:cs="Arial"/>
          <w:i/>
          <w:iCs/>
        </w:rPr>
        <w:t>Cleveland Clinic Journal of Medicine</w:t>
      </w:r>
      <w:r w:rsidRPr="008D3E74">
        <w:rPr>
          <w:rFonts w:ascii="Arial" w:hAnsi="Arial" w:cs="Arial"/>
        </w:rPr>
        <w:t xml:space="preserve"> </w:t>
      </w:r>
      <w:r w:rsidRPr="008D3E74">
        <w:rPr>
          <w:rFonts w:ascii="Arial" w:hAnsi="Arial" w:cs="Arial"/>
          <w:b/>
          <w:bCs/>
        </w:rPr>
        <w:t>83</w:t>
      </w:r>
      <w:r w:rsidRPr="008D3E74">
        <w:rPr>
          <w:rFonts w:ascii="Arial" w:hAnsi="Arial" w:cs="Arial"/>
        </w:rPr>
        <w:t>, 531–541.</w:t>
      </w:r>
    </w:p>
    <w:p w14:paraId="49228B29"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t>Mollborn S, Everett B</w:t>
      </w:r>
      <w:r w:rsidRPr="008D3E74">
        <w:rPr>
          <w:rFonts w:ascii="Arial" w:hAnsi="Arial" w:cs="Arial"/>
        </w:rPr>
        <w:t xml:space="preserve"> (2015). Understanding the Educational Attainment of Sexual Minority Women and Men*. </w:t>
      </w:r>
      <w:r w:rsidRPr="008D3E74">
        <w:rPr>
          <w:rFonts w:ascii="Arial" w:hAnsi="Arial" w:cs="Arial"/>
          <w:i/>
          <w:iCs/>
        </w:rPr>
        <w:t>Research in social stratification and mobility</w:t>
      </w:r>
      <w:r w:rsidRPr="008D3E74">
        <w:rPr>
          <w:rFonts w:ascii="Arial" w:hAnsi="Arial" w:cs="Arial"/>
        </w:rPr>
        <w:t xml:space="preserve"> </w:t>
      </w:r>
      <w:r w:rsidRPr="008D3E74">
        <w:rPr>
          <w:rFonts w:ascii="Arial" w:hAnsi="Arial" w:cs="Arial"/>
          <w:b/>
          <w:bCs/>
        </w:rPr>
        <w:t>41</w:t>
      </w:r>
      <w:r w:rsidRPr="008D3E74">
        <w:rPr>
          <w:rFonts w:ascii="Arial" w:hAnsi="Arial" w:cs="Arial"/>
        </w:rPr>
        <w:t>, 40–55.</w:t>
      </w:r>
    </w:p>
    <w:p w14:paraId="4D418A05"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t>Moreno C, Nuevo R, Chatterji S, Verdes E, Arango C, Ayuso-Mateos JL</w:t>
      </w:r>
      <w:r w:rsidRPr="008D3E74">
        <w:rPr>
          <w:rFonts w:ascii="Arial" w:hAnsi="Arial" w:cs="Arial"/>
        </w:rPr>
        <w:t xml:space="preserve"> (2013). Psychotic symptoms are associated with physical health problems independently of a mental disorder diagnosis: results from the WHO World Health Survey. </w:t>
      </w:r>
      <w:r w:rsidRPr="008D3E74">
        <w:rPr>
          <w:rFonts w:ascii="Arial" w:hAnsi="Arial" w:cs="Arial"/>
          <w:i/>
          <w:iCs/>
        </w:rPr>
        <w:t>World Psychiatry</w:t>
      </w:r>
      <w:r w:rsidRPr="008D3E74">
        <w:rPr>
          <w:rFonts w:ascii="Arial" w:hAnsi="Arial" w:cs="Arial"/>
        </w:rPr>
        <w:t xml:space="preserve"> </w:t>
      </w:r>
      <w:r w:rsidRPr="008D3E74">
        <w:rPr>
          <w:rFonts w:ascii="Arial" w:hAnsi="Arial" w:cs="Arial"/>
          <w:b/>
          <w:bCs/>
        </w:rPr>
        <w:t>12</w:t>
      </w:r>
      <w:r w:rsidRPr="008D3E74">
        <w:rPr>
          <w:rFonts w:ascii="Arial" w:hAnsi="Arial" w:cs="Arial"/>
        </w:rPr>
        <w:t>, 251–257.</w:t>
      </w:r>
    </w:p>
    <w:p w14:paraId="6658D1C2"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t>Niemantsverdriet MBA, Slotema CW, Blom JD, Franken IH, Hoek HW, Sommer IEC, Gaag M van der</w:t>
      </w:r>
      <w:r w:rsidRPr="008D3E74">
        <w:rPr>
          <w:rFonts w:ascii="Arial" w:hAnsi="Arial" w:cs="Arial"/>
        </w:rPr>
        <w:t xml:space="preserve"> (2017). Hallucinations in borderline personality disorder: Prevalence, characteristics and associations with comorbid symptoms and disorders. </w:t>
      </w:r>
      <w:r w:rsidRPr="008D3E74">
        <w:rPr>
          <w:rFonts w:ascii="Arial" w:hAnsi="Arial" w:cs="Arial"/>
          <w:i/>
          <w:iCs/>
        </w:rPr>
        <w:t>Scientific Reports</w:t>
      </w:r>
      <w:r w:rsidRPr="008D3E74">
        <w:rPr>
          <w:rFonts w:ascii="Arial" w:hAnsi="Arial" w:cs="Arial"/>
        </w:rPr>
        <w:t xml:space="preserve"> </w:t>
      </w:r>
      <w:r w:rsidRPr="008D3E74">
        <w:rPr>
          <w:rFonts w:ascii="Arial" w:hAnsi="Arial" w:cs="Arial"/>
          <w:b/>
          <w:bCs/>
        </w:rPr>
        <w:t>7</w:t>
      </w:r>
      <w:r w:rsidRPr="008D3E74">
        <w:rPr>
          <w:rFonts w:ascii="Arial" w:hAnsi="Arial" w:cs="Arial"/>
        </w:rPr>
        <w:t>, 13920.</w:t>
      </w:r>
    </w:p>
    <w:p w14:paraId="7873E78D"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t>Oh H, Koyanagi A, Kelleher I, DeVylder J</w:t>
      </w:r>
      <w:r w:rsidRPr="008D3E74">
        <w:rPr>
          <w:rFonts w:ascii="Arial" w:hAnsi="Arial" w:cs="Arial"/>
        </w:rPr>
        <w:t xml:space="preserve"> (2018). Psychotic experiences and disability: Findings from the Collaborative Psychiatric Epidemiology Surveys. </w:t>
      </w:r>
      <w:r w:rsidRPr="008D3E74">
        <w:rPr>
          <w:rFonts w:ascii="Arial" w:hAnsi="Arial" w:cs="Arial"/>
          <w:i/>
          <w:iCs/>
        </w:rPr>
        <w:t>Schizophrenia Research</w:t>
      </w:r>
      <w:r w:rsidRPr="008D3E74">
        <w:rPr>
          <w:rFonts w:ascii="Arial" w:hAnsi="Arial" w:cs="Arial"/>
        </w:rPr>
        <w:t xml:space="preserve"> </w:t>
      </w:r>
      <w:r w:rsidRPr="008D3E74">
        <w:rPr>
          <w:rFonts w:ascii="Arial" w:hAnsi="Arial" w:cs="Arial"/>
          <w:b/>
          <w:bCs/>
        </w:rPr>
        <w:t>193</w:t>
      </w:r>
      <w:r w:rsidRPr="008D3E74">
        <w:rPr>
          <w:rFonts w:ascii="Arial" w:hAnsi="Arial" w:cs="Arial"/>
        </w:rPr>
        <w:t>, 343–347.</w:t>
      </w:r>
    </w:p>
    <w:p w14:paraId="1186F187"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t>Pakula B, Shoveller JA</w:t>
      </w:r>
      <w:r w:rsidRPr="008D3E74">
        <w:rPr>
          <w:rFonts w:ascii="Arial" w:hAnsi="Arial" w:cs="Arial"/>
        </w:rPr>
        <w:t xml:space="preserve"> (2013). Sexual orientation and self-reported mood disorder diagnosis among Canadian adults. </w:t>
      </w:r>
      <w:r w:rsidRPr="008D3E74">
        <w:rPr>
          <w:rFonts w:ascii="Arial" w:hAnsi="Arial" w:cs="Arial"/>
          <w:i/>
          <w:iCs/>
        </w:rPr>
        <w:t>BMC Public Health</w:t>
      </w:r>
      <w:r w:rsidRPr="008D3E74">
        <w:rPr>
          <w:rFonts w:ascii="Arial" w:hAnsi="Arial" w:cs="Arial"/>
        </w:rPr>
        <w:t xml:space="preserve"> </w:t>
      </w:r>
      <w:r w:rsidRPr="008D3E74">
        <w:rPr>
          <w:rFonts w:ascii="Arial" w:hAnsi="Arial" w:cs="Arial"/>
          <w:b/>
          <w:bCs/>
        </w:rPr>
        <w:t>13</w:t>
      </w:r>
      <w:r w:rsidRPr="008D3E74">
        <w:rPr>
          <w:rFonts w:ascii="Arial" w:hAnsi="Arial" w:cs="Arial"/>
        </w:rPr>
        <w:t>, 209.</w:t>
      </w:r>
    </w:p>
    <w:p w14:paraId="00EC91B4"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t>Reeve S, Emsley R, Sheaves B, Freeman D</w:t>
      </w:r>
      <w:r w:rsidRPr="008D3E74">
        <w:rPr>
          <w:rFonts w:ascii="Arial" w:hAnsi="Arial" w:cs="Arial"/>
        </w:rPr>
        <w:t xml:space="preserve"> (2018). Disrupting Sleep: The Effects of Sleep Loss on Psychotic Experiences Tested in an Experimental Study With Mediation Analysis. </w:t>
      </w:r>
      <w:r w:rsidRPr="008D3E74">
        <w:rPr>
          <w:rFonts w:ascii="Arial" w:hAnsi="Arial" w:cs="Arial"/>
          <w:i/>
          <w:iCs/>
        </w:rPr>
        <w:t>Schizophrenia Bulletin</w:t>
      </w:r>
      <w:r w:rsidRPr="008D3E74">
        <w:rPr>
          <w:rFonts w:ascii="Arial" w:hAnsi="Arial" w:cs="Arial"/>
        </w:rPr>
        <w:t xml:space="preserve"> </w:t>
      </w:r>
      <w:r w:rsidRPr="008D3E74">
        <w:rPr>
          <w:rFonts w:ascii="Arial" w:hAnsi="Arial" w:cs="Arial"/>
          <w:b/>
          <w:bCs/>
        </w:rPr>
        <w:t>44</w:t>
      </w:r>
      <w:r w:rsidRPr="008D3E74">
        <w:rPr>
          <w:rFonts w:ascii="Arial" w:hAnsi="Arial" w:cs="Arial"/>
        </w:rPr>
        <w:t>, 662–671.</w:t>
      </w:r>
    </w:p>
    <w:p w14:paraId="0E9E48B6"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t>Reuter TR, Sharp C, Kalpakci AH, Choi HJ, Temple JR</w:t>
      </w:r>
      <w:r w:rsidRPr="008D3E74">
        <w:rPr>
          <w:rFonts w:ascii="Arial" w:hAnsi="Arial" w:cs="Arial"/>
        </w:rPr>
        <w:t xml:space="preserve"> (2016). Sexual Orientation and Borderline Personality Disorder Features in a Community Sample of Adolescents. </w:t>
      </w:r>
      <w:r w:rsidRPr="008D3E74">
        <w:rPr>
          <w:rFonts w:ascii="Arial" w:hAnsi="Arial" w:cs="Arial"/>
          <w:i/>
          <w:iCs/>
        </w:rPr>
        <w:t>Journal of Personality Disorders</w:t>
      </w:r>
      <w:r w:rsidRPr="008D3E74">
        <w:rPr>
          <w:rFonts w:ascii="Arial" w:hAnsi="Arial" w:cs="Arial"/>
        </w:rPr>
        <w:t xml:space="preserve"> </w:t>
      </w:r>
      <w:r w:rsidRPr="008D3E74">
        <w:rPr>
          <w:rFonts w:ascii="Arial" w:hAnsi="Arial" w:cs="Arial"/>
          <w:b/>
          <w:bCs/>
        </w:rPr>
        <w:t>30</w:t>
      </w:r>
      <w:r w:rsidRPr="008D3E74">
        <w:rPr>
          <w:rFonts w:ascii="Arial" w:hAnsi="Arial" w:cs="Arial"/>
        </w:rPr>
        <w:t>, 694–707.</w:t>
      </w:r>
    </w:p>
    <w:p w14:paraId="695828EF"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t>Roberts AL, Austin SB, Corliss HL, Vandermorris AK, Koenen KC</w:t>
      </w:r>
      <w:r w:rsidRPr="008D3E74">
        <w:rPr>
          <w:rFonts w:ascii="Arial" w:hAnsi="Arial" w:cs="Arial"/>
        </w:rPr>
        <w:t xml:space="preserve"> (2010). </w:t>
      </w:r>
      <w:r w:rsidRPr="008D3E74">
        <w:rPr>
          <w:rFonts w:ascii="Arial" w:hAnsi="Arial" w:cs="Arial"/>
        </w:rPr>
        <w:lastRenderedPageBreak/>
        <w:t xml:space="preserve">Pervasive Trauma Exposure Among US Sexual Orientation Minority Adults and Risk of Posttraumatic Stress Disorder. </w:t>
      </w:r>
      <w:r w:rsidRPr="008D3E74">
        <w:rPr>
          <w:rFonts w:ascii="Arial" w:hAnsi="Arial" w:cs="Arial"/>
          <w:i/>
          <w:iCs/>
        </w:rPr>
        <w:t>American Journal of Public Health</w:t>
      </w:r>
      <w:r w:rsidRPr="008D3E74">
        <w:rPr>
          <w:rFonts w:ascii="Arial" w:hAnsi="Arial" w:cs="Arial"/>
        </w:rPr>
        <w:t xml:space="preserve"> </w:t>
      </w:r>
      <w:r w:rsidRPr="008D3E74">
        <w:rPr>
          <w:rFonts w:ascii="Arial" w:hAnsi="Arial" w:cs="Arial"/>
          <w:b/>
          <w:bCs/>
        </w:rPr>
        <w:t>100</w:t>
      </w:r>
      <w:r w:rsidRPr="008D3E74">
        <w:rPr>
          <w:rFonts w:ascii="Arial" w:hAnsi="Arial" w:cs="Arial"/>
        </w:rPr>
        <w:t>, 2433–2441.</w:t>
      </w:r>
    </w:p>
    <w:p w14:paraId="762754B7"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t>Sharifi V, Eaton WW, Wu LT, Roth KB, Burchett BM, Mojtabai R</w:t>
      </w:r>
      <w:r w:rsidRPr="008D3E74">
        <w:rPr>
          <w:rFonts w:ascii="Arial" w:hAnsi="Arial" w:cs="Arial"/>
        </w:rPr>
        <w:t xml:space="preserve"> (2015). Psychotic experiences and risk of death in the general population: 24–27 year follow-up of the Epidemiologic Catchment Area study. </w:t>
      </w:r>
      <w:r w:rsidRPr="008D3E74">
        <w:rPr>
          <w:rFonts w:ascii="Arial" w:hAnsi="Arial" w:cs="Arial"/>
          <w:i/>
          <w:iCs/>
        </w:rPr>
        <w:t>The British Journal of Psychiatry</w:t>
      </w:r>
      <w:r w:rsidRPr="008D3E74">
        <w:rPr>
          <w:rFonts w:ascii="Arial" w:hAnsi="Arial" w:cs="Arial"/>
        </w:rPr>
        <w:t xml:space="preserve"> </w:t>
      </w:r>
      <w:r w:rsidRPr="008D3E74">
        <w:rPr>
          <w:rFonts w:ascii="Arial" w:hAnsi="Arial" w:cs="Arial"/>
          <w:b/>
          <w:bCs/>
        </w:rPr>
        <w:t>207</w:t>
      </w:r>
      <w:r w:rsidRPr="008D3E74">
        <w:rPr>
          <w:rFonts w:ascii="Arial" w:hAnsi="Arial" w:cs="Arial"/>
        </w:rPr>
        <w:t>, 30–36.</w:t>
      </w:r>
    </w:p>
    <w:p w14:paraId="5DE9EA9D"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t>Smyth N, Siriwardhana C, Hotopf M, Hatch SL</w:t>
      </w:r>
      <w:r w:rsidRPr="008D3E74">
        <w:rPr>
          <w:rFonts w:ascii="Arial" w:hAnsi="Arial" w:cs="Arial"/>
        </w:rPr>
        <w:t xml:space="preserve"> (2015). Social networks, social support and psychiatric symptoms: social determinants and associations within a multicultural community population. </w:t>
      </w:r>
      <w:r w:rsidRPr="008D3E74">
        <w:rPr>
          <w:rFonts w:ascii="Arial" w:hAnsi="Arial" w:cs="Arial"/>
          <w:i/>
          <w:iCs/>
        </w:rPr>
        <w:t>Social Psychiatry and Psychiatric Epidemiology</w:t>
      </w:r>
      <w:r w:rsidRPr="008D3E74">
        <w:rPr>
          <w:rFonts w:ascii="Arial" w:hAnsi="Arial" w:cs="Arial"/>
        </w:rPr>
        <w:t xml:space="preserve"> </w:t>
      </w:r>
      <w:r w:rsidRPr="008D3E74">
        <w:rPr>
          <w:rFonts w:ascii="Arial" w:hAnsi="Arial" w:cs="Arial"/>
          <w:b/>
          <w:bCs/>
        </w:rPr>
        <w:t>50</w:t>
      </w:r>
      <w:r w:rsidRPr="008D3E74">
        <w:rPr>
          <w:rFonts w:ascii="Arial" w:hAnsi="Arial" w:cs="Arial"/>
        </w:rPr>
        <w:t>, 1111–1120.</w:t>
      </w:r>
    </w:p>
    <w:p w14:paraId="71DA65DE"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t>Tien AY, Anthony JC</w:t>
      </w:r>
      <w:r w:rsidRPr="008D3E74">
        <w:rPr>
          <w:rFonts w:ascii="Arial" w:hAnsi="Arial" w:cs="Arial"/>
        </w:rPr>
        <w:t xml:space="preserve"> (1990). Epidemiological analysis of alcohol and drug use as risk factors for psychotic experiences. </w:t>
      </w:r>
      <w:r w:rsidRPr="008D3E74">
        <w:rPr>
          <w:rFonts w:ascii="Arial" w:hAnsi="Arial" w:cs="Arial"/>
          <w:i/>
          <w:iCs/>
        </w:rPr>
        <w:t>The Journal of Nervous and Mental Disease</w:t>
      </w:r>
      <w:r w:rsidRPr="008D3E74">
        <w:rPr>
          <w:rFonts w:ascii="Arial" w:hAnsi="Arial" w:cs="Arial"/>
        </w:rPr>
        <w:t xml:space="preserve"> </w:t>
      </w:r>
      <w:r w:rsidRPr="008D3E74">
        <w:rPr>
          <w:rFonts w:ascii="Arial" w:hAnsi="Arial" w:cs="Arial"/>
          <w:b/>
          <w:bCs/>
        </w:rPr>
        <w:t>178</w:t>
      </w:r>
      <w:r w:rsidRPr="008D3E74">
        <w:rPr>
          <w:rFonts w:ascii="Arial" w:hAnsi="Arial" w:cs="Arial"/>
        </w:rPr>
        <w:t>, 473–480.</w:t>
      </w:r>
    </w:p>
    <w:p w14:paraId="6282F7DF"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t>Tomaka J, Thompson S, Palacios R</w:t>
      </w:r>
      <w:r w:rsidRPr="008D3E74">
        <w:rPr>
          <w:rFonts w:ascii="Arial" w:hAnsi="Arial" w:cs="Arial"/>
        </w:rPr>
        <w:t xml:space="preserve"> (2006). The Relation of Social Isolation, Loneliness, and Social Support to Disease Outcomes Among the Elderly. </w:t>
      </w:r>
      <w:r w:rsidRPr="008D3E74">
        <w:rPr>
          <w:rFonts w:ascii="Arial" w:hAnsi="Arial" w:cs="Arial"/>
          <w:i/>
          <w:iCs/>
        </w:rPr>
        <w:t>Journal of Aging and Health</w:t>
      </w:r>
      <w:r w:rsidRPr="008D3E74">
        <w:rPr>
          <w:rFonts w:ascii="Arial" w:hAnsi="Arial" w:cs="Arial"/>
        </w:rPr>
        <w:t xml:space="preserve"> </w:t>
      </w:r>
      <w:r w:rsidRPr="008D3E74">
        <w:rPr>
          <w:rFonts w:ascii="Arial" w:hAnsi="Arial" w:cs="Arial"/>
          <w:b/>
          <w:bCs/>
        </w:rPr>
        <w:t>18</w:t>
      </w:r>
      <w:r w:rsidRPr="008D3E74">
        <w:rPr>
          <w:rFonts w:ascii="Arial" w:hAnsi="Arial" w:cs="Arial"/>
        </w:rPr>
        <w:t>, 359–384.</w:t>
      </w:r>
    </w:p>
    <w:p w14:paraId="556C1A86" w14:textId="77777777" w:rsidR="002144C8" w:rsidRPr="008D3E74" w:rsidRDefault="002144C8" w:rsidP="000050E5">
      <w:pPr>
        <w:widowControl w:val="0"/>
        <w:autoSpaceDE w:val="0"/>
        <w:autoSpaceDN w:val="0"/>
        <w:adjustRightInd w:val="0"/>
        <w:spacing w:line="480" w:lineRule="auto"/>
        <w:jc w:val="both"/>
        <w:rPr>
          <w:rFonts w:ascii="Arial" w:hAnsi="Arial" w:cs="Arial"/>
        </w:rPr>
      </w:pPr>
      <w:r w:rsidRPr="008D3E74">
        <w:rPr>
          <w:rFonts w:ascii="Arial" w:hAnsi="Arial" w:cs="Arial"/>
          <w:b/>
          <w:bCs/>
        </w:rPr>
        <w:t>Varghese D, Scott J, Welham J, Bor W, Najman J, O’Callaghan M, Williams G, McGrath J</w:t>
      </w:r>
      <w:r w:rsidRPr="008D3E74">
        <w:rPr>
          <w:rFonts w:ascii="Arial" w:hAnsi="Arial" w:cs="Arial"/>
        </w:rPr>
        <w:t xml:space="preserve"> (2011). Psychotic-Like Experiences in Major Depression and Anxiety Disorders: A Population-Based Survey in Young Adults. </w:t>
      </w:r>
      <w:r w:rsidRPr="008D3E74">
        <w:rPr>
          <w:rFonts w:ascii="Arial" w:hAnsi="Arial" w:cs="Arial"/>
          <w:i/>
          <w:iCs/>
        </w:rPr>
        <w:t>Schizophrenia Bulletin</w:t>
      </w:r>
      <w:r w:rsidRPr="008D3E74">
        <w:rPr>
          <w:rFonts w:ascii="Arial" w:hAnsi="Arial" w:cs="Arial"/>
        </w:rPr>
        <w:t xml:space="preserve"> </w:t>
      </w:r>
      <w:r w:rsidRPr="008D3E74">
        <w:rPr>
          <w:rFonts w:ascii="Arial" w:hAnsi="Arial" w:cs="Arial"/>
          <w:b/>
          <w:bCs/>
        </w:rPr>
        <w:t>37</w:t>
      </w:r>
      <w:r w:rsidRPr="008D3E74">
        <w:rPr>
          <w:rFonts w:ascii="Arial" w:hAnsi="Arial" w:cs="Arial"/>
        </w:rPr>
        <w:t>, 389–393.</w:t>
      </w:r>
    </w:p>
    <w:p w14:paraId="7DB1B992" w14:textId="7DDA3D74" w:rsidR="00CE31E1" w:rsidRPr="008D3E74" w:rsidRDefault="00CC5A15" w:rsidP="000050E5">
      <w:pPr>
        <w:spacing w:line="480" w:lineRule="auto"/>
        <w:jc w:val="both"/>
        <w:rPr>
          <w:rFonts w:ascii="Arial" w:hAnsi="Arial" w:cs="Arial"/>
        </w:rPr>
      </w:pPr>
      <w:r w:rsidRPr="008D3E74">
        <w:rPr>
          <w:rFonts w:ascii="Arial" w:hAnsi="Arial" w:cs="Arial"/>
        </w:rPr>
        <w:fldChar w:fldCharType="end"/>
      </w:r>
    </w:p>
    <w:p w14:paraId="7EB037AA" w14:textId="77777777" w:rsidR="00CE31E1" w:rsidRPr="008D3E74" w:rsidRDefault="00CE31E1" w:rsidP="000050E5">
      <w:pPr>
        <w:spacing w:line="480" w:lineRule="auto"/>
        <w:jc w:val="both"/>
        <w:rPr>
          <w:rFonts w:ascii="Arial" w:hAnsi="Arial" w:cs="Arial"/>
        </w:rPr>
      </w:pPr>
      <w:r w:rsidRPr="008D3E74">
        <w:rPr>
          <w:rFonts w:ascii="Arial" w:hAnsi="Arial" w:cs="Arial"/>
        </w:rPr>
        <w:br w:type="page"/>
      </w:r>
    </w:p>
    <w:p w14:paraId="70EA7D57" w14:textId="77777777" w:rsidR="0036632E" w:rsidRDefault="0036632E" w:rsidP="0036632E">
      <w:pPr>
        <w:pStyle w:val="Heading1"/>
      </w:pPr>
      <w:r>
        <w:lastRenderedPageBreak/>
        <w:t>Tables and Figures</w:t>
      </w:r>
    </w:p>
    <w:p w14:paraId="04806F0D" w14:textId="5F58E8DE" w:rsidR="00CE31E1" w:rsidRPr="008D3E74" w:rsidRDefault="00CE31E1" w:rsidP="000050E5">
      <w:pPr>
        <w:spacing w:line="480" w:lineRule="auto"/>
        <w:jc w:val="both"/>
        <w:rPr>
          <w:rFonts w:ascii="Arial" w:hAnsi="Arial"/>
        </w:rPr>
      </w:pPr>
      <w:r w:rsidRPr="008D3E74">
        <w:rPr>
          <w:rFonts w:ascii="Arial" w:hAnsi="Arial"/>
          <w:b/>
        </w:rPr>
        <w:t>Figure 1.</w:t>
      </w:r>
      <w:r w:rsidRPr="008D3E74">
        <w:rPr>
          <w:rFonts w:ascii="Arial" w:hAnsi="Arial"/>
        </w:rPr>
        <w:t xml:space="preserve"> Association between sexual orientation (exposure) and different types of psychotic experience or any psychotic experience (outcomes) estimated by multivariable logistic regression</w:t>
      </w:r>
    </w:p>
    <w:p w14:paraId="4E310915" w14:textId="77777777" w:rsidR="00CE31E1" w:rsidRPr="008D3E74" w:rsidRDefault="00CE31E1" w:rsidP="000050E5">
      <w:pPr>
        <w:spacing w:line="480" w:lineRule="auto"/>
        <w:jc w:val="both"/>
        <w:rPr>
          <w:rFonts w:ascii="Arial" w:hAnsi="Arial"/>
          <w:sz w:val="18"/>
          <w:szCs w:val="18"/>
        </w:rPr>
      </w:pPr>
      <w:r w:rsidRPr="008D3E74">
        <w:rPr>
          <w:rFonts w:ascii="Arial" w:hAnsi="Arial"/>
          <w:sz w:val="18"/>
          <w:szCs w:val="18"/>
        </w:rPr>
        <w:t>Abbreviation: OR Odds ratio; CI Confidence interval.</w:t>
      </w:r>
    </w:p>
    <w:p w14:paraId="4A364FC8" w14:textId="5EE7BFBE" w:rsidR="00CE31E1" w:rsidRPr="008D3E74" w:rsidRDefault="00CE31E1" w:rsidP="000050E5">
      <w:pPr>
        <w:spacing w:line="480" w:lineRule="auto"/>
        <w:jc w:val="both"/>
        <w:rPr>
          <w:rFonts w:ascii="Arial" w:hAnsi="Arial" w:cs="Arial"/>
          <w:sz w:val="18"/>
          <w:szCs w:val="18"/>
        </w:rPr>
      </w:pPr>
      <w:r w:rsidRPr="008D3E74">
        <w:rPr>
          <w:rFonts w:ascii="Arial" w:hAnsi="Arial" w:cs="Arial"/>
          <w:sz w:val="18"/>
          <w:szCs w:val="18"/>
        </w:rPr>
        <w:t xml:space="preserve">Participants were asked about their sexual orientation, and sexual orientation was dichotomized into heterosexual and non-heterosexual (i.e., mostly/mainly heterosexual, bisexual, mostly/mainly </w:t>
      </w:r>
      <w:r w:rsidR="00710E1C" w:rsidRPr="008D3E74">
        <w:rPr>
          <w:rFonts w:ascii="Arial" w:hAnsi="Arial" w:cs="Arial"/>
          <w:sz w:val="18"/>
          <w:szCs w:val="18"/>
        </w:rPr>
        <w:t>homosexual</w:t>
      </w:r>
      <w:r w:rsidRPr="008D3E74">
        <w:rPr>
          <w:rFonts w:ascii="Arial" w:hAnsi="Arial" w:cs="Arial"/>
          <w:sz w:val="18"/>
          <w:szCs w:val="18"/>
        </w:rPr>
        <w:t xml:space="preserve">, entirely/completely </w:t>
      </w:r>
      <w:r w:rsidR="00710E1C" w:rsidRPr="008D3E74">
        <w:rPr>
          <w:rFonts w:ascii="Arial" w:hAnsi="Arial" w:cs="Arial"/>
          <w:sz w:val="18"/>
          <w:szCs w:val="18"/>
        </w:rPr>
        <w:t>homosexual, other</w:t>
      </w:r>
      <w:r w:rsidRPr="008D3E74">
        <w:rPr>
          <w:rFonts w:ascii="Arial" w:hAnsi="Arial" w:cs="Arial"/>
          <w:sz w:val="18"/>
          <w:szCs w:val="18"/>
        </w:rPr>
        <w:t xml:space="preserve">). </w:t>
      </w:r>
    </w:p>
    <w:p w14:paraId="209F8DBD" w14:textId="01E0E8B0" w:rsidR="00CE31E1" w:rsidRDefault="00CE31E1" w:rsidP="000050E5">
      <w:pPr>
        <w:spacing w:line="480" w:lineRule="auto"/>
        <w:rPr>
          <w:rFonts w:ascii="Arial" w:hAnsi="Arial"/>
          <w:sz w:val="18"/>
          <w:szCs w:val="18"/>
        </w:rPr>
      </w:pPr>
      <w:r w:rsidRPr="008D3E74">
        <w:rPr>
          <w:rFonts w:ascii="Arial" w:hAnsi="Arial"/>
          <w:sz w:val="18"/>
          <w:szCs w:val="18"/>
        </w:rPr>
        <w:t xml:space="preserve">Models were adjusted for </w:t>
      </w:r>
      <w:r w:rsidRPr="008D3E74">
        <w:rPr>
          <w:rFonts w:ascii="Arial" w:eastAsia="Times New Roman" w:hAnsi="Arial" w:cs="Arial"/>
          <w:color w:val="000000"/>
          <w:sz w:val="18"/>
          <w:szCs w:val="18"/>
          <w:lang w:eastAsia="fr-FR"/>
        </w:rPr>
        <w:t>sex, age</w:t>
      </w:r>
      <w:r w:rsidR="00523F05" w:rsidRPr="008D3E74">
        <w:rPr>
          <w:rFonts w:ascii="Arial" w:eastAsia="Times New Roman" w:hAnsi="Arial" w:cs="Arial"/>
          <w:color w:val="000000"/>
          <w:sz w:val="18"/>
          <w:szCs w:val="18"/>
          <w:lang w:eastAsia="fr-FR"/>
        </w:rPr>
        <w:t xml:space="preserve"> and</w:t>
      </w:r>
      <w:r w:rsidRPr="008D3E74">
        <w:rPr>
          <w:rFonts w:ascii="Arial" w:eastAsia="Times New Roman" w:hAnsi="Arial" w:cs="Arial"/>
          <w:color w:val="000000"/>
          <w:sz w:val="18"/>
          <w:szCs w:val="18"/>
          <w:lang w:eastAsia="fr-FR"/>
        </w:rPr>
        <w:t xml:space="preserve"> ethnicity</w:t>
      </w:r>
      <w:r w:rsidRPr="008D3E74">
        <w:rPr>
          <w:rFonts w:ascii="Arial" w:hAnsi="Arial"/>
          <w:sz w:val="18"/>
          <w:szCs w:val="18"/>
        </w:rPr>
        <w:t>.</w:t>
      </w:r>
    </w:p>
    <w:p w14:paraId="2C4B471C" w14:textId="48C7785B" w:rsidR="00DB7129" w:rsidRDefault="0036632E" w:rsidP="000050E5">
      <w:pPr>
        <w:spacing w:line="480" w:lineRule="auto"/>
        <w:rPr>
          <w:rFonts w:ascii="Arial" w:hAnsi="Arial"/>
          <w:sz w:val="18"/>
          <w:szCs w:val="18"/>
        </w:rPr>
      </w:pPr>
      <w:r>
        <w:rPr>
          <w:rFonts w:ascii="Arial" w:hAnsi="Arial" w:cs="Arial"/>
          <w:noProof/>
          <w:sz w:val="18"/>
          <w:szCs w:val="18"/>
        </w:rPr>
        <w:drawing>
          <wp:inline distT="0" distB="0" distL="0" distR="0" wp14:anchorId="27612383" wp14:editId="1400FA3A">
            <wp:extent cx="5270500" cy="3621405"/>
            <wp:effectExtent l="0" t="0" r="6350" b="0"/>
            <wp:docPr id="1" name="Image 1" descr="Diagram&#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Diagram&#10;"/>
                    <pic:cNvPicPr/>
                  </pic:nvPicPr>
                  <pic:blipFill>
                    <a:blip r:embed="rId8"/>
                    <a:stretch>
                      <a:fillRect/>
                    </a:stretch>
                  </pic:blipFill>
                  <pic:spPr>
                    <a:xfrm>
                      <a:off x="0" y="0"/>
                      <a:ext cx="5270500" cy="3621405"/>
                    </a:xfrm>
                    <a:prstGeom prst="rect">
                      <a:avLst/>
                    </a:prstGeom>
                  </pic:spPr>
                </pic:pic>
              </a:graphicData>
            </a:graphic>
          </wp:inline>
        </w:drawing>
      </w:r>
    </w:p>
    <w:p w14:paraId="37347816" w14:textId="3D49C1BD" w:rsidR="00DB7129" w:rsidRDefault="0036632E" w:rsidP="0036632E">
      <w:pPr>
        <w:rPr>
          <w:rFonts w:ascii="Arial" w:hAnsi="Arial"/>
          <w:sz w:val="18"/>
          <w:szCs w:val="18"/>
        </w:rPr>
      </w:pPr>
      <w:r>
        <w:rPr>
          <w:rFonts w:ascii="Arial" w:hAnsi="Arial"/>
          <w:sz w:val="18"/>
          <w:szCs w:val="18"/>
        </w:rPr>
        <w:br w:type="page"/>
      </w:r>
    </w:p>
    <w:p w14:paraId="7520C5E9" w14:textId="77777777" w:rsidR="00DB7129" w:rsidRPr="00DB7129" w:rsidRDefault="00DB7129" w:rsidP="00DB7129">
      <w:pPr>
        <w:spacing w:line="360" w:lineRule="auto"/>
        <w:ind w:left="-720"/>
        <w:rPr>
          <w:rFonts w:ascii="Arial" w:hAnsi="Arial"/>
          <w:lang w:eastAsia="ja-JP"/>
        </w:rPr>
      </w:pPr>
      <w:r w:rsidRPr="00DB7129">
        <w:rPr>
          <w:rFonts w:ascii="Arial" w:hAnsi="Arial"/>
          <w:b/>
          <w:lang w:eastAsia="ja-JP"/>
        </w:rPr>
        <w:lastRenderedPageBreak/>
        <w:t>Table 1.</w:t>
      </w:r>
      <w:r w:rsidRPr="00DB7129">
        <w:rPr>
          <w:rFonts w:ascii="Arial" w:hAnsi="Arial"/>
          <w:lang w:eastAsia="ja-JP"/>
        </w:rPr>
        <w:t xml:space="preserve"> Sample characteristics (overall and by sexual orientation)</w:t>
      </w:r>
    </w:p>
    <w:tbl>
      <w:tblPr>
        <w:tblStyle w:val="TableGrid"/>
        <w:tblW w:w="5757" w:type="pct"/>
        <w:jc w:val="center"/>
        <w:tblLook w:val="04A0" w:firstRow="1" w:lastRow="0" w:firstColumn="1" w:lastColumn="0" w:noHBand="0" w:noVBand="1"/>
      </w:tblPr>
      <w:tblGrid>
        <w:gridCol w:w="1741"/>
        <w:gridCol w:w="3363"/>
        <w:gridCol w:w="850"/>
        <w:gridCol w:w="1395"/>
        <w:gridCol w:w="1362"/>
        <w:gridCol w:w="834"/>
      </w:tblGrid>
      <w:tr w:rsidR="00DB7129" w:rsidRPr="00DB7129" w14:paraId="2A3D8337" w14:textId="77777777" w:rsidTr="00DD5D22">
        <w:trPr>
          <w:jc w:val="center"/>
        </w:trPr>
        <w:tc>
          <w:tcPr>
            <w:tcW w:w="1020" w:type="pct"/>
            <w:vAlign w:val="center"/>
          </w:tcPr>
          <w:p w14:paraId="05556D77" w14:textId="77777777" w:rsidR="00DB7129" w:rsidRPr="00DB7129" w:rsidRDefault="00DB7129" w:rsidP="00DB7129">
            <w:pPr>
              <w:rPr>
                <w:rFonts w:ascii="Arial" w:eastAsia="Times New Roman" w:hAnsi="Arial" w:cs="Arial"/>
                <w:sz w:val="20"/>
                <w:szCs w:val="20"/>
                <w:lang w:eastAsia="ja-JP"/>
              </w:rPr>
            </w:pPr>
          </w:p>
        </w:tc>
        <w:tc>
          <w:tcPr>
            <w:tcW w:w="1715" w:type="pct"/>
            <w:vAlign w:val="center"/>
          </w:tcPr>
          <w:p w14:paraId="39551E69" w14:textId="77777777" w:rsidR="00DB7129" w:rsidRPr="00DB7129" w:rsidRDefault="00DB7129" w:rsidP="00DB7129">
            <w:pPr>
              <w:rPr>
                <w:rFonts w:ascii="Arial" w:eastAsia="Times New Roman" w:hAnsi="Arial" w:cs="Arial"/>
                <w:sz w:val="20"/>
                <w:szCs w:val="20"/>
                <w:lang w:eastAsia="ja-JP"/>
              </w:rPr>
            </w:pPr>
          </w:p>
        </w:tc>
        <w:tc>
          <w:tcPr>
            <w:tcW w:w="433" w:type="pct"/>
            <w:vAlign w:val="center"/>
          </w:tcPr>
          <w:p w14:paraId="117C741F" w14:textId="77777777" w:rsidR="00DB7129" w:rsidRPr="00DB7129" w:rsidRDefault="00DB7129" w:rsidP="00DB7129">
            <w:pPr>
              <w:rPr>
                <w:rFonts w:ascii="Arial" w:eastAsia="Times New Roman" w:hAnsi="Arial" w:cs="Arial"/>
                <w:sz w:val="20"/>
                <w:szCs w:val="20"/>
                <w:lang w:eastAsia="ja-JP"/>
              </w:rPr>
            </w:pPr>
          </w:p>
        </w:tc>
        <w:tc>
          <w:tcPr>
            <w:tcW w:w="1832" w:type="pct"/>
            <w:gridSpan w:val="3"/>
            <w:vAlign w:val="center"/>
          </w:tcPr>
          <w:p w14:paraId="6E7F71CC" w14:textId="77777777" w:rsidR="00DB7129" w:rsidRPr="00DB7129" w:rsidRDefault="00DB7129" w:rsidP="00DB7129">
            <w:pPr>
              <w:rPr>
                <w:rFonts w:ascii="Arial" w:eastAsia="Times New Roman" w:hAnsi="Arial" w:cs="Arial"/>
                <w:sz w:val="20"/>
                <w:szCs w:val="20"/>
                <w:lang w:eastAsia="ja-JP"/>
              </w:rPr>
            </w:pPr>
            <w:proofErr w:type="spellStart"/>
            <w:r w:rsidRPr="00DB7129">
              <w:rPr>
                <w:rFonts w:ascii="Arial" w:eastAsia="Times New Roman" w:hAnsi="Arial" w:cs="Arial"/>
                <w:sz w:val="20"/>
                <w:szCs w:val="20"/>
                <w:lang w:eastAsia="ja-JP"/>
              </w:rPr>
              <w:t>Sexual</w:t>
            </w:r>
            <w:proofErr w:type="spellEnd"/>
            <w:r w:rsidRPr="00DB7129">
              <w:rPr>
                <w:rFonts w:ascii="Arial" w:eastAsia="Times New Roman" w:hAnsi="Arial" w:cs="Arial"/>
                <w:sz w:val="20"/>
                <w:szCs w:val="20"/>
                <w:lang w:eastAsia="ja-JP"/>
              </w:rPr>
              <w:t xml:space="preserve"> orientation</w:t>
            </w:r>
          </w:p>
        </w:tc>
      </w:tr>
      <w:tr w:rsidR="00DB7129" w:rsidRPr="00DB7129" w14:paraId="5931A0CE" w14:textId="77777777" w:rsidTr="00DD5D22">
        <w:trPr>
          <w:jc w:val="center"/>
        </w:trPr>
        <w:tc>
          <w:tcPr>
            <w:tcW w:w="1020" w:type="pct"/>
            <w:vAlign w:val="center"/>
          </w:tcPr>
          <w:p w14:paraId="14DFA23C" w14:textId="77777777" w:rsidR="00DB7129" w:rsidRPr="00DB7129" w:rsidRDefault="00DB7129" w:rsidP="00DB7129">
            <w:pPr>
              <w:rPr>
                <w:rFonts w:ascii="Arial" w:hAnsi="Arial" w:cs="Arial"/>
                <w:sz w:val="20"/>
                <w:szCs w:val="20"/>
                <w:lang w:eastAsia="ja-JP"/>
              </w:rPr>
            </w:pPr>
            <w:proofErr w:type="spellStart"/>
            <w:r w:rsidRPr="00DB7129">
              <w:rPr>
                <w:rFonts w:ascii="Arial" w:eastAsia="Times New Roman" w:hAnsi="Arial" w:cs="Arial"/>
                <w:sz w:val="20"/>
                <w:szCs w:val="20"/>
                <w:lang w:eastAsia="ja-JP"/>
              </w:rPr>
              <w:t>Characteristics</w:t>
            </w:r>
            <w:proofErr w:type="spellEnd"/>
          </w:p>
        </w:tc>
        <w:tc>
          <w:tcPr>
            <w:tcW w:w="1715" w:type="pct"/>
            <w:vAlign w:val="center"/>
          </w:tcPr>
          <w:p w14:paraId="625F95B0" w14:textId="77777777" w:rsidR="00DB7129" w:rsidRPr="00DB7129" w:rsidRDefault="00DB7129" w:rsidP="00DB7129">
            <w:pPr>
              <w:rPr>
                <w:rFonts w:ascii="Arial" w:hAnsi="Arial" w:cs="Arial"/>
                <w:sz w:val="20"/>
                <w:szCs w:val="20"/>
                <w:lang w:eastAsia="ja-JP"/>
              </w:rPr>
            </w:pPr>
            <w:proofErr w:type="spellStart"/>
            <w:r w:rsidRPr="00DB7129">
              <w:rPr>
                <w:rFonts w:ascii="Arial" w:eastAsia="Times New Roman" w:hAnsi="Arial" w:cs="Arial"/>
                <w:sz w:val="20"/>
                <w:szCs w:val="20"/>
                <w:lang w:eastAsia="ja-JP"/>
              </w:rPr>
              <w:t>Category</w:t>
            </w:r>
            <w:proofErr w:type="spellEnd"/>
          </w:p>
        </w:tc>
        <w:tc>
          <w:tcPr>
            <w:tcW w:w="433" w:type="pct"/>
            <w:vAlign w:val="center"/>
          </w:tcPr>
          <w:p w14:paraId="07FE5C21" w14:textId="77777777" w:rsidR="00DB7129" w:rsidRPr="00DB7129" w:rsidRDefault="00DB7129" w:rsidP="00DB7129">
            <w:pPr>
              <w:rPr>
                <w:rFonts w:ascii="Arial" w:hAnsi="Arial" w:cs="Arial"/>
                <w:sz w:val="20"/>
                <w:szCs w:val="20"/>
                <w:lang w:eastAsia="ja-JP"/>
              </w:rPr>
            </w:pPr>
            <w:proofErr w:type="spellStart"/>
            <w:r w:rsidRPr="00DB7129">
              <w:rPr>
                <w:rFonts w:ascii="Arial" w:eastAsia="Times New Roman" w:hAnsi="Arial" w:cs="Arial"/>
                <w:sz w:val="20"/>
                <w:szCs w:val="20"/>
                <w:lang w:eastAsia="ja-JP"/>
              </w:rPr>
              <w:t>Overall</w:t>
            </w:r>
            <w:proofErr w:type="spellEnd"/>
          </w:p>
        </w:tc>
        <w:tc>
          <w:tcPr>
            <w:tcW w:w="711" w:type="pct"/>
            <w:vAlign w:val="center"/>
          </w:tcPr>
          <w:p w14:paraId="442113A3" w14:textId="77777777" w:rsidR="00DB7129" w:rsidRPr="00DB7129" w:rsidRDefault="00DB7129" w:rsidP="00DB7129">
            <w:pPr>
              <w:rPr>
                <w:rFonts w:ascii="Arial" w:hAnsi="Arial" w:cs="Arial"/>
                <w:sz w:val="20"/>
                <w:szCs w:val="20"/>
                <w:lang w:eastAsia="ja-JP"/>
              </w:rPr>
            </w:pPr>
            <w:proofErr w:type="spellStart"/>
            <w:r w:rsidRPr="00DB7129">
              <w:rPr>
                <w:rFonts w:ascii="Arial" w:eastAsia="Times New Roman" w:hAnsi="Arial" w:cs="Arial"/>
                <w:sz w:val="20"/>
                <w:szCs w:val="20"/>
                <w:lang w:eastAsia="ja-JP"/>
              </w:rPr>
              <w:t>Heterosexual</w:t>
            </w:r>
            <w:proofErr w:type="spellEnd"/>
          </w:p>
        </w:tc>
        <w:tc>
          <w:tcPr>
            <w:tcW w:w="695" w:type="pct"/>
            <w:vAlign w:val="center"/>
          </w:tcPr>
          <w:p w14:paraId="43FB3027" w14:textId="77777777" w:rsidR="00DB7129" w:rsidRPr="00DB7129" w:rsidRDefault="00DB7129" w:rsidP="00DB7129">
            <w:pPr>
              <w:rPr>
                <w:rFonts w:ascii="Arial" w:hAnsi="Arial" w:cs="Arial"/>
                <w:sz w:val="20"/>
                <w:szCs w:val="20"/>
                <w:lang w:eastAsia="ja-JP"/>
              </w:rPr>
            </w:pPr>
            <w:r w:rsidRPr="00DB7129">
              <w:rPr>
                <w:rFonts w:ascii="Arial" w:eastAsia="Times New Roman" w:hAnsi="Arial" w:cs="Arial"/>
                <w:sz w:val="20"/>
                <w:szCs w:val="20"/>
                <w:lang w:eastAsia="ja-JP"/>
              </w:rPr>
              <w:t>Non-</w:t>
            </w:r>
            <w:proofErr w:type="spellStart"/>
            <w:r w:rsidRPr="00DB7129">
              <w:rPr>
                <w:rFonts w:ascii="Arial" w:eastAsia="Times New Roman" w:hAnsi="Arial" w:cs="Arial"/>
                <w:sz w:val="20"/>
                <w:szCs w:val="20"/>
                <w:lang w:eastAsia="ja-JP"/>
              </w:rPr>
              <w:t>heterosexual</w:t>
            </w:r>
            <w:proofErr w:type="spellEnd"/>
          </w:p>
        </w:tc>
        <w:tc>
          <w:tcPr>
            <w:tcW w:w="425" w:type="pct"/>
            <w:vAlign w:val="center"/>
          </w:tcPr>
          <w:p w14:paraId="16731D24" w14:textId="77777777" w:rsidR="00DB7129" w:rsidRPr="00DB7129" w:rsidRDefault="00DB7129" w:rsidP="00DB7129">
            <w:pPr>
              <w:rPr>
                <w:rFonts w:ascii="Arial" w:eastAsia="Times New Roman" w:hAnsi="Arial" w:cs="Arial"/>
                <w:sz w:val="20"/>
                <w:szCs w:val="20"/>
                <w:lang w:eastAsia="ja-JP"/>
              </w:rPr>
            </w:pPr>
            <w:r w:rsidRPr="00DB7129">
              <w:rPr>
                <w:rFonts w:ascii="Arial" w:eastAsia="Times New Roman" w:hAnsi="Arial" w:cs="Arial"/>
                <w:sz w:val="20"/>
                <w:szCs w:val="20"/>
                <w:lang w:eastAsia="ja-JP"/>
              </w:rPr>
              <w:t>P-</w:t>
            </w:r>
            <w:proofErr w:type="spellStart"/>
            <w:r w:rsidRPr="00DB7129">
              <w:rPr>
                <w:rFonts w:ascii="Arial" w:eastAsia="Times New Roman" w:hAnsi="Arial" w:cs="Arial"/>
                <w:sz w:val="20"/>
                <w:szCs w:val="20"/>
                <w:lang w:eastAsia="ja-JP"/>
              </w:rPr>
              <w:t>value</w:t>
            </w:r>
            <w:r w:rsidRPr="00DB7129">
              <w:rPr>
                <w:rFonts w:ascii="Arial" w:eastAsia="Times New Roman" w:hAnsi="Arial" w:cs="Arial"/>
                <w:sz w:val="20"/>
                <w:szCs w:val="20"/>
                <w:vertAlign w:val="superscript"/>
                <w:lang w:eastAsia="ja-JP"/>
              </w:rPr>
              <w:t>a</w:t>
            </w:r>
            <w:proofErr w:type="spellEnd"/>
          </w:p>
        </w:tc>
      </w:tr>
      <w:tr w:rsidR="00DB7129" w:rsidRPr="00DB7129" w14:paraId="42EA7A04" w14:textId="77777777" w:rsidTr="00DD5D22">
        <w:trPr>
          <w:jc w:val="center"/>
        </w:trPr>
        <w:tc>
          <w:tcPr>
            <w:tcW w:w="1020" w:type="pct"/>
            <w:vMerge w:val="restart"/>
            <w:vAlign w:val="center"/>
          </w:tcPr>
          <w:p w14:paraId="5FF2D78D" w14:textId="77777777" w:rsidR="00DB7129" w:rsidRPr="00DB7129" w:rsidRDefault="00DB7129" w:rsidP="00DB7129">
            <w:pPr>
              <w:rPr>
                <w:rFonts w:ascii="Arial" w:hAnsi="Arial" w:cs="Arial"/>
                <w:sz w:val="20"/>
                <w:szCs w:val="20"/>
                <w:lang w:eastAsia="ja-JP"/>
              </w:rPr>
            </w:pPr>
            <w:proofErr w:type="spellStart"/>
            <w:r w:rsidRPr="00DB7129">
              <w:rPr>
                <w:rFonts w:ascii="Arial" w:eastAsia="Times New Roman" w:hAnsi="Arial" w:cs="Arial"/>
                <w:sz w:val="20"/>
                <w:szCs w:val="20"/>
                <w:lang w:eastAsia="ja-JP"/>
              </w:rPr>
              <w:t>Sex</w:t>
            </w:r>
            <w:proofErr w:type="spellEnd"/>
          </w:p>
        </w:tc>
        <w:tc>
          <w:tcPr>
            <w:tcW w:w="1715" w:type="pct"/>
            <w:vAlign w:val="center"/>
          </w:tcPr>
          <w:p w14:paraId="02441877" w14:textId="77777777" w:rsidR="00DB7129" w:rsidRPr="00DB7129" w:rsidRDefault="00DB7129" w:rsidP="00DB7129">
            <w:pPr>
              <w:rPr>
                <w:rFonts w:ascii="Arial" w:hAnsi="Arial" w:cs="Arial"/>
                <w:sz w:val="20"/>
                <w:szCs w:val="20"/>
                <w:lang w:eastAsia="ja-JP"/>
              </w:rPr>
            </w:pPr>
            <w:r w:rsidRPr="00DB7129">
              <w:rPr>
                <w:rFonts w:ascii="Arial" w:eastAsia="Times New Roman" w:hAnsi="Arial" w:cs="Arial"/>
                <w:sz w:val="20"/>
                <w:szCs w:val="20"/>
                <w:lang w:eastAsia="ja-JP"/>
              </w:rPr>
              <w:t>Male</w:t>
            </w:r>
          </w:p>
        </w:tc>
        <w:tc>
          <w:tcPr>
            <w:tcW w:w="433" w:type="pct"/>
            <w:vAlign w:val="center"/>
          </w:tcPr>
          <w:p w14:paraId="096B3159"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48.7</w:t>
            </w:r>
          </w:p>
        </w:tc>
        <w:tc>
          <w:tcPr>
            <w:tcW w:w="711" w:type="pct"/>
            <w:vAlign w:val="center"/>
          </w:tcPr>
          <w:p w14:paraId="7050EBF0"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48.8</w:t>
            </w:r>
          </w:p>
        </w:tc>
        <w:tc>
          <w:tcPr>
            <w:tcW w:w="695" w:type="pct"/>
            <w:vAlign w:val="center"/>
          </w:tcPr>
          <w:p w14:paraId="6B784764"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47.4</w:t>
            </w:r>
          </w:p>
        </w:tc>
        <w:tc>
          <w:tcPr>
            <w:tcW w:w="425" w:type="pct"/>
            <w:vMerge w:val="restart"/>
            <w:vAlign w:val="center"/>
          </w:tcPr>
          <w:p w14:paraId="0057C9EF"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0.582</w:t>
            </w:r>
          </w:p>
        </w:tc>
      </w:tr>
      <w:tr w:rsidR="00DB7129" w:rsidRPr="00DB7129" w14:paraId="2F409572" w14:textId="77777777" w:rsidTr="00DD5D22">
        <w:trPr>
          <w:jc w:val="center"/>
        </w:trPr>
        <w:tc>
          <w:tcPr>
            <w:tcW w:w="1020" w:type="pct"/>
            <w:vMerge/>
            <w:vAlign w:val="center"/>
          </w:tcPr>
          <w:p w14:paraId="3857BB07" w14:textId="77777777" w:rsidR="00DB7129" w:rsidRPr="00DB7129" w:rsidRDefault="00DB7129" w:rsidP="00DB7129">
            <w:pPr>
              <w:rPr>
                <w:rFonts w:ascii="Arial" w:hAnsi="Arial" w:cs="Arial"/>
                <w:sz w:val="20"/>
                <w:szCs w:val="20"/>
                <w:lang w:eastAsia="ja-JP"/>
              </w:rPr>
            </w:pPr>
          </w:p>
        </w:tc>
        <w:tc>
          <w:tcPr>
            <w:tcW w:w="1715" w:type="pct"/>
            <w:vAlign w:val="center"/>
          </w:tcPr>
          <w:p w14:paraId="18AEE006" w14:textId="77777777" w:rsidR="00DB7129" w:rsidRPr="00DB7129" w:rsidRDefault="00DB7129" w:rsidP="00DB7129">
            <w:pPr>
              <w:rPr>
                <w:rFonts w:ascii="Arial" w:hAnsi="Arial" w:cs="Arial"/>
                <w:sz w:val="20"/>
                <w:szCs w:val="20"/>
                <w:lang w:eastAsia="ja-JP"/>
              </w:rPr>
            </w:pPr>
            <w:proofErr w:type="spellStart"/>
            <w:r w:rsidRPr="00DB7129">
              <w:rPr>
                <w:rFonts w:ascii="Arial" w:eastAsia="Times New Roman" w:hAnsi="Arial" w:cs="Arial"/>
                <w:sz w:val="20"/>
                <w:szCs w:val="20"/>
                <w:lang w:eastAsia="ja-JP"/>
              </w:rPr>
              <w:t>Female</w:t>
            </w:r>
            <w:proofErr w:type="spellEnd"/>
          </w:p>
        </w:tc>
        <w:tc>
          <w:tcPr>
            <w:tcW w:w="433" w:type="pct"/>
            <w:vAlign w:val="center"/>
          </w:tcPr>
          <w:p w14:paraId="07D50FEA"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51.3</w:t>
            </w:r>
          </w:p>
        </w:tc>
        <w:tc>
          <w:tcPr>
            <w:tcW w:w="711" w:type="pct"/>
            <w:vAlign w:val="center"/>
          </w:tcPr>
          <w:p w14:paraId="13D02D4C"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51.2</w:t>
            </w:r>
          </w:p>
        </w:tc>
        <w:tc>
          <w:tcPr>
            <w:tcW w:w="695" w:type="pct"/>
            <w:vAlign w:val="center"/>
          </w:tcPr>
          <w:p w14:paraId="3466734F"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52.6</w:t>
            </w:r>
          </w:p>
        </w:tc>
        <w:tc>
          <w:tcPr>
            <w:tcW w:w="425" w:type="pct"/>
            <w:vMerge/>
            <w:vAlign w:val="center"/>
          </w:tcPr>
          <w:p w14:paraId="5962681A" w14:textId="77777777" w:rsidR="00DB7129" w:rsidRPr="00DB7129" w:rsidRDefault="00DB7129" w:rsidP="00DB7129">
            <w:pPr>
              <w:rPr>
                <w:rFonts w:ascii="Arial" w:hAnsi="Arial" w:cs="Arial"/>
                <w:sz w:val="20"/>
                <w:szCs w:val="20"/>
                <w:lang w:eastAsia="ja-JP"/>
              </w:rPr>
            </w:pPr>
          </w:p>
        </w:tc>
      </w:tr>
      <w:tr w:rsidR="00DB7129" w:rsidRPr="00DB7129" w14:paraId="641057CE" w14:textId="77777777" w:rsidTr="00DD5D22">
        <w:trPr>
          <w:jc w:val="center"/>
        </w:trPr>
        <w:tc>
          <w:tcPr>
            <w:tcW w:w="1020" w:type="pct"/>
            <w:vAlign w:val="center"/>
          </w:tcPr>
          <w:p w14:paraId="5BB214BF"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Age (</w:t>
            </w:r>
            <w:proofErr w:type="spellStart"/>
            <w:r w:rsidRPr="00DB7129">
              <w:rPr>
                <w:rFonts w:ascii="Arial" w:hAnsi="Arial" w:cs="Arial"/>
                <w:sz w:val="20"/>
                <w:szCs w:val="20"/>
                <w:lang w:eastAsia="ja-JP"/>
              </w:rPr>
              <w:t>years</w:t>
            </w:r>
            <w:proofErr w:type="spellEnd"/>
            <w:r w:rsidRPr="00DB7129">
              <w:rPr>
                <w:rFonts w:ascii="Arial" w:hAnsi="Arial" w:cs="Arial"/>
                <w:sz w:val="20"/>
                <w:szCs w:val="20"/>
                <w:lang w:eastAsia="ja-JP"/>
              </w:rPr>
              <w:t>)</w:t>
            </w:r>
          </w:p>
        </w:tc>
        <w:tc>
          <w:tcPr>
            <w:tcW w:w="1715" w:type="pct"/>
            <w:vAlign w:val="center"/>
          </w:tcPr>
          <w:p w14:paraId="59D2D786" w14:textId="77777777" w:rsidR="00DB7129" w:rsidRPr="00DB7129" w:rsidRDefault="00DB7129" w:rsidP="00DB7129">
            <w:pPr>
              <w:rPr>
                <w:rFonts w:ascii="Arial" w:hAnsi="Arial" w:cs="Arial"/>
                <w:sz w:val="20"/>
                <w:szCs w:val="20"/>
                <w:lang w:eastAsia="ja-JP"/>
              </w:rPr>
            </w:pPr>
            <w:proofErr w:type="spellStart"/>
            <w:r w:rsidRPr="00DB7129">
              <w:rPr>
                <w:rFonts w:ascii="Arial" w:eastAsia="Times New Roman" w:hAnsi="Arial" w:cs="Arial"/>
                <w:sz w:val="20"/>
                <w:szCs w:val="20"/>
                <w:lang w:eastAsia="ja-JP"/>
              </w:rPr>
              <w:t>Mean</w:t>
            </w:r>
            <w:proofErr w:type="spellEnd"/>
            <w:r w:rsidRPr="00DB7129">
              <w:rPr>
                <w:rFonts w:ascii="Arial" w:eastAsia="Times New Roman" w:hAnsi="Arial" w:cs="Arial"/>
                <w:sz w:val="20"/>
                <w:szCs w:val="20"/>
                <w:lang w:eastAsia="ja-JP"/>
              </w:rPr>
              <w:t xml:space="preserve"> (SD)</w:t>
            </w:r>
          </w:p>
        </w:tc>
        <w:tc>
          <w:tcPr>
            <w:tcW w:w="433" w:type="pct"/>
            <w:vAlign w:val="center"/>
          </w:tcPr>
          <w:p w14:paraId="08A31E5A"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46.3 (18.5)</w:t>
            </w:r>
          </w:p>
        </w:tc>
        <w:tc>
          <w:tcPr>
            <w:tcW w:w="711" w:type="pct"/>
            <w:vAlign w:val="center"/>
          </w:tcPr>
          <w:p w14:paraId="74D02108"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46.7 (18.5)</w:t>
            </w:r>
          </w:p>
        </w:tc>
        <w:tc>
          <w:tcPr>
            <w:tcW w:w="695" w:type="pct"/>
            <w:vAlign w:val="center"/>
          </w:tcPr>
          <w:p w14:paraId="6F9034E7"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40.7 (17.7)</w:t>
            </w:r>
          </w:p>
        </w:tc>
        <w:tc>
          <w:tcPr>
            <w:tcW w:w="425" w:type="pct"/>
            <w:vAlign w:val="center"/>
          </w:tcPr>
          <w:p w14:paraId="0A4A6BA5"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&lt;0.001</w:t>
            </w:r>
          </w:p>
        </w:tc>
      </w:tr>
      <w:tr w:rsidR="00DB7129" w:rsidRPr="00DB7129" w14:paraId="6EF08D62" w14:textId="77777777" w:rsidTr="00DD5D22">
        <w:trPr>
          <w:jc w:val="center"/>
        </w:trPr>
        <w:tc>
          <w:tcPr>
            <w:tcW w:w="1020" w:type="pct"/>
            <w:vMerge w:val="restart"/>
            <w:vAlign w:val="center"/>
          </w:tcPr>
          <w:p w14:paraId="620562E2" w14:textId="77777777" w:rsidR="00DB7129" w:rsidRPr="00DB7129" w:rsidRDefault="00DB7129" w:rsidP="00DB7129">
            <w:pPr>
              <w:rPr>
                <w:rFonts w:ascii="Arial" w:hAnsi="Arial" w:cs="Arial"/>
                <w:sz w:val="20"/>
                <w:szCs w:val="20"/>
                <w:lang w:eastAsia="ja-JP"/>
              </w:rPr>
            </w:pPr>
            <w:r w:rsidRPr="00DB7129">
              <w:rPr>
                <w:rFonts w:ascii="Arial" w:eastAsia="Times New Roman" w:hAnsi="Arial" w:cs="Arial"/>
                <w:sz w:val="20"/>
                <w:szCs w:val="20"/>
                <w:lang w:eastAsia="ja-JP"/>
              </w:rPr>
              <w:t>British White</w:t>
            </w:r>
          </w:p>
        </w:tc>
        <w:tc>
          <w:tcPr>
            <w:tcW w:w="1715" w:type="pct"/>
            <w:vAlign w:val="center"/>
          </w:tcPr>
          <w:p w14:paraId="03AF6B45" w14:textId="77777777" w:rsidR="00DB7129" w:rsidRPr="00DB7129" w:rsidRDefault="00DB7129" w:rsidP="00DB7129">
            <w:pPr>
              <w:rPr>
                <w:rFonts w:ascii="Arial" w:hAnsi="Arial" w:cs="Arial"/>
                <w:sz w:val="20"/>
                <w:szCs w:val="20"/>
                <w:lang w:eastAsia="ja-JP"/>
              </w:rPr>
            </w:pPr>
            <w:r w:rsidRPr="00DB7129">
              <w:rPr>
                <w:rFonts w:ascii="Arial" w:eastAsia="Times New Roman" w:hAnsi="Arial" w:cs="Arial"/>
                <w:sz w:val="20"/>
                <w:szCs w:val="20"/>
                <w:lang w:eastAsia="ja-JP"/>
              </w:rPr>
              <w:t>No</w:t>
            </w:r>
          </w:p>
        </w:tc>
        <w:tc>
          <w:tcPr>
            <w:tcW w:w="433" w:type="pct"/>
            <w:vAlign w:val="center"/>
          </w:tcPr>
          <w:p w14:paraId="7BB2F082"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14.7</w:t>
            </w:r>
          </w:p>
        </w:tc>
        <w:tc>
          <w:tcPr>
            <w:tcW w:w="711" w:type="pct"/>
            <w:vAlign w:val="center"/>
          </w:tcPr>
          <w:p w14:paraId="1AC19F25"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14.2</w:t>
            </w:r>
          </w:p>
        </w:tc>
        <w:tc>
          <w:tcPr>
            <w:tcW w:w="695" w:type="pct"/>
            <w:vAlign w:val="center"/>
          </w:tcPr>
          <w:p w14:paraId="110301EC"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21.6</w:t>
            </w:r>
          </w:p>
        </w:tc>
        <w:tc>
          <w:tcPr>
            <w:tcW w:w="425" w:type="pct"/>
            <w:vMerge w:val="restart"/>
            <w:vAlign w:val="center"/>
          </w:tcPr>
          <w:p w14:paraId="3B6D660B"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&lt;0.001</w:t>
            </w:r>
          </w:p>
        </w:tc>
      </w:tr>
      <w:tr w:rsidR="00DB7129" w:rsidRPr="00DB7129" w14:paraId="24AB6CD4" w14:textId="77777777" w:rsidTr="00DD5D22">
        <w:trPr>
          <w:jc w:val="center"/>
        </w:trPr>
        <w:tc>
          <w:tcPr>
            <w:tcW w:w="1020" w:type="pct"/>
            <w:vMerge/>
            <w:vAlign w:val="center"/>
          </w:tcPr>
          <w:p w14:paraId="1D6CDD31" w14:textId="77777777" w:rsidR="00DB7129" w:rsidRPr="00DB7129" w:rsidRDefault="00DB7129" w:rsidP="00DB7129">
            <w:pPr>
              <w:rPr>
                <w:rFonts w:ascii="Arial" w:hAnsi="Arial" w:cs="Arial"/>
                <w:sz w:val="20"/>
                <w:szCs w:val="20"/>
                <w:lang w:eastAsia="ja-JP"/>
              </w:rPr>
            </w:pPr>
          </w:p>
        </w:tc>
        <w:tc>
          <w:tcPr>
            <w:tcW w:w="1715" w:type="pct"/>
            <w:vAlign w:val="center"/>
          </w:tcPr>
          <w:p w14:paraId="746E6C8D" w14:textId="77777777" w:rsidR="00DB7129" w:rsidRPr="00DB7129" w:rsidRDefault="00DB7129" w:rsidP="00DB7129">
            <w:pPr>
              <w:rPr>
                <w:rFonts w:ascii="Arial" w:hAnsi="Arial" w:cs="Arial"/>
                <w:sz w:val="20"/>
                <w:szCs w:val="20"/>
                <w:lang w:eastAsia="ja-JP"/>
              </w:rPr>
            </w:pPr>
            <w:r w:rsidRPr="00DB7129">
              <w:rPr>
                <w:rFonts w:ascii="Arial" w:eastAsia="Times New Roman" w:hAnsi="Arial" w:cs="Arial"/>
                <w:sz w:val="20"/>
                <w:szCs w:val="20"/>
                <w:lang w:eastAsia="ja-JP"/>
              </w:rPr>
              <w:t>Yes</w:t>
            </w:r>
          </w:p>
        </w:tc>
        <w:tc>
          <w:tcPr>
            <w:tcW w:w="433" w:type="pct"/>
            <w:vAlign w:val="center"/>
          </w:tcPr>
          <w:p w14:paraId="4B474F90"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85.3</w:t>
            </w:r>
          </w:p>
        </w:tc>
        <w:tc>
          <w:tcPr>
            <w:tcW w:w="711" w:type="pct"/>
            <w:vAlign w:val="center"/>
          </w:tcPr>
          <w:p w14:paraId="09C42859"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85.8</w:t>
            </w:r>
          </w:p>
        </w:tc>
        <w:tc>
          <w:tcPr>
            <w:tcW w:w="695" w:type="pct"/>
            <w:vAlign w:val="center"/>
          </w:tcPr>
          <w:p w14:paraId="454C9A6D"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78.4</w:t>
            </w:r>
          </w:p>
        </w:tc>
        <w:tc>
          <w:tcPr>
            <w:tcW w:w="425" w:type="pct"/>
            <w:vMerge/>
            <w:vAlign w:val="center"/>
          </w:tcPr>
          <w:p w14:paraId="26CD1500" w14:textId="77777777" w:rsidR="00DB7129" w:rsidRPr="00DB7129" w:rsidRDefault="00DB7129" w:rsidP="00DB7129">
            <w:pPr>
              <w:rPr>
                <w:rFonts w:ascii="Arial" w:hAnsi="Arial" w:cs="Arial"/>
                <w:sz w:val="20"/>
                <w:szCs w:val="20"/>
                <w:lang w:eastAsia="ja-JP"/>
              </w:rPr>
            </w:pPr>
          </w:p>
        </w:tc>
      </w:tr>
      <w:tr w:rsidR="00DB7129" w:rsidRPr="00DB7129" w14:paraId="4CF64992" w14:textId="77777777" w:rsidTr="00DD5D22">
        <w:trPr>
          <w:jc w:val="center"/>
        </w:trPr>
        <w:tc>
          <w:tcPr>
            <w:tcW w:w="1020" w:type="pct"/>
            <w:vMerge w:val="restart"/>
            <w:vAlign w:val="center"/>
          </w:tcPr>
          <w:p w14:paraId="5F7AD3F6"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 xml:space="preserve">Marital </w:t>
            </w:r>
            <w:proofErr w:type="spellStart"/>
            <w:r w:rsidRPr="00DB7129">
              <w:rPr>
                <w:rFonts w:ascii="Arial" w:hAnsi="Arial" w:cs="Arial"/>
                <w:sz w:val="20"/>
                <w:szCs w:val="20"/>
                <w:lang w:eastAsia="ja-JP"/>
              </w:rPr>
              <w:t>status</w:t>
            </w:r>
            <w:proofErr w:type="spellEnd"/>
          </w:p>
        </w:tc>
        <w:tc>
          <w:tcPr>
            <w:tcW w:w="1715" w:type="pct"/>
            <w:vAlign w:val="center"/>
          </w:tcPr>
          <w:p w14:paraId="06226122" w14:textId="77777777" w:rsidR="00DB7129" w:rsidRPr="00DB7129" w:rsidRDefault="00DB7129" w:rsidP="00DB7129">
            <w:pPr>
              <w:rPr>
                <w:rFonts w:ascii="Arial" w:eastAsia="Times New Roman" w:hAnsi="Arial" w:cs="Arial"/>
                <w:sz w:val="20"/>
                <w:szCs w:val="20"/>
                <w:lang w:eastAsia="ja-JP"/>
              </w:rPr>
            </w:pPr>
            <w:r w:rsidRPr="00DB7129">
              <w:rPr>
                <w:rFonts w:ascii="Arial" w:eastAsia="Times New Roman" w:hAnsi="Arial" w:cs="Arial"/>
                <w:sz w:val="20"/>
                <w:szCs w:val="20"/>
                <w:lang w:eastAsia="ja-JP"/>
              </w:rPr>
              <w:t>Single/</w:t>
            </w:r>
            <w:proofErr w:type="spellStart"/>
            <w:r w:rsidRPr="00DB7129">
              <w:rPr>
                <w:rFonts w:ascii="Arial" w:eastAsia="Times New Roman" w:hAnsi="Arial" w:cs="Arial"/>
                <w:sz w:val="20"/>
                <w:szCs w:val="20"/>
                <w:lang w:eastAsia="ja-JP"/>
              </w:rPr>
              <w:t>widowed</w:t>
            </w:r>
            <w:proofErr w:type="spellEnd"/>
            <w:r w:rsidRPr="00DB7129">
              <w:rPr>
                <w:rFonts w:ascii="Arial" w:eastAsia="Times New Roman" w:hAnsi="Arial" w:cs="Arial"/>
                <w:sz w:val="20"/>
                <w:szCs w:val="20"/>
                <w:lang w:eastAsia="ja-JP"/>
              </w:rPr>
              <w:t>/</w:t>
            </w:r>
            <w:proofErr w:type="spellStart"/>
            <w:r w:rsidRPr="00DB7129">
              <w:rPr>
                <w:rFonts w:ascii="Arial" w:eastAsia="Times New Roman" w:hAnsi="Arial" w:cs="Arial"/>
                <w:sz w:val="20"/>
                <w:szCs w:val="20"/>
                <w:lang w:eastAsia="ja-JP"/>
              </w:rPr>
              <w:t>divorced</w:t>
            </w:r>
            <w:proofErr w:type="spellEnd"/>
            <w:r w:rsidRPr="00DB7129">
              <w:rPr>
                <w:rFonts w:ascii="Arial" w:eastAsia="Times New Roman" w:hAnsi="Arial" w:cs="Arial"/>
                <w:sz w:val="20"/>
                <w:szCs w:val="20"/>
                <w:lang w:eastAsia="ja-JP"/>
              </w:rPr>
              <w:t>/</w:t>
            </w:r>
            <w:proofErr w:type="spellStart"/>
            <w:r w:rsidRPr="00DB7129">
              <w:rPr>
                <w:rFonts w:ascii="Arial" w:eastAsia="Times New Roman" w:hAnsi="Arial" w:cs="Arial"/>
                <w:sz w:val="20"/>
                <w:szCs w:val="20"/>
                <w:lang w:eastAsia="ja-JP"/>
              </w:rPr>
              <w:t>separated</w:t>
            </w:r>
            <w:proofErr w:type="spellEnd"/>
          </w:p>
        </w:tc>
        <w:tc>
          <w:tcPr>
            <w:tcW w:w="433" w:type="pct"/>
            <w:vAlign w:val="center"/>
          </w:tcPr>
          <w:p w14:paraId="6FF503E1"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36.9</w:t>
            </w:r>
          </w:p>
        </w:tc>
        <w:tc>
          <w:tcPr>
            <w:tcW w:w="711" w:type="pct"/>
            <w:vAlign w:val="center"/>
          </w:tcPr>
          <w:p w14:paraId="25A2C73A"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35.7</w:t>
            </w:r>
          </w:p>
        </w:tc>
        <w:tc>
          <w:tcPr>
            <w:tcW w:w="695" w:type="pct"/>
            <w:vAlign w:val="center"/>
          </w:tcPr>
          <w:p w14:paraId="70C1B28A"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53.8</w:t>
            </w:r>
          </w:p>
        </w:tc>
        <w:tc>
          <w:tcPr>
            <w:tcW w:w="425" w:type="pct"/>
            <w:vMerge w:val="restart"/>
            <w:vAlign w:val="center"/>
          </w:tcPr>
          <w:p w14:paraId="51EB5A5C"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&lt;0.001</w:t>
            </w:r>
          </w:p>
        </w:tc>
      </w:tr>
      <w:tr w:rsidR="00DB7129" w:rsidRPr="00DB7129" w14:paraId="4D6778E6" w14:textId="77777777" w:rsidTr="00DD5D22">
        <w:trPr>
          <w:jc w:val="center"/>
        </w:trPr>
        <w:tc>
          <w:tcPr>
            <w:tcW w:w="1020" w:type="pct"/>
            <w:vMerge/>
            <w:vAlign w:val="center"/>
          </w:tcPr>
          <w:p w14:paraId="1F715130" w14:textId="77777777" w:rsidR="00DB7129" w:rsidRPr="00DB7129" w:rsidRDefault="00DB7129" w:rsidP="00DB7129">
            <w:pPr>
              <w:rPr>
                <w:rFonts w:ascii="Arial" w:hAnsi="Arial" w:cs="Arial"/>
                <w:sz w:val="20"/>
                <w:szCs w:val="20"/>
                <w:lang w:eastAsia="ja-JP"/>
              </w:rPr>
            </w:pPr>
          </w:p>
        </w:tc>
        <w:tc>
          <w:tcPr>
            <w:tcW w:w="1715" w:type="pct"/>
            <w:vAlign w:val="center"/>
          </w:tcPr>
          <w:p w14:paraId="59446E89" w14:textId="77777777" w:rsidR="00DB7129" w:rsidRPr="00DB7129" w:rsidRDefault="00DB7129" w:rsidP="00DB7129">
            <w:pPr>
              <w:rPr>
                <w:rFonts w:ascii="Arial" w:eastAsia="Times New Roman" w:hAnsi="Arial" w:cs="Arial"/>
                <w:sz w:val="20"/>
                <w:szCs w:val="20"/>
                <w:lang w:eastAsia="ja-JP"/>
              </w:rPr>
            </w:pPr>
            <w:r w:rsidRPr="00DB7129">
              <w:rPr>
                <w:rFonts w:ascii="Arial" w:eastAsia="Times New Roman" w:hAnsi="Arial" w:cs="Arial"/>
                <w:sz w:val="20"/>
                <w:szCs w:val="20"/>
                <w:lang w:eastAsia="ja-JP"/>
              </w:rPr>
              <w:t>Married/</w:t>
            </w:r>
            <w:proofErr w:type="spellStart"/>
            <w:r w:rsidRPr="00DB7129">
              <w:rPr>
                <w:rFonts w:ascii="Arial" w:eastAsia="Times New Roman" w:hAnsi="Arial" w:cs="Arial"/>
                <w:sz w:val="20"/>
                <w:szCs w:val="20"/>
                <w:lang w:eastAsia="ja-JP"/>
              </w:rPr>
              <w:t>cohabiting</w:t>
            </w:r>
            <w:proofErr w:type="spellEnd"/>
          </w:p>
        </w:tc>
        <w:tc>
          <w:tcPr>
            <w:tcW w:w="433" w:type="pct"/>
            <w:vAlign w:val="center"/>
          </w:tcPr>
          <w:p w14:paraId="31515E47"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63.1</w:t>
            </w:r>
          </w:p>
        </w:tc>
        <w:tc>
          <w:tcPr>
            <w:tcW w:w="711" w:type="pct"/>
            <w:vAlign w:val="center"/>
          </w:tcPr>
          <w:p w14:paraId="199AA1D6"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64.3</w:t>
            </w:r>
          </w:p>
        </w:tc>
        <w:tc>
          <w:tcPr>
            <w:tcW w:w="695" w:type="pct"/>
            <w:vAlign w:val="center"/>
          </w:tcPr>
          <w:p w14:paraId="5C3F52A0"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46.2</w:t>
            </w:r>
          </w:p>
        </w:tc>
        <w:tc>
          <w:tcPr>
            <w:tcW w:w="425" w:type="pct"/>
            <w:vMerge/>
            <w:vAlign w:val="center"/>
          </w:tcPr>
          <w:p w14:paraId="0451B3B2" w14:textId="77777777" w:rsidR="00DB7129" w:rsidRPr="00DB7129" w:rsidRDefault="00DB7129" w:rsidP="00DB7129">
            <w:pPr>
              <w:rPr>
                <w:rFonts w:ascii="Arial" w:hAnsi="Arial" w:cs="Arial"/>
                <w:sz w:val="20"/>
                <w:szCs w:val="20"/>
                <w:lang w:eastAsia="ja-JP"/>
              </w:rPr>
            </w:pPr>
          </w:p>
        </w:tc>
      </w:tr>
      <w:tr w:rsidR="00DB7129" w:rsidRPr="00DB7129" w14:paraId="6FC2D622" w14:textId="77777777" w:rsidTr="00DD5D22">
        <w:trPr>
          <w:jc w:val="center"/>
        </w:trPr>
        <w:tc>
          <w:tcPr>
            <w:tcW w:w="1020" w:type="pct"/>
            <w:vMerge w:val="restart"/>
            <w:vAlign w:val="center"/>
          </w:tcPr>
          <w:p w14:paraId="1595E31A"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Qualification</w:t>
            </w:r>
          </w:p>
        </w:tc>
        <w:tc>
          <w:tcPr>
            <w:tcW w:w="1715" w:type="pct"/>
            <w:vAlign w:val="center"/>
          </w:tcPr>
          <w:p w14:paraId="3236243A" w14:textId="77777777" w:rsidR="00DB7129" w:rsidRPr="00DB7129" w:rsidRDefault="00DB7129" w:rsidP="00DB7129">
            <w:pPr>
              <w:rPr>
                <w:rFonts w:ascii="Arial" w:eastAsia="Times New Roman" w:hAnsi="Arial" w:cs="Arial"/>
                <w:sz w:val="20"/>
                <w:szCs w:val="20"/>
                <w:lang w:eastAsia="ja-JP"/>
              </w:rPr>
            </w:pPr>
            <w:r w:rsidRPr="00DB7129">
              <w:rPr>
                <w:rFonts w:ascii="Arial" w:eastAsia="Times New Roman" w:hAnsi="Arial" w:cs="Arial"/>
                <w:sz w:val="20"/>
                <w:szCs w:val="20"/>
                <w:lang w:eastAsia="ja-JP"/>
              </w:rPr>
              <w:t>No</w:t>
            </w:r>
          </w:p>
        </w:tc>
        <w:tc>
          <w:tcPr>
            <w:tcW w:w="433" w:type="pct"/>
            <w:vAlign w:val="center"/>
          </w:tcPr>
          <w:p w14:paraId="62189F5B"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23.7</w:t>
            </w:r>
          </w:p>
        </w:tc>
        <w:tc>
          <w:tcPr>
            <w:tcW w:w="711" w:type="pct"/>
            <w:vAlign w:val="center"/>
          </w:tcPr>
          <w:p w14:paraId="65A6618A"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23.8</w:t>
            </w:r>
          </w:p>
        </w:tc>
        <w:tc>
          <w:tcPr>
            <w:tcW w:w="695" w:type="pct"/>
            <w:vAlign w:val="center"/>
          </w:tcPr>
          <w:p w14:paraId="3AF8D229"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22.4</w:t>
            </w:r>
          </w:p>
        </w:tc>
        <w:tc>
          <w:tcPr>
            <w:tcW w:w="425" w:type="pct"/>
            <w:vMerge w:val="restart"/>
            <w:vAlign w:val="center"/>
          </w:tcPr>
          <w:p w14:paraId="76A33F5D"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0.504</w:t>
            </w:r>
          </w:p>
        </w:tc>
      </w:tr>
      <w:tr w:rsidR="00DB7129" w:rsidRPr="00DB7129" w14:paraId="29DB5B08" w14:textId="77777777" w:rsidTr="00DD5D22">
        <w:trPr>
          <w:jc w:val="center"/>
        </w:trPr>
        <w:tc>
          <w:tcPr>
            <w:tcW w:w="1020" w:type="pct"/>
            <w:vMerge/>
            <w:vAlign w:val="center"/>
          </w:tcPr>
          <w:p w14:paraId="209DC03A" w14:textId="77777777" w:rsidR="00DB7129" w:rsidRPr="00DB7129" w:rsidRDefault="00DB7129" w:rsidP="00DB7129">
            <w:pPr>
              <w:rPr>
                <w:rFonts w:ascii="Arial" w:hAnsi="Arial" w:cs="Arial"/>
                <w:sz w:val="20"/>
                <w:szCs w:val="20"/>
                <w:lang w:eastAsia="ja-JP"/>
              </w:rPr>
            </w:pPr>
          </w:p>
        </w:tc>
        <w:tc>
          <w:tcPr>
            <w:tcW w:w="1715" w:type="pct"/>
            <w:vAlign w:val="center"/>
          </w:tcPr>
          <w:p w14:paraId="5EE43DDF" w14:textId="77777777" w:rsidR="00DB7129" w:rsidRPr="00DB7129" w:rsidRDefault="00DB7129" w:rsidP="00DB7129">
            <w:pPr>
              <w:rPr>
                <w:rFonts w:ascii="Arial" w:eastAsia="Times New Roman" w:hAnsi="Arial" w:cs="Arial"/>
                <w:sz w:val="20"/>
                <w:szCs w:val="20"/>
                <w:lang w:eastAsia="ja-JP"/>
              </w:rPr>
            </w:pPr>
            <w:r w:rsidRPr="00DB7129">
              <w:rPr>
                <w:rFonts w:ascii="Arial" w:eastAsia="Times New Roman" w:hAnsi="Arial" w:cs="Arial"/>
                <w:sz w:val="20"/>
                <w:szCs w:val="20"/>
                <w:lang w:eastAsia="ja-JP"/>
              </w:rPr>
              <w:t>Yes</w:t>
            </w:r>
          </w:p>
        </w:tc>
        <w:tc>
          <w:tcPr>
            <w:tcW w:w="433" w:type="pct"/>
            <w:vAlign w:val="center"/>
          </w:tcPr>
          <w:p w14:paraId="752674D1"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76.3</w:t>
            </w:r>
          </w:p>
        </w:tc>
        <w:tc>
          <w:tcPr>
            <w:tcW w:w="711" w:type="pct"/>
            <w:vAlign w:val="center"/>
          </w:tcPr>
          <w:p w14:paraId="5F5C69D7"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76.2</w:t>
            </w:r>
          </w:p>
        </w:tc>
        <w:tc>
          <w:tcPr>
            <w:tcW w:w="695" w:type="pct"/>
            <w:vAlign w:val="center"/>
          </w:tcPr>
          <w:p w14:paraId="775536F1"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77.6</w:t>
            </w:r>
          </w:p>
        </w:tc>
        <w:tc>
          <w:tcPr>
            <w:tcW w:w="425" w:type="pct"/>
            <w:vMerge/>
            <w:vAlign w:val="center"/>
          </w:tcPr>
          <w:p w14:paraId="1B29B397" w14:textId="77777777" w:rsidR="00DB7129" w:rsidRPr="00DB7129" w:rsidRDefault="00DB7129" w:rsidP="00DB7129">
            <w:pPr>
              <w:rPr>
                <w:rFonts w:ascii="Arial" w:hAnsi="Arial" w:cs="Arial"/>
                <w:sz w:val="20"/>
                <w:szCs w:val="20"/>
                <w:lang w:eastAsia="ja-JP"/>
              </w:rPr>
            </w:pPr>
          </w:p>
        </w:tc>
      </w:tr>
      <w:tr w:rsidR="00DB7129" w:rsidRPr="00DB7129" w14:paraId="155F3E27" w14:textId="77777777" w:rsidTr="00DD5D22">
        <w:trPr>
          <w:jc w:val="center"/>
        </w:trPr>
        <w:tc>
          <w:tcPr>
            <w:tcW w:w="1020" w:type="pct"/>
            <w:vMerge w:val="restart"/>
            <w:vAlign w:val="center"/>
          </w:tcPr>
          <w:p w14:paraId="5F401E11" w14:textId="77777777" w:rsidR="00DB7129" w:rsidRPr="00DB7129" w:rsidRDefault="00DB7129" w:rsidP="00DB7129">
            <w:pPr>
              <w:rPr>
                <w:rFonts w:ascii="Arial" w:hAnsi="Arial" w:cs="Arial"/>
                <w:sz w:val="20"/>
                <w:szCs w:val="20"/>
                <w:lang w:eastAsia="ja-JP"/>
              </w:rPr>
            </w:pPr>
            <w:proofErr w:type="spellStart"/>
            <w:r w:rsidRPr="00DB7129">
              <w:rPr>
                <w:rFonts w:ascii="Arial" w:hAnsi="Arial" w:cs="Arial"/>
                <w:sz w:val="20"/>
                <w:szCs w:val="20"/>
                <w:lang w:eastAsia="ja-JP"/>
              </w:rPr>
              <w:t>Employment</w:t>
            </w:r>
            <w:proofErr w:type="spellEnd"/>
          </w:p>
        </w:tc>
        <w:tc>
          <w:tcPr>
            <w:tcW w:w="1715" w:type="pct"/>
            <w:vAlign w:val="center"/>
          </w:tcPr>
          <w:p w14:paraId="39CE5C0D" w14:textId="77777777" w:rsidR="00DB7129" w:rsidRPr="00DB7129" w:rsidRDefault="00DB7129" w:rsidP="00DB7129">
            <w:pPr>
              <w:rPr>
                <w:rFonts w:ascii="Arial" w:eastAsia="Times New Roman" w:hAnsi="Arial" w:cs="Arial"/>
                <w:sz w:val="20"/>
                <w:szCs w:val="20"/>
                <w:lang w:eastAsia="ja-JP"/>
              </w:rPr>
            </w:pPr>
            <w:r w:rsidRPr="00DB7129">
              <w:rPr>
                <w:rFonts w:ascii="Arial" w:eastAsia="Times New Roman" w:hAnsi="Arial" w:cs="Arial"/>
                <w:sz w:val="20"/>
                <w:szCs w:val="20"/>
                <w:lang w:eastAsia="ja-JP"/>
              </w:rPr>
              <w:t>No</w:t>
            </w:r>
          </w:p>
        </w:tc>
        <w:tc>
          <w:tcPr>
            <w:tcW w:w="433" w:type="pct"/>
            <w:vAlign w:val="center"/>
          </w:tcPr>
          <w:p w14:paraId="3CAE2B73"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38.9</w:t>
            </w:r>
          </w:p>
        </w:tc>
        <w:tc>
          <w:tcPr>
            <w:tcW w:w="711" w:type="pct"/>
            <w:vAlign w:val="center"/>
          </w:tcPr>
          <w:p w14:paraId="00C5B49F"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39.0</w:t>
            </w:r>
          </w:p>
        </w:tc>
        <w:tc>
          <w:tcPr>
            <w:tcW w:w="695" w:type="pct"/>
            <w:vAlign w:val="center"/>
          </w:tcPr>
          <w:p w14:paraId="3BAEE312"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38.1</w:t>
            </w:r>
          </w:p>
        </w:tc>
        <w:tc>
          <w:tcPr>
            <w:tcW w:w="425" w:type="pct"/>
            <w:vMerge w:val="restart"/>
            <w:vAlign w:val="center"/>
          </w:tcPr>
          <w:p w14:paraId="3F4A02EE"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0.713</w:t>
            </w:r>
          </w:p>
        </w:tc>
      </w:tr>
      <w:tr w:rsidR="00DB7129" w:rsidRPr="00DB7129" w14:paraId="58DEEF10" w14:textId="77777777" w:rsidTr="00DD5D22">
        <w:trPr>
          <w:jc w:val="center"/>
        </w:trPr>
        <w:tc>
          <w:tcPr>
            <w:tcW w:w="1020" w:type="pct"/>
            <w:vMerge/>
            <w:vAlign w:val="center"/>
          </w:tcPr>
          <w:p w14:paraId="01E021E8" w14:textId="77777777" w:rsidR="00DB7129" w:rsidRPr="00DB7129" w:rsidRDefault="00DB7129" w:rsidP="00DB7129">
            <w:pPr>
              <w:rPr>
                <w:rFonts w:ascii="Arial" w:hAnsi="Arial" w:cs="Arial"/>
                <w:sz w:val="20"/>
                <w:szCs w:val="20"/>
                <w:lang w:eastAsia="ja-JP"/>
              </w:rPr>
            </w:pPr>
          </w:p>
        </w:tc>
        <w:tc>
          <w:tcPr>
            <w:tcW w:w="1715" w:type="pct"/>
            <w:vAlign w:val="center"/>
          </w:tcPr>
          <w:p w14:paraId="0E817C8E" w14:textId="77777777" w:rsidR="00DB7129" w:rsidRPr="00DB7129" w:rsidRDefault="00DB7129" w:rsidP="00DB7129">
            <w:pPr>
              <w:rPr>
                <w:rFonts w:ascii="Arial" w:eastAsia="Times New Roman" w:hAnsi="Arial" w:cs="Arial"/>
                <w:sz w:val="20"/>
                <w:szCs w:val="20"/>
                <w:lang w:eastAsia="ja-JP"/>
              </w:rPr>
            </w:pPr>
            <w:r w:rsidRPr="00DB7129">
              <w:rPr>
                <w:rFonts w:ascii="Arial" w:eastAsia="Times New Roman" w:hAnsi="Arial" w:cs="Arial"/>
                <w:sz w:val="20"/>
                <w:szCs w:val="20"/>
                <w:lang w:eastAsia="ja-JP"/>
              </w:rPr>
              <w:t>Yes</w:t>
            </w:r>
          </w:p>
        </w:tc>
        <w:tc>
          <w:tcPr>
            <w:tcW w:w="433" w:type="pct"/>
            <w:vAlign w:val="center"/>
          </w:tcPr>
          <w:p w14:paraId="1893FAB4"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61.1</w:t>
            </w:r>
          </w:p>
        </w:tc>
        <w:tc>
          <w:tcPr>
            <w:tcW w:w="711" w:type="pct"/>
            <w:vAlign w:val="center"/>
          </w:tcPr>
          <w:p w14:paraId="00058ED5"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61.0</w:t>
            </w:r>
          </w:p>
        </w:tc>
        <w:tc>
          <w:tcPr>
            <w:tcW w:w="695" w:type="pct"/>
            <w:vAlign w:val="center"/>
          </w:tcPr>
          <w:p w14:paraId="704520C5"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61.9</w:t>
            </w:r>
          </w:p>
        </w:tc>
        <w:tc>
          <w:tcPr>
            <w:tcW w:w="425" w:type="pct"/>
            <w:vMerge/>
            <w:vAlign w:val="center"/>
          </w:tcPr>
          <w:p w14:paraId="270729E5" w14:textId="77777777" w:rsidR="00DB7129" w:rsidRPr="00DB7129" w:rsidRDefault="00DB7129" w:rsidP="00DB7129">
            <w:pPr>
              <w:rPr>
                <w:rFonts w:ascii="Arial" w:hAnsi="Arial" w:cs="Arial"/>
                <w:sz w:val="20"/>
                <w:szCs w:val="20"/>
                <w:lang w:eastAsia="ja-JP"/>
              </w:rPr>
            </w:pPr>
          </w:p>
        </w:tc>
      </w:tr>
      <w:tr w:rsidR="00DB7129" w:rsidRPr="00DB7129" w14:paraId="49DE9744" w14:textId="77777777" w:rsidTr="00DD5D22">
        <w:trPr>
          <w:jc w:val="center"/>
        </w:trPr>
        <w:tc>
          <w:tcPr>
            <w:tcW w:w="1020" w:type="pct"/>
            <w:vMerge w:val="restart"/>
            <w:vAlign w:val="center"/>
          </w:tcPr>
          <w:p w14:paraId="7B860D7A"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Income</w:t>
            </w:r>
          </w:p>
        </w:tc>
        <w:tc>
          <w:tcPr>
            <w:tcW w:w="1715" w:type="pct"/>
            <w:vAlign w:val="center"/>
          </w:tcPr>
          <w:p w14:paraId="60C00B43" w14:textId="77777777" w:rsidR="00DB7129" w:rsidRPr="00DB7129" w:rsidRDefault="00DB7129" w:rsidP="00DB7129">
            <w:pPr>
              <w:rPr>
                <w:rFonts w:ascii="Arial" w:eastAsia="Times New Roman" w:hAnsi="Arial" w:cs="Arial"/>
                <w:sz w:val="20"/>
                <w:szCs w:val="20"/>
                <w:lang w:eastAsia="ja-JP"/>
              </w:rPr>
            </w:pPr>
            <w:proofErr w:type="spellStart"/>
            <w:r w:rsidRPr="00DB7129">
              <w:rPr>
                <w:rFonts w:ascii="Arial" w:eastAsia="Times New Roman" w:hAnsi="Arial" w:cs="Arial"/>
                <w:sz w:val="20"/>
                <w:szCs w:val="20"/>
                <w:lang w:eastAsia="ja-JP"/>
              </w:rPr>
              <w:t>Highest</w:t>
            </w:r>
            <w:proofErr w:type="spellEnd"/>
          </w:p>
        </w:tc>
        <w:tc>
          <w:tcPr>
            <w:tcW w:w="433" w:type="pct"/>
            <w:vAlign w:val="center"/>
          </w:tcPr>
          <w:p w14:paraId="427CF29D"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36.0</w:t>
            </w:r>
          </w:p>
        </w:tc>
        <w:tc>
          <w:tcPr>
            <w:tcW w:w="711" w:type="pct"/>
            <w:vAlign w:val="center"/>
          </w:tcPr>
          <w:p w14:paraId="4E7452BE"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36.1</w:t>
            </w:r>
          </w:p>
        </w:tc>
        <w:tc>
          <w:tcPr>
            <w:tcW w:w="695" w:type="pct"/>
            <w:vAlign w:val="center"/>
          </w:tcPr>
          <w:p w14:paraId="5F971777"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35.4</w:t>
            </w:r>
          </w:p>
        </w:tc>
        <w:tc>
          <w:tcPr>
            <w:tcW w:w="425" w:type="pct"/>
            <w:vMerge w:val="restart"/>
            <w:vAlign w:val="center"/>
          </w:tcPr>
          <w:p w14:paraId="426C2545"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0.329</w:t>
            </w:r>
          </w:p>
        </w:tc>
      </w:tr>
      <w:tr w:rsidR="00DB7129" w:rsidRPr="00DB7129" w14:paraId="1D18F9BA" w14:textId="77777777" w:rsidTr="00DD5D22">
        <w:trPr>
          <w:jc w:val="center"/>
        </w:trPr>
        <w:tc>
          <w:tcPr>
            <w:tcW w:w="1020" w:type="pct"/>
            <w:vMerge/>
            <w:vAlign w:val="center"/>
          </w:tcPr>
          <w:p w14:paraId="7B5DE550" w14:textId="77777777" w:rsidR="00DB7129" w:rsidRPr="00DB7129" w:rsidRDefault="00DB7129" w:rsidP="00DB7129">
            <w:pPr>
              <w:rPr>
                <w:rFonts w:ascii="Arial" w:hAnsi="Arial" w:cs="Arial"/>
                <w:sz w:val="20"/>
                <w:szCs w:val="20"/>
                <w:lang w:eastAsia="ja-JP"/>
              </w:rPr>
            </w:pPr>
          </w:p>
        </w:tc>
        <w:tc>
          <w:tcPr>
            <w:tcW w:w="1715" w:type="pct"/>
            <w:vAlign w:val="center"/>
          </w:tcPr>
          <w:p w14:paraId="5C33378E" w14:textId="77777777" w:rsidR="00DB7129" w:rsidRPr="00DB7129" w:rsidRDefault="00DB7129" w:rsidP="00DB7129">
            <w:pPr>
              <w:rPr>
                <w:rFonts w:ascii="Arial" w:eastAsia="Times New Roman" w:hAnsi="Arial" w:cs="Arial"/>
                <w:sz w:val="20"/>
                <w:szCs w:val="20"/>
                <w:lang w:eastAsia="ja-JP"/>
              </w:rPr>
            </w:pPr>
            <w:r w:rsidRPr="00DB7129">
              <w:rPr>
                <w:rFonts w:ascii="Arial" w:eastAsia="Times New Roman" w:hAnsi="Arial" w:cs="Arial"/>
                <w:sz w:val="20"/>
                <w:szCs w:val="20"/>
                <w:lang w:eastAsia="ja-JP"/>
              </w:rPr>
              <w:t>Middle</w:t>
            </w:r>
          </w:p>
        </w:tc>
        <w:tc>
          <w:tcPr>
            <w:tcW w:w="433" w:type="pct"/>
            <w:vAlign w:val="center"/>
          </w:tcPr>
          <w:p w14:paraId="33E7286A"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32.6</w:t>
            </w:r>
          </w:p>
        </w:tc>
        <w:tc>
          <w:tcPr>
            <w:tcW w:w="711" w:type="pct"/>
            <w:vAlign w:val="center"/>
          </w:tcPr>
          <w:p w14:paraId="46063E94"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32.8</w:t>
            </w:r>
          </w:p>
        </w:tc>
        <w:tc>
          <w:tcPr>
            <w:tcW w:w="695" w:type="pct"/>
            <w:vAlign w:val="center"/>
          </w:tcPr>
          <w:p w14:paraId="789B85F5"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29.8</w:t>
            </w:r>
          </w:p>
        </w:tc>
        <w:tc>
          <w:tcPr>
            <w:tcW w:w="425" w:type="pct"/>
            <w:vMerge/>
            <w:vAlign w:val="center"/>
          </w:tcPr>
          <w:p w14:paraId="016F122D" w14:textId="77777777" w:rsidR="00DB7129" w:rsidRPr="00DB7129" w:rsidRDefault="00DB7129" w:rsidP="00DB7129">
            <w:pPr>
              <w:rPr>
                <w:rFonts w:ascii="Arial" w:hAnsi="Arial" w:cs="Arial"/>
                <w:sz w:val="20"/>
                <w:szCs w:val="20"/>
                <w:lang w:eastAsia="ja-JP"/>
              </w:rPr>
            </w:pPr>
          </w:p>
        </w:tc>
      </w:tr>
      <w:tr w:rsidR="00DB7129" w:rsidRPr="00DB7129" w14:paraId="5E1D9E27" w14:textId="77777777" w:rsidTr="00DD5D22">
        <w:trPr>
          <w:jc w:val="center"/>
        </w:trPr>
        <w:tc>
          <w:tcPr>
            <w:tcW w:w="1020" w:type="pct"/>
            <w:vMerge/>
            <w:vAlign w:val="center"/>
          </w:tcPr>
          <w:p w14:paraId="623122F2" w14:textId="77777777" w:rsidR="00DB7129" w:rsidRPr="00DB7129" w:rsidRDefault="00DB7129" w:rsidP="00DB7129">
            <w:pPr>
              <w:rPr>
                <w:rFonts w:ascii="Arial" w:hAnsi="Arial" w:cs="Arial"/>
                <w:sz w:val="20"/>
                <w:szCs w:val="20"/>
                <w:lang w:eastAsia="ja-JP"/>
              </w:rPr>
            </w:pPr>
          </w:p>
        </w:tc>
        <w:tc>
          <w:tcPr>
            <w:tcW w:w="1715" w:type="pct"/>
            <w:vAlign w:val="center"/>
          </w:tcPr>
          <w:p w14:paraId="1216831C" w14:textId="77777777" w:rsidR="00DB7129" w:rsidRPr="00DB7129" w:rsidRDefault="00DB7129" w:rsidP="00DB7129">
            <w:pPr>
              <w:rPr>
                <w:rFonts w:ascii="Arial" w:eastAsia="Times New Roman" w:hAnsi="Arial" w:cs="Arial"/>
                <w:sz w:val="20"/>
                <w:szCs w:val="20"/>
                <w:lang w:eastAsia="ja-JP"/>
              </w:rPr>
            </w:pPr>
            <w:proofErr w:type="spellStart"/>
            <w:r w:rsidRPr="00DB7129">
              <w:rPr>
                <w:rFonts w:ascii="Arial" w:eastAsia="Times New Roman" w:hAnsi="Arial" w:cs="Arial"/>
                <w:sz w:val="20"/>
                <w:szCs w:val="20"/>
                <w:lang w:eastAsia="ja-JP"/>
              </w:rPr>
              <w:t>Lowest</w:t>
            </w:r>
            <w:proofErr w:type="spellEnd"/>
          </w:p>
        </w:tc>
        <w:tc>
          <w:tcPr>
            <w:tcW w:w="433" w:type="pct"/>
            <w:vAlign w:val="center"/>
          </w:tcPr>
          <w:p w14:paraId="04B0753C"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31.4</w:t>
            </w:r>
          </w:p>
        </w:tc>
        <w:tc>
          <w:tcPr>
            <w:tcW w:w="711" w:type="pct"/>
            <w:vAlign w:val="center"/>
          </w:tcPr>
          <w:p w14:paraId="008E2AC9"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31.1</w:t>
            </w:r>
          </w:p>
        </w:tc>
        <w:tc>
          <w:tcPr>
            <w:tcW w:w="695" w:type="pct"/>
            <w:vAlign w:val="center"/>
          </w:tcPr>
          <w:p w14:paraId="690C0608"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34.9</w:t>
            </w:r>
          </w:p>
        </w:tc>
        <w:tc>
          <w:tcPr>
            <w:tcW w:w="425" w:type="pct"/>
            <w:vMerge/>
            <w:vAlign w:val="center"/>
          </w:tcPr>
          <w:p w14:paraId="0D5056C6" w14:textId="77777777" w:rsidR="00DB7129" w:rsidRPr="00DB7129" w:rsidRDefault="00DB7129" w:rsidP="00DB7129">
            <w:pPr>
              <w:rPr>
                <w:rFonts w:ascii="Arial" w:hAnsi="Arial" w:cs="Arial"/>
                <w:sz w:val="20"/>
                <w:szCs w:val="20"/>
                <w:lang w:eastAsia="ja-JP"/>
              </w:rPr>
            </w:pPr>
          </w:p>
        </w:tc>
      </w:tr>
      <w:tr w:rsidR="00DB7129" w:rsidRPr="00DB7129" w14:paraId="008DF03F" w14:textId="77777777" w:rsidTr="00DD5D22">
        <w:trPr>
          <w:jc w:val="center"/>
        </w:trPr>
        <w:tc>
          <w:tcPr>
            <w:tcW w:w="1020" w:type="pct"/>
            <w:vMerge w:val="restart"/>
            <w:vAlign w:val="center"/>
          </w:tcPr>
          <w:p w14:paraId="31492F29"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 xml:space="preserve">Nicotine </w:t>
            </w:r>
            <w:proofErr w:type="spellStart"/>
            <w:r w:rsidRPr="00DB7129">
              <w:rPr>
                <w:rFonts w:ascii="Arial" w:hAnsi="Arial" w:cs="Arial"/>
                <w:sz w:val="20"/>
                <w:szCs w:val="20"/>
                <w:lang w:eastAsia="ja-JP"/>
              </w:rPr>
              <w:t>dependence</w:t>
            </w:r>
            <w:r w:rsidRPr="00DB7129">
              <w:rPr>
                <w:rFonts w:ascii="Arial" w:hAnsi="Arial" w:cs="Arial"/>
                <w:sz w:val="20"/>
                <w:szCs w:val="20"/>
                <w:vertAlign w:val="superscript"/>
                <w:lang w:eastAsia="ja-JP"/>
              </w:rPr>
              <w:t>b</w:t>
            </w:r>
            <w:proofErr w:type="spellEnd"/>
          </w:p>
        </w:tc>
        <w:tc>
          <w:tcPr>
            <w:tcW w:w="1715" w:type="pct"/>
            <w:vAlign w:val="center"/>
          </w:tcPr>
          <w:p w14:paraId="5FA30E6F" w14:textId="77777777" w:rsidR="00DB7129" w:rsidRPr="00DB7129" w:rsidRDefault="00DB7129" w:rsidP="00DB7129">
            <w:pPr>
              <w:rPr>
                <w:rFonts w:ascii="Arial" w:eastAsia="Times New Roman" w:hAnsi="Arial" w:cs="Arial"/>
                <w:sz w:val="20"/>
                <w:szCs w:val="20"/>
                <w:lang w:eastAsia="ja-JP"/>
              </w:rPr>
            </w:pPr>
            <w:r w:rsidRPr="00DB7129">
              <w:rPr>
                <w:rFonts w:ascii="Arial" w:eastAsia="Times New Roman" w:hAnsi="Arial" w:cs="Arial"/>
                <w:sz w:val="20"/>
                <w:szCs w:val="20"/>
                <w:lang w:eastAsia="ja-JP"/>
              </w:rPr>
              <w:t>No</w:t>
            </w:r>
          </w:p>
        </w:tc>
        <w:tc>
          <w:tcPr>
            <w:tcW w:w="433" w:type="pct"/>
            <w:vAlign w:val="center"/>
          </w:tcPr>
          <w:p w14:paraId="0D6DB0AA"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97.0</w:t>
            </w:r>
          </w:p>
        </w:tc>
        <w:tc>
          <w:tcPr>
            <w:tcW w:w="711" w:type="pct"/>
            <w:vAlign w:val="center"/>
          </w:tcPr>
          <w:p w14:paraId="441F124B"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97.1</w:t>
            </w:r>
          </w:p>
        </w:tc>
        <w:tc>
          <w:tcPr>
            <w:tcW w:w="695" w:type="pct"/>
            <w:vAlign w:val="center"/>
          </w:tcPr>
          <w:p w14:paraId="770DAB59"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95.7</w:t>
            </w:r>
          </w:p>
        </w:tc>
        <w:tc>
          <w:tcPr>
            <w:tcW w:w="425" w:type="pct"/>
            <w:vMerge w:val="restart"/>
            <w:vAlign w:val="center"/>
          </w:tcPr>
          <w:p w14:paraId="627368F2"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0.102</w:t>
            </w:r>
          </w:p>
        </w:tc>
      </w:tr>
      <w:tr w:rsidR="00DB7129" w:rsidRPr="00DB7129" w14:paraId="7BB0BDCC" w14:textId="77777777" w:rsidTr="00DD5D22">
        <w:trPr>
          <w:jc w:val="center"/>
        </w:trPr>
        <w:tc>
          <w:tcPr>
            <w:tcW w:w="1020" w:type="pct"/>
            <w:vMerge/>
            <w:vAlign w:val="center"/>
          </w:tcPr>
          <w:p w14:paraId="60465CAE" w14:textId="77777777" w:rsidR="00DB7129" w:rsidRPr="00DB7129" w:rsidRDefault="00DB7129" w:rsidP="00DB7129">
            <w:pPr>
              <w:rPr>
                <w:rFonts w:ascii="Arial" w:hAnsi="Arial" w:cs="Arial"/>
                <w:sz w:val="20"/>
                <w:szCs w:val="20"/>
                <w:lang w:eastAsia="ja-JP"/>
              </w:rPr>
            </w:pPr>
          </w:p>
        </w:tc>
        <w:tc>
          <w:tcPr>
            <w:tcW w:w="1715" w:type="pct"/>
            <w:vAlign w:val="center"/>
          </w:tcPr>
          <w:p w14:paraId="065E571B" w14:textId="77777777" w:rsidR="00DB7129" w:rsidRPr="00DB7129" w:rsidRDefault="00DB7129" w:rsidP="00DB7129">
            <w:pPr>
              <w:rPr>
                <w:rFonts w:ascii="Arial" w:eastAsia="Times New Roman" w:hAnsi="Arial" w:cs="Arial"/>
                <w:sz w:val="20"/>
                <w:szCs w:val="20"/>
                <w:lang w:eastAsia="ja-JP"/>
              </w:rPr>
            </w:pPr>
            <w:r w:rsidRPr="00DB7129">
              <w:rPr>
                <w:rFonts w:ascii="Arial" w:eastAsia="Times New Roman" w:hAnsi="Arial" w:cs="Arial"/>
                <w:sz w:val="20"/>
                <w:szCs w:val="20"/>
                <w:lang w:eastAsia="ja-JP"/>
              </w:rPr>
              <w:t>Yes</w:t>
            </w:r>
          </w:p>
        </w:tc>
        <w:tc>
          <w:tcPr>
            <w:tcW w:w="433" w:type="pct"/>
            <w:vAlign w:val="center"/>
          </w:tcPr>
          <w:p w14:paraId="6C406838"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3.0</w:t>
            </w:r>
          </w:p>
        </w:tc>
        <w:tc>
          <w:tcPr>
            <w:tcW w:w="711" w:type="pct"/>
            <w:vAlign w:val="center"/>
          </w:tcPr>
          <w:p w14:paraId="7DEB1C22"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2.9</w:t>
            </w:r>
          </w:p>
        </w:tc>
        <w:tc>
          <w:tcPr>
            <w:tcW w:w="695" w:type="pct"/>
            <w:vAlign w:val="center"/>
          </w:tcPr>
          <w:p w14:paraId="3FA344DB"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4.3</w:t>
            </w:r>
          </w:p>
        </w:tc>
        <w:tc>
          <w:tcPr>
            <w:tcW w:w="425" w:type="pct"/>
            <w:vMerge/>
            <w:vAlign w:val="center"/>
          </w:tcPr>
          <w:p w14:paraId="75954CD0" w14:textId="77777777" w:rsidR="00DB7129" w:rsidRPr="00DB7129" w:rsidRDefault="00DB7129" w:rsidP="00DB7129">
            <w:pPr>
              <w:rPr>
                <w:rFonts w:ascii="Arial" w:hAnsi="Arial" w:cs="Arial"/>
                <w:sz w:val="20"/>
                <w:szCs w:val="20"/>
                <w:lang w:eastAsia="ja-JP"/>
              </w:rPr>
            </w:pPr>
          </w:p>
        </w:tc>
      </w:tr>
      <w:tr w:rsidR="00DB7129" w:rsidRPr="00DB7129" w14:paraId="1280F8EE" w14:textId="77777777" w:rsidTr="00DD5D22">
        <w:trPr>
          <w:jc w:val="center"/>
        </w:trPr>
        <w:tc>
          <w:tcPr>
            <w:tcW w:w="1020" w:type="pct"/>
            <w:vMerge w:val="restart"/>
            <w:vAlign w:val="center"/>
          </w:tcPr>
          <w:p w14:paraId="466E2D3A" w14:textId="77777777" w:rsidR="00DB7129" w:rsidRPr="00DB7129" w:rsidRDefault="00DB7129" w:rsidP="00DB7129">
            <w:pPr>
              <w:rPr>
                <w:rFonts w:ascii="Arial" w:hAnsi="Arial" w:cs="Arial"/>
                <w:sz w:val="20"/>
                <w:szCs w:val="20"/>
                <w:lang w:eastAsia="ja-JP"/>
              </w:rPr>
            </w:pPr>
            <w:proofErr w:type="spellStart"/>
            <w:r w:rsidRPr="00DB7129">
              <w:rPr>
                <w:rFonts w:ascii="Arial" w:hAnsi="Arial" w:cs="Arial"/>
                <w:sz w:val="20"/>
                <w:szCs w:val="20"/>
                <w:lang w:eastAsia="ja-JP"/>
              </w:rPr>
              <w:t>Alcohol</w:t>
            </w:r>
            <w:proofErr w:type="spellEnd"/>
            <w:r w:rsidRPr="00DB7129">
              <w:rPr>
                <w:rFonts w:ascii="Arial" w:hAnsi="Arial" w:cs="Arial"/>
                <w:sz w:val="20"/>
                <w:szCs w:val="20"/>
                <w:lang w:eastAsia="ja-JP"/>
              </w:rPr>
              <w:t xml:space="preserve"> </w:t>
            </w:r>
            <w:proofErr w:type="spellStart"/>
            <w:r w:rsidRPr="00DB7129">
              <w:rPr>
                <w:rFonts w:ascii="Arial" w:hAnsi="Arial" w:cs="Arial"/>
                <w:sz w:val="20"/>
                <w:szCs w:val="20"/>
                <w:lang w:eastAsia="ja-JP"/>
              </w:rPr>
              <w:t>dependence</w:t>
            </w:r>
            <w:r w:rsidRPr="00DB7129">
              <w:rPr>
                <w:rFonts w:ascii="Arial" w:hAnsi="Arial" w:cs="Arial"/>
                <w:sz w:val="20"/>
                <w:szCs w:val="20"/>
                <w:vertAlign w:val="superscript"/>
                <w:lang w:eastAsia="ja-JP"/>
              </w:rPr>
              <w:t>c</w:t>
            </w:r>
            <w:proofErr w:type="spellEnd"/>
          </w:p>
        </w:tc>
        <w:tc>
          <w:tcPr>
            <w:tcW w:w="1715" w:type="pct"/>
            <w:vAlign w:val="center"/>
          </w:tcPr>
          <w:p w14:paraId="0BC9D620" w14:textId="77777777" w:rsidR="00DB7129" w:rsidRPr="00DB7129" w:rsidRDefault="00DB7129" w:rsidP="00DB7129">
            <w:pPr>
              <w:rPr>
                <w:rFonts w:ascii="Arial" w:eastAsia="Times New Roman" w:hAnsi="Arial" w:cs="Arial"/>
                <w:sz w:val="20"/>
                <w:szCs w:val="20"/>
                <w:lang w:eastAsia="ja-JP"/>
              </w:rPr>
            </w:pPr>
            <w:r w:rsidRPr="00DB7129">
              <w:rPr>
                <w:rFonts w:ascii="Arial" w:eastAsia="Times New Roman" w:hAnsi="Arial" w:cs="Arial"/>
                <w:sz w:val="20"/>
                <w:szCs w:val="20"/>
                <w:lang w:eastAsia="ja-JP"/>
              </w:rPr>
              <w:t>No</w:t>
            </w:r>
          </w:p>
        </w:tc>
        <w:tc>
          <w:tcPr>
            <w:tcW w:w="433" w:type="pct"/>
            <w:vAlign w:val="center"/>
          </w:tcPr>
          <w:p w14:paraId="59284B1C"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92.3</w:t>
            </w:r>
          </w:p>
        </w:tc>
        <w:tc>
          <w:tcPr>
            <w:tcW w:w="711" w:type="pct"/>
            <w:vAlign w:val="center"/>
          </w:tcPr>
          <w:p w14:paraId="79D667EE"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92.8</w:t>
            </w:r>
          </w:p>
        </w:tc>
        <w:tc>
          <w:tcPr>
            <w:tcW w:w="695" w:type="pct"/>
            <w:vAlign w:val="center"/>
          </w:tcPr>
          <w:p w14:paraId="315E11D8"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85.1</w:t>
            </w:r>
          </w:p>
        </w:tc>
        <w:tc>
          <w:tcPr>
            <w:tcW w:w="425" w:type="pct"/>
            <w:vMerge w:val="restart"/>
            <w:vAlign w:val="center"/>
          </w:tcPr>
          <w:p w14:paraId="00DF5308"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&lt;0.001</w:t>
            </w:r>
          </w:p>
        </w:tc>
      </w:tr>
      <w:tr w:rsidR="00DB7129" w:rsidRPr="00DB7129" w14:paraId="78DDF689" w14:textId="77777777" w:rsidTr="00DD5D22">
        <w:trPr>
          <w:jc w:val="center"/>
        </w:trPr>
        <w:tc>
          <w:tcPr>
            <w:tcW w:w="1020" w:type="pct"/>
            <w:vMerge/>
            <w:vAlign w:val="center"/>
          </w:tcPr>
          <w:p w14:paraId="78DA7D94" w14:textId="77777777" w:rsidR="00DB7129" w:rsidRPr="00DB7129" w:rsidRDefault="00DB7129" w:rsidP="00DB7129">
            <w:pPr>
              <w:rPr>
                <w:rFonts w:ascii="Arial" w:hAnsi="Arial" w:cs="Arial"/>
                <w:sz w:val="20"/>
                <w:szCs w:val="20"/>
                <w:lang w:eastAsia="ja-JP"/>
              </w:rPr>
            </w:pPr>
          </w:p>
        </w:tc>
        <w:tc>
          <w:tcPr>
            <w:tcW w:w="1715" w:type="pct"/>
            <w:vAlign w:val="center"/>
          </w:tcPr>
          <w:p w14:paraId="7110882B" w14:textId="77777777" w:rsidR="00DB7129" w:rsidRPr="00DB7129" w:rsidRDefault="00DB7129" w:rsidP="00DB7129">
            <w:pPr>
              <w:rPr>
                <w:rFonts w:ascii="Arial" w:eastAsia="Times New Roman" w:hAnsi="Arial" w:cs="Arial"/>
                <w:sz w:val="20"/>
                <w:szCs w:val="20"/>
                <w:lang w:eastAsia="ja-JP"/>
              </w:rPr>
            </w:pPr>
            <w:r w:rsidRPr="00DB7129">
              <w:rPr>
                <w:rFonts w:ascii="Arial" w:eastAsia="Times New Roman" w:hAnsi="Arial" w:cs="Arial"/>
                <w:sz w:val="20"/>
                <w:szCs w:val="20"/>
                <w:lang w:eastAsia="ja-JP"/>
              </w:rPr>
              <w:t>Yes</w:t>
            </w:r>
          </w:p>
        </w:tc>
        <w:tc>
          <w:tcPr>
            <w:tcW w:w="433" w:type="pct"/>
            <w:vAlign w:val="center"/>
          </w:tcPr>
          <w:p w14:paraId="2244C359"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7.7</w:t>
            </w:r>
          </w:p>
        </w:tc>
        <w:tc>
          <w:tcPr>
            <w:tcW w:w="711" w:type="pct"/>
            <w:vAlign w:val="center"/>
          </w:tcPr>
          <w:p w14:paraId="4306EC32"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7.2</w:t>
            </w:r>
          </w:p>
        </w:tc>
        <w:tc>
          <w:tcPr>
            <w:tcW w:w="695" w:type="pct"/>
            <w:vAlign w:val="center"/>
          </w:tcPr>
          <w:p w14:paraId="7BA02336"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14.9</w:t>
            </w:r>
          </w:p>
        </w:tc>
        <w:tc>
          <w:tcPr>
            <w:tcW w:w="425" w:type="pct"/>
            <w:vMerge/>
            <w:vAlign w:val="center"/>
          </w:tcPr>
          <w:p w14:paraId="4973C1C8" w14:textId="77777777" w:rsidR="00DB7129" w:rsidRPr="00DB7129" w:rsidRDefault="00DB7129" w:rsidP="00DB7129">
            <w:pPr>
              <w:rPr>
                <w:rFonts w:ascii="Arial" w:hAnsi="Arial" w:cs="Arial"/>
                <w:sz w:val="20"/>
                <w:szCs w:val="20"/>
                <w:lang w:eastAsia="ja-JP"/>
              </w:rPr>
            </w:pPr>
          </w:p>
        </w:tc>
      </w:tr>
      <w:tr w:rsidR="00DB7129" w:rsidRPr="00DB7129" w14:paraId="6DEF59F6" w14:textId="77777777" w:rsidTr="00DD5D22">
        <w:trPr>
          <w:jc w:val="center"/>
        </w:trPr>
        <w:tc>
          <w:tcPr>
            <w:tcW w:w="1020" w:type="pct"/>
            <w:vMerge w:val="restart"/>
            <w:vAlign w:val="center"/>
          </w:tcPr>
          <w:p w14:paraId="7647E0A6"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Cannabis use</w:t>
            </w:r>
          </w:p>
        </w:tc>
        <w:tc>
          <w:tcPr>
            <w:tcW w:w="1715" w:type="pct"/>
            <w:vAlign w:val="center"/>
          </w:tcPr>
          <w:p w14:paraId="3E823C50" w14:textId="77777777" w:rsidR="00DB7129" w:rsidRPr="00DB7129" w:rsidRDefault="00DB7129" w:rsidP="00DB7129">
            <w:pPr>
              <w:rPr>
                <w:rFonts w:ascii="Arial" w:eastAsia="Times New Roman" w:hAnsi="Arial" w:cs="Arial"/>
                <w:sz w:val="20"/>
                <w:szCs w:val="20"/>
                <w:lang w:eastAsia="ja-JP"/>
              </w:rPr>
            </w:pPr>
            <w:r w:rsidRPr="00DB7129">
              <w:rPr>
                <w:rFonts w:ascii="Arial" w:eastAsia="Times New Roman" w:hAnsi="Arial" w:cs="Arial"/>
                <w:sz w:val="20"/>
                <w:szCs w:val="20"/>
                <w:lang w:eastAsia="ja-JP"/>
              </w:rPr>
              <w:t>No</w:t>
            </w:r>
          </w:p>
        </w:tc>
        <w:tc>
          <w:tcPr>
            <w:tcW w:w="433" w:type="pct"/>
            <w:vAlign w:val="center"/>
          </w:tcPr>
          <w:p w14:paraId="25509438"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92.5</w:t>
            </w:r>
          </w:p>
        </w:tc>
        <w:tc>
          <w:tcPr>
            <w:tcW w:w="711" w:type="pct"/>
            <w:vAlign w:val="center"/>
          </w:tcPr>
          <w:p w14:paraId="1F52E2F1"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93.2</w:t>
            </w:r>
          </w:p>
        </w:tc>
        <w:tc>
          <w:tcPr>
            <w:tcW w:w="695" w:type="pct"/>
            <w:vAlign w:val="center"/>
          </w:tcPr>
          <w:p w14:paraId="49D8ECAD"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83.9</w:t>
            </w:r>
          </w:p>
        </w:tc>
        <w:tc>
          <w:tcPr>
            <w:tcW w:w="425" w:type="pct"/>
            <w:vMerge w:val="restart"/>
            <w:vAlign w:val="center"/>
          </w:tcPr>
          <w:p w14:paraId="21FC7A5F"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&lt;0.001</w:t>
            </w:r>
          </w:p>
        </w:tc>
      </w:tr>
      <w:tr w:rsidR="00DB7129" w:rsidRPr="00DB7129" w14:paraId="1BD25771" w14:textId="77777777" w:rsidTr="00DD5D22">
        <w:trPr>
          <w:jc w:val="center"/>
        </w:trPr>
        <w:tc>
          <w:tcPr>
            <w:tcW w:w="1020" w:type="pct"/>
            <w:vMerge/>
            <w:vAlign w:val="center"/>
          </w:tcPr>
          <w:p w14:paraId="125B2F33" w14:textId="77777777" w:rsidR="00DB7129" w:rsidRPr="00DB7129" w:rsidRDefault="00DB7129" w:rsidP="00DB7129">
            <w:pPr>
              <w:rPr>
                <w:rFonts w:ascii="Arial" w:hAnsi="Arial" w:cs="Arial"/>
                <w:sz w:val="20"/>
                <w:szCs w:val="20"/>
                <w:lang w:eastAsia="ja-JP"/>
              </w:rPr>
            </w:pPr>
          </w:p>
        </w:tc>
        <w:tc>
          <w:tcPr>
            <w:tcW w:w="1715" w:type="pct"/>
            <w:vAlign w:val="center"/>
          </w:tcPr>
          <w:p w14:paraId="4F2E82AE" w14:textId="77777777" w:rsidR="00DB7129" w:rsidRPr="00DB7129" w:rsidRDefault="00DB7129" w:rsidP="00DB7129">
            <w:pPr>
              <w:rPr>
                <w:rFonts w:ascii="Arial" w:eastAsia="Times New Roman" w:hAnsi="Arial" w:cs="Arial"/>
                <w:sz w:val="20"/>
                <w:szCs w:val="20"/>
                <w:lang w:eastAsia="ja-JP"/>
              </w:rPr>
            </w:pPr>
            <w:r w:rsidRPr="00DB7129">
              <w:rPr>
                <w:rFonts w:ascii="Arial" w:eastAsia="Times New Roman" w:hAnsi="Arial" w:cs="Arial"/>
                <w:sz w:val="20"/>
                <w:szCs w:val="20"/>
                <w:lang w:eastAsia="ja-JP"/>
              </w:rPr>
              <w:t>Yes</w:t>
            </w:r>
          </w:p>
        </w:tc>
        <w:tc>
          <w:tcPr>
            <w:tcW w:w="433" w:type="pct"/>
            <w:vAlign w:val="center"/>
          </w:tcPr>
          <w:p w14:paraId="46582E2B"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7.5</w:t>
            </w:r>
          </w:p>
        </w:tc>
        <w:tc>
          <w:tcPr>
            <w:tcW w:w="711" w:type="pct"/>
            <w:vAlign w:val="center"/>
          </w:tcPr>
          <w:p w14:paraId="3FF0031C"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6.8</w:t>
            </w:r>
          </w:p>
        </w:tc>
        <w:tc>
          <w:tcPr>
            <w:tcW w:w="695" w:type="pct"/>
            <w:vAlign w:val="center"/>
          </w:tcPr>
          <w:p w14:paraId="75B41AB1"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16.1</w:t>
            </w:r>
          </w:p>
        </w:tc>
        <w:tc>
          <w:tcPr>
            <w:tcW w:w="425" w:type="pct"/>
            <w:vMerge/>
            <w:vAlign w:val="center"/>
          </w:tcPr>
          <w:p w14:paraId="1970EA1F" w14:textId="77777777" w:rsidR="00DB7129" w:rsidRPr="00DB7129" w:rsidRDefault="00DB7129" w:rsidP="00DB7129">
            <w:pPr>
              <w:rPr>
                <w:rFonts w:ascii="Arial" w:hAnsi="Arial" w:cs="Arial"/>
                <w:sz w:val="20"/>
                <w:szCs w:val="20"/>
                <w:lang w:eastAsia="ja-JP"/>
              </w:rPr>
            </w:pPr>
          </w:p>
        </w:tc>
      </w:tr>
      <w:tr w:rsidR="00DB7129" w:rsidRPr="00DB7129" w14:paraId="52ED60DD" w14:textId="77777777" w:rsidTr="00DD5D22">
        <w:trPr>
          <w:jc w:val="center"/>
        </w:trPr>
        <w:tc>
          <w:tcPr>
            <w:tcW w:w="1020" w:type="pct"/>
            <w:vMerge w:val="restart"/>
            <w:vAlign w:val="center"/>
          </w:tcPr>
          <w:p w14:paraId="6F715C05" w14:textId="77777777" w:rsidR="00DB7129" w:rsidRPr="00DB7129" w:rsidRDefault="00DB7129" w:rsidP="00DB7129">
            <w:pPr>
              <w:rPr>
                <w:rFonts w:ascii="Arial" w:hAnsi="Arial" w:cs="Arial"/>
                <w:sz w:val="20"/>
                <w:szCs w:val="20"/>
                <w:lang w:eastAsia="ja-JP"/>
              </w:rPr>
            </w:pPr>
            <w:proofErr w:type="spellStart"/>
            <w:r w:rsidRPr="00DB7129">
              <w:rPr>
                <w:rFonts w:ascii="Arial" w:hAnsi="Arial" w:cs="Arial"/>
                <w:sz w:val="20"/>
                <w:szCs w:val="20"/>
                <w:lang w:eastAsia="ja-JP"/>
              </w:rPr>
              <w:t>Loneliness</w:t>
            </w:r>
            <w:proofErr w:type="spellEnd"/>
          </w:p>
        </w:tc>
        <w:tc>
          <w:tcPr>
            <w:tcW w:w="1715" w:type="pct"/>
            <w:vAlign w:val="center"/>
          </w:tcPr>
          <w:p w14:paraId="6AE42114" w14:textId="77777777" w:rsidR="00DB7129" w:rsidRPr="00DB7129" w:rsidRDefault="00DB7129" w:rsidP="00DB7129">
            <w:pPr>
              <w:rPr>
                <w:rFonts w:ascii="Arial" w:eastAsia="Times New Roman" w:hAnsi="Arial" w:cs="Arial"/>
                <w:sz w:val="20"/>
                <w:szCs w:val="20"/>
                <w:lang w:eastAsia="ja-JP"/>
              </w:rPr>
            </w:pPr>
            <w:r w:rsidRPr="00DB7129">
              <w:rPr>
                <w:rFonts w:ascii="Arial" w:eastAsia="Times New Roman" w:hAnsi="Arial" w:cs="Arial"/>
                <w:sz w:val="20"/>
                <w:szCs w:val="20"/>
                <w:lang w:eastAsia="ja-JP"/>
              </w:rPr>
              <w:t>No</w:t>
            </w:r>
          </w:p>
        </w:tc>
        <w:tc>
          <w:tcPr>
            <w:tcW w:w="433" w:type="pct"/>
            <w:vAlign w:val="center"/>
          </w:tcPr>
          <w:p w14:paraId="4CD5E072"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79.8</w:t>
            </w:r>
          </w:p>
        </w:tc>
        <w:tc>
          <w:tcPr>
            <w:tcW w:w="711" w:type="pct"/>
            <w:vAlign w:val="center"/>
          </w:tcPr>
          <w:p w14:paraId="441049B5"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80.8</w:t>
            </w:r>
          </w:p>
        </w:tc>
        <w:tc>
          <w:tcPr>
            <w:tcW w:w="695" w:type="pct"/>
            <w:vAlign w:val="center"/>
          </w:tcPr>
          <w:p w14:paraId="3FE88BDB"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67.5</w:t>
            </w:r>
          </w:p>
        </w:tc>
        <w:tc>
          <w:tcPr>
            <w:tcW w:w="425" w:type="pct"/>
            <w:vMerge w:val="restart"/>
            <w:vAlign w:val="center"/>
          </w:tcPr>
          <w:p w14:paraId="574A2800"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&lt;0.001</w:t>
            </w:r>
          </w:p>
        </w:tc>
      </w:tr>
      <w:tr w:rsidR="00DB7129" w:rsidRPr="00DB7129" w14:paraId="4FDB98D3" w14:textId="77777777" w:rsidTr="00DD5D22">
        <w:trPr>
          <w:jc w:val="center"/>
        </w:trPr>
        <w:tc>
          <w:tcPr>
            <w:tcW w:w="1020" w:type="pct"/>
            <w:vMerge/>
            <w:vAlign w:val="center"/>
          </w:tcPr>
          <w:p w14:paraId="77A9E875" w14:textId="77777777" w:rsidR="00DB7129" w:rsidRPr="00DB7129" w:rsidRDefault="00DB7129" w:rsidP="00DB7129">
            <w:pPr>
              <w:rPr>
                <w:rFonts w:ascii="Arial" w:hAnsi="Arial" w:cs="Arial"/>
                <w:sz w:val="20"/>
                <w:szCs w:val="20"/>
                <w:lang w:eastAsia="ja-JP"/>
              </w:rPr>
            </w:pPr>
          </w:p>
        </w:tc>
        <w:tc>
          <w:tcPr>
            <w:tcW w:w="1715" w:type="pct"/>
            <w:vAlign w:val="center"/>
          </w:tcPr>
          <w:p w14:paraId="4C47B91A" w14:textId="77777777" w:rsidR="00DB7129" w:rsidRPr="00DB7129" w:rsidRDefault="00DB7129" w:rsidP="00DB7129">
            <w:pPr>
              <w:rPr>
                <w:rFonts w:ascii="Arial" w:eastAsia="Times New Roman" w:hAnsi="Arial" w:cs="Arial"/>
                <w:sz w:val="20"/>
                <w:szCs w:val="20"/>
                <w:lang w:eastAsia="ja-JP"/>
              </w:rPr>
            </w:pPr>
            <w:r w:rsidRPr="00DB7129">
              <w:rPr>
                <w:rFonts w:ascii="Arial" w:eastAsia="Times New Roman" w:hAnsi="Arial" w:cs="Arial"/>
                <w:sz w:val="20"/>
                <w:szCs w:val="20"/>
                <w:lang w:eastAsia="ja-JP"/>
              </w:rPr>
              <w:t>Yes</w:t>
            </w:r>
          </w:p>
        </w:tc>
        <w:tc>
          <w:tcPr>
            <w:tcW w:w="433" w:type="pct"/>
            <w:vAlign w:val="center"/>
          </w:tcPr>
          <w:p w14:paraId="76950A29"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20.2</w:t>
            </w:r>
          </w:p>
        </w:tc>
        <w:tc>
          <w:tcPr>
            <w:tcW w:w="711" w:type="pct"/>
            <w:vAlign w:val="center"/>
          </w:tcPr>
          <w:p w14:paraId="4EB3C06D"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19.2</w:t>
            </w:r>
          </w:p>
        </w:tc>
        <w:tc>
          <w:tcPr>
            <w:tcW w:w="695" w:type="pct"/>
            <w:vAlign w:val="center"/>
          </w:tcPr>
          <w:p w14:paraId="60EA0769"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32.5</w:t>
            </w:r>
          </w:p>
        </w:tc>
        <w:tc>
          <w:tcPr>
            <w:tcW w:w="425" w:type="pct"/>
            <w:vMerge/>
            <w:vAlign w:val="center"/>
          </w:tcPr>
          <w:p w14:paraId="0D2B43FA" w14:textId="77777777" w:rsidR="00DB7129" w:rsidRPr="00DB7129" w:rsidRDefault="00DB7129" w:rsidP="00DB7129">
            <w:pPr>
              <w:rPr>
                <w:rFonts w:ascii="Arial" w:hAnsi="Arial" w:cs="Arial"/>
                <w:sz w:val="20"/>
                <w:szCs w:val="20"/>
                <w:lang w:eastAsia="ja-JP"/>
              </w:rPr>
            </w:pPr>
          </w:p>
        </w:tc>
      </w:tr>
      <w:tr w:rsidR="00DB7129" w:rsidRPr="00DB7129" w14:paraId="07125693" w14:textId="77777777" w:rsidTr="00DD5D22">
        <w:trPr>
          <w:jc w:val="center"/>
        </w:trPr>
        <w:tc>
          <w:tcPr>
            <w:tcW w:w="1020" w:type="pct"/>
            <w:vAlign w:val="center"/>
          </w:tcPr>
          <w:p w14:paraId="3682A9AC"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 xml:space="preserve">Social </w:t>
            </w:r>
            <w:proofErr w:type="spellStart"/>
            <w:r w:rsidRPr="00DB7129">
              <w:rPr>
                <w:rFonts w:ascii="Arial" w:hAnsi="Arial" w:cs="Arial"/>
                <w:sz w:val="20"/>
                <w:szCs w:val="20"/>
                <w:lang w:eastAsia="ja-JP"/>
              </w:rPr>
              <w:t>support</w:t>
            </w:r>
            <w:r w:rsidRPr="00DB7129">
              <w:rPr>
                <w:rFonts w:ascii="Arial" w:hAnsi="Arial" w:cs="Arial"/>
                <w:sz w:val="20"/>
                <w:szCs w:val="20"/>
                <w:vertAlign w:val="superscript"/>
                <w:lang w:eastAsia="ja-JP"/>
              </w:rPr>
              <w:t>d</w:t>
            </w:r>
            <w:proofErr w:type="spellEnd"/>
          </w:p>
        </w:tc>
        <w:tc>
          <w:tcPr>
            <w:tcW w:w="1715" w:type="pct"/>
            <w:vAlign w:val="center"/>
          </w:tcPr>
          <w:p w14:paraId="4DB40F37" w14:textId="77777777" w:rsidR="00DB7129" w:rsidRPr="00DB7129" w:rsidRDefault="00DB7129" w:rsidP="00DB7129">
            <w:pPr>
              <w:rPr>
                <w:rFonts w:ascii="Arial" w:eastAsia="Times New Roman" w:hAnsi="Arial" w:cs="Arial"/>
                <w:sz w:val="20"/>
                <w:szCs w:val="20"/>
                <w:lang w:eastAsia="ja-JP"/>
              </w:rPr>
            </w:pPr>
            <w:proofErr w:type="spellStart"/>
            <w:r w:rsidRPr="00DB7129">
              <w:rPr>
                <w:rFonts w:ascii="Arial" w:eastAsia="Times New Roman" w:hAnsi="Arial" w:cs="Arial"/>
                <w:sz w:val="20"/>
                <w:szCs w:val="20"/>
                <w:lang w:eastAsia="ja-JP"/>
              </w:rPr>
              <w:t>Mean</w:t>
            </w:r>
            <w:proofErr w:type="spellEnd"/>
            <w:r w:rsidRPr="00DB7129">
              <w:rPr>
                <w:rFonts w:ascii="Arial" w:eastAsia="Times New Roman" w:hAnsi="Arial" w:cs="Arial"/>
                <w:sz w:val="20"/>
                <w:szCs w:val="20"/>
                <w:lang w:eastAsia="ja-JP"/>
              </w:rPr>
              <w:t xml:space="preserve"> (SD)</w:t>
            </w:r>
          </w:p>
        </w:tc>
        <w:tc>
          <w:tcPr>
            <w:tcW w:w="433" w:type="pct"/>
            <w:vAlign w:val="center"/>
          </w:tcPr>
          <w:p w14:paraId="0FB881C2"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13.2 (1.9)</w:t>
            </w:r>
          </w:p>
        </w:tc>
        <w:tc>
          <w:tcPr>
            <w:tcW w:w="711" w:type="pct"/>
            <w:vAlign w:val="center"/>
          </w:tcPr>
          <w:p w14:paraId="34569B9C"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13.2 (1.8)</w:t>
            </w:r>
          </w:p>
        </w:tc>
        <w:tc>
          <w:tcPr>
            <w:tcW w:w="695" w:type="pct"/>
            <w:vAlign w:val="center"/>
          </w:tcPr>
          <w:p w14:paraId="799C88FC"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12.7 (2.4)</w:t>
            </w:r>
          </w:p>
        </w:tc>
        <w:tc>
          <w:tcPr>
            <w:tcW w:w="425" w:type="pct"/>
            <w:vAlign w:val="center"/>
          </w:tcPr>
          <w:p w14:paraId="0540192C"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&lt;0.001</w:t>
            </w:r>
          </w:p>
        </w:tc>
      </w:tr>
      <w:tr w:rsidR="00DB7129" w:rsidRPr="00DB7129" w14:paraId="0721573D" w14:textId="77777777" w:rsidTr="00DD5D22">
        <w:trPr>
          <w:jc w:val="center"/>
        </w:trPr>
        <w:tc>
          <w:tcPr>
            <w:tcW w:w="1020" w:type="pct"/>
            <w:vMerge w:val="restart"/>
            <w:vAlign w:val="center"/>
          </w:tcPr>
          <w:p w14:paraId="658FF19C" w14:textId="77777777" w:rsidR="00DB7129" w:rsidRPr="00DB7129" w:rsidRDefault="00DB7129" w:rsidP="00DB7129">
            <w:pPr>
              <w:rPr>
                <w:rFonts w:ascii="Arial" w:hAnsi="Arial" w:cs="Arial"/>
                <w:sz w:val="20"/>
                <w:szCs w:val="20"/>
                <w:lang w:eastAsia="ja-JP"/>
              </w:rPr>
            </w:pPr>
            <w:proofErr w:type="spellStart"/>
            <w:r w:rsidRPr="00DB7129">
              <w:rPr>
                <w:rFonts w:ascii="Arial" w:hAnsi="Arial" w:cs="Arial"/>
                <w:sz w:val="20"/>
                <w:szCs w:val="20"/>
                <w:lang w:eastAsia="ja-JP"/>
              </w:rPr>
              <w:t>Bullying</w:t>
            </w:r>
            <w:proofErr w:type="spellEnd"/>
            <w:r w:rsidRPr="00DB7129">
              <w:rPr>
                <w:rFonts w:ascii="Arial" w:hAnsi="Arial" w:cs="Arial"/>
                <w:sz w:val="20"/>
                <w:szCs w:val="20"/>
                <w:lang w:eastAsia="ja-JP"/>
              </w:rPr>
              <w:t xml:space="preserve"> </w:t>
            </w:r>
            <w:proofErr w:type="spellStart"/>
            <w:r w:rsidRPr="00DB7129">
              <w:rPr>
                <w:rFonts w:ascii="Arial" w:hAnsi="Arial" w:cs="Arial"/>
                <w:sz w:val="20"/>
                <w:szCs w:val="20"/>
                <w:lang w:eastAsia="ja-JP"/>
              </w:rPr>
              <w:t>victimization</w:t>
            </w:r>
            <w:proofErr w:type="spellEnd"/>
          </w:p>
        </w:tc>
        <w:tc>
          <w:tcPr>
            <w:tcW w:w="1715" w:type="pct"/>
            <w:vAlign w:val="center"/>
          </w:tcPr>
          <w:p w14:paraId="5E34CDF4" w14:textId="77777777" w:rsidR="00DB7129" w:rsidRPr="00DB7129" w:rsidRDefault="00DB7129" w:rsidP="00DB7129">
            <w:pPr>
              <w:rPr>
                <w:rFonts w:ascii="Arial" w:eastAsia="Times New Roman" w:hAnsi="Arial" w:cs="Arial"/>
                <w:sz w:val="20"/>
                <w:szCs w:val="20"/>
                <w:lang w:eastAsia="ja-JP"/>
              </w:rPr>
            </w:pPr>
            <w:r w:rsidRPr="00DB7129">
              <w:rPr>
                <w:rFonts w:ascii="Arial" w:eastAsia="Times New Roman" w:hAnsi="Arial" w:cs="Arial"/>
                <w:sz w:val="20"/>
                <w:szCs w:val="20"/>
                <w:lang w:eastAsia="ja-JP"/>
              </w:rPr>
              <w:t>No</w:t>
            </w:r>
          </w:p>
        </w:tc>
        <w:tc>
          <w:tcPr>
            <w:tcW w:w="433" w:type="pct"/>
            <w:vAlign w:val="center"/>
          </w:tcPr>
          <w:p w14:paraId="2ACDF324"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79.7</w:t>
            </w:r>
          </w:p>
        </w:tc>
        <w:tc>
          <w:tcPr>
            <w:tcW w:w="711" w:type="pct"/>
            <w:vAlign w:val="center"/>
          </w:tcPr>
          <w:p w14:paraId="39F57C54"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80.7</w:t>
            </w:r>
          </w:p>
        </w:tc>
        <w:tc>
          <w:tcPr>
            <w:tcW w:w="695" w:type="pct"/>
            <w:vAlign w:val="center"/>
          </w:tcPr>
          <w:p w14:paraId="19AF6A99"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66.1</w:t>
            </w:r>
          </w:p>
        </w:tc>
        <w:tc>
          <w:tcPr>
            <w:tcW w:w="425" w:type="pct"/>
            <w:vMerge w:val="restart"/>
            <w:vAlign w:val="center"/>
          </w:tcPr>
          <w:p w14:paraId="79993F61"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&lt;0.001</w:t>
            </w:r>
          </w:p>
        </w:tc>
      </w:tr>
      <w:tr w:rsidR="00DB7129" w:rsidRPr="00DB7129" w14:paraId="1753A850" w14:textId="77777777" w:rsidTr="00DD5D22">
        <w:trPr>
          <w:jc w:val="center"/>
        </w:trPr>
        <w:tc>
          <w:tcPr>
            <w:tcW w:w="1020" w:type="pct"/>
            <w:vMerge/>
            <w:vAlign w:val="center"/>
          </w:tcPr>
          <w:p w14:paraId="251C8153" w14:textId="77777777" w:rsidR="00DB7129" w:rsidRPr="00DB7129" w:rsidRDefault="00DB7129" w:rsidP="00DB7129">
            <w:pPr>
              <w:rPr>
                <w:rFonts w:ascii="Arial" w:hAnsi="Arial" w:cs="Arial"/>
                <w:sz w:val="20"/>
                <w:szCs w:val="20"/>
                <w:lang w:eastAsia="ja-JP"/>
              </w:rPr>
            </w:pPr>
          </w:p>
        </w:tc>
        <w:tc>
          <w:tcPr>
            <w:tcW w:w="1715" w:type="pct"/>
            <w:vAlign w:val="center"/>
          </w:tcPr>
          <w:p w14:paraId="519A0F8A" w14:textId="77777777" w:rsidR="00DB7129" w:rsidRPr="00DB7129" w:rsidRDefault="00DB7129" w:rsidP="00DB7129">
            <w:pPr>
              <w:rPr>
                <w:rFonts w:ascii="Arial" w:eastAsia="Times New Roman" w:hAnsi="Arial" w:cs="Arial"/>
                <w:sz w:val="20"/>
                <w:szCs w:val="20"/>
                <w:lang w:eastAsia="ja-JP"/>
              </w:rPr>
            </w:pPr>
            <w:r w:rsidRPr="00DB7129">
              <w:rPr>
                <w:rFonts w:ascii="Arial" w:eastAsia="Times New Roman" w:hAnsi="Arial" w:cs="Arial"/>
                <w:sz w:val="20"/>
                <w:szCs w:val="20"/>
                <w:lang w:eastAsia="ja-JP"/>
              </w:rPr>
              <w:t>Yes</w:t>
            </w:r>
          </w:p>
        </w:tc>
        <w:tc>
          <w:tcPr>
            <w:tcW w:w="433" w:type="pct"/>
            <w:vAlign w:val="center"/>
          </w:tcPr>
          <w:p w14:paraId="1E52F86D"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20.3</w:t>
            </w:r>
          </w:p>
        </w:tc>
        <w:tc>
          <w:tcPr>
            <w:tcW w:w="711" w:type="pct"/>
            <w:vAlign w:val="center"/>
          </w:tcPr>
          <w:p w14:paraId="70113886"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19.3</w:t>
            </w:r>
          </w:p>
        </w:tc>
        <w:tc>
          <w:tcPr>
            <w:tcW w:w="695" w:type="pct"/>
            <w:vAlign w:val="center"/>
          </w:tcPr>
          <w:p w14:paraId="5FB25F18"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33.9</w:t>
            </w:r>
          </w:p>
        </w:tc>
        <w:tc>
          <w:tcPr>
            <w:tcW w:w="425" w:type="pct"/>
            <w:vMerge/>
            <w:vAlign w:val="center"/>
          </w:tcPr>
          <w:p w14:paraId="58F703A5" w14:textId="77777777" w:rsidR="00DB7129" w:rsidRPr="00DB7129" w:rsidRDefault="00DB7129" w:rsidP="00DB7129">
            <w:pPr>
              <w:rPr>
                <w:rFonts w:ascii="Arial" w:hAnsi="Arial" w:cs="Arial"/>
                <w:sz w:val="20"/>
                <w:szCs w:val="20"/>
                <w:lang w:eastAsia="ja-JP"/>
              </w:rPr>
            </w:pPr>
          </w:p>
        </w:tc>
      </w:tr>
      <w:tr w:rsidR="00DB7129" w:rsidRPr="00DB7129" w14:paraId="547E7D4B" w14:textId="77777777" w:rsidTr="00DD5D22">
        <w:trPr>
          <w:jc w:val="center"/>
        </w:trPr>
        <w:tc>
          <w:tcPr>
            <w:tcW w:w="1020" w:type="pct"/>
            <w:vMerge w:val="restart"/>
            <w:vAlign w:val="center"/>
          </w:tcPr>
          <w:p w14:paraId="7F6CB098" w14:textId="77777777" w:rsidR="00DB7129" w:rsidRPr="00DB7129" w:rsidRDefault="00DB7129" w:rsidP="00DB7129">
            <w:pPr>
              <w:rPr>
                <w:rFonts w:ascii="Arial" w:hAnsi="Arial" w:cs="Arial"/>
                <w:sz w:val="20"/>
                <w:szCs w:val="20"/>
                <w:lang w:eastAsia="ja-JP"/>
              </w:rPr>
            </w:pPr>
            <w:proofErr w:type="spellStart"/>
            <w:r w:rsidRPr="00DB7129">
              <w:rPr>
                <w:rFonts w:ascii="Arial" w:hAnsi="Arial" w:cs="Arial"/>
                <w:sz w:val="20"/>
                <w:szCs w:val="20"/>
                <w:lang w:eastAsia="ja-JP"/>
              </w:rPr>
              <w:t>Perceived</w:t>
            </w:r>
            <w:proofErr w:type="spellEnd"/>
            <w:r w:rsidRPr="00DB7129">
              <w:rPr>
                <w:rFonts w:ascii="Arial" w:hAnsi="Arial" w:cs="Arial"/>
                <w:sz w:val="20"/>
                <w:szCs w:val="20"/>
                <w:lang w:eastAsia="ja-JP"/>
              </w:rPr>
              <w:t xml:space="preserve"> stress</w:t>
            </w:r>
          </w:p>
        </w:tc>
        <w:tc>
          <w:tcPr>
            <w:tcW w:w="1715" w:type="pct"/>
            <w:vAlign w:val="center"/>
          </w:tcPr>
          <w:p w14:paraId="07BFA584" w14:textId="77777777" w:rsidR="00DB7129" w:rsidRPr="00DB7129" w:rsidRDefault="00DB7129" w:rsidP="00DB7129">
            <w:pPr>
              <w:rPr>
                <w:rFonts w:ascii="Arial" w:eastAsia="Times New Roman" w:hAnsi="Arial" w:cs="Arial"/>
                <w:sz w:val="20"/>
                <w:szCs w:val="20"/>
                <w:lang w:eastAsia="ja-JP"/>
              </w:rPr>
            </w:pPr>
            <w:r w:rsidRPr="00DB7129">
              <w:rPr>
                <w:rFonts w:ascii="Arial" w:eastAsia="Times New Roman" w:hAnsi="Arial" w:cs="Arial"/>
                <w:sz w:val="20"/>
                <w:szCs w:val="20"/>
                <w:lang w:eastAsia="ja-JP"/>
              </w:rPr>
              <w:t>No</w:t>
            </w:r>
          </w:p>
        </w:tc>
        <w:tc>
          <w:tcPr>
            <w:tcW w:w="433" w:type="pct"/>
            <w:vAlign w:val="center"/>
          </w:tcPr>
          <w:p w14:paraId="5E3D7AD0"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39.4</w:t>
            </w:r>
          </w:p>
        </w:tc>
        <w:tc>
          <w:tcPr>
            <w:tcW w:w="711" w:type="pct"/>
            <w:vAlign w:val="center"/>
          </w:tcPr>
          <w:p w14:paraId="779D70CD"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40.2</w:t>
            </w:r>
          </w:p>
        </w:tc>
        <w:tc>
          <w:tcPr>
            <w:tcW w:w="695" w:type="pct"/>
            <w:vAlign w:val="center"/>
          </w:tcPr>
          <w:p w14:paraId="6DFD503F"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28.5</w:t>
            </w:r>
          </w:p>
        </w:tc>
        <w:tc>
          <w:tcPr>
            <w:tcW w:w="425" w:type="pct"/>
            <w:vMerge w:val="restart"/>
            <w:vAlign w:val="center"/>
          </w:tcPr>
          <w:p w14:paraId="29FC70C2"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&lt;0.001</w:t>
            </w:r>
          </w:p>
        </w:tc>
      </w:tr>
      <w:tr w:rsidR="00DB7129" w:rsidRPr="00DB7129" w14:paraId="18B658E3" w14:textId="77777777" w:rsidTr="00DD5D22">
        <w:trPr>
          <w:jc w:val="center"/>
        </w:trPr>
        <w:tc>
          <w:tcPr>
            <w:tcW w:w="1020" w:type="pct"/>
            <w:vMerge/>
            <w:vAlign w:val="center"/>
          </w:tcPr>
          <w:p w14:paraId="139996A4" w14:textId="77777777" w:rsidR="00DB7129" w:rsidRPr="00DB7129" w:rsidRDefault="00DB7129" w:rsidP="00DB7129">
            <w:pPr>
              <w:rPr>
                <w:rFonts w:ascii="Arial" w:hAnsi="Arial" w:cs="Arial"/>
                <w:sz w:val="20"/>
                <w:szCs w:val="20"/>
                <w:lang w:eastAsia="ja-JP"/>
              </w:rPr>
            </w:pPr>
          </w:p>
        </w:tc>
        <w:tc>
          <w:tcPr>
            <w:tcW w:w="1715" w:type="pct"/>
            <w:vAlign w:val="center"/>
          </w:tcPr>
          <w:p w14:paraId="0634D6BE" w14:textId="77777777" w:rsidR="00DB7129" w:rsidRPr="00DB7129" w:rsidRDefault="00DB7129" w:rsidP="00DB7129">
            <w:pPr>
              <w:rPr>
                <w:rFonts w:ascii="Arial" w:eastAsia="Times New Roman" w:hAnsi="Arial" w:cs="Arial"/>
                <w:sz w:val="20"/>
                <w:szCs w:val="20"/>
                <w:lang w:eastAsia="ja-JP"/>
              </w:rPr>
            </w:pPr>
            <w:r w:rsidRPr="00DB7129">
              <w:rPr>
                <w:rFonts w:ascii="Arial" w:eastAsia="Times New Roman" w:hAnsi="Arial" w:cs="Arial"/>
                <w:sz w:val="20"/>
                <w:szCs w:val="20"/>
                <w:lang w:eastAsia="ja-JP"/>
              </w:rPr>
              <w:t>Yes</w:t>
            </w:r>
          </w:p>
        </w:tc>
        <w:tc>
          <w:tcPr>
            <w:tcW w:w="433" w:type="pct"/>
            <w:vAlign w:val="center"/>
          </w:tcPr>
          <w:p w14:paraId="341EDD3D"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60.6</w:t>
            </w:r>
          </w:p>
        </w:tc>
        <w:tc>
          <w:tcPr>
            <w:tcW w:w="711" w:type="pct"/>
            <w:vAlign w:val="center"/>
          </w:tcPr>
          <w:p w14:paraId="1F1A3911"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59.8</w:t>
            </w:r>
          </w:p>
        </w:tc>
        <w:tc>
          <w:tcPr>
            <w:tcW w:w="695" w:type="pct"/>
            <w:vAlign w:val="center"/>
          </w:tcPr>
          <w:p w14:paraId="4C0BF4BA"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71.5</w:t>
            </w:r>
          </w:p>
        </w:tc>
        <w:tc>
          <w:tcPr>
            <w:tcW w:w="425" w:type="pct"/>
            <w:vMerge/>
            <w:vAlign w:val="center"/>
          </w:tcPr>
          <w:p w14:paraId="01B85C37" w14:textId="77777777" w:rsidR="00DB7129" w:rsidRPr="00DB7129" w:rsidRDefault="00DB7129" w:rsidP="00DB7129">
            <w:pPr>
              <w:rPr>
                <w:rFonts w:ascii="Arial" w:hAnsi="Arial" w:cs="Arial"/>
                <w:sz w:val="20"/>
                <w:szCs w:val="20"/>
                <w:lang w:eastAsia="ja-JP"/>
              </w:rPr>
            </w:pPr>
          </w:p>
        </w:tc>
      </w:tr>
      <w:tr w:rsidR="00DB7129" w:rsidRPr="00DB7129" w14:paraId="0F22FAFA" w14:textId="77777777" w:rsidTr="00DD5D22">
        <w:trPr>
          <w:jc w:val="center"/>
        </w:trPr>
        <w:tc>
          <w:tcPr>
            <w:tcW w:w="1020" w:type="pct"/>
            <w:vAlign w:val="center"/>
          </w:tcPr>
          <w:p w14:paraId="267CCB12"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 xml:space="preserve">Number of </w:t>
            </w:r>
            <w:proofErr w:type="spellStart"/>
            <w:r w:rsidRPr="00DB7129">
              <w:rPr>
                <w:rFonts w:ascii="Arial" w:hAnsi="Arial" w:cs="Arial"/>
                <w:sz w:val="20"/>
                <w:szCs w:val="20"/>
                <w:lang w:eastAsia="ja-JP"/>
              </w:rPr>
              <w:t>stressful</w:t>
            </w:r>
            <w:proofErr w:type="spellEnd"/>
            <w:r w:rsidRPr="00DB7129">
              <w:rPr>
                <w:rFonts w:ascii="Arial" w:hAnsi="Arial" w:cs="Arial"/>
                <w:sz w:val="20"/>
                <w:szCs w:val="20"/>
                <w:lang w:eastAsia="ja-JP"/>
              </w:rPr>
              <w:t xml:space="preserve"> life </w:t>
            </w:r>
            <w:proofErr w:type="spellStart"/>
            <w:r w:rsidRPr="00DB7129">
              <w:rPr>
                <w:rFonts w:ascii="Arial" w:hAnsi="Arial" w:cs="Arial"/>
                <w:sz w:val="20"/>
                <w:szCs w:val="20"/>
                <w:lang w:eastAsia="ja-JP"/>
              </w:rPr>
              <w:t>events</w:t>
            </w:r>
            <w:proofErr w:type="spellEnd"/>
          </w:p>
        </w:tc>
        <w:tc>
          <w:tcPr>
            <w:tcW w:w="1715" w:type="pct"/>
            <w:vAlign w:val="center"/>
          </w:tcPr>
          <w:p w14:paraId="1C872A6A" w14:textId="77777777" w:rsidR="00DB7129" w:rsidRPr="00DB7129" w:rsidRDefault="00DB7129" w:rsidP="00DB7129">
            <w:pPr>
              <w:rPr>
                <w:rFonts w:ascii="Arial" w:eastAsia="Times New Roman" w:hAnsi="Arial" w:cs="Arial"/>
                <w:sz w:val="20"/>
                <w:szCs w:val="20"/>
                <w:lang w:eastAsia="ja-JP"/>
              </w:rPr>
            </w:pPr>
            <w:proofErr w:type="spellStart"/>
            <w:r w:rsidRPr="00DB7129">
              <w:rPr>
                <w:rFonts w:ascii="Arial" w:eastAsia="Times New Roman" w:hAnsi="Arial" w:cs="Arial"/>
                <w:sz w:val="20"/>
                <w:szCs w:val="20"/>
                <w:lang w:eastAsia="ja-JP"/>
              </w:rPr>
              <w:t>Mean</w:t>
            </w:r>
            <w:proofErr w:type="spellEnd"/>
            <w:r w:rsidRPr="00DB7129">
              <w:rPr>
                <w:rFonts w:ascii="Arial" w:eastAsia="Times New Roman" w:hAnsi="Arial" w:cs="Arial"/>
                <w:sz w:val="20"/>
                <w:szCs w:val="20"/>
                <w:lang w:eastAsia="ja-JP"/>
              </w:rPr>
              <w:t xml:space="preserve"> (SD)</w:t>
            </w:r>
          </w:p>
        </w:tc>
        <w:tc>
          <w:tcPr>
            <w:tcW w:w="433" w:type="pct"/>
            <w:vAlign w:val="center"/>
          </w:tcPr>
          <w:p w14:paraId="0872D2D1"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3.5 (2.4)</w:t>
            </w:r>
          </w:p>
        </w:tc>
        <w:tc>
          <w:tcPr>
            <w:tcW w:w="711" w:type="pct"/>
            <w:vAlign w:val="center"/>
          </w:tcPr>
          <w:p w14:paraId="380E5925"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3.4 (2.4)</w:t>
            </w:r>
          </w:p>
        </w:tc>
        <w:tc>
          <w:tcPr>
            <w:tcW w:w="695" w:type="pct"/>
            <w:vAlign w:val="center"/>
          </w:tcPr>
          <w:p w14:paraId="197EA348"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3.9 (2.9)</w:t>
            </w:r>
          </w:p>
        </w:tc>
        <w:tc>
          <w:tcPr>
            <w:tcW w:w="425" w:type="pct"/>
            <w:vAlign w:val="center"/>
          </w:tcPr>
          <w:p w14:paraId="2A4AB588"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0.001</w:t>
            </w:r>
          </w:p>
        </w:tc>
      </w:tr>
      <w:tr w:rsidR="00DB7129" w:rsidRPr="00DB7129" w14:paraId="1E1BD3E2" w14:textId="77777777" w:rsidTr="00DD5D22">
        <w:trPr>
          <w:trHeight w:val="340"/>
          <w:jc w:val="center"/>
        </w:trPr>
        <w:tc>
          <w:tcPr>
            <w:tcW w:w="1020" w:type="pct"/>
            <w:vMerge w:val="restart"/>
            <w:vAlign w:val="center"/>
          </w:tcPr>
          <w:p w14:paraId="4C02F0C2"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 xml:space="preserve">Discrimination due to </w:t>
            </w:r>
            <w:proofErr w:type="spellStart"/>
            <w:r w:rsidRPr="00DB7129">
              <w:rPr>
                <w:rFonts w:ascii="Arial" w:hAnsi="Arial" w:cs="Arial"/>
                <w:sz w:val="20"/>
                <w:szCs w:val="20"/>
                <w:lang w:eastAsia="ja-JP"/>
              </w:rPr>
              <w:t>sexual</w:t>
            </w:r>
            <w:proofErr w:type="spellEnd"/>
            <w:r w:rsidRPr="00DB7129">
              <w:rPr>
                <w:rFonts w:ascii="Arial" w:hAnsi="Arial" w:cs="Arial"/>
                <w:sz w:val="20"/>
                <w:szCs w:val="20"/>
                <w:lang w:eastAsia="ja-JP"/>
              </w:rPr>
              <w:t xml:space="preserve"> orientation</w:t>
            </w:r>
          </w:p>
        </w:tc>
        <w:tc>
          <w:tcPr>
            <w:tcW w:w="1715" w:type="pct"/>
            <w:vAlign w:val="center"/>
          </w:tcPr>
          <w:p w14:paraId="27DB1533" w14:textId="77777777" w:rsidR="00DB7129" w:rsidRPr="00DB7129" w:rsidRDefault="00DB7129" w:rsidP="00DB7129">
            <w:pPr>
              <w:rPr>
                <w:rFonts w:ascii="Arial" w:eastAsia="Times New Roman" w:hAnsi="Arial" w:cs="Arial"/>
                <w:sz w:val="20"/>
                <w:szCs w:val="20"/>
                <w:lang w:eastAsia="ja-JP"/>
              </w:rPr>
            </w:pPr>
            <w:r w:rsidRPr="00DB7129">
              <w:rPr>
                <w:rFonts w:ascii="Arial" w:eastAsia="Times New Roman" w:hAnsi="Arial" w:cs="Arial"/>
                <w:sz w:val="20"/>
                <w:szCs w:val="20"/>
                <w:lang w:eastAsia="ja-JP"/>
              </w:rPr>
              <w:t>No</w:t>
            </w:r>
          </w:p>
        </w:tc>
        <w:tc>
          <w:tcPr>
            <w:tcW w:w="433" w:type="pct"/>
            <w:vAlign w:val="center"/>
          </w:tcPr>
          <w:p w14:paraId="1AC90D63"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99.5</w:t>
            </w:r>
          </w:p>
        </w:tc>
        <w:tc>
          <w:tcPr>
            <w:tcW w:w="711" w:type="pct"/>
            <w:vAlign w:val="center"/>
          </w:tcPr>
          <w:p w14:paraId="2E1349DC"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99.9</w:t>
            </w:r>
          </w:p>
        </w:tc>
        <w:tc>
          <w:tcPr>
            <w:tcW w:w="695" w:type="pct"/>
            <w:vAlign w:val="center"/>
          </w:tcPr>
          <w:p w14:paraId="35054DEC"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94.3</w:t>
            </w:r>
          </w:p>
        </w:tc>
        <w:tc>
          <w:tcPr>
            <w:tcW w:w="425" w:type="pct"/>
            <w:vMerge w:val="restart"/>
            <w:vAlign w:val="center"/>
          </w:tcPr>
          <w:p w14:paraId="278B17C6"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&lt;0.001</w:t>
            </w:r>
          </w:p>
        </w:tc>
      </w:tr>
      <w:tr w:rsidR="00DB7129" w:rsidRPr="00DB7129" w14:paraId="2C021619" w14:textId="77777777" w:rsidTr="00DD5D22">
        <w:trPr>
          <w:trHeight w:val="340"/>
          <w:jc w:val="center"/>
        </w:trPr>
        <w:tc>
          <w:tcPr>
            <w:tcW w:w="1020" w:type="pct"/>
            <w:vMerge/>
            <w:vAlign w:val="center"/>
          </w:tcPr>
          <w:p w14:paraId="2C9C4D7C" w14:textId="77777777" w:rsidR="00DB7129" w:rsidRPr="00DB7129" w:rsidRDefault="00DB7129" w:rsidP="00DB7129">
            <w:pPr>
              <w:rPr>
                <w:rFonts w:ascii="Arial" w:hAnsi="Arial" w:cs="Arial"/>
                <w:sz w:val="20"/>
                <w:szCs w:val="20"/>
                <w:lang w:eastAsia="ja-JP"/>
              </w:rPr>
            </w:pPr>
          </w:p>
        </w:tc>
        <w:tc>
          <w:tcPr>
            <w:tcW w:w="1715" w:type="pct"/>
            <w:vAlign w:val="center"/>
          </w:tcPr>
          <w:p w14:paraId="0355535C" w14:textId="77777777" w:rsidR="00DB7129" w:rsidRPr="00DB7129" w:rsidRDefault="00DB7129" w:rsidP="00DB7129">
            <w:pPr>
              <w:rPr>
                <w:rFonts w:ascii="Arial" w:eastAsia="Times New Roman" w:hAnsi="Arial" w:cs="Arial"/>
                <w:sz w:val="20"/>
                <w:szCs w:val="20"/>
                <w:lang w:eastAsia="ja-JP"/>
              </w:rPr>
            </w:pPr>
            <w:r w:rsidRPr="00DB7129">
              <w:rPr>
                <w:rFonts w:ascii="Arial" w:eastAsia="Times New Roman" w:hAnsi="Arial" w:cs="Arial"/>
                <w:sz w:val="20"/>
                <w:szCs w:val="20"/>
                <w:lang w:eastAsia="ja-JP"/>
              </w:rPr>
              <w:t>Yes</w:t>
            </w:r>
          </w:p>
        </w:tc>
        <w:tc>
          <w:tcPr>
            <w:tcW w:w="433" w:type="pct"/>
            <w:vAlign w:val="center"/>
          </w:tcPr>
          <w:p w14:paraId="7B6BA492"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0.5</w:t>
            </w:r>
          </w:p>
        </w:tc>
        <w:tc>
          <w:tcPr>
            <w:tcW w:w="711" w:type="pct"/>
            <w:vAlign w:val="center"/>
          </w:tcPr>
          <w:p w14:paraId="6B955F10"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0.1</w:t>
            </w:r>
          </w:p>
        </w:tc>
        <w:tc>
          <w:tcPr>
            <w:tcW w:w="695" w:type="pct"/>
            <w:vAlign w:val="center"/>
          </w:tcPr>
          <w:p w14:paraId="5C6CDA7A"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5.7</w:t>
            </w:r>
          </w:p>
        </w:tc>
        <w:tc>
          <w:tcPr>
            <w:tcW w:w="425" w:type="pct"/>
            <w:vMerge/>
            <w:vAlign w:val="center"/>
          </w:tcPr>
          <w:p w14:paraId="5706694A" w14:textId="77777777" w:rsidR="00DB7129" w:rsidRPr="00DB7129" w:rsidRDefault="00DB7129" w:rsidP="00DB7129">
            <w:pPr>
              <w:rPr>
                <w:rFonts w:ascii="Arial" w:hAnsi="Arial" w:cs="Arial"/>
                <w:sz w:val="20"/>
                <w:szCs w:val="20"/>
                <w:lang w:eastAsia="ja-JP"/>
              </w:rPr>
            </w:pPr>
          </w:p>
        </w:tc>
      </w:tr>
      <w:tr w:rsidR="00DB7129" w:rsidRPr="00DB7129" w14:paraId="0FA14D12" w14:textId="77777777" w:rsidTr="00DD5D22">
        <w:trPr>
          <w:trHeight w:val="297"/>
          <w:jc w:val="center"/>
        </w:trPr>
        <w:tc>
          <w:tcPr>
            <w:tcW w:w="1020" w:type="pct"/>
            <w:vMerge w:val="restart"/>
            <w:vAlign w:val="center"/>
          </w:tcPr>
          <w:p w14:paraId="67168B3B" w14:textId="77777777" w:rsidR="00DB7129" w:rsidRPr="00DB7129" w:rsidRDefault="00DB7129" w:rsidP="00DB7129">
            <w:pPr>
              <w:rPr>
                <w:rFonts w:ascii="Arial" w:hAnsi="Arial" w:cs="Arial"/>
                <w:sz w:val="20"/>
                <w:szCs w:val="20"/>
                <w:lang w:eastAsia="ja-JP"/>
              </w:rPr>
            </w:pPr>
            <w:r w:rsidRPr="00DB7129">
              <w:rPr>
                <w:rFonts w:ascii="Arial" w:eastAsia="Times New Roman" w:hAnsi="Arial" w:cs="Arial"/>
                <w:sz w:val="20"/>
                <w:szCs w:val="20"/>
                <w:lang w:eastAsia="ja-JP"/>
              </w:rPr>
              <w:t xml:space="preserve">Common mental </w:t>
            </w:r>
            <w:proofErr w:type="spellStart"/>
            <w:r w:rsidRPr="00DB7129">
              <w:rPr>
                <w:rFonts w:ascii="Arial" w:eastAsia="Times New Roman" w:hAnsi="Arial" w:cs="Arial"/>
                <w:sz w:val="20"/>
                <w:szCs w:val="20"/>
                <w:lang w:eastAsia="ja-JP"/>
              </w:rPr>
              <w:t>disorders</w:t>
            </w:r>
            <w:proofErr w:type="spellEnd"/>
          </w:p>
        </w:tc>
        <w:tc>
          <w:tcPr>
            <w:tcW w:w="1715" w:type="pct"/>
            <w:vAlign w:val="center"/>
          </w:tcPr>
          <w:p w14:paraId="66E84194" w14:textId="77777777" w:rsidR="00DB7129" w:rsidRPr="00DB7129" w:rsidRDefault="00DB7129" w:rsidP="00DB7129">
            <w:pPr>
              <w:rPr>
                <w:rFonts w:ascii="Arial" w:hAnsi="Arial" w:cs="Arial"/>
                <w:sz w:val="20"/>
                <w:szCs w:val="20"/>
                <w:lang w:eastAsia="ja-JP"/>
              </w:rPr>
            </w:pPr>
            <w:r w:rsidRPr="00DB7129">
              <w:rPr>
                <w:rFonts w:ascii="Arial" w:eastAsia="Times New Roman" w:hAnsi="Arial" w:cs="Arial"/>
                <w:sz w:val="20"/>
                <w:szCs w:val="20"/>
                <w:lang w:eastAsia="ja-JP"/>
              </w:rPr>
              <w:t>No</w:t>
            </w:r>
          </w:p>
        </w:tc>
        <w:tc>
          <w:tcPr>
            <w:tcW w:w="433" w:type="pct"/>
            <w:vAlign w:val="center"/>
          </w:tcPr>
          <w:p w14:paraId="7728C139"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92.4</w:t>
            </w:r>
          </w:p>
        </w:tc>
        <w:tc>
          <w:tcPr>
            <w:tcW w:w="711" w:type="pct"/>
            <w:vAlign w:val="center"/>
          </w:tcPr>
          <w:p w14:paraId="7189AE93"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92.9</w:t>
            </w:r>
          </w:p>
        </w:tc>
        <w:tc>
          <w:tcPr>
            <w:tcW w:w="695" w:type="pct"/>
            <w:vAlign w:val="center"/>
          </w:tcPr>
          <w:p w14:paraId="49FB3BCE"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88.1</w:t>
            </w:r>
          </w:p>
        </w:tc>
        <w:tc>
          <w:tcPr>
            <w:tcW w:w="425" w:type="pct"/>
            <w:vMerge w:val="restart"/>
            <w:vAlign w:val="center"/>
          </w:tcPr>
          <w:p w14:paraId="46323829"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&lt;0.001</w:t>
            </w:r>
          </w:p>
        </w:tc>
      </w:tr>
      <w:tr w:rsidR="00DB7129" w:rsidRPr="00DB7129" w14:paraId="130A2BC0" w14:textId="77777777" w:rsidTr="00DD5D22">
        <w:trPr>
          <w:trHeight w:val="297"/>
          <w:jc w:val="center"/>
        </w:trPr>
        <w:tc>
          <w:tcPr>
            <w:tcW w:w="1020" w:type="pct"/>
            <w:vMerge/>
            <w:vAlign w:val="center"/>
          </w:tcPr>
          <w:p w14:paraId="3A166CA7" w14:textId="77777777" w:rsidR="00DB7129" w:rsidRPr="00DB7129" w:rsidRDefault="00DB7129" w:rsidP="00DB7129">
            <w:pPr>
              <w:rPr>
                <w:rFonts w:ascii="Arial" w:hAnsi="Arial" w:cs="Arial"/>
                <w:sz w:val="20"/>
                <w:szCs w:val="20"/>
                <w:lang w:eastAsia="ja-JP"/>
              </w:rPr>
            </w:pPr>
          </w:p>
        </w:tc>
        <w:tc>
          <w:tcPr>
            <w:tcW w:w="1715" w:type="pct"/>
            <w:vAlign w:val="center"/>
          </w:tcPr>
          <w:p w14:paraId="09531697" w14:textId="77777777" w:rsidR="00DB7129" w:rsidRPr="00DB7129" w:rsidRDefault="00DB7129" w:rsidP="00DB7129">
            <w:pPr>
              <w:rPr>
                <w:rFonts w:ascii="Arial" w:hAnsi="Arial" w:cs="Arial"/>
                <w:sz w:val="20"/>
                <w:szCs w:val="20"/>
                <w:lang w:eastAsia="ja-JP"/>
              </w:rPr>
            </w:pPr>
            <w:r w:rsidRPr="00DB7129">
              <w:rPr>
                <w:rFonts w:ascii="Arial" w:eastAsia="Times New Roman" w:hAnsi="Arial" w:cs="Arial"/>
                <w:sz w:val="20"/>
                <w:szCs w:val="20"/>
                <w:lang w:eastAsia="ja-JP"/>
              </w:rPr>
              <w:t>Yes</w:t>
            </w:r>
          </w:p>
        </w:tc>
        <w:tc>
          <w:tcPr>
            <w:tcW w:w="433" w:type="pct"/>
            <w:vAlign w:val="center"/>
          </w:tcPr>
          <w:p w14:paraId="5396631D"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7.6</w:t>
            </w:r>
          </w:p>
        </w:tc>
        <w:tc>
          <w:tcPr>
            <w:tcW w:w="711" w:type="pct"/>
            <w:vAlign w:val="center"/>
          </w:tcPr>
          <w:p w14:paraId="4B653B95"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7.1</w:t>
            </w:r>
          </w:p>
        </w:tc>
        <w:tc>
          <w:tcPr>
            <w:tcW w:w="695" w:type="pct"/>
            <w:vAlign w:val="center"/>
          </w:tcPr>
          <w:p w14:paraId="05AB9A20"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14.0</w:t>
            </w:r>
          </w:p>
        </w:tc>
        <w:tc>
          <w:tcPr>
            <w:tcW w:w="425" w:type="pct"/>
            <w:vMerge/>
            <w:vAlign w:val="center"/>
          </w:tcPr>
          <w:p w14:paraId="23446CAF" w14:textId="77777777" w:rsidR="00DB7129" w:rsidRPr="00DB7129" w:rsidRDefault="00DB7129" w:rsidP="00DB7129">
            <w:pPr>
              <w:rPr>
                <w:rFonts w:ascii="Arial" w:hAnsi="Arial" w:cs="Arial"/>
                <w:sz w:val="20"/>
                <w:szCs w:val="20"/>
                <w:lang w:eastAsia="ja-JP"/>
              </w:rPr>
            </w:pPr>
          </w:p>
        </w:tc>
      </w:tr>
      <w:tr w:rsidR="00DB7129" w:rsidRPr="00DB7129" w14:paraId="3624DFB4" w14:textId="77777777" w:rsidTr="00DD5D22">
        <w:trPr>
          <w:trHeight w:val="340"/>
          <w:jc w:val="center"/>
        </w:trPr>
        <w:tc>
          <w:tcPr>
            <w:tcW w:w="1020" w:type="pct"/>
            <w:vMerge w:val="restart"/>
            <w:vAlign w:val="center"/>
          </w:tcPr>
          <w:p w14:paraId="083D24BE"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 xml:space="preserve">Borderline </w:t>
            </w:r>
            <w:proofErr w:type="spellStart"/>
            <w:r w:rsidRPr="00DB7129">
              <w:rPr>
                <w:rFonts w:ascii="Arial" w:hAnsi="Arial" w:cs="Arial"/>
                <w:sz w:val="20"/>
                <w:szCs w:val="20"/>
                <w:lang w:eastAsia="ja-JP"/>
              </w:rPr>
              <w:t>personality</w:t>
            </w:r>
            <w:proofErr w:type="spellEnd"/>
            <w:r w:rsidRPr="00DB7129">
              <w:rPr>
                <w:rFonts w:ascii="Arial" w:hAnsi="Arial" w:cs="Arial"/>
                <w:sz w:val="20"/>
                <w:szCs w:val="20"/>
                <w:lang w:eastAsia="ja-JP"/>
              </w:rPr>
              <w:t xml:space="preserve"> </w:t>
            </w:r>
            <w:proofErr w:type="spellStart"/>
            <w:r w:rsidRPr="00DB7129">
              <w:rPr>
                <w:rFonts w:ascii="Arial" w:hAnsi="Arial" w:cs="Arial"/>
                <w:sz w:val="20"/>
                <w:szCs w:val="20"/>
                <w:lang w:eastAsia="ja-JP"/>
              </w:rPr>
              <w:t>disorder</w:t>
            </w:r>
            <w:proofErr w:type="spellEnd"/>
            <w:r w:rsidRPr="00DB7129">
              <w:rPr>
                <w:rFonts w:ascii="Arial" w:hAnsi="Arial" w:cs="Arial"/>
                <w:sz w:val="20"/>
                <w:szCs w:val="20"/>
                <w:lang w:eastAsia="ja-JP"/>
              </w:rPr>
              <w:t xml:space="preserve"> traits</w:t>
            </w:r>
          </w:p>
        </w:tc>
        <w:tc>
          <w:tcPr>
            <w:tcW w:w="1715" w:type="pct"/>
            <w:vAlign w:val="center"/>
          </w:tcPr>
          <w:p w14:paraId="2CB74525" w14:textId="77777777" w:rsidR="00DB7129" w:rsidRPr="00DB7129" w:rsidRDefault="00DB7129" w:rsidP="00DB7129">
            <w:pPr>
              <w:rPr>
                <w:rFonts w:ascii="Arial" w:eastAsia="Times New Roman" w:hAnsi="Arial" w:cs="Arial"/>
                <w:sz w:val="20"/>
                <w:szCs w:val="20"/>
                <w:lang w:eastAsia="ja-JP"/>
              </w:rPr>
            </w:pPr>
            <w:r w:rsidRPr="00DB7129">
              <w:rPr>
                <w:rFonts w:ascii="Arial" w:eastAsia="Times New Roman" w:hAnsi="Arial" w:cs="Arial"/>
                <w:sz w:val="20"/>
                <w:szCs w:val="20"/>
                <w:lang w:eastAsia="ja-JP"/>
              </w:rPr>
              <w:t>No</w:t>
            </w:r>
          </w:p>
        </w:tc>
        <w:tc>
          <w:tcPr>
            <w:tcW w:w="433" w:type="pct"/>
            <w:vAlign w:val="center"/>
          </w:tcPr>
          <w:p w14:paraId="0DE47828"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96.3</w:t>
            </w:r>
          </w:p>
        </w:tc>
        <w:tc>
          <w:tcPr>
            <w:tcW w:w="711" w:type="pct"/>
            <w:vAlign w:val="center"/>
          </w:tcPr>
          <w:p w14:paraId="10E25699"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97.0</w:t>
            </w:r>
          </w:p>
        </w:tc>
        <w:tc>
          <w:tcPr>
            <w:tcW w:w="695" w:type="pct"/>
            <w:vAlign w:val="center"/>
          </w:tcPr>
          <w:p w14:paraId="5620EAAC"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88.1</w:t>
            </w:r>
          </w:p>
        </w:tc>
        <w:tc>
          <w:tcPr>
            <w:tcW w:w="425" w:type="pct"/>
            <w:vMerge w:val="restart"/>
            <w:vAlign w:val="center"/>
          </w:tcPr>
          <w:p w14:paraId="47D7A013"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&lt;0.001</w:t>
            </w:r>
          </w:p>
        </w:tc>
      </w:tr>
      <w:tr w:rsidR="00DB7129" w:rsidRPr="00DB7129" w14:paraId="2028AEC9" w14:textId="77777777" w:rsidTr="00DD5D22">
        <w:trPr>
          <w:trHeight w:val="340"/>
          <w:jc w:val="center"/>
        </w:trPr>
        <w:tc>
          <w:tcPr>
            <w:tcW w:w="1020" w:type="pct"/>
            <w:vMerge/>
            <w:vAlign w:val="center"/>
          </w:tcPr>
          <w:p w14:paraId="3FA6DE52" w14:textId="77777777" w:rsidR="00DB7129" w:rsidRPr="00DB7129" w:rsidRDefault="00DB7129" w:rsidP="00DB7129">
            <w:pPr>
              <w:rPr>
                <w:rFonts w:ascii="Arial" w:hAnsi="Arial" w:cs="Arial"/>
                <w:sz w:val="20"/>
                <w:szCs w:val="20"/>
                <w:lang w:eastAsia="ja-JP"/>
              </w:rPr>
            </w:pPr>
          </w:p>
        </w:tc>
        <w:tc>
          <w:tcPr>
            <w:tcW w:w="1715" w:type="pct"/>
            <w:vAlign w:val="center"/>
          </w:tcPr>
          <w:p w14:paraId="7FABD922" w14:textId="77777777" w:rsidR="00DB7129" w:rsidRPr="00DB7129" w:rsidRDefault="00DB7129" w:rsidP="00DB7129">
            <w:pPr>
              <w:rPr>
                <w:rFonts w:ascii="Arial" w:eastAsia="Times New Roman" w:hAnsi="Arial" w:cs="Arial"/>
                <w:sz w:val="20"/>
                <w:szCs w:val="20"/>
                <w:lang w:eastAsia="ja-JP"/>
              </w:rPr>
            </w:pPr>
            <w:r w:rsidRPr="00DB7129">
              <w:rPr>
                <w:rFonts w:ascii="Arial" w:eastAsia="Times New Roman" w:hAnsi="Arial" w:cs="Arial"/>
                <w:sz w:val="20"/>
                <w:szCs w:val="20"/>
                <w:lang w:eastAsia="ja-JP"/>
              </w:rPr>
              <w:t>Yes</w:t>
            </w:r>
          </w:p>
        </w:tc>
        <w:tc>
          <w:tcPr>
            <w:tcW w:w="433" w:type="pct"/>
            <w:vAlign w:val="center"/>
          </w:tcPr>
          <w:p w14:paraId="7EB5FC63"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3.7</w:t>
            </w:r>
          </w:p>
        </w:tc>
        <w:tc>
          <w:tcPr>
            <w:tcW w:w="711" w:type="pct"/>
            <w:vAlign w:val="center"/>
          </w:tcPr>
          <w:p w14:paraId="26A058BA"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3.0</w:t>
            </w:r>
          </w:p>
        </w:tc>
        <w:tc>
          <w:tcPr>
            <w:tcW w:w="695" w:type="pct"/>
            <w:vAlign w:val="center"/>
          </w:tcPr>
          <w:p w14:paraId="7078ADA9"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11.9</w:t>
            </w:r>
          </w:p>
        </w:tc>
        <w:tc>
          <w:tcPr>
            <w:tcW w:w="425" w:type="pct"/>
            <w:vMerge/>
            <w:vAlign w:val="center"/>
          </w:tcPr>
          <w:p w14:paraId="60AB2148" w14:textId="77777777" w:rsidR="00DB7129" w:rsidRPr="00DB7129" w:rsidRDefault="00DB7129" w:rsidP="00DB7129">
            <w:pPr>
              <w:rPr>
                <w:rFonts w:ascii="Arial" w:hAnsi="Arial" w:cs="Arial"/>
                <w:sz w:val="20"/>
                <w:szCs w:val="20"/>
                <w:lang w:eastAsia="ja-JP"/>
              </w:rPr>
            </w:pPr>
          </w:p>
        </w:tc>
      </w:tr>
      <w:tr w:rsidR="00DB7129" w:rsidRPr="00DB7129" w14:paraId="50B85D2D" w14:textId="77777777" w:rsidTr="00DD5D22">
        <w:trPr>
          <w:jc w:val="center"/>
        </w:trPr>
        <w:tc>
          <w:tcPr>
            <w:tcW w:w="1020" w:type="pct"/>
            <w:vMerge w:val="restart"/>
            <w:vAlign w:val="center"/>
          </w:tcPr>
          <w:p w14:paraId="53C61083" w14:textId="77777777" w:rsidR="00DB7129" w:rsidRPr="00DB7129" w:rsidRDefault="00DB7129" w:rsidP="00DB7129">
            <w:pPr>
              <w:rPr>
                <w:rFonts w:ascii="Arial" w:hAnsi="Arial" w:cs="Arial"/>
                <w:sz w:val="20"/>
                <w:szCs w:val="20"/>
                <w:lang w:eastAsia="ja-JP"/>
              </w:rPr>
            </w:pPr>
            <w:proofErr w:type="spellStart"/>
            <w:r w:rsidRPr="00DB7129">
              <w:rPr>
                <w:rFonts w:ascii="Arial" w:hAnsi="Arial" w:cs="Arial"/>
                <w:sz w:val="20"/>
                <w:szCs w:val="20"/>
                <w:lang w:eastAsia="ja-JP"/>
              </w:rPr>
              <w:t>Posttraumatic</w:t>
            </w:r>
            <w:proofErr w:type="spellEnd"/>
            <w:r w:rsidRPr="00DB7129">
              <w:rPr>
                <w:rFonts w:ascii="Arial" w:hAnsi="Arial" w:cs="Arial"/>
                <w:sz w:val="20"/>
                <w:szCs w:val="20"/>
                <w:lang w:eastAsia="ja-JP"/>
              </w:rPr>
              <w:t xml:space="preserve"> stress </w:t>
            </w:r>
            <w:proofErr w:type="spellStart"/>
            <w:r w:rsidRPr="00DB7129">
              <w:rPr>
                <w:rFonts w:ascii="Arial" w:hAnsi="Arial" w:cs="Arial"/>
                <w:sz w:val="20"/>
                <w:szCs w:val="20"/>
                <w:lang w:eastAsia="ja-JP"/>
              </w:rPr>
              <w:t>disorder</w:t>
            </w:r>
            <w:proofErr w:type="spellEnd"/>
          </w:p>
        </w:tc>
        <w:tc>
          <w:tcPr>
            <w:tcW w:w="1715" w:type="pct"/>
            <w:vAlign w:val="center"/>
          </w:tcPr>
          <w:p w14:paraId="707453F8" w14:textId="77777777" w:rsidR="00DB7129" w:rsidRPr="00DB7129" w:rsidRDefault="00DB7129" w:rsidP="00DB7129">
            <w:pPr>
              <w:rPr>
                <w:rFonts w:ascii="Arial" w:eastAsia="Times New Roman" w:hAnsi="Arial" w:cs="Arial"/>
                <w:sz w:val="20"/>
                <w:szCs w:val="20"/>
                <w:lang w:eastAsia="ja-JP"/>
              </w:rPr>
            </w:pPr>
            <w:r w:rsidRPr="00DB7129">
              <w:rPr>
                <w:rFonts w:ascii="Arial" w:eastAsia="Times New Roman" w:hAnsi="Arial" w:cs="Arial"/>
                <w:sz w:val="20"/>
                <w:szCs w:val="20"/>
                <w:lang w:eastAsia="ja-JP"/>
              </w:rPr>
              <w:t>No</w:t>
            </w:r>
          </w:p>
        </w:tc>
        <w:tc>
          <w:tcPr>
            <w:tcW w:w="433" w:type="pct"/>
            <w:vAlign w:val="center"/>
          </w:tcPr>
          <w:p w14:paraId="39C63DE4"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97.1</w:t>
            </w:r>
          </w:p>
        </w:tc>
        <w:tc>
          <w:tcPr>
            <w:tcW w:w="711" w:type="pct"/>
            <w:vAlign w:val="center"/>
          </w:tcPr>
          <w:p w14:paraId="054123C8"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97.3</w:t>
            </w:r>
          </w:p>
        </w:tc>
        <w:tc>
          <w:tcPr>
            <w:tcW w:w="695" w:type="pct"/>
            <w:vAlign w:val="center"/>
          </w:tcPr>
          <w:p w14:paraId="2F065BDE"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94.4</w:t>
            </w:r>
          </w:p>
        </w:tc>
        <w:tc>
          <w:tcPr>
            <w:tcW w:w="425" w:type="pct"/>
            <w:vMerge w:val="restart"/>
            <w:vAlign w:val="center"/>
          </w:tcPr>
          <w:p w14:paraId="21FF0D92"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&lt;0.001</w:t>
            </w:r>
          </w:p>
        </w:tc>
      </w:tr>
      <w:tr w:rsidR="00DB7129" w:rsidRPr="00DB7129" w14:paraId="06C6722B" w14:textId="77777777" w:rsidTr="00DD5D22">
        <w:trPr>
          <w:jc w:val="center"/>
        </w:trPr>
        <w:tc>
          <w:tcPr>
            <w:tcW w:w="1020" w:type="pct"/>
            <w:vMerge/>
            <w:vAlign w:val="center"/>
          </w:tcPr>
          <w:p w14:paraId="4BDB5798" w14:textId="77777777" w:rsidR="00DB7129" w:rsidRPr="00DB7129" w:rsidRDefault="00DB7129" w:rsidP="00DB7129">
            <w:pPr>
              <w:rPr>
                <w:rFonts w:ascii="Arial" w:hAnsi="Arial" w:cs="Arial"/>
                <w:sz w:val="20"/>
                <w:szCs w:val="20"/>
                <w:lang w:eastAsia="ja-JP"/>
              </w:rPr>
            </w:pPr>
          </w:p>
        </w:tc>
        <w:tc>
          <w:tcPr>
            <w:tcW w:w="1715" w:type="pct"/>
            <w:vAlign w:val="center"/>
          </w:tcPr>
          <w:p w14:paraId="38BC50AA" w14:textId="77777777" w:rsidR="00DB7129" w:rsidRPr="00DB7129" w:rsidRDefault="00DB7129" w:rsidP="00DB7129">
            <w:pPr>
              <w:rPr>
                <w:rFonts w:ascii="Arial" w:eastAsia="Times New Roman" w:hAnsi="Arial" w:cs="Arial"/>
                <w:sz w:val="20"/>
                <w:szCs w:val="20"/>
                <w:lang w:eastAsia="ja-JP"/>
              </w:rPr>
            </w:pPr>
            <w:r w:rsidRPr="00DB7129">
              <w:rPr>
                <w:rFonts w:ascii="Arial" w:eastAsia="Times New Roman" w:hAnsi="Arial" w:cs="Arial"/>
                <w:sz w:val="20"/>
                <w:szCs w:val="20"/>
                <w:lang w:eastAsia="ja-JP"/>
              </w:rPr>
              <w:t>Yes</w:t>
            </w:r>
          </w:p>
        </w:tc>
        <w:tc>
          <w:tcPr>
            <w:tcW w:w="433" w:type="pct"/>
            <w:vAlign w:val="center"/>
          </w:tcPr>
          <w:p w14:paraId="2B6F598F"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2.9</w:t>
            </w:r>
          </w:p>
        </w:tc>
        <w:tc>
          <w:tcPr>
            <w:tcW w:w="711" w:type="pct"/>
            <w:vAlign w:val="center"/>
          </w:tcPr>
          <w:p w14:paraId="69CB8795"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2.7</w:t>
            </w:r>
          </w:p>
        </w:tc>
        <w:tc>
          <w:tcPr>
            <w:tcW w:w="695" w:type="pct"/>
            <w:vAlign w:val="center"/>
          </w:tcPr>
          <w:p w14:paraId="401D47A7"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5.6</w:t>
            </w:r>
          </w:p>
        </w:tc>
        <w:tc>
          <w:tcPr>
            <w:tcW w:w="425" w:type="pct"/>
            <w:vMerge/>
            <w:vAlign w:val="center"/>
          </w:tcPr>
          <w:p w14:paraId="3E52BA6B" w14:textId="77777777" w:rsidR="00DB7129" w:rsidRPr="00DB7129" w:rsidRDefault="00DB7129" w:rsidP="00DB7129">
            <w:pPr>
              <w:rPr>
                <w:rFonts w:ascii="Arial" w:hAnsi="Arial" w:cs="Arial"/>
                <w:sz w:val="20"/>
                <w:szCs w:val="20"/>
                <w:lang w:eastAsia="ja-JP"/>
              </w:rPr>
            </w:pPr>
          </w:p>
        </w:tc>
      </w:tr>
      <w:tr w:rsidR="00DB7129" w:rsidRPr="00DB7129" w14:paraId="2F26F2F4" w14:textId="77777777" w:rsidTr="00DD5D22">
        <w:trPr>
          <w:jc w:val="center"/>
        </w:trPr>
        <w:tc>
          <w:tcPr>
            <w:tcW w:w="1020" w:type="pct"/>
            <w:vMerge w:val="restart"/>
            <w:vAlign w:val="center"/>
          </w:tcPr>
          <w:p w14:paraId="06168031" w14:textId="77777777" w:rsidR="00DB7129" w:rsidRPr="00DB7129" w:rsidRDefault="00DB7129" w:rsidP="00DB7129">
            <w:pPr>
              <w:rPr>
                <w:rFonts w:ascii="Arial" w:hAnsi="Arial" w:cs="Arial"/>
                <w:sz w:val="20"/>
                <w:szCs w:val="20"/>
                <w:lang w:eastAsia="ja-JP"/>
              </w:rPr>
            </w:pPr>
            <w:proofErr w:type="spellStart"/>
            <w:r w:rsidRPr="00DB7129">
              <w:rPr>
                <w:rFonts w:ascii="Arial" w:hAnsi="Arial" w:cs="Arial"/>
                <w:sz w:val="20"/>
                <w:szCs w:val="20"/>
                <w:lang w:eastAsia="ja-JP"/>
              </w:rPr>
              <w:t>Sleep</w:t>
            </w:r>
            <w:proofErr w:type="spellEnd"/>
            <w:r w:rsidRPr="00DB7129">
              <w:rPr>
                <w:rFonts w:ascii="Arial" w:hAnsi="Arial" w:cs="Arial"/>
                <w:sz w:val="20"/>
                <w:szCs w:val="20"/>
                <w:lang w:eastAsia="ja-JP"/>
              </w:rPr>
              <w:t xml:space="preserve"> </w:t>
            </w:r>
            <w:proofErr w:type="spellStart"/>
            <w:r w:rsidRPr="00DB7129">
              <w:rPr>
                <w:rFonts w:ascii="Arial" w:hAnsi="Arial" w:cs="Arial"/>
                <w:sz w:val="20"/>
                <w:szCs w:val="20"/>
                <w:lang w:eastAsia="ja-JP"/>
              </w:rPr>
              <w:t>problems</w:t>
            </w:r>
            <w:proofErr w:type="spellEnd"/>
          </w:p>
        </w:tc>
        <w:tc>
          <w:tcPr>
            <w:tcW w:w="1715" w:type="pct"/>
            <w:vAlign w:val="center"/>
          </w:tcPr>
          <w:p w14:paraId="28407D7E" w14:textId="77777777" w:rsidR="00DB7129" w:rsidRPr="00DB7129" w:rsidRDefault="00DB7129" w:rsidP="00DB7129">
            <w:pPr>
              <w:rPr>
                <w:rFonts w:ascii="Arial" w:eastAsia="Times New Roman" w:hAnsi="Arial" w:cs="Arial"/>
                <w:sz w:val="20"/>
                <w:szCs w:val="20"/>
                <w:lang w:eastAsia="ja-JP"/>
              </w:rPr>
            </w:pPr>
            <w:r w:rsidRPr="00DB7129">
              <w:rPr>
                <w:rFonts w:ascii="Arial" w:eastAsia="Times New Roman" w:hAnsi="Arial" w:cs="Arial"/>
                <w:sz w:val="20"/>
                <w:szCs w:val="20"/>
                <w:lang w:eastAsia="ja-JP"/>
              </w:rPr>
              <w:t>No</w:t>
            </w:r>
          </w:p>
        </w:tc>
        <w:tc>
          <w:tcPr>
            <w:tcW w:w="433" w:type="pct"/>
            <w:vAlign w:val="center"/>
          </w:tcPr>
          <w:p w14:paraId="4D1B0C43"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57.9</w:t>
            </w:r>
          </w:p>
        </w:tc>
        <w:tc>
          <w:tcPr>
            <w:tcW w:w="711" w:type="pct"/>
            <w:vAlign w:val="center"/>
          </w:tcPr>
          <w:p w14:paraId="21B236BD"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58.6</w:t>
            </w:r>
          </w:p>
        </w:tc>
        <w:tc>
          <w:tcPr>
            <w:tcW w:w="695" w:type="pct"/>
            <w:vAlign w:val="center"/>
          </w:tcPr>
          <w:p w14:paraId="4CEAC6AD"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48.3</w:t>
            </w:r>
          </w:p>
        </w:tc>
        <w:tc>
          <w:tcPr>
            <w:tcW w:w="425" w:type="pct"/>
            <w:vMerge w:val="restart"/>
            <w:vAlign w:val="center"/>
          </w:tcPr>
          <w:p w14:paraId="65D4C8C4"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&lt;0.001</w:t>
            </w:r>
          </w:p>
        </w:tc>
      </w:tr>
      <w:tr w:rsidR="00DB7129" w:rsidRPr="00DB7129" w14:paraId="13B578EF" w14:textId="77777777" w:rsidTr="00DD5D22">
        <w:trPr>
          <w:jc w:val="center"/>
        </w:trPr>
        <w:tc>
          <w:tcPr>
            <w:tcW w:w="1020" w:type="pct"/>
            <w:vMerge/>
          </w:tcPr>
          <w:p w14:paraId="044335C3" w14:textId="77777777" w:rsidR="00DB7129" w:rsidRPr="00DB7129" w:rsidRDefault="00DB7129" w:rsidP="00DB7129">
            <w:pPr>
              <w:rPr>
                <w:rFonts w:ascii="Arial" w:hAnsi="Arial" w:cs="Arial"/>
                <w:sz w:val="20"/>
                <w:szCs w:val="20"/>
                <w:lang w:eastAsia="ja-JP"/>
              </w:rPr>
            </w:pPr>
          </w:p>
        </w:tc>
        <w:tc>
          <w:tcPr>
            <w:tcW w:w="1715" w:type="pct"/>
            <w:vAlign w:val="center"/>
          </w:tcPr>
          <w:p w14:paraId="21723962" w14:textId="77777777" w:rsidR="00DB7129" w:rsidRPr="00DB7129" w:rsidRDefault="00DB7129" w:rsidP="00DB7129">
            <w:pPr>
              <w:rPr>
                <w:rFonts w:ascii="Arial" w:eastAsia="Times New Roman" w:hAnsi="Arial" w:cs="Arial"/>
                <w:sz w:val="20"/>
                <w:szCs w:val="20"/>
                <w:lang w:eastAsia="ja-JP"/>
              </w:rPr>
            </w:pPr>
            <w:r w:rsidRPr="00DB7129">
              <w:rPr>
                <w:rFonts w:ascii="Arial" w:eastAsia="Times New Roman" w:hAnsi="Arial" w:cs="Arial"/>
                <w:sz w:val="20"/>
                <w:szCs w:val="20"/>
                <w:lang w:eastAsia="ja-JP"/>
              </w:rPr>
              <w:t>Yes</w:t>
            </w:r>
          </w:p>
        </w:tc>
        <w:tc>
          <w:tcPr>
            <w:tcW w:w="433" w:type="pct"/>
            <w:vAlign w:val="center"/>
          </w:tcPr>
          <w:p w14:paraId="36101947"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42.1</w:t>
            </w:r>
          </w:p>
        </w:tc>
        <w:tc>
          <w:tcPr>
            <w:tcW w:w="711" w:type="pct"/>
            <w:vAlign w:val="center"/>
          </w:tcPr>
          <w:p w14:paraId="22A686DF"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41.4</w:t>
            </w:r>
          </w:p>
        </w:tc>
        <w:tc>
          <w:tcPr>
            <w:tcW w:w="695" w:type="pct"/>
            <w:vAlign w:val="center"/>
          </w:tcPr>
          <w:p w14:paraId="6990D6D3"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51.7</w:t>
            </w:r>
          </w:p>
        </w:tc>
        <w:tc>
          <w:tcPr>
            <w:tcW w:w="425" w:type="pct"/>
            <w:vMerge/>
          </w:tcPr>
          <w:p w14:paraId="748E573B" w14:textId="77777777" w:rsidR="00DB7129" w:rsidRPr="00DB7129" w:rsidRDefault="00DB7129" w:rsidP="00DB7129">
            <w:pPr>
              <w:rPr>
                <w:rFonts w:ascii="Arial" w:hAnsi="Arial" w:cs="Arial"/>
                <w:sz w:val="20"/>
                <w:szCs w:val="20"/>
                <w:lang w:eastAsia="ja-JP"/>
              </w:rPr>
            </w:pPr>
          </w:p>
        </w:tc>
      </w:tr>
    </w:tbl>
    <w:p w14:paraId="33ED1E19" w14:textId="77777777" w:rsidR="00DB7129" w:rsidRPr="00DB7129" w:rsidRDefault="00DB7129" w:rsidP="00DB7129">
      <w:pPr>
        <w:ind w:left="-720"/>
        <w:jc w:val="both"/>
        <w:rPr>
          <w:rFonts w:ascii="Arial" w:hAnsi="Arial" w:cs="Arial"/>
          <w:sz w:val="18"/>
          <w:szCs w:val="18"/>
          <w:lang w:eastAsia="ja-JP"/>
        </w:rPr>
      </w:pPr>
      <w:r w:rsidRPr="00DB7129">
        <w:rPr>
          <w:rFonts w:ascii="Arial" w:hAnsi="Arial" w:cs="Arial"/>
          <w:sz w:val="18"/>
          <w:szCs w:val="18"/>
          <w:lang w:eastAsia="ja-JP"/>
        </w:rPr>
        <w:t xml:space="preserve">Participants were asked about their sexual orientation, and sexual orientation was dichotomized into heterosexual and non-heterosexual (i.e., mostly/mainly heterosexual, bisexual, mostly/mainly homosexual, entirely/completely homosexual, other). </w:t>
      </w:r>
    </w:p>
    <w:p w14:paraId="2AA8848B" w14:textId="77777777" w:rsidR="00DB7129" w:rsidRPr="00DB7129" w:rsidRDefault="00DB7129" w:rsidP="00DB7129">
      <w:pPr>
        <w:ind w:left="-720"/>
        <w:jc w:val="both"/>
        <w:rPr>
          <w:rFonts w:ascii="Arial" w:hAnsi="Arial" w:cs="Arial"/>
          <w:sz w:val="18"/>
          <w:szCs w:val="18"/>
          <w:lang w:eastAsia="ja-JP"/>
        </w:rPr>
      </w:pPr>
      <w:r w:rsidRPr="00DB7129">
        <w:rPr>
          <w:rFonts w:ascii="Arial" w:hAnsi="Arial" w:cs="Arial"/>
          <w:sz w:val="18"/>
          <w:szCs w:val="18"/>
          <w:vertAlign w:val="superscript"/>
          <w:lang w:eastAsia="ja-JP"/>
        </w:rPr>
        <w:t>a</w:t>
      </w:r>
      <w:r w:rsidRPr="00DB7129">
        <w:rPr>
          <w:rFonts w:ascii="Arial" w:hAnsi="Arial" w:cs="Arial"/>
          <w:sz w:val="18"/>
          <w:szCs w:val="18"/>
          <w:lang w:eastAsia="ja-JP"/>
        </w:rPr>
        <w:t xml:space="preserve"> P-values were based on Chi-squared tests except for age, social support and the number of stressful life events (t-tests).</w:t>
      </w:r>
    </w:p>
    <w:p w14:paraId="1DF18BB6" w14:textId="77777777" w:rsidR="00DB7129" w:rsidRPr="00DB7129" w:rsidRDefault="00DB7129" w:rsidP="00DB7129">
      <w:pPr>
        <w:ind w:left="-720"/>
        <w:jc w:val="both"/>
        <w:rPr>
          <w:rFonts w:ascii="Arial" w:hAnsi="Arial" w:cs="Arial"/>
          <w:sz w:val="18"/>
          <w:szCs w:val="18"/>
          <w:lang w:eastAsia="ja-JP"/>
        </w:rPr>
      </w:pPr>
      <w:r w:rsidRPr="00DB7129">
        <w:rPr>
          <w:rFonts w:ascii="Arial" w:hAnsi="Arial" w:cs="Arial"/>
          <w:sz w:val="18"/>
          <w:szCs w:val="18"/>
          <w:vertAlign w:val="superscript"/>
          <w:lang w:eastAsia="ja-JP"/>
        </w:rPr>
        <w:t>b</w:t>
      </w:r>
      <w:r w:rsidRPr="00DB7129">
        <w:rPr>
          <w:rFonts w:ascii="Arial" w:hAnsi="Arial" w:cs="Arial"/>
          <w:sz w:val="18"/>
          <w:szCs w:val="18"/>
          <w:lang w:eastAsia="ja-JP"/>
        </w:rPr>
        <w:t xml:space="preserve"> Individuals who do not smoke were included in the category “no nicotine dependence”.</w:t>
      </w:r>
    </w:p>
    <w:p w14:paraId="568975F8" w14:textId="77777777" w:rsidR="00DB7129" w:rsidRPr="00DB7129" w:rsidRDefault="00DB7129" w:rsidP="00DB7129">
      <w:pPr>
        <w:ind w:left="-720"/>
        <w:jc w:val="both"/>
        <w:rPr>
          <w:rFonts w:ascii="Arial" w:hAnsi="Arial" w:cs="Arial"/>
          <w:sz w:val="18"/>
          <w:szCs w:val="18"/>
          <w:vertAlign w:val="superscript"/>
          <w:lang w:eastAsia="ja-JP"/>
        </w:rPr>
      </w:pPr>
      <w:r w:rsidRPr="00DB7129">
        <w:rPr>
          <w:rFonts w:ascii="Arial" w:hAnsi="Arial" w:cs="Arial"/>
          <w:sz w:val="18"/>
          <w:szCs w:val="18"/>
          <w:vertAlign w:val="superscript"/>
          <w:lang w:eastAsia="ja-JP"/>
        </w:rPr>
        <w:t xml:space="preserve">c </w:t>
      </w:r>
      <w:r w:rsidRPr="00DB7129">
        <w:rPr>
          <w:rFonts w:ascii="Arial" w:hAnsi="Arial" w:cs="Arial"/>
          <w:sz w:val="18"/>
          <w:szCs w:val="18"/>
          <w:lang w:eastAsia="ja-JP"/>
        </w:rPr>
        <w:t>Individuals who do not consume alcohol were included in the category “no alcohol dependence”.</w:t>
      </w:r>
    </w:p>
    <w:p w14:paraId="727F956A" w14:textId="77777777" w:rsidR="00DB7129" w:rsidRPr="00DB7129" w:rsidRDefault="00DB7129" w:rsidP="00DB7129">
      <w:pPr>
        <w:ind w:left="-720"/>
        <w:jc w:val="both"/>
        <w:rPr>
          <w:rFonts w:ascii="Arial" w:hAnsi="Arial" w:cs="Arial"/>
          <w:sz w:val="18"/>
          <w:szCs w:val="18"/>
          <w:lang w:eastAsia="ja-JP"/>
        </w:rPr>
      </w:pPr>
      <w:r w:rsidRPr="00DB7129">
        <w:rPr>
          <w:rFonts w:ascii="Arial" w:hAnsi="Arial" w:cs="Arial"/>
          <w:sz w:val="18"/>
          <w:szCs w:val="18"/>
          <w:vertAlign w:val="superscript"/>
          <w:lang w:eastAsia="ja-JP"/>
        </w:rPr>
        <w:t>d</w:t>
      </w:r>
      <w:r w:rsidRPr="00DB7129">
        <w:rPr>
          <w:rFonts w:ascii="Arial" w:hAnsi="Arial" w:cs="Arial"/>
          <w:sz w:val="18"/>
          <w:szCs w:val="18"/>
          <w:lang w:eastAsia="ja-JP"/>
        </w:rPr>
        <w:t xml:space="preserve"> </w:t>
      </w:r>
      <w:proofErr w:type="gramStart"/>
      <w:r w:rsidRPr="00DB7129">
        <w:rPr>
          <w:rFonts w:ascii="Arial" w:hAnsi="Arial" w:cs="Arial"/>
          <w:sz w:val="18"/>
          <w:szCs w:val="18"/>
          <w:lang w:eastAsia="ja-JP"/>
        </w:rPr>
        <w:t>The</w:t>
      </w:r>
      <w:proofErr w:type="gramEnd"/>
      <w:r w:rsidRPr="00DB7129">
        <w:rPr>
          <w:rFonts w:ascii="Arial" w:hAnsi="Arial" w:cs="Arial"/>
          <w:sz w:val="18"/>
          <w:szCs w:val="18"/>
          <w:lang w:eastAsia="ja-JP"/>
        </w:rPr>
        <w:t xml:space="preserve"> variable on social support ranged from 0 to 14, with higher scores representing higher levels of social support.</w:t>
      </w:r>
    </w:p>
    <w:p w14:paraId="2393FA0C" w14:textId="77777777" w:rsidR="00DB7129" w:rsidRPr="00DB7129" w:rsidRDefault="00DB7129" w:rsidP="00DB7129">
      <w:pPr>
        <w:ind w:left="-1080"/>
        <w:jc w:val="both"/>
        <w:rPr>
          <w:rFonts w:ascii="Arial" w:hAnsi="Arial" w:cs="Arial"/>
          <w:sz w:val="18"/>
          <w:szCs w:val="18"/>
          <w:lang w:eastAsia="ja-JP"/>
        </w:rPr>
      </w:pPr>
    </w:p>
    <w:p w14:paraId="7EEC5F9E" w14:textId="472A9791" w:rsidR="00DB7129" w:rsidRPr="00DB7129" w:rsidRDefault="00DB7129" w:rsidP="00DB7129">
      <w:pPr>
        <w:ind w:left="-1080"/>
        <w:jc w:val="both"/>
        <w:rPr>
          <w:rFonts w:ascii="Arial" w:hAnsi="Arial" w:cs="Arial"/>
          <w:sz w:val="18"/>
          <w:szCs w:val="18"/>
          <w:lang w:eastAsia="ja-JP"/>
        </w:rPr>
        <w:sectPr w:rsidR="00DB7129" w:rsidRPr="00DB7129" w:rsidSect="0067013B">
          <w:footerReference w:type="even" r:id="rId9"/>
          <w:footerReference w:type="default" r:id="rId10"/>
          <w:pgSz w:w="11900" w:h="16840"/>
          <w:pgMar w:top="1440" w:right="1800" w:bottom="1440" w:left="1800" w:header="708" w:footer="708" w:gutter="0"/>
          <w:cols w:space="708"/>
          <w:docGrid w:linePitch="360"/>
        </w:sectPr>
      </w:pPr>
    </w:p>
    <w:p w14:paraId="4D1D389E" w14:textId="77777777" w:rsidR="00DB7129" w:rsidRPr="00DB7129" w:rsidRDefault="00DB7129" w:rsidP="00DB7129">
      <w:pPr>
        <w:spacing w:line="360" w:lineRule="auto"/>
        <w:rPr>
          <w:rFonts w:ascii="Arial" w:hAnsi="Arial"/>
          <w:lang w:eastAsia="ja-JP"/>
        </w:rPr>
      </w:pPr>
      <w:r w:rsidRPr="00DB7129">
        <w:rPr>
          <w:rFonts w:ascii="Arial" w:hAnsi="Arial" w:cs="Arial"/>
          <w:b/>
          <w:lang w:eastAsia="ja-JP"/>
        </w:rPr>
        <w:lastRenderedPageBreak/>
        <w:t>Table 2.</w:t>
      </w:r>
      <w:r w:rsidRPr="00DB7129">
        <w:rPr>
          <w:rFonts w:ascii="Arial" w:hAnsi="Arial" w:cs="Arial"/>
          <w:lang w:eastAsia="ja-JP"/>
        </w:rPr>
        <w:t xml:space="preserve"> Mediating factors in the association between sexual orientation</w:t>
      </w:r>
      <w:r w:rsidRPr="00DB7129">
        <w:rPr>
          <w:rFonts w:ascii="Arial" w:hAnsi="Arial"/>
          <w:lang w:eastAsia="ja-JP"/>
        </w:rPr>
        <w:t xml:space="preserve"> (independent variable) and any psychotic experience (dependent variable)</w:t>
      </w:r>
    </w:p>
    <w:tbl>
      <w:tblPr>
        <w:tblStyle w:val="TableGrid"/>
        <w:tblW w:w="5000" w:type="pct"/>
        <w:tblLook w:val="04A0" w:firstRow="1" w:lastRow="0" w:firstColumn="1" w:lastColumn="0" w:noHBand="0" w:noVBand="1"/>
      </w:tblPr>
      <w:tblGrid>
        <w:gridCol w:w="1805"/>
        <w:gridCol w:w="1162"/>
        <w:gridCol w:w="834"/>
        <w:gridCol w:w="1162"/>
        <w:gridCol w:w="834"/>
        <w:gridCol w:w="1162"/>
        <w:gridCol w:w="834"/>
        <w:gridCol w:w="1217"/>
      </w:tblGrid>
      <w:tr w:rsidR="00DB7129" w:rsidRPr="00DB7129" w14:paraId="6C3D5E1A" w14:textId="77777777" w:rsidTr="00DD5D22">
        <w:tc>
          <w:tcPr>
            <w:tcW w:w="1521" w:type="pct"/>
            <w:vAlign w:val="center"/>
          </w:tcPr>
          <w:p w14:paraId="7511E7ED" w14:textId="77777777" w:rsidR="00DB7129" w:rsidRPr="00DB7129" w:rsidRDefault="00DB7129" w:rsidP="00DB7129">
            <w:pPr>
              <w:rPr>
                <w:rFonts w:ascii="Arial" w:hAnsi="Arial" w:cs="Arial"/>
                <w:sz w:val="20"/>
                <w:szCs w:val="20"/>
                <w:lang w:eastAsia="ja-JP"/>
              </w:rPr>
            </w:pPr>
          </w:p>
        </w:tc>
        <w:tc>
          <w:tcPr>
            <w:tcW w:w="997" w:type="pct"/>
            <w:gridSpan w:val="2"/>
            <w:vAlign w:val="center"/>
          </w:tcPr>
          <w:p w14:paraId="4AFB69D4" w14:textId="77777777" w:rsidR="00DB7129" w:rsidRPr="00DB7129" w:rsidRDefault="00DB7129" w:rsidP="00DB7129">
            <w:pPr>
              <w:rPr>
                <w:rFonts w:ascii="Arial" w:hAnsi="Arial" w:cs="Arial"/>
                <w:sz w:val="20"/>
                <w:szCs w:val="20"/>
                <w:lang w:eastAsia="ja-JP"/>
              </w:rPr>
            </w:pPr>
            <w:r w:rsidRPr="00DB7129">
              <w:rPr>
                <w:rFonts w:ascii="Arial" w:eastAsia="Times New Roman" w:hAnsi="Arial" w:cs="Arial"/>
                <w:sz w:val="20"/>
                <w:szCs w:val="20"/>
                <w:lang w:eastAsia="ja-JP"/>
              </w:rPr>
              <w:t xml:space="preserve">Total </w:t>
            </w:r>
            <w:proofErr w:type="spellStart"/>
            <w:r w:rsidRPr="00DB7129">
              <w:rPr>
                <w:rFonts w:ascii="Arial" w:eastAsia="Times New Roman" w:hAnsi="Arial" w:cs="Arial"/>
                <w:sz w:val="20"/>
                <w:szCs w:val="20"/>
                <w:lang w:eastAsia="ja-JP"/>
              </w:rPr>
              <w:t>effect</w:t>
            </w:r>
            <w:proofErr w:type="spellEnd"/>
          </w:p>
        </w:tc>
        <w:tc>
          <w:tcPr>
            <w:tcW w:w="997" w:type="pct"/>
            <w:gridSpan w:val="2"/>
            <w:vAlign w:val="center"/>
          </w:tcPr>
          <w:p w14:paraId="2A17D83D" w14:textId="77777777" w:rsidR="00DB7129" w:rsidRPr="00DB7129" w:rsidRDefault="00DB7129" w:rsidP="00DB7129">
            <w:pPr>
              <w:rPr>
                <w:rFonts w:ascii="Arial" w:hAnsi="Arial" w:cs="Arial"/>
                <w:sz w:val="20"/>
                <w:szCs w:val="20"/>
                <w:lang w:eastAsia="ja-JP"/>
              </w:rPr>
            </w:pPr>
            <w:r w:rsidRPr="00DB7129">
              <w:rPr>
                <w:rFonts w:ascii="Arial" w:eastAsia="Times New Roman" w:hAnsi="Arial" w:cs="Arial"/>
                <w:sz w:val="20"/>
                <w:szCs w:val="20"/>
                <w:lang w:eastAsia="ja-JP"/>
              </w:rPr>
              <w:t xml:space="preserve">Direct </w:t>
            </w:r>
            <w:proofErr w:type="spellStart"/>
            <w:r w:rsidRPr="00DB7129">
              <w:rPr>
                <w:rFonts w:ascii="Arial" w:eastAsia="Times New Roman" w:hAnsi="Arial" w:cs="Arial"/>
                <w:sz w:val="20"/>
                <w:szCs w:val="20"/>
                <w:lang w:eastAsia="ja-JP"/>
              </w:rPr>
              <w:t>effect</w:t>
            </w:r>
            <w:proofErr w:type="spellEnd"/>
          </w:p>
        </w:tc>
        <w:tc>
          <w:tcPr>
            <w:tcW w:w="997" w:type="pct"/>
            <w:gridSpan w:val="2"/>
            <w:vAlign w:val="center"/>
          </w:tcPr>
          <w:p w14:paraId="6FCF570D" w14:textId="77777777" w:rsidR="00DB7129" w:rsidRPr="00DB7129" w:rsidRDefault="00DB7129" w:rsidP="00DB7129">
            <w:pPr>
              <w:rPr>
                <w:rFonts w:ascii="Arial" w:hAnsi="Arial" w:cs="Arial"/>
                <w:sz w:val="20"/>
                <w:szCs w:val="20"/>
                <w:lang w:eastAsia="ja-JP"/>
              </w:rPr>
            </w:pPr>
            <w:r w:rsidRPr="00DB7129">
              <w:rPr>
                <w:rFonts w:ascii="Arial" w:eastAsia="Times New Roman" w:hAnsi="Arial" w:cs="Arial"/>
                <w:sz w:val="20"/>
                <w:szCs w:val="20"/>
                <w:lang w:eastAsia="ja-JP"/>
              </w:rPr>
              <w:t xml:space="preserve">Indirect </w:t>
            </w:r>
            <w:proofErr w:type="spellStart"/>
            <w:r w:rsidRPr="00DB7129">
              <w:rPr>
                <w:rFonts w:ascii="Arial" w:eastAsia="Times New Roman" w:hAnsi="Arial" w:cs="Arial"/>
                <w:sz w:val="20"/>
                <w:szCs w:val="20"/>
                <w:lang w:eastAsia="ja-JP"/>
              </w:rPr>
              <w:t>effect</w:t>
            </w:r>
            <w:proofErr w:type="spellEnd"/>
          </w:p>
        </w:tc>
        <w:tc>
          <w:tcPr>
            <w:tcW w:w="488" w:type="pct"/>
            <w:vAlign w:val="center"/>
          </w:tcPr>
          <w:p w14:paraId="004B8516" w14:textId="77777777" w:rsidR="00DB7129" w:rsidRPr="00DB7129" w:rsidRDefault="00DB7129" w:rsidP="00DB7129">
            <w:pPr>
              <w:rPr>
                <w:rFonts w:ascii="Arial" w:hAnsi="Arial" w:cs="Arial"/>
                <w:sz w:val="20"/>
                <w:szCs w:val="20"/>
                <w:lang w:eastAsia="ja-JP"/>
              </w:rPr>
            </w:pPr>
          </w:p>
        </w:tc>
      </w:tr>
      <w:tr w:rsidR="00DB7129" w:rsidRPr="00DB7129" w14:paraId="4108AEC6" w14:textId="77777777" w:rsidTr="00DD5D22">
        <w:tc>
          <w:tcPr>
            <w:tcW w:w="1521" w:type="pct"/>
            <w:vAlign w:val="center"/>
          </w:tcPr>
          <w:p w14:paraId="095005BC" w14:textId="77777777" w:rsidR="00DB7129" w:rsidRPr="00DB7129" w:rsidRDefault="00DB7129" w:rsidP="00DB7129">
            <w:pPr>
              <w:rPr>
                <w:rFonts w:ascii="Arial" w:hAnsi="Arial" w:cs="Arial"/>
                <w:sz w:val="20"/>
                <w:szCs w:val="20"/>
                <w:lang w:eastAsia="ja-JP"/>
              </w:rPr>
            </w:pPr>
            <w:r w:rsidRPr="00DB7129">
              <w:rPr>
                <w:rFonts w:ascii="Arial" w:eastAsia="Times New Roman" w:hAnsi="Arial" w:cs="Arial"/>
                <w:sz w:val="20"/>
                <w:szCs w:val="20"/>
                <w:lang w:eastAsia="ja-JP"/>
              </w:rPr>
              <w:t>Mediator</w:t>
            </w:r>
          </w:p>
        </w:tc>
        <w:tc>
          <w:tcPr>
            <w:tcW w:w="640" w:type="pct"/>
            <w:vAlign w:val="center"/>
          </w:tcPr>
          <w:p w14:paraId="5DF8A994" w14:textId="77777777" w:rsidR="00DB7129" w:rsidRPr="00DB7129" w:rsidRDefault="00DB7129" w:rsidP="00DB7129">
            <w:pPr>
              <w:rPr>
                <w:rFonts w:ascii="Arial" w:hAnsi="Arial" w:cs="Arial"/>
                <w:sz w:val="20"/>
                <w:szCs w:val="20"/>
                <w:lang w:eastAsia="ja-JP"/>
              </w:rPr>
            </w:pPr>
            <w:r w:rsidRPr="00DB7129">
              <w:rPr>
                <w:rFonts w:ascii="Arial" w:eastAsia="Times New Roman" w:hAnsi="Arial" w:cs="Arial"/>
                <w:sz w:val="20"/>
                <w:szCs w:val="20"/>
                <w:lang w:eastAsia="ja-JP"/>
              </w:rPr>
              <w:t>OR [95%CI]</w:t>
            </w:r>
          </w:p>
        </w:tc>
        <w:tc>
          <w:tcPr>
            <w:tcW w:w="357" w:type="pct"/>
            <w:vAlign w:val="center"/>
          </w:tcPr>
          <w:p w14:paraId="278E7A05" w14:textId="77777777" w:rsidR="00DB7129" w:rsidRPr="00DB7129" w:rsidRDefault="00DB7129" w:rsidP="00DB7129">
            <w:pPr>
              <w:rPr>
                <w:rFonts w:ascii="Arial" w:hAnsi="Arial" w:cs="Arial"/>
                <w:sz w:val="20"/>
                <w:szCs w:val="20"/>
                <w:lang w:eastAsia="ja-JP"/>
              </w:rPr>
            </w:pPr>
            <w:r w:rsidRPr="00DB7129">
              <w:rPr>
                <w:rFonts w:ascii="Arial" w:eastAsia="Times New Roman" w:hAnsi="Arial" w:cs="Arial"/>
                <w:sz w:val="20"/>
                <w:szCs w:val="20"/>
                <w:lang w:eastAsia="ja-JP"/>
              </w:rPr>
              <w:t>P-value</w:t>
            </w:r>
          </w:p>
        </w:tc>
        <w:tc>
          <w:tcPr>
            <w:tcW w:w="638" w:type="pct"/>
            <w:vAlign w:val="center"/>
          </w:tcPr>
          <w:p w14:paraId="1FEBD0D5" w14:textId="77777777" w:rsidR="00DB7129" w:rsidRPr="00DB7129" w:rsidRDefault="00DB7129" w:rsidP="00DB7129">
            <w:pPr>
              <w:rPr>
                <w:rFonts w:ascii="Arial" w:hAnsi="Arial" w:cs="Arial"/>
                <w:sz w:val="20"/>
                <w:szCs w:val="20"/>
                <w:lang w:eastAsia="ja-JP"/>
              </w:rPr>
            </w:pPr>
            <w:r w:rsidRPr="00DB7129">
              <w:rPr>
                <w:rFonts w:ascii="Arial" w:eastAsia="Times New Roman" w:hAnsi="Arial" w:cs="Arial"/>
                <w:sz w:val="20"/>
                <w:szCs w:val="20"/>
                <w:lang w:eastAsia="ja-JP"/>
              </w:rPr>
              <w:t>OR [95%CI]</w:t>
            </w:r>
          </w:p>
        </w:tc>
        <w:tc>
          <w:tcPr>
            <w:tcW w:w="359" w:type="pct"/>
            <w:vAlign w:val="center"/>
          </w:tcPr>
          <w:p w14:paraId="34B74C01" w14:textId="77777777" w:rsidR="00DB7129" w:rsidRPr="00DB7129" w:rsidRDefault="00DB7129" w:rsidP="00DB7129">
            <w:pPr>
              <w:rPr>
                <w:rFonts w:ascii="Arial" w:hAnsi="Arial" w:cs="Arial"/>
                <w:sz w:val="20"/>
                <w:szCs w:val="20"/>
                <w:lang w:eastAsia="ja-JP"/>
              </w:rPr>
            </w:pPr>
            <w:r w:rsidRPr="00DB7129">
              <w:rPr>
                <w:rFonts w:ascii="Arial" w:eastAsia="Times New Roman" w:hAnsi="Arial" w:cs="Arial"/>
                <w:sz w:val="20"/>
                <w:szCs w:val="20"/>
                <w:lang w:eastAsia="ja-JP"/>
              </w:rPr>
              <w:t>P-value</w:t>
            </w:r>
          </w:p>
        </w:tc>
        <w:tc>
          <w:tcPr>
            <w:tcW w:w="638" w:type="pct"/>
            <w:vAlign w:val="center"/>
          </w:tcPr>
          <w:p w14:paraId="76EB86EB" w14:textId="77777777" w:rsidR="00DB7129" w:rsidRPr="00DB7129" w:rsidRDefault="00DB7129" w:rsidP="00DB7129">
            <w:pPr>
              <w:rPr>
                <w:rFonts w:ascii="Arial" w:hAnsi="Arial" w:cs="Arial"/>
                <w:sz w:val="20"/>
                <w:szCs w:val="20"/>
                <w:lang w:eastAsia="ja-JP"/>
              </w:rPr>
            </w:pPr>
            <w:r w:rsidRPr="00DB7129">
              <w:rPr>
                <w:rFonts w:ascii="Arial" w:eastAsia="Times New Roman" w:hAnsi="Arial" w:cs="Arial"/>
                <w:sz w:val="20"/>
                <w:szCs w:val="20"/>
                <w:lang w:eastAsia="ja-JP"/>
              </w:rPr>
              <w:t>OR [95%CI]</w:t>
            </w:r>
          </w:p>
        </w:tc>
        <w:tc>
          <w:tcPr>
            <w:tcW w:w="359" w:type="pct"/>
            <w:vAlign w:val="center"/>
          </w:tcPr>
          <w:p w14:paraId="44A3ED4B" w14:textId="77777777" w:rsidR="00DB7129" w:rsidRPr="00DB7129" w:rsidRDefault="00DB7129" w:rsidP="00DB7129">
            <w:pPr>
              <w:rPr>
                <w:rFonts w:ascii="Arial" w:hAnsi="Arial" w:cs="Arial"/>
                <w:sz w:val="20"/>
                <w:szCs w:val="20"/>
                <w:lang w:eastAsia="ja-JP"/>
              </w:rPr>
            </w:pPr>
            <w:r w:rsidRPr="00DB7129">
              <w:rPr>
                <w:rFonts w:ascii="Arial" w:eastAsia="Times New Roman" w:hAnsi="Arial" w:cs="Arial"/>
                <w:sz w:val="20"/>
                <w:szCs w:val="20"/>
                <w:lang w:eastAsia="ja-JP"/>
              </w:rPr>
              <w:t>P-value</w:t>
            </w:r>
          </w:p>
        </w:tc>
        <w:tc>
          <w:tcPr>
            <w:tcW w:w="488" w:type="pct"/>
            <w:vAlign w:val="center"/>
          </w:tcPr>
          <w:p w14:paraId="5FD31CE7" w14:textId="77777777" w:rsidR="00DB7129" w:rsidRPr="00DB7129" w:rsidRDefault="00DB7129" w:rsidP="00DB7129">
            <w:pPr>
              <w:rPr>
                <w:rFonts w:ascii="Arial" w:hAnsi="Arial" w:cs="Arial"/>
                <w:sz w:val="20"/>
                <w:szCs w:val="20"/>
                <w:lang w:eastAsia="ja-JP"/>
              </w:rPr>
            </w:pPr>
            <w:r w:rsidRPr="00DB7129">
              <w:rPr>
                <w:rFonts w:ascii="Arial" w:eastAsia="Times New Roman" w:hAnsi="Arial" w:cs="Arial"/>
                <w:sz w:val="20"/>
                <w:szCs w:val="20"/>
                <w:lang w:eastAsia="ja-JP"/>
              </w:rPr>
              <w:t>%</w:t>
            </w:r>
            <w:proofErr w:type="spellStart"/>
            <w:r w:rsidRPr="00DB7129">
              <w:rPr>
                <w:rFonts w:ascii="Arial" w:eastAsia="Times New Roman" w:hAnsi="Arial" w:cs="Arial"/>
                <w:sz w:val="20"/>
                <w:szCs w:val="20"/>
                <w:lang w:eastAsia="ja-JP"/>
              </w:rPr>
              <w:t>Mediated</w:t>
            </w:r>
            <w:proofErr w:type="spellEnd"/>
          </w:p>
        </w:tc>
      </w:tr>
      <w:tr w:rsidR="00DB7129" w:rsidRPr="00DB7129" w14:paraId="349DE44A" w14:textId="77777777" w:rsidTr="00DD5D22">
        <w:tc>
          <w:tcPr>
            <w:tcW w:w="1521" w:type="pct"/>
            <w:vAlign w:val="center"/>
          </w:tcPr>
          <w:p w14:paraId="0525A824"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 xml:space="preserve">Marital </w:t>
            </w:r>
            <w:proofErr w:type="spellStart"/>
            <w:r w:rsidRPr="00DB7129">
              <w:rPr>
                <w:rFonts w:ascii="Arial" w:hAnsi="Arial" w:cs="Arial"/>
                <w:sz w:val="20"/>
                <w:szCs w:val="20"/>
                <w:lang w:eastAsia="ja-JP"/>
              </w:rPr>
              <w:t>status</w:t>
            </w:r>
            <w:proofErr w:type="spellEnd"/>
          </w:p>
        </w:tc>
        <w:tc>
          <w:tcPr>
            <w:tcW w:w="640" w:type="pct"/>
            <w:vAlign w:val="center"/>
          </w:tcPr>
          <w:p w14:paraId="10B02820"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2.01 [1.38,2.93]</w:t>
            </w:r>
          </w:p>
        </w:tc>
        <w:tc>
          <w:tcPr>
            <w:tcW w:w="357" w:type="pct"/>
            <w:vAlign w:val="center"/>
          </w:tcPr>
          <w:p w14:paraId="51000C32"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&lt;0.001</w:t>
            </w:r>
          </w:p>
        </w:tc>
        <w:tc>
          <w:tcPr>
            <w:tcW w:w="638" w:type="pct"/>
            <w:vAlign w:val="center"/>
          </w:tcPr>
          <w:p w14:paraId="09E0B954"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1.83 [1.25,2.69]</w:t>
            </w:r>
          </w:p>
        </w:tc>
        <w:tc>
          <w:tcPr>
            <w:tcW w:w="359" w:type="pct"/>
            <w:vAlign w:val="center"/>
          </w:tcPr>
          <w:p w14:paraId="0D3272DB"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0.002</w:t>
            </w:r>
          </w:p>
        </w:tc>
        <w:tc>
          <w:tcPr>
            <w:tcW w:w="638" w:type="pct"/>
            <w:vAlign w:val="center"/>
          </w:tcPr>
          <w:p w14:paraId="636CFCE5"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1.09 [1.05,1.15]</w:t>
            </w:r>
          </w:p>
        </w:tc>
        <w:tc>
          <w:tcPr>
            <w:tcW w:w="359" w:type="pct"/>
            <w:vAlign w:val="center"/>
          </w:tcPr>
          <w:p w14:paraId="672EC604"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&lt;0.001</w:t>
            </w:r>
          </w:p>
        </w:tc>
        <w:tc>
          <w:tcPr>
            <w:tcW w:w="488" w:type="pct"/>
            <w:vAlign w:val="center"/>
          </w:tcPr>
          <w:p w14:paraId="086F65B7"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13.0</w:t>
            </w:r>
          </w:p>
        </w:tc>
      </w:tr>
      <w:tr w:rsidR="00DB7129" w:rsidRPr="00DB7129" w14:paraId="06D66CC7" w14:textId="77777777" w:rsidTr="00DD5D22">
        <w:tc>
          <w:tcPr>
            <w:tcW w:w="1521" w:type="pct"/>
            <w:vAlign w:val="center"/>
          </w:tcPr>
          <w:p w14:paraId="284BB750"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Qualification</w:t>
            </w:r>
          </w:p>
        </w:tc>
        <w:tc>
          <w:tcPr>
            <w:tcW w:w="640" w:type="pct"/>
            <w:vAlign w:val="center"/>
          </w:tcPr>
          <w:p w14:paraId="7BC43606"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1.99 [1.37,2.90]</w:t>
            </w:r>
          </w:p>
        </w:tc>
        <w:tc>
          <w:tcPr>
            <w:tcW w:w="357" w:type="pct"/>
            <w:vAlign w:val="center"/>
          </w:tcPr>
          <w:p w14:paraId="31598CB3"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&lt;0.001</w:t>
            </w:r>
          </w:p>
        </w:tc>
        <w:tc>
          <w:tcPr>
            <w:tcW w:w="638" w:type="pct"/>
            <w:vAlign w:val="center"/>
          </w:tcPr>
          <w:p w14:paraId="53778711"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1.97 [1.35,2.86]</w:t>
            </w:r>
          </w:p>
        </w:tc>
        <w:tc>
          <w:tcPr>
            <w:tcW w:w="359" w:type="pct"/>
            <w:vAlign w:val="center"/>
          </w:tcPr>
          <w:p w14:paraId="2B85816D"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&lt;0.001</w:t>
            </w:r>
          </w:p>
        </w:tc>
        <w:tc>
          <w:tcPr>
            <w:tcW w:w="638" w:type="pct"/>
            <w:vAlign w:val="center"/>
          </w:tcPr>
          <w:p w14:paraId="3BC2FBCE"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1.01 [1.00,1.03]</w:t>
            </w:r>
          </w:p>
        </w:tc>
        <w:tc>
          <w:tcPr>
            <w:tcW w:w="359" w:type="pct"/>
            <w:vAlign w:val="center"/>
          </w:tcPr>
          <w:p w14:paraId="4242D312"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0.158</w:t>
            </w:r>
          </w:p>
        </w:tc>
        <w:tc>
          <w:tcPr>
            <w:tcW w:w="488" w:type="pct"/>
            <w:vAlign w:val="center"/>
          </w:tcPr>
          <w:p w14:paraId="18A82D16" w14:textId="77777777" w:rsidR="00DB7129" w:rsidRPr="00DB7129" w:rsidRDefault="00DB7129" w:rsidP="00DB7129">
            <w:pPr>
              <w:rPr>
                <w:rFonts w:ascii="Arial" w:hAnsi="Arial" w:cs="Arial"/>
                <w:sz w:val="20"/>
                <w:szCs w:val="20"/>
                <w:lang w:eastAsia="ja-JP"/>
              </w:rPr>
            </w:pPr>
            <w:proofErr w:type="spellStart"/>
            <w:r w:rsidRPr="00DB7129">
              <w:rPr>
                <w:rFonts w:ascii="Arial" w:hAnsi="Arial" w:cs="Arial"/>
                <w:sz w:val="20"/>
                <w:szCs w:val="20"/>
                <w:lang w:eastAsia="ja-JP"/>
              </w:rPr>
              <w:t>NA</w:t>
            </w:r>
            <w:r w:rsidRPr="00DB7129">
              <w:rPr>
                <w:rFonts w:ascii="Arial" w:hAnsi="Arial" w:cs="Arial"/>
                <w:sz w:val="20"/>
                <w:szCs w:val="20"/>
                <w:vertAlign w:val="superscript"/>
                <w:lang w:eastAsia="ja-JP"/>
              </w:rPr>
              <w:t>a</w:t>
            </w:r>
            <w:proofErr w:type="spellEnd"/>
          </w:p>
        </w:tc>
      </w:tr>
      <w:tr w:rsidR="00DB7129" w:rsidRPr="00DB7129" w14:paraId="69D6E746" w14:textId="77777777" w:rsidTr="00DD5D22">
        <w:tc>
          <w:tcPr>
            <w:tcW w:w="1521" w:type="pct"/>
            <w:vAlign w:val="center"/>
          </w:tcPr>
          <w:p w14:paraId="6B17C237" w14:textId="77777777" w:rsidR="00DB7129" w:rsidRPr="00DB7129" w:rsidRDefault="00DB7129" w:rsidP="00DB7129">
            <w:pPr>
              <w:rPr>
                <w:rFonts w:ascii="Arial" w:hAnsi="Arial" w:cs="Arial"/>
                <w:sz w:val="20"/>
                <w:szCs w:val="20"/>
                <w:lang w:eastAsia="ja-JP"/>
              </w:rPr>
            </w:pPr>
            <w:proofErr w:type="spellStart"/>
            <w:r w:rsidRPr="00DB7129">
              <w:rPr>
                <w:rFonts w:ascii="Arial" w:hAnsi="Arial" w:cs="Arial"/>
                <w:sz w:val="20"/>
                <w:szCs w:val="20"/>
                <w:lang w:eastAsia="ja-JP"/>
              </w:rPr>
              <w:t>Employment</w:t>
            </w:r>
            <w:proofErr w:type="spellEnd"/>
          </w:p>
        </w:tc>
        <w:tc>
          <w:tcPr>
            <w:tcW w:w="640" w:type="pct"/>
            <w:vAlign w:val="center"/>
          </w:tcPr>
          <w:p w14:paraId="0982B377"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1.99 [1.36,2.90]</w:t>
            </w:r>
          </w:p>
        </w:tc>
        <w:tc>
          <w:tcPr>
            <w:tcW w:w="357" w:type="pct"/>
            <w:vAlign w:val="center"/>
          </w:tcPr>
          <w:p w14:paraId="762B9CE4"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&lt;0.001</w:t>
            </w:r>
          </w:p>
        </w:tc>
        <w:tc>
          <w:tcPr>
            <w:tcW w:w="638" w:type="pct"/>
            <w:vAlign w:val="center"/>
          </w:tcPr>
          <w:p w14:paraId="022ECDAB"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1.95 [1.33,2.84]</w:t>
            </w:r>
          </w:p>
        </w:tc>
        <w:tc>
          <w:tcPr>
            <w:tcW w:w="359" w:type="pct"/>
            <w:vAlign w:val="center"/>
          </w:tcPr>
          <w:p w14:paraId="5894CFE4"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0.001</w:t>
            </w:r>
          </w:p>
        </w:tc>
        <w:tc>
          <w:tcPr>
            <w:tcW w:w="638" w:type="pct"/>
            <w:vAlign w:val="center"/>
          </w:tcPr>
          <w:p w14:paraId="5FF85590"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1.02 [1.00,1.05]</w:t>
            </w:r>
          </w:p>
        </w:tc>
        <w:tc>
          <w:tcPr>
            <w:tcW w:w="359" w:type="pct"/>
            <w:vAlign w:val="center"/>
          </w:tcPr>
          <w:p w14:paraId="54F77032"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0.093</w:t>
            </w:r>
          </w:p>
        </w:tc>
        <w:tc>
          <w:tcPr>
            <w:tcW w:w="488" w:type="pct"/>
            <w:vAlign w:val="center"/>
          </w:tcPr>
          <w:p w14:paraId="339803CF" w14:textId="77777777" w:rsidR="00DB7129" w:rsidRPr="00DB7129" w:rsidRDefault="00DB7129" w:rsidP="00DB7129">
            <w:pPr>
              <w:rPr>
                <w:rFonts w:ascii="Arial" w:hAnsi="Arial" w:cs="Arial"/>
                <w:sz w:val="20"/>
                <w:szCs w:val="20"/>
                <w:lang w:eastAsia="ja-JP"/>
              </w:rPr>
            </w:pPr>
            <w:proofErr w:type="spellStart"/>
            <w:r w:rsidRPr="00DB7129">
              <w:rPr>
                <w:rFonts w:ascii="Arial" w:hAnsi="Arial" w:cs="Arial"/>
                <w:sz w:val="20"/>
                <w:szCs w:val="20"/>
                <w:lang w:eastAsia="ja-JP"/>
              </w:rPr>
              <w:t>NA</w:t>
            </w:r>
            <w:r w:rsidRPr="00DB7129">
              <w:rPr>
                <w:rFonts w:ascii="Arial" w:hAnsi="Arial" w:cs="Arial"/>
                <w:sz w:val="20"/>
                <w:szCs w:val="20"/>
                <w:vertAlign w:val="superscript"/>
                <w:lang w:eastAsia="ja-JP"/>
              </w:rPr>
              <w:t>a</w:t>
            </w:r>
            <w:proofErr w:type="spellEnd"/>
          </w:p>
        </w:tc>
      </w:tr>
      <w:tr w:rsidR="00DB7129" w:rsidRPr="00DB7129" w14:paraId="39F40DE7" w14:textId="77777777" w:rsidTr="00DD5D22">
        <w:tc>
          <w:tcPr>
            <w:tcW w:w="1521" w:type="pct"/>
            <w:vAlign w:val="center"/>
          </w:tcPr>
          <w:p w14:paraId="747368C7"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Income</w:t>
            </w:r>
          </w:p>
        </w:tc>
        <w:tc>
          <w:tcPr>
            <w:tcW w:w="640" w:type="pct"/>
            <w:vAlign w:val="center"/>
          </w:tcPr>
          <w:p w14:paraId="0A87A045"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1.88 [1.21,2.92]</w:t>
            </w:r>
          </w:p>
        </w:tc>
        <w:tc>
          <w:tcPr>
            <w:tcW w:w="357" w:type="pct"/>
            <w:vAlign w:val="center"/>
          </w:tcPr>
          <w:p w14:paraId="101C21DB"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0.005</w:t>
            </w:r>
          </w:p>
        </w:tc>
        <w:tc>
          <w:tcPr>
            <w:tcW w:w="638" w:type="pct"/>
            <w:vAlign w:val="center"/>
          </w:tcPr>
          <w:p w14:paraId="224B772C"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1.83 [1.18,2.84]</w:t>
            </w:r>
          </w:p>
        </w:tc>
        <w:tc>
          <w:tcPr>
            <w:tcW w:w="359" w:type="pct"/>
            <w:vAlign w:val="center"/>
          </w:tcPr>
          <w:p w14:paraId="442797B2"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0.007</w:t>
            </w:r>
          </w:p>
        </w:tc>
        <w:tc>
          <w:tcPr>
            <w:tcW w:w="638" w:type="pct"/>
            <w:vAlign w:val="center"/>
          </w:tcPr>
          <w:p w14:paraId="3DF350CB"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1.03 [0.99,1.07]</w:t>
            </w:r>
          </w:p>
        </w:tc>
        <w:tc>
          <w:tcPr>
            <w:tcW w:w="359" w:type="pct"/>
            <w:vAlign w:val="center"/>
          </w:tcPr>
          <w:p w14:paraId="3A6F6060"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0.163</w:t>
            </w:r>
          </w:p>
        </w:tc>
        <w:tc>
          <w:tcPr>
            <w:tcW w:w="488" w:type="pct"/>
            <w:vAlign w:val="center"/>
          </w:tcPr>
          <w:p w14:paraId="5DD11A8A" w14:textId="77777777" w:rsidR="00DB7129" w:rsidRPr="00DB7129" w:rsidRDefault="00DB7129" w:rsidP="00DB7129">
            <w:pPr>
              <w:rPr>
                <w:rFonts w:ascii="Arial" w:hAnsi="Arial" w:cs="Arial"/>
                <w:sz w:val="20"/>
                <w:szCs w:val="20"/>
                <w:lang w:eastAsia="ja-JP"/>
              </w:rPr>
            </w:pPr>
            <w:proofErr w:type="spellStart"/>
            <w:r w:rsidRPr="00DB7129">
              <w:rPr>
                <w:rFonts w:ascii="Arial" w:hAnsi="Arial" w:cs="Arial"/>
                <w:sz w:val="20"/>
                <w:szCs w:val="20"/>
                <w:lang w:eastAsia="ja-JP"/>
              </w:rPr>
              <w:t>NA</w:t>
            </w:r>
            <w:r w:rsidRPr="00DB7129">
              <w:rPr>
                <w:rFonts w:ascii="Arial" w:hAnsi="Arial" w:cs="Arial"/>
                <w:sz w:val="20"/>
                <w:szCs w:val="20"/>
                <w:vertAlign w:val="superscript"/>
                <w:lang w:eastAsia="ja-JP"/>
              </w:rPr>
              <w:t>a</w:t>
            </w:r>
            <w:proofErr w:type="spellEnd"/>
          </w:p>
        </w:tc>
      </w:tr>
      <w:tr w:rsidR="00DB7129" w:rsidRPr="00DB7129" w14:paraId="4280B1B8" w14:textId="77777777" w:rsidTr="00DD5D22">
        <w:tc>
          <w:tcPr>
            <w:tcW w:w="1521" w:type="pct"/>
            <w:vAlign w:val="center"/>
          </w:tcPr>
          <w:p w14:paraId="62C634BA"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 xml:space="preserve">Nicotine </w:t>
            </w:r>
            <w:proofErr w:type="spellStart"/>
            <w:r w:rsidRPr="00DB7129">
              <w:rPr>
                <w:rFonts w:ascii="Arial" w:hAnsi="Arial" w:cs="Arial"/>
                <w:sz w:val="20"/>
                <w:szCs w:val="20"/>
                <w:lang w:eastAsia="ja-JP"/>
              </w:rPr>
              <w:t>dependence</w:t>
            </w:r>
            <w:proofErr w:type="spellEnd"/>
          </w:p>
        </w:tc>
        <w:tc>
          <w:tcPr>
            <w:tcW w:w="640" w:type="pct"/>
            <w:vAlign w:val="center"/>
          </w:tcPr>
          <w:p w14:paraId="68E1AD4B"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1.96 [1.32,2.90]</w:t>
            </w:r>
          </w:p>
        </w:tc>
        <w:tc>
          <w:tcPr>
            <w:tcW w:w="357" w:type="pct"/>
            <w:vAlign w:val="center"/>
          </w:tcPr>
          <w:p w14:paraId="34C1FB66"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0.001</w:t>
            </w:r>
          </w:p>
        </w:tc>
        <w:tc>
          <w:tcPr>
            <w:tcW w:w="638" w:type="pct"/>
            <w:vAlign w:val="center"/>
          </w:tcPr>
          <w:p w14:paraId="10D65A24"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1.94 [1.31,2.86]</w:t>
            </w:r>
          </w:p>
        </w:tc>
        <w:tc>
          <w:tcPr>
            <w:tcW w:w="359" w:type="pct"/>
            <w:vAlign w:val="center"/>
          </w:tcPr>
          <w:p w14:paraId="0A4CC1A4"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0.001</w:t>
            </w:r>
          </w:p>
        </w:tc>
        <w:tc>
          <w:tcPr>
            <w:tcW w:w="638" w:type="pct"/>
            <w:vAlign w:val="center"/>
          </w:tcPr>
          <w:p w14:paraId="3DAD6AA6"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1.01 [0.99,1.03]</w:t>
            </w:r>
          </w:p>
        </w:tc>
        <w:tc>
          <w:tcPr>
            <w:tcW w:w="359" w:type="pct"/>
            <w:vAlign w:val="center"/>
          </w:tcPr>
          <w:p w14:paraId="40E13361"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0.281</w:t>
            </w:r>
          </w:p>
        </w:tc>
        <w:tc>
          <w:tcPr>
            <w:tcW w:w="488" w:type="pct"/>
            <w:vAlign w:val="center"/>
          </w:tcPr>
          <w:p w14:paraId="1A7CD83F" w14:textId="77777777" w:rsidR="00DB7129" w:rsidRPr="00DB7129" w:rsidRDefault="00DB7129" w:rsidP="00DB7129">
            <w:pPr>
              <w:rPr>
                <w:rFonts w:ascii="Arial" w:hAnsi="Arial" w:cs="Arial"/>
                <w:sz w:val="20"/>
                <w:szCs w:val="20"/>
                <w:lang w:eastAsia="ja-JP"/>
              </w:rPr>
            </w:pPr>
            <w:proofErr w:type="spellStart"/>
            <w:r w:rsidRPr="00DB7129">
              <w:rPr>
                <w:rFonts w:ascii="Arial" w:hAnsi="Arial" w:cs="Arial"/>
                <w:sz w:val="20"/>
                <w:szCs w:val="20"/>
                <w:lang w:eastAsia="ja-JP"/>
              </w:rPr>
              <w:t>NA</w:t>
            </w:r>
            <w:r w:rsidRPr="00DB7129">
              <w:rPr>
                <w:rFonts w:ascii="Arial" w:hAnsi="Arial" w:cs="Arial"/>
                <w:sz w:val="20"/>
                <w:szCs w:val="20"/>
                <w:vertAlign w:val="superscript"/>
                <w:lang w:eastAsia="ja-JP"/>
              </w:rPr>
              <w:t>a</w:t>
            </w:r>
            <w:proofErr w:type="spellEnd"/>
          </w:p>
        </w:tc>
      </w:tr>
      <w:tr w:rsidR="00DB7129" w:rsidRPr="00DB7129" w14:paraId="257FD9C8" w14:textId="77777777" w:rsidTr="00DD5D22">
        <w:tc>
          <w:tcPr>
            <w:tcW w:w="1521" w:type="pct"/>
            <w:vAlign w:val="center"/>
          </w:tcPr>
          <w:p w14:paraId="5E2EA899" w14:textId="77777777" w:rsidR="00DB7129" w:rsidRPr="00DB7129" w:rsidRDefault="00DB7129" w:rsidP="00DB7129">
            <w:pPr>
              <w:rPr>
                <w:rFonts w:ascii="Arial" w:hAnsi="Arial" w:cs="Arial"/>
                <w:sz w:val="20"/>
                <w:szCs w:val="20"/>
                <w:lang w:eastAsia="ja-JP"/>
              </w:rPr>
            </w:pPr>
            <w:proofErr w:type="spellStart"/>
            <w:r w:rsidRPr="00DB7129">
              <w:rPr>
                <w:rFonts w:ascii="Arial" w:hAnsi="Arial" w:cs="Arial"/>
                <w:sz w:val="20"/>
                <w:szCs w:val="20"/>
                <w:lang w:eastAsia="ja-JP"/>
              </w:rPr>
              <w:t>Alcohol</w:t>
            </w:r>
            <w:proofErr w:type="spellEnd"/>
            <w:r w:rsidRPr="00DB7129">
              <w:rPr>
                <w:rFonts w:ascii="Arial" w:hAnsi="Arial" w:cs="Arial"/>
                <w:sz w:val="20"/>
                <w:szCs w:val="20"/>
                <w:lang w:eastAsia="ja-JP"/>
              </w:rPr>
              <w:t xml:space="preserve"> </w:t>
            </w:r>
            <w:proofErr w:type="spellStart"/>
            <w:r w:rsidRPr="00DB7129">
              <w:rPr>
                <w:rFonts w:ascii="Arial" w:hAnsi="Arial" w:cs="Arial"/>
                <w:sz w:val="20"/>
                <w:szCs w:val="20"/>
                <w:lang w:eastAsia="ja-JP"/>
              </w:rPr>
              <w:t>dependence</w:t>
            </w:r>
            <w:proofErr w:type="spellEnd"/>
          </w:p>
        </w:tc>
        <w:tc>
          <w:tcPr>
            <w:tcW w:w="640" w:type="pct"/>
            <w:vAlign w:val="center"/>
          </w:tcPr>
          <w:p w14:paraId="3F06DDBC"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1.96 [1.34,2.86]</w:t>
            </w:r>
          </w:p>
        </w:tc>
        <w:tc>
          <w:tcPr>
            <w:tcW w:w="357" w:type="pct"/>
            <w:vAlign w:val="center"/>
          </w:tcPr>
          <w:p w14:paraId="05753B35"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&lt;0.001</w:t>
            </w:r>
          </w:p>
        </w:tc>
        <w:tc>
          <w:tcPr>
            <w:tcW w:w="638" w:type="pct"/>
            <w:vAlign w:val="center"/>
          </w:tcPr>
          <w:p w14:paraId="7D6D25C9"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1.88 [1.28,2.74]</w:t>
            </w:r>
          </w:p>
        </w:tc>
        <w:tc>
          <w:tcPr>
            <w:tcW w:w="359" w:type="pct"/>
            <w:vAlign w:val="center"/>
          </w:tcPr>
          <w:p w14:paraId="5F4F7F70"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0.001</w:t>
            </w:r>
          </w:p>
        </w:tc>
        <w:tc>
          <w:tcPr>
            <w:tcW w:w="638" w:type="pct"/>
            <w:vAlign w:val="center"/>
          </w:tcPr>
          <w:p w14:paraId="07D8C96D"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1.04 [1.01,1.08]</w:t>
            </w:r>
          </w:p>
        </w:tc>
        <w:tc>
          <w:tcPr>
            <w:tcW w:w="359" w:type="pct"/>
            <w:vAlign w:val="center"/>
          </w:tcPr>
          <w:p w14:paraId="22B416FE"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0.013</w:t>
            </w:r>
          </w:p>
        </w:tc>
        <w:tc>
          <w:tcPr>
            <w:tcW w:w="488" w:type="pct"/>
            <w:vAlign w:val="center"/>
          </w:tcPr>
          <w:p w14:paraId="71E2D12F"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6.4</w:t>
            </w:r>
          </w:p>
        </w:tc>
      </w:tr>
      <w:tr w:rsidR="00DB7129" w:rsidRPr="00DB7129" w14:paraId="25DFA1DB" w14:textId="77777777" w:rsidTr="00DD5D22">
        <w:tc>
          <w:tcPr>
            <w:tcW w:w="1521" w:type="pct"/>
            <w:vAlign w:val="center"/>
          </w:tcPr>
          <w:p w14:paraId="34D2A21A"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Cannabis use</w:t>
            </w:r>
          </w:p>
        </w:tc>
        <w:tc>
          <w:tcPr>
            <w:tcW w:w="640" w:type="pct"/>
            <w:vAlign w:val="center"/>
          </w:tcPr>
          <w:p w14:paraId="0FA18E20"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1.96 [1.34,2.88]</w:t>
            </w:r>
          </w:p>
        </w:tc>
        <w:tc>
          <w:tcPr>
            <w:tcW w:w="357" w:type="pct"/>
            <w:vAlign w:val="center"/>
          </w:tcPr>
          <w:p w14:paraId="43D60A76"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0.001</w:t>
            </w:r>
          </w:p>
        </w:tc>
        <w:tc>
          <w:tcPr>
            <w:tcW w:w="638" w:type="pct"/>
            <w:vAlign w:val="center"/>
          </w:tcPr>
          <w:p w14:paraId="055C2A7C"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1.85 [1.26,2.73]</w:t>
            </w:r>
          </w:p>
        </w:tc>
        <w:tc>
          <w:tcPr>
            <w:tcW w:w="359" w:type="pct"/>
            <w:vAlign w:val="center"/>
          </w:tcPr>
          <w:p w14:paraId="3BD693D0"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0.002</w:t>
            </w:r>
          </w:p>
        </w:tc>
        <w:tc>
          <w:tcPr>
            <w:tcW w:w="638" w:type="pct"/>
            <w:vAlign w:val="center"/>
          </w:tcPr>
          <w:p w14:paraId="31F17851"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1.06 [1.02,1.10]</w:t>
            </w:r>
          </w:p>
        </w:tc>
        <w:tc>
          <w:tcPr>
            <w:tcW w:w="359" w:type="pct"/>
            <w:vAlign w:val="center"/>
          </w:tcPr>
          <w:p w14:paraId="17A18888"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0.006</w:t>
            </w:r>
          </w:p>
        </w:tc>
        <w:tc>
          <w:tcPr>
            <w:tcW w:w="488" w:type="pct"/>
            <w:vAlign w:val="center"/>
          </w:tcPr>
          <w:p w14:paraId="2AFF795D"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8.4</w:t>
            </w:r>
          </w:p>
        </w:tc>
      </w:tr>
      <w:tr w:rsidR="00DB7129" w:rsidRPr="00DB7129" w14:paraId="04BAB23F" w14:textId="77777777" w:rsidTr="00DD5D22">
        <w:tc>
          <w:tcPr>
            <w:tcW w:w="1521" w:type="pct"/>
          </w:tcPr>
          <w:p w14:paraId="0F510376" w14:textId="77777777" w:rsidR="00DB7129" w:rsidRPr="00DB7129" w:rsidRDefault="00DB7129" w:rsidP="00DB7129">
            <w:pPr>
              <w:rPr>
                <w:rFonts w:ascii="Arial" w:hAnsi="Arial" w:cs="Arial"/>
                <w:sz w:val="20"/>
                <w:szCs w:val="20"/>
                <w:lang w:eastAsia="ja-JP"/>
              </w:rPr>
            </w:pPr>
            <w:proofErr w:type="spellStart"/>
            <w:r w:rsidRPr="00DB7129">
              <w:rPr>
                <w:rFonts w:ascii="Arial" w:hAnsi="Arial" w:cs="Arial"/>
                <w:sz w:val="20"/>
                <w:szCs w:val="20"/>
                <w:lang w:eastAsia="ja-JP"/>
              </w:rPr>
              <w:t>Loneliness</w:t>
            </w:r>
            <w:proofErr w:type="spellEnd"/>
          </w:p>
        </w:tc>
        <w:tc>
          <w:tcPr>
            <w:tcW w:w="640" w:type="pct"/>
            <w:vAlign w:val="center"/>
          </w:tcPr>
          <w:p w14:paraId="31FE827C"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1.90 [1.29,2.81]</w:t>
            </w:r>
          </w:p>
        </w:tc>
        <w:tc>
          <w:tcPr>
            <w:tcW w:w="357" w:type="pct"/>
            <w:vAlign w:val="center"/>
          </w:tcPr>
          <w:p w14:paraId="0BE0A6DE"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0.001</w:t>
            </w:r>
          </w:p>
        </w:tc>
        <w:tc>
          <w:tcPr>
            <w:tcW w:w="638" w:type="pct"/>
            <w:vAlign w:val="center"/>
          </w:tcPr>
          <w:p w14:paraId="446E41A1"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1.58 [1.07,2.33]</w:t>
            </w:r>
          </w:p>
        </w:tc>
        <w:tc>
          <w:tcPr>
            <w:tcW w:w="359" w:type="pct"/>
            <w:vAlign w:val="center"/>
          </w:tcPr>
          <w:p w14:paraId="54D8930E"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0.022</w:t>
            </w:r>
          </w:p>
        </w:tc>
        <w:tc>
          <w:tcPr>
            <w:tcW w:w="638" w:type="pct"/>
            <w:vAlign w:val="center"/>
          </w:tcPr>
          <w:p w14:paraId="138E6A90"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1.21 [1.12,1.30]</w:t>
            </w:r>
          </w:p>
        </w:tc>
        <w:tc>
          <w:tcPr>
            <w:tcW w:w="359" w:type="pct"/>
            <w:vAlign w:val="center"/>
          </w:tcPr>
          <w:p w14:paraId="599ACE0F"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&lt;0.001</w:t>
            </w:r>
          </w:p>
        </w:tc>
        <w:tc>
          <w:tcPr>
            <w:tcW w:w="488" w:type="pct"/>
            <w:vAlign w:val="center"/>
          </w:tcPr>
          <w:p w14:paraId="22DFF4AF"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29.1</w:t>
            </w:r>
          </w:p>
        </w:tc>
      </w:tr>
      <w:tr w:rsidR="00DB7129" w:rsidRPr="00DB7129" w14:paraId="3B039680" w14:textId="77777777" w:rsidTr="00DD5D22">
        <w:tc>
          <w:tcPr>
            <w:tcW w:w="1521" w:type="pct"/>
          </w:tcPr>
          <w:p w14:paraId="0954D81B"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Social support</w:t>
            </w:r>
          </w:p>
        </w:tc>
        <w:tc>
          <w:tcPr>
            <w:tcW w:w="640" w:type="pct"/>
            <w:vAlign w:val="center"/>
          </w:tcPr>
          <w:p w14:paraId="16F346A6"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1.96 [1.34,2.87]</w:t>
            </w:r>
          </w:p>
        </w:tc>
        <w:tc>
          <w:tcPr>
            <w:tcW w:w="357" w:type="pct"/>
            <w:vAlign w:val="center"/>
          </w:tcPr>
          <w:p w14:paraId="0DEA02AF"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0.001</w:t>
            </w:r>
          </w:p>
        </w:tc>
        <w:tc>
          <w:tcPr>
            <w:tcW w:w="638" w:type="pct"/>
            <w:vAlign w:val="center"/>
          </w:tcPr>
          <w:p w14:paraId="6575A5C6"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1.83 [1.24,2.68]</w:t>
            </w:r>
          </w:p>
        </w:tc>
        <w:tc>
          <w:tcPr>
            <w:tcW w:w="359" w:type="pct"/>
            <w:vAlign w:val="center"/>
          </w:tcPr>
          <w:p w14:paraId="6D659197"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0.002</w:t>
            </w:r>
          </w:p>
        </w:tc>
        <w:tc>
          <w:tcPr>
            <w:tcW w:w="638" w:type="pct"/>
            <w:vAlign w:val="center"/>
          </w:tcPr>
          <w:p w14:paraId="6C8F46F0"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1.07 [1.03,1.12]</w:t>
            </w:r>
          </w:p>
        </w:tc>
        <w:tc>
          <w:tcPr>
            <w:tcW w:w="359" w:type="pct"/>
            <w:vAlign w:val="center"/>
          </w:tcPr>
          <w:p w14:paraId="4FA15368"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&lt;0.001</w:t>
            </w:r>
          </w:p>
        </w:tc>
        <w:tc>
          <w:tcPr>
            <w:tcW w:w="488" w:type="pct"/>
            <w:vAlign w:val="center"/>
          </w:tcPr>
          <w:p w14:paraId="7B099E1C"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10.5</w:t>
            </w:r>
          </w:p>
        </w:tc>
      </w:tr>
      <w:tr w:rsidR="00DB7129" w:rsidRPr="00DB7129" w14:paraId="05BB8F44" w14:textId="77777777" w:rsidTr="00DD5D22">
        <w:tc>
          <w:tcPr>
            <w:tcW w:w="1521" w:type="pct"/>
          </w:tcPr>
          <w:p w14:paraId="13B18FEF" w14:textId="77777777" w:rsidR="00DB7129" w:rsidRPr="00DB7129" w:rsidRDefault="00DB7129" w:rsidP="00DB7129">
            <w:pPr>
              <w:rPr>
                <w:rFonts w:ascii="Arial" w:hAnsi="Arial" w:cs="Arial"/>
                <w:sz w:val="20"/>
                <w:szCs w:val="20"/>
                <w:lang w:eastAsia="ja-JP"/>
              </w:rPr>
            </w:pPr>
            <w:proofErr w:type="spellStart"/>
            <w:r w:rsidRPr="00DB7129">
              <w:rPr>
                <w:rFonts w:ascii="Arial" w:hAnsi="Arial" w:cs="Arial"/>
                <w:sz w:val="20"/>
                <w:szCs w:val="20"/>
                <w:lang w:eastAsia="ja-JP"/>
              </w:rPr>
              <w:t>Bullying</w:t>
            </w:r>
            <w:proofErr w:type="spellEnd"/>
            <w:r w:rsidRPr="00DB7129">
              <w:rPr>
                <w:rFonts w:ascii="Arial" w:hAnsi="Arial" w:cs="Arial"/>
                <w:sz w:val="20"/>
                <w:szCs w:val="20"/>
                <w:lang w:eastAsia="ja-JP"/>
              </w:rPr>
              <w:t xml:space="preserve"> </w:t>
            </w:r>
            <w:proofErr w:type="spellStart"/>
            <w:r w:rsidRPr="00DB7129">
              <w:rPr>
                <w:rFonts w:ascii="Arial" w:hAnsi="Arial" w:cs="Arial"/>
                <w:sz w:val="20"/>
                <w:szCs w:val="20"/>
                <w:lang w:eastAsia="ja-JP"/>
              </w:rPr>
              <w:t>victimization</w:t>
            </w:r>
            <w:proofErr w:type="spellEnd"/>
          </w:p>
        </w:tc>
        <w:tc>
          <w:tcPr>
            <w:tcW w:w="640" w:type="pct"/>
            <w:vAlign w:val="center"/>
          </w:tcPr>
          <w:p w14:paraId="1DEB78BA" w14:textId="77777777" w:rsidR="00DB7129" w:rsidRPr="00DB7129" w:rsidRDefault="00DB7129" w:rsidP="00DB7129">
            <w:pPr>
              <w:rPr>
                <w:rFonts w:ascii="Arial" w:hAnsi="Arial" w:cs="Arial"/>
                <w:i/>
                <w:sz w:val="20"/>
                <w:szCs w:val="20"/>
                <w:lang w:eastAsia="ja-JP"/>
              </w:rPr>
            </w:pPr>
            <w:r w:rsidRPr="00DB7129">
              <w:rPr>
                <w:rFonts w:ascii="Arial" w:hAnsi="Arial" w:cs="Arial"/>
                <w:sz w:val="20"/>
                <w:szCs w:val="20"/>
                <w:lang w:eastAsia="ja-JP"/>
              </w:rPr>
              <w:t>1.96 [1.35,2.86]</w:t>
            </w:r>
          </w:p>
        </w:tc>
        <w:tc>
          <w:tcPr>
            <w:tcW w:w="357" w:type="pct"/>
            <w:vAlign w:val="center"/>
          </w:tcPr>
          <w:p w14:paraId="6D83342F"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&lt;0.001</w:t>
            </w:r>
          </w:p>
        </w:tc>
        <w:tc>
          <w:tcPr>
            <w:tcW w:w="638" w:type="pct"/>
            <w:vAlign w:val="center"/>
          </w:tcPr>
          <w:p w14:paraId="5D75ED41"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1.76 [1.21,2.57]</w:t>
            </w:r>
          </w:p>
        </w:tc>
        <w:tc>
          <w:tcPr>
            <w:tcW w:w="359" w:type="pct"/>
            <w:vAlign w:val="center"/>
          </w:tcPr>
          <w:p w14:paraId="101BABF6"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0.003</w:t>
            </w:r>
          </w:p>
        </w:tc>
        <w:tc>
          <w:tcPr>
            <w:tcW w:w="638" w:type="pct"/>
            <w:vAlign w:val="center"/>
          </w:tcPr>
          <w:p w14:paraId="10A0AB93"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1.11 [1.06,1.17]</w:t>
            </w:r>
          </w:p>
        </w:tc>
        <w:tc>
          <w:tcPr>
            <w:tcW w:w="359" w:type="pct"/>
            <w:vAlign w:val="center"/>
          </w:tcPr>
          <w:p w14:paraId="7EE2EA82"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&lt;0.001</w:t>
            </w:r>
          </w:p>
        </w:tc>
        <w:tc>
          <w:tcPr>
            <w:tcW w:w="488" w:type="pct"/>
            <w:vAlign w:val="center"/>
          </w:tcPr>
          <w:p w14:paraId="624B81B3"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15.9</w:t>
            </w:r>
          </w:p>
        </w:tc>
      </w:tr>
      <w:tr w:rsidR="00DB7129" w:rsidRPr="00DB7129" w14:paraId="2ECA5E80" w14:textId="77777777" w:rsidTr="00DD5D22">
        <w:tc>
          <w:tcPr>
            <w:tcW w:w="1521" w:type="pct"/>
          </w:tcPr>
          <w:p w14:paraId="0773D203" w14:textId="77777777" w:rsidR="00DB7129" w:rsidRPr="00DB7129" w:rsidRDefault="00DB7129" w:rsidP="00DB7129">
            <w:pPr>
              <w:rPr>
                <w:rFonts w:ascii="Arial" w:hAnsi="Arial" w:cs="Arial"/>
                <w:sz w:val="20"/>
                <w:szCs w:val="20"/>
                <w:lang w:eastAsia="ja-JP"/>
              </w:rPr>
            </w:pPr>
            <w:proofErr w:type="spellStart"/>
            <w:r w:rsidRPr="00DB7129">
              <w:rPr>
                <w:rFonts w:ascii="Arial" w:hAnsi="Arial" w:cs="Arial"/>
                <w:sz w:val="20"/>
                <w:szCs w:val="20"/>
                <w:lang w:eastAsia="ja-JP"/>
              </w:rPr>
              <w:t>Perceived</w:t>
            </w:r>
            <w:proofErr w:type="spellEnd"/>
            <w:r w:rsidRPr="00DB7129">
              <w:rPr>
                <w:rFonts w:ascii="Arial" w:hAnsi="Arial" w:cs="Arial"/>
                <w:sz w:val="20"/>
                <w:szCs w:val="20"/>
                <w:lang w:eastAsia="ja-JP"/>
              </w:rPr>
              <w:t xml:space="preserve"> stress</w:t>
            </w:r>
          </w:p>
        </w:tc>
        <w:tc>
          <w:tcPr>
            <w:tcW w:w="640" w:type="pct"/>
            <w:vAlign w:val="center"/>
          </w:tcPr>
          <w:p w14:paraId="014C7A4F"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2.00 [1.38,2.92]</w:t>
            </w:r>
          </w:p>
        </w:tc>
        <w:tc>
          <w:tcPr>
            <w:tcW w:w="357" w:type="pct"/>
            <w:vAlign w:val="center"/>
          </w:tcPr>
          <w:p w14:paraId="6DFCEB88"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&lt;0.001</w:t>
            </w:r>
          </w:p>
        </w:tc>
        <w:tc>
          <w:tcPr>
            <w:tcW w:w="638" w:type="pct"/>
            <w:vAlign w:val="center"/>
          </w:tcPr>
          <w:p w14:paraId="1AE4C183"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1.88 [1.29,2.74]</w:t>
            </w:r>
          </w:p>
        </w:tc>
        <w:tc>
          <w:tcPr>
            <w:tcW w:w="359" w:type="pct"/>
            <w:vAlign w:val="center"/>
          </w:tcPr>
          <w:p w14:paraId="54E07C68"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0.001</w:t>
            </w:r>
          </w:p>
        </w:tc>
        <w:tc>
          <w:tcPr>
            <w:tcW w:w="638" w:type="pct"/>
            <w:vAlign w:val="center"/>
          </w:tcPr>
          <w:p w14:paraId="43117600"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1.06 [1.02,1.11]</w:t>
            </w:r>
          </w:p>
        </w:tc>
        <w:tc>
          <w:tcPr>
            <w:tcW w:w="359" w:type="pct"/>
            <w:vAlign w:val="center"/>
          </w:tcPr>
          <w:p w14:paraId="0FE8BE23"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0.005</w:t>
            </w:r>
          </w:p>
        </w:tc>
        <w:tc>
          <w:tcPr>
            <w:tcW w:w="488" w:type="pct"/>
            <w:vAlign w:val="center"/>
          </w:tcPr>
          <w:p w14:paraId="6ED2F9E9"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8.9</w:t>
            </w:r>
          </w:p>
        </w:tc>
      </w:tr>
      <w:tr w:rsidR="00DB7129" w:rsidRPr="00DB7129" w14:paraId="4B830B8A" w14:textId="77777777" w:rsidTr="00DD5D22">
        <w:tc>
          <w:tcPr>
            <w:tcW w:w="1521" w:type="pct"/>
          </w:tcPr>
          <w:p w14:paraId="24981BE9" w14:textId="77777777" w:rsidR="00DB7129" w:rsidRPr="00DB7129" w:rsidRDefault="00DB7129" w:rsidP="00DB7129">
            <w:pPr>
              <w:rPr>
                <w:rFonts w:ascii="Arial" w:hAnsi="Arial" w:cs="Arial"/>
                <w:sz w:val="20"/>
                <w:szCs w:val="20"/>
                <w:lang w:eastAsia="ja-JP"/>
              </w:rPr>
            </w:pPr>
            <w:proofErr w:type="spellStart"/>
            <w:r w:rsidRPr="00DB7129">
              <w:rPr>
                <w:rFonts w:ascii="Arial" w:hAnsi="Arial" w:cs="Arial"/>
                <w:sz w:val="20"/>
                <w:szCs w:val="20"/>
                <w:lang w:eastAsia="ja-JP"/>
              </w:rPr>
              <w:t>Stressful</w:t>
            </w:r>
            <w:proofErr w:type="spellEnd"/>
            <w:r w:rsidRPr="00DB7129">
              <w:rPr>
                <w:rFonts w:ascii="Arial" w:hAnsi="Arial" w:cs="Arial"/>
                <w:sz w:val="20"/>
                <w:szCs w:val="20"/>
                <w:lang w:eastAsia="ja-JP"/>
              </w:rPr>
              <w:t xml:space="preserve"> life </w:t>
            </w:r>
            <w:proofErr w:type="spellStart"/>
            <w:r w:rsidRPr="00DB7129">
              <w:rPr>
                <w:rFonts w:ascii="Arial" w:hAnsi="Arial" w:cs="Arial"/>
                <w:sz w:val="20"/>
                <w:szCs w:val="20"/>
                <w:lang w:eastAsia="ja-JP"/>
              </w:rPr>
              <w:t>events</w:t>
            </w:r>
            <w:proofErr w:type="spellEnd"/>
          </w:p>
        </w:tc>
        <w:tc>
          <w:tcPr>
            <w:tcW w:w="640" w:type="pct"/>
            <w:vAlign w:val="center"/>
          </w:tcPr>
          <w:p w14:paraId="7A737117"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1.86 [1.27,2.73]</w:t>
            </w:r>
          </w:p>
        </w:tc>
        <w:tc>
          <w:tcPr>
            <w:tcW w:w="357" w:type="pct"/>
            <w:vAlign w:val="center"/>
          </w:tcPr>
          <w:p w14:paraId="39C66914"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0.001</w:t>
            </w:r>
          </w:p>
        </w:tc>
        <w:tc>
          <w:tcPr>
            <w:tcW w:w="638" w:type="pct"/>
            <w:vAlign w:val="center"/>
          </w:tcPr>
          <w:p w14:paraId="0BBA097F"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1.59 [1.08,2.33]</w:t>
            </w:r>
          </w:p>
        </w:tc>
        <w:tc>
          <w:tcPr>
            <w:tcW w:w="359" w:type="pct"/>
            <w:vAlign w:val="center"/>
          </w:tcPr>
          <w:p w14:paraId="7B0B0FD2"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0.018</w:t>
            </w:r>
          </w:p>
        </w:tc>
        <w:tc>
          <w:tcPr>
            <w:tcW w:w="638" w:type="pct"/>
            <w:vAlign w:val="center"/>
          </w:tcPr>
          <w:p w14:paraId="726ADE73"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1.17 [1.08,1.26]</w:t>
            </w:r>
          </w:p>
        </w:tc>
        <w:tc>
          <w:tcPr>
            <w:tcW w:w="359" w:type="pct"/>
            <w:vAlign w:val="center"/>
          </w:tcPr>
          <w:p w14:paraId="08E4E907"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&lt;0.001</w:t>
            </w:r>
          </w:p>
        </w:tc>
        <w:tc>
          <w:tcPr>
            <w:tcW w:w="488" w:type="pct"/>
            <w:vAlign w:val="center"/>
          </w:tcPr>
          <w:p w14:paraId="50CC5FC6"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25.4</w:t>
            </w:r>
          </w:p>
        </w:tc>
      </w:tr>
      <w:tr w:rsidR="00DB7129" w:rsidRPr="00DB7129" w14:paraId="5073A2C4" w14:textId="77777777" w:rsidTr="00DD5D22">
        <w:tc>
          <w:tcPr>
            <w:tcW w:w="1521" w:type="pct"/>
          </w:tcPr>
          <w:p w14:paraId="7D5E9A73"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 xml:space="preserve">Discrimination due to </w:t>
            </w:r>
            <w:proofErr w:type="spellStart"/>
            <w:r w:rsidRPr="00DB7129">
              <w:rPr>
                <w:rFonts w:ascii="Arial" w:hAnsi="Arial" w:cs="Arial"/>
                <w:sz w:val="20"/>
                <w:szCs w:val="20"/>
                <w:lang w:eastAsia="ja-JP"/>
              </w:rPr>
              <w:t>sexual</w:t>
            </w:r>
            <w:proofErr w:type="spellEnd"/>
            <w:r w:rsidRPr="00DB7129">
              <w:rPr>
                <w:rFonts w:ascii="Arial" w:hAnsi="Arial" w:cs="Arial"/>
                <w:sz w:val="20"/>
                <w:szCs w:val="20"/>
                <w:lang w:eastAsia="ja-JP"/>
              </w:rPr>
              <w:t xml:space="preserve"> orientation</w:t>
            </w:r>
          </w:p>
        </w:tc>
        <w:tc>
          <w:tcPr>
            <w:tcW w:w="640" w:type="pct"/>
            <w:vAlign w:val="center"/>
          </w:tcPr>
          <w:p w14:paraId="31582E81"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1.86 [1.26,2.73]</w:t>
            </w:r>
          </w:p>
        </w:tc>
        <w:tc>
          <w:tcPr>
            <w:tcW w:w="357" w:type="pct"/>
            <w:vAlign w:val="center"/>
          </w:tcPr>
          <w:p w14:paraId="1EFCE71A"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0.002</w:t>
            </w:r>
          </w:p>
        </w:tc>
        <w:tc>
          <w:tcPr>
            <w:tcW w:w="638" w:type="pct"/>
            <w:vAlign w:val="center"/>
          </w:tcPr>
          <w:p w14:paraId="673A9AEC"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1.76 [1.18,2.61]</w:t>
            </w:r>
          </w:p>
        </w:tc>
        <w:tc>
          <w:tcPr>
            <w:tcW w:w="359" w:type="pct"/>
            <w:vAlign w:val="center"/>
          </w:tcPr>
          <w:p w14:paraId="4E563EB4"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0.005</w:t>
            </w:r>
          </w:p>
        </w:tc>
        <w:tc>
          <w:tcPr>
            <w:tcW w:w="638" w:type="pct"/>
            <w:vAlign w:val="center"/>
          </w:tcPr>
          <w:p w14:paraId="5DB0599A"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1.06 [1.00,1.12]</w:t>
            </w:r>
          </w:p>
        </w:tc>
        <w:tc>
          <w:tcPr>
            <w:tcW w:w="359" w:type="pct"/>
            <w:vAlign w:val="center"/>
          </w:tcPr>
          <w:p w14:paraId="516A5D75"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0.069</w:t>
            </w:r>
          </w:p>
        </w:tc>
        <w:tc>
          <w:tcPr>
            <w:tcW w:w="488" w:type="pct"/>
            <w:vAlign w:val="center"/>
          </w:tcPr>
          <w:p w14:paraId="78903CA6" w14:textId="77777777" w:rsidR="00DB7129" w:rsidRPr="00DB7129" w:rsidRDefault="00DB7129" w:rsidP="00DB7129">
            <w:pPr>
              <w:rPr>
                <w:rFonts w:ascii="Arial" w:hAnsi="Arial" w:cs="Arial"/>
                <w:sz w:val="20"/>
                <w:szCs w:val="20"/>
                <w:lang w:eastAsia="ja-JP"/>
              </w:rPr>
            </w:pPr>
            <w:proofErr w:type="spellStart"/>
            <w:r w:rsidRPr="00DB7129">
              <w:rPr>
                <w:rFonts w:ascii="Arial" w:hAnsi="Arial" w:cs="Arial"/>
                <w:sz w:val="20"/>
                <w:szCs w:val="20"/>
                <w:lang w:eastAsia="ja-JP"/>
              </w:rPr>
              <w:t>NA</w:t>
            </w:r>
            <w:r w:rsidRPr="00DB7129">
              <w:rPr>
                <w:rFonts w:ascii="Arial" w:hAnsi="Arial" w:cs="Arial"/>
                <w:sz w:val="20"/>
                <w:szCs w:val="20"/>
                <w:vertAlign w:val="superscript"/>
                <w:lang w:eastAsia="ja-JP"/>
              </w:rPr>
              <w:t>a</w:t>
            </w:r>
            <w:proofErr w:type="spellEnd"/>
          </w:p>
        </w:tc>
      </w:tr>
      <w:tr w:rsidR="00DB7129" w:rsidRPr="00DB7129" w14:paraId="2AEB2F41" w14:textId="77777777" w:rsidTr="00DD5D22">
        <w:tc>
          <w:tcPr>
            <w:tcW w:w="1521" w:type="pct"/>
            <w:vAlign w:val="center"/>
          </w:tcPr>
          <w:p w14:paraId="7F3819C8"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 xml:space="preserve">Common mental </w:t>
            </w:r>
            <w:proofErr w:type="spellStart"/>
            <w:r w:rsidRPr="00DB7129">
              <w:rPr>
                <w:rFonts w:ascii="Arial" w:hAnsi="Arial" w:cs="Arial"/>
                <w:sz w:val="20"/>
                <w:szCs w:val="20"/>
                <w:lang w:eastAsia="ja-JP"/>
              </w:rPr>
              <w:t>disorders</w:t>
            </w:r>
            <w:proofErr w:type="spellEnd"/>
          </w:p>
        </w:tc>
        <w:tc>
          <w:tcPr>
            <w:tcW w:w="640" w:type="pct"/>
            <w:vAlign w:val="center"/>
          </w:tcPr>
          <w:p w14:paraId="26421308"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1.89 [1.27,2.82]</w:t>
            </w:r>
          </w:p>
        </w:tc>
        <w:tc>
          <w:tcPr>
            <w:tcW w:w="357" w:type="pct"/>
            <w:vAlign w:val="center"/>
          </w:tcPr>
          <w:p w14:paraId="4FE0D9AB"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0.002</w:t>
            </w:r>
          </w:p>
        </w:tc>
        <w:tc>
          <w:tcPr>
            <w:tcW w:w="638" w:type="pct"/>
            <w:vAlign w:val="center"/>
          </w:tcPr>
          <w:p w14:paraId="000B6511"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1.68 [1.13,2.52]</w:t>
            </w:r>
          </w:p>
        </w:tc>
        <w:tc>
          <w:tcPr>
            <w:tcW w:w="359" w:type="pct"/>
            <w:vAlign w:val="center"/>
          </w:tcPr>
          <w:p w14:paraId="5030FEE3"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0.011</w:t>
            </w:r>
          </w:p>
        </w:tc>
        <w:tc>
          <w:tcPr>
            <w:tcW w:w="638" w:type="pct"/>
            <w:vAlign w:val="center"/>
          </w:tcPr>
          <w:p w14:paraId="02AF2FC6"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1.12 [1.05,1.19]</w:t>
            </w:r>
          </w:p>
        </w:tc>
        <w:tc>
          <w:tcPr>
            <w:tcW w:w="359" w:type="pct"/>
            <w:vAlign w:val="center"/>
          </w:tcPr>
          <w:p w14:paraId="15C86FDC"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&lt;0.001</w:t>
            </w:r>
          </w:p>
        </w:tc>
        <w:tc>
          <w:tcPr>
            <w:tcW w:w="488" w:type="pct"/>
            <w:vAlign w:val="center"/>
          </w:tcPr>
          <w:p w14:paraId="457815DA"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18.1</w:t>
            </w:r>
          </w:p>
        </w:tc>
      </w:tr>
      <w:tr w:rsidR="00DB7129" w:rsidRPr="00DB7129" w14:paraId="26465D7E" w14:textId="77777777" w:rsidTr="00DD5D22">
        <w:tc>
          <w:tcPr>
            <w:tcW w:w="1521" w:type="pct"/>
            <w:vAlign w:val="center"/>
          </w:tcPr>
          <w:p w14:paraId="1B808909"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 xml:space="preserve">Borderline </w:t>
            </w:r>
            <w:proofErr w:type="spellStart"/>
            <w:r w:rsidRPr="00DB7129">
              <w:rPr>
                <w:rFonts w:ascii="Arial" w:hAnsi="Arial" w:cs="Arial"/>
                <w:sz w:val="20"/>
                <w:szCs w:val="20"/>
                <w:lang w:eastAsia="ja-JP"/>
              </w:rPr>
              <w:t>personality</w:t>
            </w:r>
            <w:proofErr w:type="spellEnd"/>
            <w:r w:rsidRPr="00DB7129">
              <w:rPr>
                <w:rFonts w:ascii="Arial" w:hAnsi="Arial" w:cs="Arial"/>
                <w:sz w:val="20"/>
                <w:szCs w:val="20"/>
                <w:lang w:eastAsia="ja-JP"/>
              </w:rPr>
              <w:t xml:space="preserve"> </w:t>
            </w:r>
            <w:proofErr w:type="spellStart"/>
            <w:r w:rsidRPr="00DB7129">
              <w:rPr>
                <w:rFonts w:ascii="Arial" w:hAnsi="Arial" w:cs="Arial"/>
                <w:sz w:val="20"/>
                <w:szCs w:val="20"/>
                <w:lang w:eastAsia="ja-JP"/>
              </w:rPr>
              <w:t>disorder</w:t>
            </w:r>
            <w:proofErr w:type="spellEnd"/>
            <w:r w:rsidRPr="00DB7129">
              <w:rPr>
                <w:rFonts w:ascii="Arial" w:hAnsi="Arial" w:cs="Arial"/>
                <w:sz w:val="20"/>
                <w:szCs w:val="20"/>
                <w:lang w:eastAsia="ja-JP"/>
              </w:rPr>
              <w:t xml:space="preserve"> traits</w:t>
            </w:r>
          </w:p>
        </w:tc>
        <w:tc>
          <w:tcPr>
            <w:tcW w:w="640" w:type="pct"/>
            <w:vAlign w:val="center"/>
          </w:tcPr>
          <w:p w14:paraId="2D15EF7E"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1.60 [1.03,2.49]</w:t>
            </w:r>
          </w:p>
        </w:tc>
        <w:tc>
          <w:tcPr>
            <w:tcW w:w="357" w:type="pct"/>
            <w:vAlign w:val="center"/>
          </w:tcPr>
          <w:p w14:paraId="3D918AB7"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0.035</w:t>
            </w:r>
          </w:p>
        </w:tc>
        <w:tc>
          <w:tcPr>
            <w:tcW w:w="638" w:type="pct"/>
            <w:vAlign w:val="center"/>
          </w:tcPr>
          <w:p w14:paraId="1383756F"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1.37 [0.88,2.14]</w:t>
            </w:r>
          </w:p>
        </w:tc>
        <w:tc>
          <w:tcPr>
            <w:tcW w:w="359" w:type="pct"/>
            <w:vAlign w:val="center"/>
          </w:tcPr>
          <w:p w14:paraId="353CECD4"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0.167</w:t>
            </w:r>
          </w:p>
        </w:tc>
        <w:tc>
          <w:tcPr>
            <w:tcW w:w="638" w:type="pct"/>
            <w:vAlign w:val="center"/>
          </w:tcPr>
          <w:p w14:paraId="7D56621F"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1.17 [1.08,1.27]</w:t>
            </w:r>
          </w:p>
        </w:tc>
        <w:tc>
          <w:tcPr>
            <w:tcW w:w="359" w:type="pct"/>
            <w:vAlign w:val="center"/>
          </w:tcPr>
          <w:p w14:paraId="75FF28AF"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&lt;0.001</w:t>
            </w:r>
          </w:p>
        </w:tc>
        <w:tc>
          <w:tcPr>
            <w:tcW w:w="488" w:type="pct"/>
            <w:vAlign w:val="center"/>
          </w:tcPr>
          <w:p w14:paraId="58C8B14B"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33.5</w:t>
            </w:r>
          </w:p>
        </w:tc>
      </w:tr>
      <w:tr w:rsidR="00DB7129" w:rsidRPr="00DB7129" w14:paraId="14E2B9BE" w14:textId="77777777" w:rsidTr="00DD5D22">
        <w:tc>
          <w:tcPr>
            <w:tcW w:w="1521" w:type="pct"/>
            <w:vAlign w:val="center"/>
          </w:tcPr>
          <w:p w14:paraId="747D7D0B" w14:textId="77777777" w:rsidR="00DB7129" w:rsidRPr="00DB7129" w:rsidRDefault="00DB7129" w:rsidP="00DB7129">
            <w:pPr>
              <w:rPr>
                <w:rFonts w:ascii="Arial" w:hAnsi="Arial" w:cs="Arial"/>
                <w:sz w:val="20"/>
                <w:szCs w:val="20"/>
                <w:lang w:eastAsia="ja-JP"/>
              </w:rPr>
            </w:pPr>
            <w:proofErr w:type="spellStart"/>
            <w:r w:rsidRPr="00DB7129">
              <w:rPr>
                <w:rFonts w:ascii="Arial" w:hAnsi="Arial" w:cs="Arial"/>
                <w:sz w:val="20"/>
                <w:szCs w:val="20"/>
                <w:lang w:eastAsia="ja-JP"/>
              </w:rPr>
              <w:t>Posttraumatic</w:t>
            </w:r>
            <w:proofErr w:type="spellEnd"/>
            <w:r w:rsidRPr="00DB7129">
              <w:rPr>
                <w:rFonts w:ascii="Arial" w:hAnsi="Arial" w:cs="Arial"/>
                <w:sz w:val="20"/>
                <w:szCs w:val="20"/>
                <w:lang w:eastAsia="ja-JP"/>
              </w:rPr>
              <w:t xml:space="preserve"> stress </w:t>
            </w:r>
            <w:proofErr w:type="spellStart"/>
            <w:r w:rsidRPr="00DB7129">
              <w:rPr>
                <w:rFonts w:ascii="Arial" w:hAnsi="Arial" w:cs="Arial"/>
                <w:sz w:val="20"/>
                <w:szCs w:val="20"/>
                <w:lang w:eastAsia="ja-JP"/>
              </w:rPr>
              <w:t>disorder</w:t>
            </w:r>
            <w:proofErr w:type="spellEnd"/>
          </w:p>
        </w:tc>
        <w:tc>
          <w:tcPr>
            <w:tcW w:w="640" w:type="pct"/>
            <w:vAlign w:val="center"/>
          </w:tcPr>
          <w:p w14:paraId="0D32F9C6"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1.92 [1.30,2.86]</w:t>
            </w:r>
          </w:p>
        </w:tc>
        <w:tc>
          <w:tcPr>
            <w:tcW w:w="357" w:type="pct"/>
            <w:vAlign w:val="center"/>
          </w:tcPr>
          <w:p w14:paraId="77A4CE42"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0.001</w:t>
            </w:r>
          </w:p>
        </w:tc>
        <w:tc>
          <w:tcPr>
            <w:tcW w:w="638" w:type="pct"/>
            <w:vAlign w:val="center"/>
          </w:tcPr>
          <w:p w14:paraId="0889B610"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1.82 [1.23,2.71]</w:t>
            </w:r>
          </w:p>
        </w:tc>
        <w:tc>
          <w:tcPr>
            <w:tcW w:w="359" w:type="pct"/>
            <w:vAlign w:val="center"/>
          </w:tcPr>
          <w:p w14:paraId="261A2F7F"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0.003</w:t>
            </w:r>
          </w:p>
        </w:tc>
        <w:tc>
          <w:tcPr>
            <w:tcW w:w="638" w:type="pct"/>
            <w:vAlign w:val="center"/>
          </w:tcPr>
          <w:p w14:paraId="559CF101"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1.06 [1.01,1.11]</w:t>
            </w:r>
          </w:p>
        </w:tc>
        <w:tc>
          <w:tcPr>
            <w:tcW w:w="359" w:type="pct"/>
            <w:vAlign w:val="center"/>
          </w:tcPr>
          <w:p w14:paraId="00D6935A"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0.025</w:t>
            </w:r>
          </w:p>
        </w:tc>
        <w:tc>
          <w:tcPr>
            <w:tcW w:w="488" w:type="pct"/>
            <w:vAlign w:val="center"/>
          </w:tcPr>
          <w:p w14:paraId="42DF8AF5"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8.3</w:t>
            </w:r>
          </w:p>
        </w:tc>
      </w:tr>
      <w:tr w:rsidR="00DB7129" w:rsidRPr="00DB7129" w14:paraId="56CD9AD2" w14:textId="77777777" w:rsidTr="00DD5D22">
        <w:tc>
          <w:tcPr>
            <w:tcW w:w="1521" w:type="pct"/>
            <w:vAlign w:val="center"/>
          </w:tcPr>
          <w:p w14:paraId="58FC59B5" w14:textId="77777777" w:rsidR="00DB7129" w:rsidRPr="00DB7129" w:rsidRDefault="00DB7129" w:rsidP="00DB7129">
            <w:pPr>
              <w:rPr>
                <w:rFonts w:ascii="Arial" w:hAnsi="Arial" w:cs="Arial"/>
                <w:sz w:val="20"/>
                <w:szCs w:val="20"/>
                <w:lang w:eastAsia="ja-JP"/>
              </w:rPr>
            </w:pPr>
            <w:proofErr w:type="spellStart"/>
            <w:r w:rsidRPr="00DB7129">
              <w:rPr>
                <w:rFonts w:ascii="Arial" w:hAnsi="Arial" w:cs="Arial"/>
                <w:sz w:val="20"/>
                <w:szCs w:val="20"/>
                <w:lang w:eastAsia="ja-JP"/>
              </w:rPr>
              <w:t>Sleep</w:t>
            </w:r>
            <w:proofErr w:type="spellEnd"/>
            <w:r w:rsidRPr="00DB7129">
              <w:rPr>
                <w:rFonts w:ascii="Arial" w:hAnsi="Arial" w:cs="Arial"/>
                <w:sz w:val="20"/>
                <w:szCs w:val="20"/>
                <w:lang w:eastAsia="ja-JP"/>
              </w:rPr>
              <w:t xml:space="preserve"> </w:t>
            </w:r>
            <w:proofErr w:type="spellStart"/>
            <w:r w:rsidRPr="00DB7129">
              <w:rPr>
                <w:rFonts w:ascii="Arial" w:hAnsi="Arial" w:cs="Arial"/>
                <w:sz w:val="20"/>
                <w:szCs w:val="20"/>
                <w:lang w:eastAsia="ja-JP"/>
              </w:rPr>
              <w:t>problems</w:t>
            </w:r>
            <w:proofErr w:type="spellEnd"/>
          </w:p>
        </w:tc>
        <w:tc>
          <w:tcPr>
            <w:tcW w:w="640" w:type="pct"/>
            <w:vAlign w:val="center"/>
          </w:tcPr>
          <w:p w14:paraId="640A4A9F"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2.03 [1.38,2.97]</w:t>
            </w:r>
          </w:p>
        </w:tc>
        <w:tc>
          <w:tcPr>
            <w:tcW w:w="357" w:type="pct"/>
            <w:vAlign w:val="center"/>
          </w:tcPr>
          <w:p w14:paraId="79DD95BE"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&lt;0.001</w:t>
            </w:r>
          </w:p>
        </w:tc>
        <w:tc>
          <w:tcPr>
            <w:tcW w:w="638" w:type="pct"/>
            <w:vAlign w:val="center"/>
          </w:tcPr>
          <w:p w14:paraId="44C68E03"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1.77 [1.20,2.61]</w:t>
            </w:r>
          </w:p>
        </w:tc>
        <w:tc>
          <w:tcPr>
            <w:tcW w:w="359" w:type="pct"/>
            <w:vAlign w:val="center"/>
          </w:tcPr>
          <w:p w14:paraId="1042E9D3"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0.004</w:t>
            </w:r>
          </w:p>
        </w:tc>
        <w:tc>
          <w:tcPr>
            <w:tcW w:w="638" w:type="pct"/>
            <w:vAlign w:val="center"/>
          </w:tcPr>
          <w:p w14:paraId="72110A3B"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1.14 [1.07,1.23]</w:t>
            </w:r>
          </w:p>
        </w:tc>
        <w:tc>
          <w:tcPr>
            <w:tcW w:w="359" w:type="pct"/>
            <w:vAlign w:val="center"/>
          </w:tcPr>
          <w:p w14:paraId="12C27DAF"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&lt;0.001</w:t>
            </w:r>
          </w:p>
        </w:tc>
        <w:tc>
          <w:tcPr>
            <w:tcW w:w="488" w:type="pct"/>
            <w:vAlign w:val="center"/>
          </w:tcPr>
          <w:p w14:paraId="4A5C6CFA" w14:textId="77777777" w:rsidR="00DB7129" w:rsidRPr="00DB7129" w:rsidRDefault="00DB7129" w:rsidP="00DB7129">
            <w:pPr>
              <w:rPr>
                <w:rFonts w:ascii="Arial" w:hAnsi="Arial" w:cs="Arial"/>
                <w:sz w:val="20"/>
                <w:szCs w:val="20"/>
                <w:lang w:eastAsia="ja-JP"/>
              </w:rPr>
            </w:pPr>
            <w:r w:rsidRPr="00DB7129">
              <w:rPr>
                <w:rFonts w:ascii="Arial" w:hAnsi="Arial" w:cs="Arial"/>
                <w:sz w:val="20"/>
                <w:szCs w:val="20"/>
                <w:lang w:eastAsia="ja-JP"/>
              </w:rPr>
              <w:t>19.1</w:t>
            </w:r>
          </w:p>
        </w:tc>
      </w:tr>
    </w:tbl>
    <w:p w14:paraId="28B948A0" w14:textId="77777777" w:rsidR="00DB7129" w:rsidRPr="00DB7129" w:rsidRDefault="00DB7129" w:rsidP="00DB7129">
      <w:pPr>
        <w:jc w:val="both"/>
        <w:rPr>
          <w:rFonts w:ascii="Arial" w:hAnsi="Arial" w:cs="Arial"/>
          <w:sz w:val="18"/>
          <w:szCs w:val="18"/>
          <w:lang w:eastAsia="ja-JP"/>
        </w:rPr>
      </w:pPr>
      <w:r w:rsidRPr="00DB7129">
        <w:rPr>
          <w:rFonts w:ascii="Arial" w:hAnsi="Arial" w:cs="Arial"/>
          <w:sz w:val="18"/>
          <w:szCs w:val="18"/>
          <w:lang w:eastAsia="ja-JP"/>
        </w:rPr>
        <w:t>Abbreviations:</w:t>
      </w:r>
      <w:r w:rsidRPr="00DB7129">
        <w:rPr>
          <w:rFonts w:ascii="Arial" w:hAnsi="Arial" w:cs="Arial"/>
          <w:b/>
          <w:sz w:val="18"/>
          <w:szCs w:val="18"/>
          <w:lang w:eastAsia="ja-JP"/>
        </w:rPr>
        <w:t xml:space="preserve"> </w:t>
      </w:r>
      <w:r w:rsidRPr="00DB7129">
        <w:rPr>
          <w:rFonts w:ascii="Arial" w:hAnsi="Arial" w:cs="Arial"/>
          <w:sz w:val="18"/>
          <w:szCs w:val="18"/>
          <w:lang w:eastAsia="ja-JP"/>
        </w:rPr>
        <w:t>OR Odds ratio; CI Confidence interval.</w:t>
      </w:r>
    </w:p>
    <w:p w14:paraId="6723EFE6" w14:textId="77777777" w:rsidR="00DB7129" w:rsidRPr="00DB7129" w:rsidRDefault="00DB7129" w:rsidP="00DB7129">
      <w:pPr>
        <w:jc w:val="both"/>
        <w:rPr>
          <w:rFonts w:ascii="Arial" w:hAnsi="Arial" w:cs="Arial"/>
          <w:sz w:val="18"/>
          <w:szCs w:val="18"/>
          <w:lang w:eastAsia="ja-JP"/>
        </w:rPr>
      </w:pPr>
      <w:r w:rsidRPr="00DB7129">
        <w:rPr>
          <w:rFonts w:ascii="Arial" w:hAnsi="Arial" w:cs="Arial"/>
          <w:sz w:val="18"/>
          <w:szCs w:val="18"/>
          <w:lang w:eastAsia="ja-JP"/>
        </w:rPr>
        <w:t xml:space="preserve">Participants were asked about their sexual orientation, and sexual orientation was dichotomized into heterosexual and non-heterosexual (i.e., mostly/mainly heterosexual, bisexual, mostly/mainly homosexual, entirely/completely homosexual, other). </w:t>
      </w:r>
    </w:p>
    <w:p w14:paraId="68B73939" w14:textId="77777777" w:rsidR="00DB7129" w:rsidRPr="00DB7129" w:rsidRDefault="00DB7129" w:rsidP="00DB7129">
      <w:pPr>
        <w:jc w:val="both"/>
        <w:rPr>
          <w:rFonts w:ascii="Arial" w:hAnsi="Arial" w:cs="Arial"/>
          <w:sz w:val="18"/>
          <w:szCs w:val="18"/>
          <w:lang w:eastAsia="ja-JP"/>
        </w:rPr>
      </w:pPr>
      <w:r w:rsidRPr="00DB7129">
        <w:rPr>
          <w:rFonts w:ascii="Arial" w:hAnsi="Arial" w:cs="Arial"/>
          <w:sz w:val="18"/>
          <w:szCs w:val="18"/>
          <w:lang w:eastAsia="ja-JP"/>
        </w:rPr>
        <w:t xml:space="preserve">Any psychotic experience referred to the presence of at least one of: hypomania/mania, thought control, paranoia, strange experiences, and auditory hallucinations. </w:t>
      </w:r>
    </w:p>
    <w:p w14:paraId="581B2469" w14:textId="77777777" w:rsidR="00DB7129" w:rsidRPr="00DB7129" w:rsidRDefault="00DB7129" w:rsidP="00DB7129">
      <w:pPr>
        <w:jc w:val="both"/>
        <w:rPr>
          <w:rFonts w:ascii="Arial" w:hAnsi="Arial" w:cs="Arial"/>
          <w:sz w:val="18"/>
          <w:szCs w:val="18"/>
          <w:lang w:eastAsia="ja-JP"/>
        </w:rPr>
      </w:pPr>
      <w:r w:rsidRPr="00DB7129">
        <w:rPr>
          <w:rFonts w:ascii="Arial" w:hAnsi="Arial" w:cs="Arial"/>
          <w:sz w:val="18"/>
          <w:szCs w:val="18"/>
          <w:lang w:eastAsia="ja-JP"/>
        </w:rPr>
        <w:t xml:space="preserve">Models are adjusted for sex, age and ethnicity. </w:t>
      </w:r>
    </w:p>
    <w:p w14:paraId="2450AEC8" w14:textId="77777777" w:rsidR="00DB7129" w:rsidRPr="00DB7129" w:rsidRDefault="00DB7129" w:rsidP="00DB7129">
      <w:pPr>
        <w:jc w:val="both"/>
        <w:rPr>
          <w:rFonts w:ascii="Arial" w:hAnsi="Arial" w:cs="Arial"/>
          <w:sz w:val="18"/>
          <w:szCs w:val="18"/>
          <w:lang w:eastAsia="ja-JP"/>
        </w:rPr>
      </w:pPr>
      <w:r w:rsidRPr="00DB7129">
        <w:rPr>
          <w:rFonts w:ascii="Arial" w:hAnsi="Arial" w:cs="Arial"/>
          <w:sz w:val="18"/>
          <w:szCs w:val="18"/>
          <w:vertAlign w:val="superscript"/>
          <w:lang w:eastAsia="ja-JP"/>
        </w:rPr>
        <w:t>a</w:t>
      </w:r>
      <w:r w:rsidRPr="00DB7129">
        <w:rPr>
          <w:rFonts w:ascii="Arial" w:hAnsi="Arial" w:cs="Arial"/>
          <w:sz w:val="18"/>
          <w:szCs w:val="18"/>
          <w:lang w:eastAsia="ja-JP"/>
        </w:rPr>
        <w:t xml:space="preserve"> Mediated percentage was only calculated when the indirect effect was significant (p-value&lt;0.05).</w:t>
      </w:r>
    </w:p>
    <w:p w14:paraId="464DF1F1" w14:textId="77777777" w:rsidR="00DB7129" w:rsidRPr="00DB7129" w:rsidRDefault="00DB7129" w:rsidP="00DB7129">
      <w:pPr>
        <w:rPr>
          <w:rFonts w:ascii="Arial" w:hAnsi="Arial" w:cs="Arial"/>
          <w:lang w:eastAsia="ja-JP"/>
        </w:rPr>
      </w:pPr>
    </w:p>
    <w:p w14:paraId="6E485590" w14:textId="77777777" w:rsidR="00350C06" w:rsidRPr="00BA70F3" w:rsidRDefault="00350C06" w:rsidP="000050E5">
      <w:pPr>
        <w:spacing w:line="480" w:lineRule="auto"/>
        <w:jc w:val="both"/>
        <w:rPr>
          <w:rFonts w:ascii="Arial" w:hAnsi="Arial" w:cs="Arial"/>
        </w:rPr>
      </w:pPr>
    </w:p>
    <w:sectPr w:rsidR="00350C06" w:rsidRPr="00BA70F3" w:rsidSect="0041731C">
      <w:footerReference w:type="even" r:id="rId11"/>
      <w:footerReference w:type="default" r:id="rId12"/>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237D5" w14:textId="77777777" w:rsidR="00435E6A" w:rsidRDefault="00435E6A" w:rsidP="009D60A5">
      <w:r>
        <w:separator/>
      </w:r>
    </w:p>
  </w:endnote>
  <w:endnote w:type="continuationSeparator" w:id="0">
    <w:p w14:paraId="20B65228" w14:textId="77777777" w:rsidR="00435E6A" w:rsidRDefault="00435E6A" w:rsidP="009D6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57A80" w14:textId="77777777" w:rsidR="00DB7129" w:rsidRDefault="00DB7129" w:rsidP="007861A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049510C" w14:textId="77777777" w:rsidR="00DB7129" w:rsidRDefault="00DB71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C6BBE" w14:textId="77777777" w:rsidR="00DB7129" w:rsidRPr="00710D4F" w:rsidRDefault="00DB7129" w:rsidP="007861AB">
    <w:pPr>
      <w:pStyle w:val="Footer"/>
      <w:framePr w:wrap="around" w:vAnchor="text" w:hAnchor="margin" w:xAlign="center" w:y="1"/>
      <w:rPr>
        <w:rStyle w:val="PageNumber"/>
        <w:rFonts w:ascii="Arial" w:hAnsi="Arial" w:cs="Arial"/>
      </w:rPr>
    </w:pPr>
    <w:r w:rsidRPr="00710D4F">
      <w:rPr>
        <w:rStyle w:val="PageNumber"/>
        <w:rFonts w:ascii="Arial" w:hAnsi="Arial" w:cs="Arial"/>
      </w:rPr>
      <w:fldChar w:fldCharType="begin"/>
    </w:r>
    <w:r w:rsidRPr="00710D4F">
      <w:rPr>
        <w:rStyle w:val="PageNumber"/>
        <w:rFonts w:ascii="Arial" w:hAnsi="Arial" w:cs="Arial"/>
      </w:rPr>
      <w:instrText xml:space="preserve">PAGE  </w:instrText>
    </w:r>
    <w:r w:rsidRPr="00710D4F">
      <w:rPr>
        <w:rStyle w:val="PageNumber"/>
        <w:rFonts w:ascii="Arial" w:hAnsi="Arial" w:cs="Arial"/>
      </w:rPr>
      <w:fldChar w:fldCharType="separate"/>
    </w:r>
    <w:r>
      <w:rPr>
        <w:rStyle w:val="PageNumber"/>
        <w:rFonts w:ascii="Arial" w:hAnsi="Arial" w:cs="Arial"/>
        <w:noProof/>
      </w:rPr>
      <w:t>1</w:t>
    </w:r>
    <w:r w:rsidRPr="00710D4F">
      <w:rPr>
        <w:rStyle w:val="PageNumber"/>
        <w:rFonts w:ascii="Arial" w:hAnsi="Arial" w:cs="Arial"/>
      </w:rPr>
      <w:fldChar w:fldCharType="end"/>
    </w:r>
  </w:p>
  <w:p w14:paraId="56EE1E28" w14:textId="77777777" w:rsidR="00DB7129" w:rsidRDefault="00DB712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49928983"/>
      <w:docPartObj>
        <w:docPartGallery w:val="Page Numbers (Bottom of Page)"/>
        <w:docPartUnique/>
      </w:docPartObj>
    </w:sdtPr>
    <w:sdtEndPr>
      <w:rPr>
        <w:rStyle w:val="PageNumber"/>
      </w:rPr>
    </w:sdtEndPr>
    <w:sdtContent>
      <w:p w14:paraId="1D2041D3" w14:textId="3EEEF0E6" w:rsidR="00E4241B" w:rsidRDefault="00E4241B" w:rsidP="004B7C6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379A79E" w14:textId="77777777" w:rsidR="00E4241B" w:rsidRDefault="00E4241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61494140"/>
      <w:docPartObj>
        <w:docPartGallery w:val="Page Numbers (Bottom of Page)"/>
        <w:docPartUnique/>
      </w:docPartObj>
    </w:sdtPr>
    <w:sdtEndPr>
      <w:rPr>
        <w:rStyle w:val="PageNumber"/>
        <w:rFonts w:ascii="Arial" w:hAnsi="Arial" w:cs="Arial"/>
      </w:rPr>
    </w:sdtEndPr>
    <w:sdtContent>
      <w:p w14:paraId="7234E216" w14:textId="072856A0" w:rsidR="00E4241B" w:rsidRDefault="00E4241B" w:rsidP="004B7C66">
        <w:pPr>
          <w:pStyle w:val="Footer"/>
          <w:framePr w:wrap="none" w:vAnchor="text" w:hAnchor="margin" w:xAlign="center" w:y="1"/>
          <w:rPr>
            <w:rStyle w:val="PageNumber"/>
          </w:rPr>
        </w:pPr>
        <w:r w:rsidRPr="00C21714">
          <w:rPr>
            <w:rStyle w:val="PageNumber"/>
            <w:rFonts w:ascii="Arial" w:hAnsi="Arial" w:cs="Arial"/>
          </w:rPr>
          <w:fldChar w:fldCharType="begin"/>
        </w:r>
        <w:r w:rsidRPr="00C21714">
          <w:rPr>
            <w:rStyle w:val="PageNumber"/>
            <w:rFonts w:ascii="Arial" w:hAnsi="Arial" w:cs="Arial"/>
          </w:rPr>
          <w:instrText xml:space="preserve"> PAGE </w:instrText>
        </w:r>
        <w:r w:rsidRPr="00C21714">
          <w:rPr>
            <w:rStyle w:val="PageNumber"/>
            <w:rFonts w:ascii="Arial" w:hAnsi="Arial" w:cs="Arial"/>
          </w:rPr>
          <w:fldChar w:fldCharType="separate"/>
        </w:r>
        <w:r w:rsidR="000B43D1">
          <w:rPr>
            <w:rStyle w:val="PageNumber"/>
            <w:rFonts w:ascii="Arial" w:hAnsi="Arial" w:cs="Arial"/>
            <w:noProof/>
          </w:rPr>
          <w:t>3</w:t>
        </w:r>
        <w:r w:rsidRPr="00C21714">
          <w:rPr>
            <w:rStyle w:val="PageNumber"/>
            <w:rFonts w:ascii="Arial" w:hAnsi="Arial" w:cs="Arial"/>
          </w:rPr>
          <w:fldChar w:fldCharType="end"/>
        </w:r>
      </w:p>
    </w:sdtContent>
  </w:sdt>
  <w:p w14:paraId="325B4362" w14:textId="77777777" w:rsidR="00E4241B" w:rsidRDefault="00E424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5911B" w14:textId="77777777" w:rsidR="00435E6A" w:rsidRDefault="00435E6A" w:rsidP="009D60A5">
      <w:r>
        <w:separator/>
      </w:r>
    </w:p>
  </w:footnote>
  <w:footnote w:type="continuationSeparator" w:id="0">
    <w:p w14:paraId="59845C9F" w14:textId="77777777" w:rsidR="00435E6A" w:rsidRDefault="00435E6A" w:rsidP="009D60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C68B8"/>
    <w:multiLevelType w:val="multilevel"/>
    <w:tmpl w:val="71CAAB52"/>
    <w:lvl w:ilvl="0">
      <w:start w:val="17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Intl J Obesity Cop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2z5xwrr4s255jexte2pwr2czrta9p02zs9t&quot;&gt;Endnote27Dec2017&lt;record-ids&gt;&lt;item&gt;2413&lt;/item&gt;&lt;item&gt;5136&lt;/item&gt;&lt;item&gt;8038&lt;/item&gt;&lt;item&gt;8707&lt;/item&gt;&lt;item&gt;9051&lt;/item&gt;&lt;item&gt;9190&lt;/item&gt;&lt;/record-ids&gt;&lt;/item&gt;&lt;/Libraries&gt;"/>
  </w:docVars>
  <w:rsids>
    <w:rsidRoot w:val="00F710B8"/>
    <w:rsid w:val="00000EB7"/>
    <w:rsid w:val="0000110E"/>
    <w:rsid w:val="00001BDE"/>
    <w:rsid w:val="00002DF9"/>
    <w:rsid w:val="00002E51"/>
    <w:rsid w:val="00003ECE"/>
    <w:rsid w:val="000050E5"/>
    <w:rsid w:val="0000529B"/>
    <w:rsid w:val="000069DC"/>
    <w:rsid w:val="0001021F"/>
    <w:rsid w:val="00010CD3"/>
    <w:rsid w:val="000126C5"/>
    <w:rsid w:val="00013CC7"/>
    <w:rsid w:val="00014222"/>
    <w:rsid w:val="00016940"/>
    <w:rsid w:val="00020216"/>
    <w:rsid w:val="00026A23"/>
    <w:rsid w:val="00026ACA"/>
    <w:rsid w:val="00026D18"/>
    <w:rsid w:val="00026D32"/>
    <w:rsid w:val="000310CE"/>
    <w:rsid w:val="00031C16"/>
    <w:rsid w:val="00031F4B"/>
    <w:rsid w:val="00032524"/>
    <w:rsid w:val="0003357F"/>
    <w:rsid w:val="00033FCB"/>
    <w:rsid w:val="0003410C"/>
    <w:rsid w:val="00034836"/>
    <w:rsid w:val="00035155"/>
    <w:rsid w:val="00035EF5"/>
    <w:rsid w:val="00037C5A"/>
    <w:rsid w:val="00037D67"/>
    <w:rsid w:val="00040860"/>
    <w:rsid w:val="00040B28"/>
    <w:rsid w:val="000412CE"/>
    <w:rsid w:val="000416C7"/>
    <w:rsid w:val="00043121"/>
    <w:rsid w:val="000432C2"/>
    <w:rsid w:val="00044414"/>
    <w:rsid w:val="00044957"/>
    <w:rsid w:val="00045786"/>
    <w:rsid w:val="000475BE"/>
    <w:rsid w:val="000527AE"/>
    <w:rsid w:val="00055DE6"/>
    <w:rsid w:val="00056CA5"/>
    <w:rsid w:val="00056DDC"/>
    <w:rsid w:val="000576C0"/>
    <w:rsid w:val="00057975"/>
    <w:rsid w:val="000632AF"/>
    <w:rsid w:val="00063417"/>
    <w:rsid w:val="00063A43"/>
    <w:rsid w:val="000647B5"/>
    <w:rsid w:val="00064D9A"/>
    <w:rsid w:val="00065637"/>
    <w:rsid w:val="000669A9"/>
    <w:rsid w:val="0007020F"/>
    <w:rsid w:val="00071E1F"/>
    <w:rsid w:val="00073702"/>
    <w:rsid w:val="000739AC"/>
    <w:rsid w:val="00073C40"/>
    <w:rsid w:val="000744E7"/>
    <w:rsid w:val="00074878"/>
    <w:rsid w:val="00074BE3"/>
    <w:rsid w:val="00075DBB"/>
    <w:rsid w:val="00077560"/>
    <w:rsid w:val="00077C4C"/>
    <w:rsid w:val="00083DD1"/>
    <w:rsid w:val="00083ED0"/>
    <w:rsid w:val="00083FF5"/>
    <w:rsid w:val="0008479E"/>
    <w:rsid w:val="0008491E"/>
    <w:rsid w:val="00087E75"/>
    <w:rsid w:val="00090963"/>
    <w:rsid w:val="00090F18"/>
    <w:rsid w:val="0009296A"/>
    <w:rsid w:val="00092EB2"/>
    <w:rsid w:val="000948C4"/>
    <w:rsid w:val="00097AE6"/>
    <w:rsid w:val="000A185F"/>
    <w:rsid w:val="000A1EC5"/>
    <w:rsid w:val="000A2241"/>
    <w:rsid w:val="000A3C3A"/>
    <w:rsid w:val="000A4285"/>
    <w:rsid w:val="000A4672"/>
    <w:rsid w:val="000A577B"/>
    <w:rsid w:val="000A5807"/>
    <w:rsid w:val="000A5F34"/>
    <w:rsid w:val="000A617D"/>
    <w:rsid w:val="000A6E98"/>
    <w:rsid w:val="000A7D04"/>
    <w:rsid w:val="000B0032"/>
    <w:rsid w:val="000B43D1"/>
    <w:rsid w:val="000B5436"/>
    <w:rsid w:val="000B64DC"/>
    <w:rsid w:val="000B7367"/>
    <w:rsid w:val="000B7A52"/>
    <w:rsid w:val="000C2D9A"/>
    <w:rsid w:val="000C33A2"/>
    <w:rsid w:val="000C68CB"/>
    <w:rsid w:val="000C6CC4"/>
    <w:rsid w:val="000C780C"/>
    <w:rsid w:val="000C7DF3"/>
    <w:rsid w:val="000D0AB2"/>
    <w:rsid w:val="000D1158"/>
    <w:rsid w:val="000D118F"/>
    <w:rsid w:val="000D39A7"/>
    <w:rsid w:val="000D47BD"/>
    <w:rsid w:val="000D5833"/>
    <w:rsid w:val="000D6E23"/>
    <w:rsid w:val="000D719D"/>
    <w:rsid w:val="000D73B4"/>
    <w:rsid w:val="000D7A80"/>
    <w:rsid w:val="000E0892"/>
    <w:rsid w:val="000E15C1"/>
    <w:rsid w:val="000E26D1"/>
    <w:rsid w:val="000E39F8"/>
    <w:rsid w:val="000E3CBB"/>
    <w:rsid w:val="000E6281"/>
    <w:rsid w:val="000E697E"/>
    <w:rsid w:val="000F000E"/>
    <w:rsid w:val="000F01E2"/>
    <w:rsid w:val="000F165C"/>
    <w:rsid w:val="000F1826"/>
    <w:rsid w:val="000F27D0"/>
    <w:rsid w:val="000F3D70"/>
    <w:rsid w:val="000F6998"/>
    <w:rsid w:val="000F70D1"/>
    <w:rsid w:val="00102C37"/>
    <w:rsid w:val="00104DAE"/>
    <w:rsid w:val="001060E4"/>
    <w:rsid w:val="00106C27"/>
    <w:rsid w:val="0011088B"/>
    <w:rsid w:val="00116124"/>
    <w:rsid w:val="00116FF6"/>
    <w:rsid w:val="00117430"/>
    <w:rsid w:val="001205C5"/>
    <w:rsid w:val="001215F7"/>
    <w:rsid w:val="00121DF1"/>
    <w:rsid w:val="00123E96"/>
    <w:rsid w:val="00126820"/>
    <w:rsid w:val="00130875"/>
    <w:rsid w:val="0013107D"/>
    <w:rsid w:val="00131224"/>
    <w:rsid w:val="00132145"/>
    <w:rsid w:val="001321EF"/>
    <w:rsid w:val="00133618"/>
    <w:rsid w:val="00134481"/>
    <w:rsid w:val="0013545D"/>
    <w:rsid w:val="00136F76"/>
    <w:rsid w:val="00137578"/>
    <w:rsid w:val="00140E05"/>
    <w:rsid w:val="00141250"/>
    <w:rsid w:val="00143AF3"/>
    <w:rsid w:val="00143DE9"/>
    <w:rsid w:val="001440F1"/>
    <w:rsid w:val="00144EEB"/>
    <w:rsid w:val="00144EF2"/>
    <w:rsid w:val="00145137"/>
    <w:rsid w:val="00147DBF"/>
    <w:rsid w:val="001504C9"/>
    <w:rsid w:val="00151042"/>
    <w:rsid w:val="00152122"/>
    <w:rsid w:val="001538CD"/>
    <w:rsid w:val="001551BC"/>
    <w:rsid w:val="00156A58"/>
    <w:rsid w:val="0016124F"/>
    <w:rsid w:val="00161F44"/>
    <w:rsid w:val="00163062"/>
    <w:rsid w:val="00165737"/>
    <w:rsid w:val="0016662C"/>
    <w:rsid w:val="00167A27"/>
    <w:rsid w:val="001708AD"/>
    <w:rsid w:val="00170D50"/>
    <w:rsid w:val="00171CF3"/>
    <w:rsid w:val="00172A74"/>
    <w:rsid w:val="00173278"/>
    <w:rsid w:val="001754B5"/>
    <w:rsid w:val="00175E46"/>
    <w:rsid w:val="00177B2F"/>
    <w:rsid w:val="00180524"/>
    <w:rsid w:val="00180A24"/>
    <w:rsid w:val="00182580"/>
    <w:rsid w:val="00184F5C"/>
    <w:rsid w:val="001854D8"/>
    <w:rsid w:val="00185985"/>
    <w:rsid w:val="00185AA7"/>
    <w:rsid w:val="001860E1"/>
    <w:rsid w:val="001872C8"/>
    <w:rsid w:val="001878F8"/>
    <w:rsid w:val="00190EB3"/>
    <w:rsid w:val="00191605"/>
    <w:rsid w:val="00192A19"/>
    <w:rsid w:val="00193359"/>
    <w:rsid w:val="00193910"/>
    <w:rsid w:val="00193D5F"/>
    <w:rsid w:val="00195102"/>
    <w:rsid w:val="0019599E"/>
    <w:rsid w:val="00197B93"/>
    <w:rsid w:val="001A01D0"/>
    <w:rsid w:val="001A040F"/>
    <w:rsid w:val="001A0D2B"/>
    <w:rsid w:val="001A2685"/>
    <w:rsid w:val="001A2C08"/>
    <w:rsid w:val="001A36EB"/>
    <w:rsid w:val="001A3A2F"/>
    <w:rsid w:val="001A4223"/>
    <w:rsid w:val="001A49A4"/>
    <w:rsid w:val="001A51C4"/>
    <w:rsid w:val="001A52A1"/>
    <w:rsid w:val="001A6296"/>
    <w:rsid w:val="001A6D22"/>
    <w:rsid w:val="001A7353"/>
    <w:rsid w:val="001A7C11"/>
    <w:rsid w:val="001B160C"/>
    <w:rsid w:val="001B50D8"/>
    <w:rsid w:val="001B7783"/>
    <w:rsid w:val="001B78A0"/>
    <w:rsid w:val="001B7E76"/>
    <w:rsid w:val="001C4067"/>
    <w:rsid w:val="001C4846"/>
    <w:rsid w:val="001C50C4"/>
    <w:rsid w:val="001C569E"/>
    <w:rsid w:val="001C62B3"/>
    <w:rsid w:val="001D0B96"/>
    <w:rsid w:val="001D1ACA"/>
    <w:rsid w:val="001D1EAF"/>
    <w:rsid w:val="001D229B"/>
    <w:rsid w:val="001D29B3"/>
    <w:rsid w:val="001D41B3"/>
    <w:rsid w:val="001D463A"/>
    <w:rsid w:val="001D5236"/>
    <w:rsid w:val="001D54F3"/>
    <w:rsid w:val="001D5621"/>
    <w:rsid w:val="001D5FA2"/>
    <w:rsid w:val="001D6184"/>
    <w:rsid w:val="001D7270"/>
    <w:rsid w:val="001D7BB3"/>
    <w:rsid w:val="001D7F4A"/>
    <w:rsid w:val="001E08B0"/>
    <w:rsid w:val="001E141D"/>
    <w:rsid w:val="001E1D4D"/>
    <w:rsid w:val="001E38DF"/>
    <w:rsid w:val="001E3A4F"/>
    <w:rsid w:val="001E424D"/>
    <w:rsid w:val="001E46FF"/>
    <w:rsid w:val="001E585A"/>
    <w:rsid w:val="001E65AC"/>
    <w:rsid w:val="001E6850"/>
    <w:rsid w:val="001E7E7B"/>
    <w:rsid w:val="001F0097"/>
    <w:rsid w:val="001F0703"/>
    <w:rsid w:val="001F0A0B"/>
    <w:rsid w:val="001F122B"/>
    <w:rsid w:val="001F16D0"/>
    <w:rsid w:val="001F2A7A"/>
    <w:rsid w:val="001F5C02"/>
    <w:rsid w:val="001F5DD0"/>
    <w:rsid w:val="001F7B66"/>
    <w:rsid w:val="002002B6"/>
    <w:rsid w:val="002008A3"/>
    <w:rsid w:val="0020100E"/>
    <w:rsid w:val="00203177"/>
    <w:rsid w:val="00203312"/>
    <w:rsid w:val="00203901"/>
    <w:rsid w:val="00204433"/>
    <w:rsid w:val="00204D07"/>
    <w:rsid w:val="002063F7"/>
    <w:rsid w:val="00206523"/>
    <w:rsid w:val="002071C8"/>
    <w:rsid w:val="00207DD8"/>
    <w:rsid w:val="002107D7"/>
    <w:rsid w:val="002144C8"/>
    <w:rsid w:val="00214E8C"/>
    <w:rsid w:val="00214EC6"/>
    <w:rsid w:val="00215488"/>
    <w:rsid w:val="002158CE"/>
    <w:rsid w:val="0021720C"/>
    <w:rsid w:val="00217559"/>
    <w:rsid w:val="002240D3"/>
    <w:rsid w:val="002254C2"/>
    <w:rsid w:val="002301DB"/>
    <w:rsid w:val="00230256"/>
    <w:rsid w:val="002323E7"/>
    <w:rsid w:val="00234F62"/>
    <w:rsid w:val="0023580D"/>
    <w:rsid w:val="00235876"/>
    <w:rsid w:val="002367B9"/>
    <w:rsid w:val="00236BEB"/>
    <w:rsid w:val="0023796F"/>
    <w:rsid w:val="00237BCD"/>
    <w:rsid w:val="0024037E"/>
    <w:rsid w:val="00240A47"/>
    <w:rsid w:val="00240F51"/>
    <w:rsid w:val="00241CA7"/>
    <w:rsid w:val="00242147"/>
    <w:rsid w:val="00242A14"/>
    <w:rsid w:val="00243C0D"/>
    <w:rsid w:val="0024509E"/>
    <w:rsid w:val="00245825"/>
    <w:rsid w:val="0024616C"/>
    <w:rsid w:val="00246CA5"/>
    <w:rsid w:val="00251188"/>
    <w:rsid w:val="002531B8"/>
    <w:rsid w:val="00253C07"/>
    <w:rsid w:val="0025437B"/>
    <w:rsid w:val="00254728"/>
    <w:rsid w:val="00254911"/>
    <w:rsid w:val="00255568"/>
    <w:rsid w:val="002568D5"/>
    <w:rsid w:val="00260A46"/>
    <w:rsid w:val="002628B1"/>
    <w:rsid w:val="00262FC7"/>
    <w:rsid w:val="00262FEB"/>
    <w:rsid w:val="00264207"/>
    <w:rsid w:val="00264AA7"/>
    <w:rsid w:val="00264F45"/>
    <w:rsid w:val="00265092"/>
    <w:rsid w:val="00265120"/>
    <w:rsid w:val="0026518E"/>
    <w:rsid w:val="00265EC1"/>
    <w:rsid w:val="00266565"/>
    <w:rsid w:val="00266CDF"/>
    <w:rsid w:val="00272783"/>
    <w:rsid w:val="00272D38"/>
    <w:rsid w:val="00275DCC"/>
    <w:rsid w:val="00276AD9"/>
    <w:rsid w:val="00277185"/>
    <w:rsid w:val="00277659"/>
    <w:rsid w:val="00280FFE"/>
    <w:rsid w:val="002813B5"/>
    <w:rsid w:val="00282C23"/>
    <w:rsid w:val="00282F0B"/>
    <w:rsid w:val="00290549"/>
    <w:rsid w:val="002909CF"/>
    <w:rsid w:val="00291CE3"/>
    <w:rsid w:val="002926C0"/>
    <w:rsid w:val="002937FB"/>
    <w:rsid w:val="00293B49"/>
    <w:rsid w:val="002956E7"/>
    <w:rsid w:val="00296392"/>
    <w:rsid w:val="00296F07"/>
    <w:rsid w:val="00297DEF"/>
    <w:rsid w:val="002A14AB"/>
    <w:rsid w:val="002A2199"/>
    <w:rsid w:val="002A2541"/>
    <w:rsid w:val="002A32CB"/>
    <w:rsid w:val="002A363E"/>
    <w:rsid w:val="002A4683"/>
    <w:rsid w:val="002A5284"/>
    <w:rsid w:val="002A682E"/>
    <w:rsid w:val="002A70EA"/>
    <w:rsid w:val="002B1B26"/>
    <w:rsid w:val="002B27A6"/>
    <w:rsid w:val="002B2E70"/>
    <w:rsid w:val="002B306A"/>
    <w:rsid w:val="002B4B19"/>
    <w:rsid w:val="002B79AB"/>
    <w:rsid w:val="002B7F30"/>
    <w:rsid w:val="002C2B98"/>
    <w:rsid w:val="002C5B33"/>
    <w:rsid w:val="002C60A7"/>
    <w:rsid w:val="002C6783"/>
    <w:rsid w:val="002C76BF"/>
    <w:rsid w:val="002C7960"/>
    <w:rsid w:val="002D2136"/>
    <w:rsid w:val="002D2E1F"/>
    <w:rsid w:val="002D4E86"/>
    <w:rsid w:val="002D5121"/>
    <w:rsid w:val="002D5601"/>
    <w:rsid w:val="002D6188"/>
    <w:rsid w:val="002D62C0"/>
    <w:rsid w:val="002E0D89"/>
    <w:rsid w:val="002E3051"/>
    <w:rsid w:val="002E43EC"/>
    <w:rsid w:val="002E45D9"/>
    <w:rsid w:val="002E5020"/>
    <w:rsid w:val="002E5ED1"/>
    <w:rsid w:val="002E61C1"/>
    <w:rsid w:val="002F00A6"/>
    <w:rsid w:val="002F11D5"/>
    <w:rsid w:val="002F22BB"/>
    <w:rsid w:val="002F266C"/>
    <w:rsid w:val="002F3472"/>
    <w:rsid w:val="002F37B4"/>
    <w:rsid w:val="002F3B59"/>
    <w:rsid w:val="002F449C"/>
    <w:rsid w:val="00303332"/>
    <w:rsid w:val="003037C9"/>
    <w:rsid w:val="00304A47"/>
    <w:rsid w:val="003054CD"/>
    <w:rsid w:val="00305C4D"/>
    <w:rsid w:val="00307294"/>
    <w:rsid w:val="0031028B"/>
    <w:rsid w:val="00311B78"/>
    <w:rsid w:val="00312822"/>
    <w:rsid w:val="0031285B"/>
    <w:rsid w:val="00313F6E"/>
    <w:rsid w:val="00314443"/>
    <w:rsid w:val="0031471C"/>
    <w:rsid w:val="00314FF6"/>
    <w:rsid w:val="00316582"/>
    <w:rsid w:val="00317A13"/>
    <w:rsid w:val="00323F5B"/>
    <w:rsid w:val="00326233"/>
    <w:rsid w:val="003270BE"/>
    <w:rsid w:val="00330981"/>
    <w:rsid w:val="00330C13"/>
    <w:rsid w:val="00331FA9"/>
    <w:rsid w:val="003322F8"/>
    <w:rsid w:val="00332AC7"/>
    <w:rsid w:val="003371AD"/>
    <w:rsid w:val="0033720E"/>
    <w:rsid w:val="0034086C"/>
    <w:rsid w:val="00340B1C"/>
    <w:rsid w:val="00341136"/>
    <w:rsid w:val="00342102"/>
    <w:rsid w:val="00342868"/>
    <w:rsid w:val="00342B6D"/>
    <w:rsid w:val="00342D51"/>
    <w:rsid w:val="0034440B"/>
    <w:rsid w:val="00345154"/>
    <w:rsid w:val="00345BCA"/>
    <w:rsid w:val="00346692"/>
    <w:rsid w:val="00347861"/>
    <w:rsid w:val="00347A97"/>
    <w:rsid w:val="00350C06"/>
    <w:rsid w:val="00352B28"/>
    <w:rsid w:val="00354212"/>
    <w:rsid w:val="00355F92"/>
    <w:rsid w:val="00357831"/>
    <w:rsid w:val="00357E06"/>
    <w:rsid w:val="003600EF"/>
    <w:rsid w:val="003607AC"/>
    <w:rsid w:val="00360EAC"/>
    <w:rsid w:val="00362B82"/>
    <w:rsid w:val="003639E2"/>
    <w:rsid w:val="003640BE"/>
    <w:rsid w:val="0036463A"/>
    <w:rsid w:val="00365171"/>
    <w:rsid w:val="003661EC"/>
    <w:rsid w:val="0036632E"/>
    <w:rsid w:val="00367CCA"/>
    <w:rsid w:val="003700B2"/>
    <w:rsid w:val="00370661"/>
    <w:rsid w:val="003724B6"/>
    <w:rsid w:val="00373B8E"/>
    <w:rsid w:val="00373FF7"/>
    <w:rsid w:val="003757DD"/>
    <w:rsid w:val="0037611E"/>
    <w:rsid w:val="0037661B"/>
    <w:rsid w:val="00376ADE"/>
    <w:rsid w:val="00381203"/>
    <w:rsid w:val="0038182A"/>
    <w:rsid w:val="00381E51"/>
    <w:rsid w:val="003829E8"/>
    <w:rsid w:val="00384F10"/>
    <w:rsid w:val="003850C2"/>
    <w:rsid w:val="00385A41"/>
    <w:rsid w:val="00387A4F"/>
    <w:rsid w:val="00392AF0"/>
    <w:rsid w:val="00392E9A"/>
    <w:rsid w:val="00394BB2"/>
    <w:rsid w:val="003A17DA"/>
    <w:rsid w:val="003A29B0"/>
    <w:rsid w:val="003A3535"/>
    <w:rsid w:val="003A36CD"/>
    <w:rsid w:val="003A3B8F"/>
    <w:rsid w:val="003A468F"/>
    <w:rsid w:val="003A4774"/>
    <w:rsid w:val="003A514C"/>
    <w:rsid w:val="003B0F35"/>
    <w:rsid w:val="003B3076"/>
    <w:rsid w:val="003B3D34"/>
    <w:rsid w:val="003B7076"/>
    <w:rsid w:val="003C04C7"/>
    <w:rsid w:val="003C10CD"/>
    <w:rsid w:val="003C1EF5"/>
    <w:rsid w:val="003C22DA"/>
    <w:rsid w:val="003C48C2"/>
    <w:rsid w:val="003C4B65"/>
    <w:rsid w:val="003C4E1F"/>
    <w:rsid w:val="003C6AA3"/>
    <w:rsid w:val="003C78CB"/>
    <w:rsid w:val="003D0B91"/>
    <w:rsid w:val="003D0FA1"/>
    <w:rsid w:val="003D1EF5"/>
    <w:rsid w:val="003D2153"/>
    <w:rsid w:val="003D2315"/>
    <w:rsid w:val="003D2A78"/>
    <w:rsid w:val="003D3F9B"/>
    <w:rsid w:val="003D46E1"/>
    <w:rsid w:val="003D4C5C"/>
    <w:rsid w:val="003D6FB3"/>
    <w:rsid w:val="003D7E08"/>
    <w:rsid w:val="003E1552"/>
    <w:rsid w:val="003E2D40"/>
    <w:rsid w:val="003E3018"/>
    <w:rsid w:val="003E3F8C"/>
    <w:rsid w:val="003E6ECF"/>
    <w:rsid w:val="003E7D1C"/>
    <w:rsid w:val="003E7ED1"/>
    <w:rsid w:val="003F067A"/>
    <w:rsid w:val="003F0B0E"/>
    <w:rsid w:val="003F220D"/>
    <w:rsid w:val="003F3156"/>
    <w:rsid w:val="003F3298"/>
    <w:rsid w:val="003F3E54"/>
    <w:rsid w:val="003F44D4"/>
    <w:rsid w:val="003F49D9"/>
    <w:rsid w:val="003F6134"/>
    <w:rsid w:val="003F66EB"/>
    <w:rsid w:val="003F7933"/>
    <w:rsid w:val="004003A8"/>
    <w:rsid w:val="00400985"/>
    <w:rsid w:val="00400BDC"/>
    <w:rsid w:val="00400E9D"/>
    <w:rsid w:val="00401927"/>
    <w:rsid w:val="00403BC3"/>
    <w:rsid w:val="00404668"/>
    <w:rsid w:val="00404AF7"/>
    <w:rsid w:val="0040663B"/>
    <w:rsid w:val="0041258A"/>
    <w:rsid w:val="00412E82"/>
    <w:rsid w:val="00414EE5"/>
    <w:rsid w:val="0041508F"/>
    <w:rsid w:val="0041731C"/>
    <w:rsid w:val="00417D9A"/>
    <w:rsid w:val="00417EB8"/>
    <w:rsid w:val="00421290"/>
    <w:rsid w:val="00421E42"/>
    <w:rsid w:val="0042331D"/>
    <w:rsid w:val="0042412E"/>
    <w:rsid w:val="00424A21"/>
    <w:rsid w:val="00425937"/>
    <w:rsid w:val="00425C46"/>
    <w:rsid w:val="004261A0"/>
    <w:rsid w:val="004269AA"/>
    <w:rsid w:val="00426BD8"/>
    <w:rsid w:val="00430A81"/>
    <w:rsid w:val="00431247"/>
    <w:rsid w:val="00433649"/>
    <w:rsid w:val="00433CE6"/>
    <w:rsid w:val="004359D6"/>
    <w:rsid w:val="00435B7C"/>
    <w:rsid w:val="00435E6A"/>
    <w:rsid w:val="004370A8"/>
    <w:rsid w:val="0043782A"/>
    <w:rsid w:val="00441D25"/>
    <w:rsid w:val="00442F35"/>
    <w:rsid w:val="004435C5"/>
    <w:rsid w:val="00443D4E"/>
    <w:rsid w:val="00445687"/>
    <w:rsid w:val="0044633A"/>
    <w:rsid w:val="00446C1C"/>
    <w:rsid w:val="00447043"/>
    <w:rsid w:val="0044729F"/>
    <w:rsid w:val="0044783F"/>
    <w:rsid w:val="00451BDF"/>
    <w:rsid w:val="00451EAB"/>
    <w:rsid w:val="00452ED4"/>
    <w:rsid w:val="004558A5"/>
    <w:rsid w:val="004566C0"/>
    <w:rsid w:val="004567D5"/>
    <w:rsid w:val="0045780C"/>
    <w:rsid w:val="00460105"/>
    <w:rsid w:val="00460E49"/>
    <w:rsid w:val="00461816"/>
    <w:rsid w:val="00461F22"/>
    <w:rsid w:val="00465321"/>
    <w:rsid w:val="00465994"/>
    <w:rsid w:val="0046601E"/>
    <w:rsid w:val="00466A60"/>
    <w:rsid w:val="004717E9"/>
    <w:rsid w:val="00471B0D"/>
    <w:rsid w:val="00471B36"/>
    <w:rsid w:val="00472EED"/>
    <w:rsid w:val="004740B0"/>
    <w:rsid w:val="004740FA"/>
    <w:rsid w:val="00476B99"/>
    <w:rsid w:val="00477DAE"/>
    <w:rsid w:val="00482003"/>
    <w:rsid w:val="00482B75"/>
    <w:rsid w:val="00482B7B"/>
    <w:rsid w:val="00482C69"/>
    <w:rsid w:val="0048364A"/>
    <w:rsid w:val="00483D1C"/>
    <w:rsid w:val="00484760"/>
    <w:rsid w:val="0048543C"/>
    <w:rsid w:val="00487080"/>
    <w:rsid w:val="00493389"/>
    <w:rsid w:val="00494533"/>
    <w:rsid w:val="00494FB3"/>
    <w:rsid w:val="004975B1"/>
    <w:rsid w:val="004A0A0C"/>
    <w:rsid w:val="004A1102"/>
    <w:rsid w:val="004A2BD2"/>
    <w:rsid w:val="004A312F"/>
    <w:rsid w:val="004A33D5"/>
    <w:rsid w:val="004A34F0"/>
    <w:rsid w:val="004A3EEB"/>
    <w:rsid w:val="004A5580"/>
    <w:rsid w:val="004B193F"/>
    <w:rsid w:val="004B3CA9"/>
    <w:rsid w:val="004B4674"/>
    <w:rsid w:val="004B5270"/>
    <w:rsid w:val="004B65B5"/>
    <w:rsid w:val="004B7C66"/>
    <w:rsid w:val="004B7D15"/>
    <w:rsid w:val="004C2521"/>
    <w:rsid w:val="004C4621"/>
    <w:rsid w:val="004C4780"/>
    <w:rsid w:val="004C6134"/>
    <w:rsid w:val="004D0A30"/>
    <w:rsid w:val="004D0C10"/>
    <w:rsid w:val="004D12B4"/>
    <w:rsid w:val="004D2532"/>
    <w:rsid w:val="004D2938"/>
    <w:rsid w:val="004D417D"/>
    <w:rsid w:val="004D542E"/>
    <w:rsid w:val="004D7E9B"/>
    <w:rsid w:val="004E07F4"/>
    <w:rsid w:val="004E0816"/>
    <w:rsid w:val="004E0B37"/>
    <w:rsid w:val="004E1EC9"/>
    <w:rsid w:val="004E357C"/>
    <w:rsid w:val="004E4EE2"/>
    <w:rsid w:val="004E62EB"/>
    <w:rsid w:val="004E689D"/>
    <w:rsid w:val="004E7D06"/>
    <w:rsid w:val="004E7F45"/>
    <w:rsid w:val="004F09CC"/>
    <w:rsid w:val="004F0DCA"/>
    <w:rsid w:val="004F0F8B"/>
    <w:rsid w:val="004F13A6"/>
    <w:rsid w:val="004F195F"/>
    <w:rsid w:val="004F2E23"/>
    <w:rsid w:val="004F304F"/>
    <w:rsid w:val="004F39B1"/>
    <w:rsid w:val="004F3F12"/>
    <w:rsid w:val="004F4BB3"/>
    <w:rsid w:val="004F64E7"/>
    <w:rsid w:val="004F682B"/>
    <w:rsid w:val="004F6CD5"/>
    <w:rsid w:val="004F6DDB"/>
    <w:rsid w:val="004F6E02"/>
    <w:rsid w:val="005009D9"/>
    <w:rsid w:val="00501417"/>
    <w:rsid w:val="00501EAA"/>
    <w:rsid w:val="00503145"/>
    <w:rsid w:val="00505BA2"/>
    <w:rsid w:val="0050623B"/>
    <w:rsid w:val="00506C12"/>
    <w:rsid w:val="00506C7B"/>
    <w:rsid w:val="0050739E"/>
    <w:rsid w:val="00511FA6"/>
    <w:rsid w:val="00511FAE"/>
    <w:rsid w:val="00512F3D"/>
    <w:rsid w:val="005133A7"/>
    <w:rsid w:val="00513E44"/>
    <w:rsid w:val="00513EBB"/>
    <w:rsid w:val="00514591"/>
    <w:rsid w:val="00515001"/>
    <w:rsid w:val="00515D39"/>
    <w:rsid w:val="00516528"/>
    <w:rsid w:val="0051670F"/>
    <w:rsid w:val="0052069C"/>
    <w:rsid w:val="00521395"/>
    <w:rsid w:val="005213E2"/>
    <w:rsid w:val="00523E97"/>
    <w:rsid w:val="00523F05"/>
    <w:rsid w:val="0052465C"/>
    <w:rsid w:val="005256D5"/>
    <w:rsid w:val="00526C5A"/>
    <w:rsid w:val="00526D0A"/>
    <w:rsid w:val="00527DAB"/>
    <w:rsid w:val="0053099E"/>
    <w:rsid w:val="005351C2"/>
    <w:rsid w:val="0053767E"/>
    <w:rsid w:val="00537739"/>
    <w:rsid w:val="005377CF"/>
    <w:rsid w:val="00537A3F"/>
    <w:rsid w:val="00540F4A"/>
    <w:rsid w:val="00542F67"/>
    <w:rsid w:val="005467B0"/>
    <w:rsid w:val="0054743C"/>
    <w:rsid w:val="00547EA6"/>
    <w:rsid w:val="0055077F"/>
    <w:rsid w:val="005516EB"/>
    <w:rsid w:val="0055295D"/>
    <w:rsid w:val="0055328A"/>
    <w:rsid w:val="0055420C"/>
    <w:rsid w:val="00555D28"/>
    <w:rsid w:val="00557398"/>
    <w:rsid w:val="00561263"/>
    <w:rsid w:val="00561C89"/>
    <w:rsid w:val="005623CD"/>
    <w:rsid w:val="005628C1"/>
    <w:rsid w:val="005657E3"/>
    <w:rsid w:val="00565A31"/>
    <w:rsid w:val="00566296"/>
    <w:rsid w:val="005702D5"/>
    <w:rsid w:val="00572F66"/>
    <w:rsid w:val="00573AAC"/>
    <w:rsid w:val="00574DD5"/>
    <w:rsid w:val="0057510F"/>
    <w:rsid w:val="005760C3"/>
    <w:rsid w:val="00576256"/>
    <w:rsid w:val="00577B9E"/>
    <w:rsid w:val="005808FC"/>
    <w:rsid w:val="00581084"/>
    <w:rsid w:val="00581BBF"/>
    <w:rsid w:val="00582592"/>
    <w:rsid w:val="00582DF6"/>
    <w:rsid w:val="00582FE5"/>
    <w:rsid w:val="00583B45"/>
    <w:rsid w:val="005858B2"/>
    <w:rsid w:val="0058624C"/>
    <w:rsid w:val="00587286"/>
    <w:rsid w:val="00587A1E"/>
    <w:rsid w:val="005909D0"/>
    <w:rsid w:val="00591178"/>
    <w:rsid w:val="00591C9B"/>
    <w:rsid w:val="00592C72"/>
    <w:rsid w:val="00592DC1"/>
    <w:rsid w:val="00594EB7"/>
    <w:rsid w:val="00595010"/>
    <w:rsid w:val="005954B3"/>
    <w:rsid w:val="00595618"/>
    <w:rsid w:val="00597392"/>
    <w:rsid w:val="005A0932"/>
    <w:rsid w:val="005A0EA7"/>
    <w:rsid w:val="005A2B34"/>
    <w:rsid w:val="005A4D1E"/>
    <w:rsid w:val="005A6BF9"/>
    <w:rsid w:val="005A7F9A"/>
    <w:rsid w:val="005B25ED"/>
    <w:rsid w:val="005B264E"/>
    <w:rsid w:val="005B313E"/>
    <w:rsid w:val="005B57B8"/>
    <w:rsid w:val="005B5AEB"/>
    <w:rsid w:val="005B62A3"/>
    <w:rsid w:val="005B7401"/>
    <w:rsid w:val="005C0548"/>
    <w:rsid w:val="005C0B6A"/>
    <w:rsid w:val="005C12AD"/>
    <w:rsid w:val="005C12CE"/>
    <w:rsid w:val="005C1BB5"/>
    <w:rsid w:val="005C2008"/>
    <w:rsid w:val="005C25F0"/>
    <w:rsid w:val="005C2813"/>
    <w:rsid w:val="005C2C2A"/>
    <w:rsid w:val="005C35CE"/>
    <w:rsid w:val="005C47D1"/>
    <w:rsid w:val="005C4C6E"/>
    <w:rsid w:val="005C6C19"/>
    <w:rsid w:val="005C6D1E"/>
    <w:rsid w:val="005D1F45"/>
    <w:rsid w:val="005D2223"/>
    <w:rsid w:val="005D4121"/>
    <w:rsid w:val="005D44DA"/>
    <w:rsid w:val="005D6812"/>
    <w:rsid w:val="005D7A04"/>
    <w:rsid w:val="005D7C8B"/>
    <w:rsid w:val="005E0AC6"/>
    <w:rsid w:val="005E273D"/>
    <w:rsid w:val="005E30EF"/>
    <w:rsid w:val="005E4365"/>
    <w:rsid w:val="005E4969"/>
    <w:rsid w:val="005E4DE9"/>
    <w:rsid w:val="005E5F51"/>
    <w:rsid w:val="005E7EB3"/>
    <w:rsid w:val="005F1982"/>
    <w:rsid w:val="005F1A22"/>
    <w:rsid w:val="005F22EC"/>
    <w:rsid w:val="005F38F0"/>
    <w:rsid w:val="005F3D0B"/>
    <w:rsid w:val="005F3D61"/>
    <w:rsid w:val="005F464F"/>
    <w:rsid w:val="005F6830"/>
    <w:rsid w:val="005F7E3F"/>
    <w:rsid w:val="006001CA"/>
    <w:rsid w:val="00601A5E"/>
    <w:rsid w:val="00602645"/>
    <w:rsid w:val="00603041"/>
    <w:rsid w:val="00604FA7"/>
    <w:rsid w:val="00605071"/>
    <w:rsid w:val="00606DA3"/>
    <w:rsid w:val="00607E9C"/>
    <w:rsid w:val="00611AEF"/>
    <w:rsid w:val="0061268B"/>
    <w:rsid w:val="00613DB1"/>
    <w:rsid w:val="00614609"/>
    <w:rsid w:val="00614FCB"/>
    <w:rsid w:val="00615093"/>
    <w:rsid w:val="00620AC3"/>
    <w:rsid w:val="00621ED8"/>
    <w:rsid w:val="00621FBF"/>
    <w:rsid w:val="006224A0"/>
    <w:rsid w:val="0062269A"/>
    <w:rsid w:val="006236C8"/>
    <w:rsid w:val="0062380D"/>
    <w:rsid w:val="00625714"/>
    <w:rsid w:val="00626101"/>
    <w:rsid w:val="00631B01"/>
    <w:rsid w:val="00632EE3"/>
    <w:rsid w:val="00632F23"/>
    <w:rsid w:val="006344A4"/>
    <w:rsid w:val="0063618E"/>
    <w:rsid w:val="006371AA"/>
    <w:rsid w:val="00637C18"/>
    <w:rsid w:val="00641FB6"/>
    <w:rsid w:val="00642763"/>
    <w:rsid w:val="00645244"/>
    <w:rsid w:val="00647CA8"/>
    <w:rsid w:val="0065246B"/>
    <w:rsid w:val="00654293"/>
    <w:rsid w:val="0065437A"/>
    <w:rsid w:val="0065591E"/>
    <w:rsid w:val="0065598E"/>
    <w:rsid w:val="006578A3"/>
    <w:rsid w:val="006620B3"/>
    <w:rsid w:val="006632BB"/>
    <w:rsid w:val="006640E7"/>
    <w:rsid w:val="0066596F"/>
    <w:rsid w:val="006713C6"/>
    <w:rsid w:val="006715DF"/>
    <w:rsid w:val="006726D1"/>
    <w:rsid w:val="00673DB8"/>
    <w:rsid w:val="0067567E"/>
    <w:rsid w:val="0067713D"/>
    <w:rsid w:val="006802E0"/>
    <w:rsid w:val="00680BE6"/>
    <w:rsid w:val="00680EBE"/>
    <w:rsid w:val="006810FD"/>
    <w:rsid w:val="00681382"/>
    <w:rsid w:val="006824A7"/>
    <w:rsid w:val="00682897"/>
    <w:rsid w:val="00683F39"/>
    <w:rsid w:val="00684418"/>
    <w:rsid w:val="006844B4"/>
    <w:rsid w:val="00685069"/>
    <w:rsid w:val="00685C48"/>
    <w:rsid w:val="0068731A"/>
    <w:rsid w:val="0068755B"/>
    <w:rsid w:val="00687D66"/>
    <w:rsid w:val="00690164"/>
    <w:rsid w:val="00695184"/>
    <w:rsid w:val="0069690F"/>
    <w:rsid w:val="006A0F50"/>
    <w:rsid w:val="006A1605"/>
    <w:rsid w:val="006A417B"/>
    <w:rsid w:val="006A45D4"/>
    <w:rsid w:val="006A5B97"/>
    <w:rsid w:val="006B1321"/>
    <w:rsid w:val="006B1930"/>
    <w:rsid w:val="006B1994"/>
    <w:rsid w:val="006B1E2B"/>
    <w:rsid w:val="006B4FA7"/>
    <w:rsid w:val="006B6047"/>
    <w:rsid w:val="006B61B5"/>
    <w:rsid w:val="006C2A16"/>
    <w:rsid w:val="006C309C"/>
    <w:rsid w:val="006C4A60"/>
    <w:rsid w:val="006C6540"/>
    <w:rsid w:val="006C6993"/>
    <w:rsid w:val="006C6BA8"/>
    <w:rsid w:val="006C6E34"/>
    <w:rsid w:val="006C74EE"/>
    <w:rsid w:val="006D034E"/>
    <w:rsid w:val="006D29E6"/>
    <w:rsid w:val="006D2A14"/>
    <w:rsid w:val="006D367D"/>
    <w:rsid w:val="006D4D9D"/>
    <w:rsid w:val="006D53F8"/>
    <w:rsid w:val="006D5DAD"/>
    <w:rsid w:val="006D5F62"/>
    <w:rsid w:val="006D6111"/>
    <w:rsid w:val="006D61E4"/>
    <w:rsid w:val="006D79FA"/>
    <w:rsid w:val="006D7B60"/>
    <w:rsid w:val="006D7E12"/>
    <w:rsid w:val="006E0612"/>
    <w:rsid w:val="006E0DC0"/>
    <w:rsid w:val="006E207D"/>
    <w:rsid w:val="006E38A1"/>
    <w:rsid w:val="006E3F14"/>
    <w:rsid w:val="006E4FA9"/>
    <w:rsid w:val="006E6DC1"/>
    <w:rsid w:val="006F03A5"/>
    <w:rsid w:val="006F11CE"/>
    <w:rsid w:val="006F18A1"/>
    <w:rsid w:val="006F1B5F"/>
    <w:rsid w:val="006F1CA1"/>
    <w:rsid w:val="006F2009"/>
    <w:rsid w:val="006F240B"/>
    <w:rsid w:val="006F5CA0"/>
    <w:rsid w:val="006F6079"/>
    <w:rsid w:val="006F6149"/>
    <w:rsid w:val="006F69D5"/>
    <w:rsid w:val="006F7676"/>
    <w:rsid w:val="006F7B28"/>
    <w:rsid w:val="0070034D"/>
    <w:rsid w:val="0070059C"/>
    <w:rsid w:val="0070117A"/>
    <w:rsid w:val="0070338A"/>
    <w:rsid w:val="00704009"/>
    <w:rsid w:val="0070417A"/>
    <w:rsid w:val="0070560C"/>
    <w:rsid w:val="0070564E"/>
    <w:rsid w:val="0070743B"/>
    <w:rsid w:val="00710583"/>
    <w:rsid w:val="00710E1C"/>
    <w:rsid w:val="00711941"/>
    <w:rsid w:val="00711988"/>
    <w:rsid w:val="00711D80"/>
    <w:rsid w:val="00712703"/>
    <w:rsid w:val="0071335E"/>
    <w:rsid w:val="00714447"/>
    <w:rsid w:val="00714EA9"/>
    <w:rsid w:val="00715510"/>
    <w:rsid w:val="007165E6"/>
    <w:rsid w:val="00716AD7"/>
    <w:rsid w:val="00716B66"/>
    <w:rsid w:val="007171EB"/>
    <w:rsid w:val="00717E7F"/>
    <w:rsid w:val="00720400"/>
    <w:rsid w:val="0072712F"/>
    <w:rsid w:val="0073074B"/>
    <w:rsid w:val="00730DFB"/>
    <w:rsid w:val="0073102F"/>
    <w:rsid w:val="00735357"/>
    <w:rsid w:val="007364A0"/>
    <w:rsid w:val="00736AD0"/>
    <w:rsid w:val="00737048"/>
    <w:rsid w:val="007374C1"/>
    <w:rsid w:val="007407F9"/>
    <w:rsid w:val="0074242F"/>
    <w:rsid w:val="00742887"/>
    <w:rsid w:val="007428F5"/>
    <w:rsid w:val="007429AF"/>
    <w:rsid w:val="007429D7"/>
    <w:rsid w:val="00745627"/>
    <w:rsid w:val="007458A1"/>
    <w:rsid w:val="0074595B"/>
    <w:rsid w:val="0074698B"/>
    <w:rsid w:val="00746DFB"/>
    <w:rsid w:val="007509F0"/>
    <w:rsid w:val="00751037"/>
    <w:rsid w:val="007519FF"/>
    <w:rsid w:val="00751E63"/>
    <w:rsid w:val="007524B5"/>
    <w:rsid w:val="00752E0B"/>
    <w:rsid w:val="007535F3"/>
    <w:rsid w:val="007536F6"/>
    <w:rsid w:val="00753CC9"/>
    <w:rsid w:val="0075491E"/>
    <w:rsid w:val="00754ADE"/>
    <w:rsid w:val="00754C02"/>
    <w:rsid w:val="00756C10"/>
    <w:rsid w:val="00757E11"/>
    <w:rsid w:val="007600FD"/>
    <w:rsid w:val="0076099E"/>
    <w:rsid w:val="007625E6"/>
    <w:rsid w:val="007633D9"/>
    <w:rsid w:val="00763F2C"/>
    <w:rsid w:val="00764FF0"/>
    <w:rsid w:val="007663A6"/>
    <w:rsid w:val="00767D50"/>
    <w:rsid w:val="00772658"/>
    <w:rsid w:val="007736B2"/>
    <w:rsid w:val="007805C0"/>
    <w:rsid w:val="00780D00"/>
    <w:rsid w:val="00781B30"/>
    <w:rsid w:val="00781CC3"/>
    <w:rsid w:val="007835F4"/>
    <w:rsid w:val="00784AAD"/>
    <w:rsid w:val="00786F51"/>
    <w:rsid w:val="00787323"/>
    <w:rsid w:val="007875D1"/>
    <w:rsid w:val="0079224F"/>
    <w:rsid w:val="00792701"/>
    <w:rsid w:val="007929F3"/>
    <w:rsid w:val="007936FF"/>
    <w:rsid w:val="007957A7"/>
    <w:rsid w:val="00796415"/>
    <w:rsid w:val="007966E2"/>
    <w:rsid w:val="00796C7E"/>
    <w:rsid w:val="007973E1"/>
    <w:rsid w:val="007A0E02"/>
    <w:rsid w:val="007A28CD"/>
    <w:rsid w:val="007A2A02"/>
    <w:rsid w:val="007A33E7"/>
    <w:rsid w:val="007A42E4"/>
    <w:rsid w:val="007A747C"/>
    <w:rsid w:val="007B04F6"/>
    <w:rsid w:val="007B0D96"/>
    <w:rsid w:val="007B4296"/>
    <w:rsid w:val="007C0974"/>
    <w:rsid w:val="007C29C4"/>
    <w:rsid w:val="007C74DC"/>
    <w:rsid w:val="007C7B45"/>
    <w:rsid w:val="007D1274"/>
    <w:rsid w:val="007D28A2"/>
    <w:rsid w:val="007D40C6"/>
    <w:rsid w:val="007D6AC9"/>
    <w:rsid w:val="007E0367"/>
    <w:rsid w:val="007E0FFE"/>
    <w:rsid w:val="007E17F7"/>
    <w:rsid w:val="007E21BE"/>
    <w:rsid w:val="007E25E7"/>
    <w:rsid w:val="007E28D0"/>
    <w:rsid w:val="007E38DB"/>
    <w:rsid w:val="007E4665"/>
    <w:rsid w:val="007E502E"/>
    <w:rsid w:val="007E5BA6"/>
    <w:rsid w:val="007F0299"/>
    <w:rsid w:val="007F0E76"/>
    <w:rsid w:val="007F34C5"/>
    <w:rsid w:val="007F3B04"/>
    <w:rsid w:val="007F405D"/>
    <w:rsid w:val="007F4370"/>
    <w:rsid w:val="007F627B"/>
    <w:rsid w:val="007F6BB8"/>
    <w:rsid w:val="007F6FE3"/>
    <w:rsid w:val="0080072D"/>
    <w:rsid w:val="00803804"/>
    <w:rsid w:val="00804233"/>
    <w:rsid w:val="0080508D"/>
    <w:rsid w:val="008052CF"/>
    <w:rsid w:val="0080549C"/>
    <w:rsid w:val="00805B71"/>
    <w:rsid w:val="0080757E"/>
    <w:rsid w:val="008078FE"/>
    <w:rsid w:val="008079F3"/>
    <w:rsid w:val="008105E4"/>
    <w:rsid w:val="008111C9"/>
    <w:rsid w:val="00814BE7"/>
    <w:rsid w:val="00814C34"/>
    <w:rsid w:val="00814E9D"/>
    <w:rsid w:val="00815859"/>
    <w:rsid w:val="00815A0A"/>
    <w:rsid w:val="00816448"/>
    <w:rsid w:val="0082017F"/>
    <w:rsid w:val="00820A53"/>
    <w:rsid w:val="0082177D"/>
    <w:rsid w:val="00823644"/>
    <w:rsid w:val="00825526"/>
    <w:rsid w:val="0082676B"/>
    <w:rsid w:val="00826879"/>
    <w:rsid w:val="00827542"/>
    <w:rsid w:val="00832289"/>
    <w:rsid w:val="0083294E"/>
    <w:rsid w:val="00832D69"/>
    <w:rsid w:val="00833FB1"/>
    <w:rsid w:val="00841457"/>
    <w:rsid w:val="00841520"/>
    <w:rsid w:val="008420A9"/>
    <w:rsid w:val="00844525"/>
    <w:rsid w:val="008447DE"/>
    <w:rsid w:val="00844C55"/>
    <w:rsid w:val="00844C5A"/>
    <w:rsid w:val="00846E5A"/>
    <w:rsid w:val="00847E47"/>
    <w:rsid w:val="0085191D"/>
    <w:rsid w:val="00851FC2"/>
    <w:rsid w:val="00853B5D"/>
    <w:rsid w:val="008550D0"/>
    <w:rsid w:val="00855B9F"/>
    <w:rsid w:val="00855BFD"/>
    <w:rsid w:val="00856BF6"/>
    <w:rsid w:val="008601E8"/>
    <w:rsid w:val="00863C23"/>
    <w:rsid w:val="00863EF6"/>
    <w:rsid w:val="008648A2"/>
    <w:rsid w:val="00864F71"/>
    <w:rsid w:val="00865FD7"/>
    <w:rsid w:val="0086730F"/>
    <w:rsid w:val="008676AF"/>
    <w:rsid w:val="00867759"/>
    <w:rsid w:val="00870607"/>
    <w:rsid w:val="0087079E"/>
    <w:rsid w:val="00871D3F"/>
    <w:rsid w:val="0087332A"/>
    <w:rsid w:val="00875B99"/>
    <w:rsid w:val="00875ED9"/>
    <w:rsid w:val="00876EDC"/>
    <w:rsid w:val="00877CAA"/>
    <w:rsid w:val="00877FC6"/>
    <w:rsid w:val="00881B40"/>
    <w:rsid w:val="00882A2E"/>
    <w:rsid w:val="008855E2"/>
    <w:rsid w:val="00886086"/>
    <w:rsid w:val="00886747"/>
    <w:rsid w:val="00886F67"/>
    <w:rsid w:val="0088798D"/>
    <w:rsid w:val="008910AD"/>
    <w:rsid w:val="00891142"/>
    <w:rsid w:val="008926F6"/>
    <w:rsid w:val="00892F57"/>
    <w:rsid w:val="00896FA5"/>
    <w:rsid w:val="008A1399"/>
    <w:rsid w:val="008A5100"/>
    <w:rsid w:val="008A61EB"/>
    <w:rsid w:val="008A6479"/>
    <w:rsid w:val="008B3AAF"/>
    <w:rsid w:val="008B43B6"/>
    <w:rsid w:val="008B4704"/>
    <w:rsid w:val="008B4BDE"/>
    <w:rsid w:val="008C1CDD"/>
    <w:rsid w:val="008C5CE3"/>
    <w:rsid w:val="008C612D"/>
    <w:rsid w:val="008C7A70"/>
    <w:rsid w:val="008D01C6"/>
    <w:rsid w:val="008D1933"/>
    <w:rsid w:val="008D1C28"/>
    <w:rsid w:val="008D1F17"/>
    <w:rsid w:val="008D29C4"/>
    <w:rsid w:val="008D31AF"/>
    <w:rsid w:val="008D37E0"/>
    <w:rsid w:val="008D3E74"/>
    <w:rsid w:val="008D412D"/>
    <w:rsid w:val="008E2C3C"/>
    <w:rsid w:val="008E3C70"/>
    <w:rsid w:val="008E6243"/>
    <w:rsid w:val="008E7D8F"/>
    <w:rsid w:val="008F2F80"/>
    <w:rsid w:val="008F3104"/>
    <w:rsid w:val="008F490C"/>
    <w:rsid w:val="008F67EC"/>
    <w:rsid w:val="0090096F"/>
    <w:rsid w:val="00901627"/>
    <w:rsid w:val="00901B33"/>
    <w:rsid w:val="00903C50"/>
    <w:rsid w:val="009048B4"/>
    <w:rsid w:val="00905D53"/>
    <w:rsid w:val="00907C65"/>
    <w:rsid w:val="00910273"/>
    <w:rsid w:val="00911ED6"/>
    <w:rsid w:val="009124A1"/>
    <w:rsid w:val="00913034"/>
    <w:rsid w:val="00913272"/>
    <w:rsid w:val="0091380A"/>
    <w:rsid w:val="00913B1B"/>
    <w:rsid w:val="00916F41"/>
    <w:rsid w:val="009170B9"/>
    <w:rsid w:val="00920562"/>
    <w:rsid w:val="0092125E"/>
    <w:rsid w:val="009219B4"/>
    <w:rsid w:val="00921E10"/>
    <w:rsid w:val="009222AE"/>
    <w:rsid w:val="00922A52"/>
    <w:rsid w:val="00922C6A"/>
    <w:rsid w:val="009241B4"/>
    <w:rsid w:val="0092438C"/>
    <w:rsid w:val="00924B44"/>
    <w:rsid w:val="00926AA1"/>
    <w:rsid w:val="00930D21"/>
    <w:rsid w:val="00930E73"/>
    <w:rsid w:val="009311E9"/>
    <w:rsid w:val="00933FB7"/>
    <w:rsid w:val="00935266"/>
    <w:rsid w:val="0093590A"/>
    <w:rsid w:val="0093623F"/>
    <w:rsid w:val="0093729A"/>
    <w:rsid w:val="00940B65"/>
    <w:rsid w:val="00941C9F"/>
    <w:rsid w:val="00942838"/>
    <w:rsid w:val="0094371F"/>
    <w:rsid w:val="00943766"/>
    <w:rsid w:val="00944F88"/>
    <w:rsid w:val="009465B2"/>
    <w:rsid w:val="00946676"/>
    <w:rsid w:val="00947237"/>
    <w:rsid w:val="00950252"/>
    <w:rsid w:val="00953CA5"/>
    <w:rsid w:val="009540A3"/>
    <w:rsid w:val="00955031"/>
    <w:rsid w:val="00955621"/>
    <w:rsid w:val="00957617"/>
    <w:rsid w:val="009607A4"/>
    <w:rsid w:val="00962D21"/>
    <w:rsid w:val="00962EFC"/>
    <w:rsid w:val="0096400B"/>
    <w:rsid w:val="0096424B"/>
    <w:rsid w:val="0096491F"/>
    <w:rsid w:val="00964DCA"/>
    <w:rsid w:val="009673AE"/>
    <w:rsid w:val="009679DD"/>
    <w:rsid w:val="00972F69"/>
    <w:rsid w:val="00973297"/>
    <w:rsid w:val="00973474"/>
    <w:rsid w:val="00973F78"/>
    <w:rsid w:val="00974435"/>
    <w:rsid w:val="009747F5"/>
    <w:rsid w:val="00974EDD"/>
    <w:rsid w:val="009763DF"/>
    <w:rsid w:val="009825CF"/>
    <w:rsid w:val="0098267A"/>
    <w:rsid w:val="0098360D"/>
    <w:rsid w:val="00983981"/>
    <w:rsid w:val="0098414F"/>
    <w:rsid w:val="00984987"/>
    <w:rsid w:val="009853B9"/>
    <w:rsid w:val="009914D4"/>
    <w:rsid w:val="0099167E"/>
    <w:rsid w:val="0099170F"/>
    <w:rsid w:val="0099295B"/>
    <w:rsid w:val="00992F94"/>
    <w:rsid w:val="00995C10"/>
    <w:rsid w:val="00996112"/>
    <w:rsid w:val="009963C1"/>
    <w:rsid w:val="0099720A"/>
    <w:rsid w:val="009A130C"/>
    <w:rsid w:val="009A385D"/>
    <w:rsid w:val="009A5CF8"/>
    <w:rsid w:val="009A6D54"/>
    <w:rsid w:val="009A7F73"/>
    <w:rsid w:val="009B1D2B"/>
    <w:rsid w:val="009B306F"/>
    <w:rsid w:val="009B3446"/>
    <w:rsid w:val="009B628C"/>
    <w:rsid w:val="009B7A20"/>
    <w:rsid w:val="009C0E04"/>
    <w:rsid w:val="009C1C7D"/>
    <w:rsid w:val="009C38E4"/>
    <w:rsid w:val="009C3952"/>
    <w:rsid w:val="009C3DC7"/>
    <w:rsid w:val="009C5BCB"/>
    <w:rsid w:val="009C5F4B"/>
    <w:rsid w:val="009C667B"/>
    <w:rsid w:val="009C6E5F"/>
    <w:rsid w:val="009C708C"/>
    <w:rsid w:val="009D0382"/>
    <w:rsid w:val="009D0775"/>
    <w:rsid w:val="009D13D4"/>
    <w:rsid w:val="009D23DB"/>
    <w:rsid w:val="009D2450"/>
    <w:rsid w:val="009D2C4C"/>
    <w:rsid w:val="009D3819"/>
    <w:rsid w:val="009D3897"/>
    <w:rsid w:val="009D3949"/>
    <w:rsid w:val="009D3AAD"/>
    <w:rsid w:val="009D40C5"/>
    <w:rsid w:val="009D4E6A"/>
    <w:rsid w:val="009D60A5"/>
    <w:rsid w:val="009D619B"/>
    <w:rsid w:val="009D7074"/>
    <w:rsid w:val="009D773F"/>
    <w:rsid w:val="009E0599"/>
    <w:rsid w:val="009E1885"/>
    <w:rsid w:val="009E190E"/>
    <w:rsid w:val="009E1A9F"/>
    <w:rsid w:val="009E2920"/>
    <w:rsid w:val="009E49F2"/>
    <w:rsid w:val="009E6DA3"/>
    <w:rsid w:val="009E7D5D"/>
    <w:rsid w:val="009F22F7"/>
    <w:rsid w:val="009F364E"/>
    <w:rsid w:val="009F3B05"/>
    <w:rsid w:val="009F54D1"/>
    <w:rsid w:val="009F6D4E"/>
    <w:rsid w:val="009F760A"/>
    <w:rsid w:val="009F7DC0"/>
    <w:rsid w:val="00A01479"/>
    <w:rsid w:val="00A05B86"/>
    <w:rsid w:val="00A06AA7"/>
    <w:rsid w:val="00A0720E"/>
    <w:rsid w:val="00A074F1"/>
    <w:rsid w:val="00A10FC5"/>
    <w:rsid w:val="00A12F89"/>
    <w:rsid w:val="00A13CC4"/>
    <w:rsid w:val="00A143A5"/>
    <w:rsid w:val="00A14821"/>
    <w:rsid w:val="00A153B1"/>
    <w:rsid w:val="00A15A1D"/>
    <w:rsid w:val="00A1608F"/>
    <w:rsid w:val="00A1697F"/>
    <w:rsid w:val="00A16A4B"/>
    <w:rsid w:val="00A20851"/>
    <w:rsid w:val="00A218DD"/>
    <w:rsid w:val="00A23008"/>
    <w:rsid w:val="00A2306F"/>
    <w:rsid w:val="00A243E7"/>
    <w:rsid w:val="00A25116"/>
    <w:rsid w:val="00A25645"/>
    <w:rsid w:val="00A2572C"/>
    <w:rsid w:val="00A2630F"/>
    <w:rsid w:val="00A26C3E"/>
    <w:rsid w:val="00A27968"/>
    <w:rsid w:val="00A27BA7"/>
    <w:rsid w:val="00A33BE6"/>
    <w:rsid w:val="00A33ED6"/>
    <w:rsid w:val="00A35B10"/>
    <w:rsid w:val="00A36285"/>
    <w:rsid w:val="00A3684B"/>
    <w:rsid w:val="00A40802"/>
    <w:rsid w:val="00A41616"/>
    <w:rsid w:val="00A41ED4"/>
    <w:rsid w:val="00A4242C"/>
    <w:rsid w:val="00A42BF7"/>
    <w:rsid w:val="00A434D7"/>
    <w:rsid w:val="00A436F2"/>
    <w:rsid w:val="00A46CFC"/>
    <w:rsid w:val="00A47F0A"/>
    <w:rsid w:val="00A47FFB"/>
    <w:rsid w:val="00A50B67"/>
    <w:rsid w:val="00A52632"/>
    <w:rsid w:val="00A53897"/>
    <w:rsid w:val="00A54C53"/>
    <w:rsid w:val="00A56E5E"/>
    <w:rsid w:val="00A62106"/>
    <w:rsid w:val="00A62A6A"/>
    <w:rsid w:val="00A62AE6"/>
    <w:rsid w:val="00A631B9"/>
    <w:rsid w:val="00A66A55"/>
    <w:rsid w:val="00A67992"/>
    <w:rsid w:val="00A702F8"/>
    <w:rsid w:val="00A7095C"/>
    <w:rsid w:val="00A72613"/>
    <w:rsid w:val="00A7443B"/>
    <w:rsid w:val="00A74531"/>
    <w:rsid w:val="00A75550"/>
    <w:rsid w:val="00A759DC"/>
    <w:rsid w:val="00A76FD8"/>
    <w:rsid w:val="00A7726C"/>
    <w:rsid w:val="00A80202"/>
    <w:rsid w:val="00A817AB"/>
    <w:rsid w:val="00A81A6C"/>
    <w:rsid w:val="00A82697"/>
    <w:rsid w:val="00A82748"/>
    <w:rsid w:val="00A83B07"/>
    <w:rsid w:val="00A83F76"/>
    <w:rsid w:val="00A84915"/>
    <w:rsid w:val="00A90365"/>
    <w:rsid w:val="00A92EED"/>
    <w:rsid w:val="00A93150"/>
    <w:rsid w:val="00A9318C"/>
    <w:rsid w:val="00A93549"/>
    <w:rsid w:val="00A940C8"/>
    <w:rsid w:val="00A9496E"/>
    <w:rsid w:val="00A95C67"/>
    <w:rsid w:val="00A969EB"/>
    <w:rsid w:val="00A971D9"/>
    <w:rsid w:val="00AA113C"/>
    <w:rsid w:val="00AA145C"/>
    <w:rsid w:val="00AA16F1"/>
    <w:rsid w:val="00AA1993"/>
    <w:rsid w:val="00AA2048"/>
    <w:rsid w:val="00AA2572"/>
    <w:rsid w:val="00AA25C1"/>
    <w:rsid w:val="00AA2CEE"/>
    <w:rsid w:val="00AA4652"/>
    <w:rsid w:val="00AA4FA8"/>
    <w:rsid w:val="00AA6BE1"/>
    <w:rsid w:val="00AA6DFD"/>
    <w:rsid w:val="00AA7578"/>
    <w:rsid w:val="00AB07AF"/>
    <w:rsid w:val="00AB19A5"/>
    <w:rsid w:val="00AB58DD"/>
    <w:rsid w:val="00AB5D9B"/>
    <w:rsid w:val="00AB60B4"/>
    <w:rsid w:val="00AB7900"/>
    <w:rsid w:val="00AB7D15"/>
    <w:rsid w:val="00AC110B"/>
    <w:rsid w:val="00AC1478"/>
    <w:rsid w:val="00AC1B26"/>
    <w:rsid w:val="00AC5128"/>
    <w:rsid w:val="00AC5C57"/>
    <w:rsid w:val="00AC6B51"/>
    <w:rsid w:val="00AC7073"/>
    <w:rsid w:val="00AC7DF5"/>
    <w:rsid w:val="00AD2AD7"/>
    <w:rsid w:val="00AD2F16"/>
    <w:rsid w:val="00AD2FE0"/>
    <w:rsid w:val="00AE060F"/>
    <w:rsid w:val="00AE0763"/>
    <w:rsid w:val="00AE351D"/>
    <w:rsid w:val="00AE4540"/>
    <w:rsid w:val="00AE51EE"/>
    <w:rsid w:val="00AE5C2D"/>
    <w:rsid w:val="00AE5D69"/>
    <w:rsid w:val="00AE62F0"/>
    <w:rsid w:val="00AF11E4"/>
    <w:rsid w:val="00AF1790"/>
    <w:rsid w:val="00AF2A15"/>
    <w:rsid w:val="00AF2A26"/>
    <w:rsid w:val="00AF4C61"/>
    <w:rsid w:val="00AF590A"/>
    <w:rsid w:val="00AF5C30"/>
    <w:rsid w:val="00AF6114"/>
    <w:rsid w:val="00AF7D1B"/>
    <w:rsid w:val="00B000FD"/>
    <w:rsid w:val="00B03FEB"/>
    <w:rsid w:val="00B041A4"/>
    <w:rsid w:val="00B04E3A"/>
    <w:rsid w:val="00B06688"/>
    <w:rsid w:val="00B06776"/>
    <w:rsid w:val="00B06B1B"/>
    <w:rsid w:val="00B07F94"/>
    <w:rsid w:val="00B121F5"/>
    <w:rsid w:val="00B1260B"/>
    <w:rsid w:val="00B13933"/>
    <w:rsid w:val="00B141AC"/>
    <w:rsid w:val="00B15D85"/>
    <w:rsid w:val="00B16341"/>
    <w:rsid w:val="00B1723A"/>
    <w:rsid w:val="00B201F1"/>
    <w:rsid w:val="00B21293"/>
    <w:rsid w:val="00B21591"/>
    <w:rsid w:val="00B21625"/>
    <w:rsid w:val="00B21951"/>
    <w:rsid w:val="00B21E8A"/>
    <w:rsid w:val="00B22A7B"/>
    <w:rsid w:val="00B23B96"/>
    <w:rsid w:val="00B240B3"/>
    <w:rsid w:val="00B249E1"/>
    <w:rsid w:val="00B3091F"/>
    <w:rsid w:val="00B31462"/>
    <w:rsid w:val="00B31D92"/>
    <w:rsid w:val="00B31F25"/>
    <w:rsid w:val="00B32A52"/>
    <w:rsid w:val="00B34132"/>
    <w:rsid w:val="00B35573"/>
    <w:rsid w:val="00B357BC"/>
    <w:rsid w:val="00B3630D"/>
    <w:rsid w:val="00B36895"/>
    <w:rsid w:val="00B400A8"/>
    <w:rsid w:val="00B40760"/>
    <w:rsid w:val="00B40914"/>
    <w:rsid w:val="00B42D9D"/>
    <w:rsid w:val="00B42DF3"/>
    <w:rsid w:val="00B43478"/>
    <w:rsid w:val="00B4646C"/>
    <w:rsid w:val="00B46D9F"/>
    <w:rsid w:val="00B46E2E"/>
    <w:rsid w:val="00B476A8"/>
    <w:rsid w:val="00B502EB"/>
    <w:rsid w:val="00B5088D"/>
    <w:rsid w:val="00B50929"/>
    <w:rsid w:val="00B50D52"/>
    <w:rsid w:val="00B522C9"/>
    <w:rsid w:val="00B52353"/>
    <w:rsid w:val="00B55400"/>
    <w:rsid w:val="00B5721E"/>
    <w:rsid w:val="00B611B8"/>
    <w:rsid w:val="00B6221F"/>
    <w:rsid w:val="00B635C3"/>
    <w:rsid w:val="00B6443D"/>
    <w:rsid w:val="00B6455C"/>
    <w:rsid w:val="00B646B4"/>
    <w:rsid w:val="00B64B7E"/>
    <w:rsid w:val="00B66914"/>
    <w:rsid w:val="00B67321"/>
    <w:rsid w:val="00B67914"/>
    <w:rsid w:val="00B67BE9"/>
    <w:rsid w:val="00B67ECD"/>
    <w:rsid w:val="00B7123B"/>
    <w:rsid w:val="00B7124F"/>
    <w:rsid w:val="00B7247F"/>
    <w:rsid w:val="00B72AD5"/>
    <w:rsid w:val="00B7390D"/>
    <w:rsid w:val="00B744F6"/>
    <w:rsid w:val="00B745CD"/>
    <w:rsid w:val="00B74A00"/>
    <w:rsid w:val="00B751F0"/>
    <w:rsid w:val="00B763AA"/>
    <w:rsid w:val="00B766CF"/>
    <w:rsid w:val="00B80DCA"/>
    <w:rsid w:val="00B836E2"/>
    <w:rsid w:val="00B839A3"/>
    <w:rsid w:val="00B840B7"/>
    <w:rsid w:val="00B84622"/>
    <w:rsid w:val="00B8462A"/>
    <w:rsid w:val="00B849D0"/>
    <w:rsid w:val="00B87208"/>
    <w:rsid w:val="00B872EE"/>
    <w:rsid w:val="00B872F5"/>
    <w:rsid w:val="00B9110E"/>
    <w:rsid w:val="00B91482"/>
    <w:rsid w:val="00B91A36"/>
    <w:rsid w:val="00B91D60"/>
    <w:rsid w:val="00B927F1"/>
    <w:rsid w:val="00B9301F"/>
    <w:rsid w:val="00B93293"/>
    <w:rsid w:val="00B96021"/>
    <w:rsid w:val="00B96813"/>
    <w:rsid w:val="00B97802"/>
    <w:rsid w:val="00B97E54"/>
    <w:rsid w:val="00BA14A8"/>
    <w:rsid w:val="00BA2E72"/>
    <w:rsid w:val="00BA4928"/>
    <w:rsid w:val="00BA4974"/>
    <w:rsid w:val="00BA70F3"/>
    <w:rsid w:val="00BB0BD5"/>
    <w:rsid w:val="00BB1414"/>
    <w:rsid w:val="00BB1B5B"/>
    <w:rsid w:val="00BB1C68"/>
    <w:rsid w:val="00BB2249"/>
    <w:rsid w:val="00BB2373"/>
    <w:rsid w:val="00BB32FC"/>
    <w:rsid w:val="00BB4089"/>
    <w:rsid w:val="00BB4860"/>
    <w:rsid w:val="00BB65C1"/>
    <w:rsid w:val="00BB6BED"/>
    <w:rsid w:val="00BC0A55"/>
    <w:rsid w:val="00BC0AA8"/>
    <w:rsid w:val="00BC20F2"/>
    <w:rsid w:val="00BC2DE6"/>
    <w:rsid w:val="00BC3D74"/>
    <w:rsid w:val="00BC4C67"/>
    <w:rsid w:val="00BC522A"/>
    <w:rsid w:val="00BC62CE"/>
    <w:rsid w:val="00BC68BE"/>
    <w:rsid w:val="00BD1358"/>
    <w:rsid w:val="00BD35D0"/>
    <w:rsid w:val="00BD3642"/>
    <w:rsid w:val="00BD41E3"/>
    <w:rsid w:val="00BD5102"/>
    <w:rsid w:val="00BD63BD"/>
    <w:rsid w:val="00BE1011"/>
    <w:rsid w:val="00BE2D65"/>
    <w:rsid w:val="00BE4737"/>
    <w:rsid w:val="00BE59F0"/>
    <w:rsid w:val="00BE5D82"/>
    <w:rsid w:val="00BE5DBB"/>
    <w:rsid w:val="00BE61AA"/>
    <w:rsid w:val="00BE6FF3"/>
    <w:rsid w:val="00BE7B4C"/>
    <w:rsid w:val="00BF10E1"/>
    <w:rsid w:val="00BF176F"/>
    <w:rsid w:val="00BF1F23"/>
    <w:rsid w:val="00BF4626"/>
    <w:rsid w:val="00BF47B7"/>
    <w:rsid w:val="00BF5628"/>
    <w:rsid w:val="00C0094E"/>
    <w:rsid w:val="00C00E45"/>
    <w:rsid w:val="00C01BD4"/>
    <w:rsid w:val="00C01C94"/>
    <w:rsid w:val="00C02B02"/>
    <w:rsid w:val="00C02B21"/>
    <w:rsid w:val="00C0317E"/>
    <w:rsid w:val="00C0747F"/>
    <w:rsid w:val="00C07D98"/>
    <w:rsid w:val="00C11F3A"/>
    <w:rsid w:val="00C129E5"/>
    <w:rsid w:val="00C1334D"/>
    <w:rsid w:val="00C13C5D"/>
    <w:rsid w:val="00C14605"/>
    <w:rsid w:val="00C14DD4"/>
    <w:rsid w:val="00C16CDB"/>
    <w:rsid w:val="00C20051"/>
    <w:rsid w:val="00C203B0"/>
    <w:rsid w:val="00C20622"/>
    <w:rsid w:val="00C21714"/>
    <w:rsid w:val="00C22D94"/>
    <w:rsid w:val="00C2340F"/>
    <w:rsid w:val="00C239F8"/>
    <w:rsid w:val="00C24D96"/>
    <w:rsid w:val="00C26093"/>
    <w:rsid w:val="00C27B38"/>
    <w:rsid w:val="00C300CB"/>
    <w:rsid w:val="00C31CC9"/>
    <w:rsid w:val="00C33F1C"/>
    <w:rsid w:val="00C34F26"/>
    <w:rsid w:val="00C351E0"/>
    <w:rsid w:val="00C35694"/>
    <w:rsid w:val="00C35F8B"/>
    <w:rsid w:val="00C36041"/>
    <w:rsid w:val="00C36072"/>
    <w:rsid w:val="00C36A07"/>
    <w:rsid w:val="00C36E62"/>
    <w:rsid w:val="00C4284B"/>
    <w:rsid w:val="00C43CA3"/>
    <w:rsid w:val="00C43ED3"/>
    <w:rsid w:val="00C44C07"/>
    <w:rsid w:val="00C46AA1"/>
    <w:rsid w:val="00C46EB1"/>
    <w:rsid w:val="00C5035A"/>
    <w:rsid w:val="00C507E4"/>
    <w:rsid w:val="00C51173"/>
    <w:rsid w:val="00C54456"/>
    <w:rsid w:val="00C545C5"/>
    <w:rsid w:val="00C5655D"/>
    <w:rsid w:val="00C606F0"/>
    <w:rsid w:val="00C60BC4"/>
    <w:rsid w:val="00C6207C"/>
    <w:rsid w:val="00C647ED"/>
    <w:rsid w:val="00C64941"/>
    <w:rsid w:val="00C65F28"/>
    <w:rsid w:val="00C66B5C"/>
    <w:rsid w:val="00C70A7E"/>
    <w:rsid w:val="00C70C63"/>
    <w:rsid w:val="00C71EC4"/>
    <w:rsid w:val="00C80E6C"/>
    <w:rsid w:val="00C81594"/>
    <w:rsid w:val="00C8350A"/>
    <w:rsid w:val="00C84503"/>
    <w:rsid w:val="00C84BD1"/>
    <w:rsid w:val="00C85342"/>
    <w:rsid w:val="00C8620E"/>
    <w:rsid w:val="00C907A7"/>
    <w:rsid w:val="00C90F86"/>
    <w:rsid w:val="00C92D4E"/>
    <w:rsid w:val="00C93271"/>
    <w:rsid w:val="00C93B96"/>
    <w:rsid w:val="00C947C2"/>
    <w:rsid w:val="00C94B8A"/>
    <w:rsid w:val="00C978FD"/>
    <w:rsid w:val="00C97F79"/>
    <w:rsid w:val="00CA0F56"/>
    <w:rsid w:val="00CA0FF0"/>
    <w:rsid w:val="00CA3F7E"/>
    <w:rsid w:val="00CA3FED"/>
    <w:rsid w:val="00CA425A"/>
    <w:rsid w:val="00CA473E"/>
    <w:rsid w:val="00CA4D28"/>
    <w:rsid w:val="00CA7339"/>
    <w:rsid w:val="00CA7749"/>
    <w:rsid w:val="00CB06BD"/>
    <w:rsid w:val="00CB148E"/>
    <w:rsid w:val="00CB308E"/>
    <w:rsid w:val="00CB3B16"/>
    <w:rsid w:val="00CB441F"/>
    <w:rsid w:val="00CB4808"/>
    <w:rsid w:val="00CB5A36"/>
    <w:rsid w:val="00CB6FCB"/>
    <w:rsid w:val="00CB7DF2"/>
    <w:rsid w:val="00CB7F1A"/>
    <w:rsid w:val="00CC035F"/>
    <w:rsid w:val="00CC03B8"/>
    <w:rsid w:val="00CC2CE1"/>
    <w:rsid w:val="00CC2D93"/>
    <w:rsid w:val="00CC3246"/>
    <w:rsid w:val="00CC4738"/>
    <w:rsid w:val="00CC5A15"/>
    <w:rsid w:val="00CD15DB"/>
    <w:rsid w:val="00CD207A"/>
    <w:rsid w:val="00CD2E96"/>
    <w:rsid w:val="00CD343C"/>
    <w:rsid w:val="00CD34B8"/>
    <w:rsid w:val="00CD3D9D"/>
    <w:rsid w:val="00CD4A54"/>
    <w:rsid w:val="00CD4D73"/>
    <w:rsid w:val="00CD6A19"/>
    <w:rsid w:val="00CE06B8"/>
    <w:rsid w:val="00CE1C02"/>
    <w:rsid w:val="00CE2DFC"/>
    <w:rsid w:val="00CE31E1"/>
    <w:rsid w:val="00CE43BC"/>
    <w:rsid w:val="00CE46C9"/>
    <w:rsid w:val="00CE5714"/>
    <w:rsid w:val="00CE5A73"/>
    <w:rsid w:val="00CE6712"/>
    <w:rsid w:val="00CF04E3"/>
    <w:rsid w:val="00CF18B1"/>
    <w:rsid w:val="00CF208A"/>
    <w:rsid w:val="00CF2316"/>
    <w:rsid w:val="00CF2AC5"/>
    <w:rsid w:val="00CF460F"/>
    <w:rsid w:val="00CF4B63"/>
    <w:rsid w:val="00CF5E96"/>
    <w:rsid w:val="00CF6932"/>
    <w:rsid w:val="00CF7294"/>
    <w:rsid w:val="00CF7D4B"/>
    <w:rsid w:val="00D00C20"/>
    <w:rsid w:val="00D02800"/>
    <w:rsid w:val="00D02D56"/>
    <w:rsid w:val="00D02D82"/>
    <w:rsid w:val="00D033AD"/>
    <w:rsid w:val="00D0383F"/>
    <w:rsid w:val="00D038C7"/>
    <w:rsid w:val="00D047BD"/>
    <w:rsid w:val="00D05CAF"/>
    <w:rsid w:val="00D06356"/>
    <w:rsid w:val="00D064CA"/>
    <w:rsid w:val="00D06589"/>
    <w:rsid w:val="00D0693B"/>
    <w:rsid w:val="00D06EC5"/>
    <w:rsid w:val="00D0791D"/>
    <w:rsid w:val="00D105EE"/>
    <w:rsid w:val="00D106B5"/>
    <w:rsid w:val="00D1136D"/>
    <w:rsid w:val="00D1255B"/>
    <w:rsid w:val="00D138D7"/>
    <w:rsid w:val="00D14F87"/>
    <w:rsid w:val="00D150A9"/>
    <w:rsid w:val="00D16BC3"/>
    <w:rsid w:val="00D1707A"/>
    <w:rsid w:val="00D17773"/>
    <w:rsid w:val="00D205B5"/>
    <w:rsid w:val="00D23D3F"/>
    <w:rsid w:val="00D23E6D"/>
    <w:rsid w:val="00D24C33"/>
    <w:rsid w:val="00D24EE2"/>
    <w:rsid w:val="00D2537A"/>
    <w:rsid w:val="00D263D7"/>
    <w:rsid w:val="00D3127C"/>
    <w:rsid w:val="00D31928"/>
    <w:rsid w:val="00D3471D"/>
    <w:rsid w:val="00D350AB"/>
    <w:rsid w:val="00D35837"/>
    <w:rsid w:val="00D36026"/>
    <w:rsid w:val="00D36232"/>
    <w:rsid w:val="00D36DD6"/>
    <w:rsid w:val="00D37B4C"/>
    <w:rsid w:val="00D37C17"/>
    <w:rsid w:val="00D415D1"/>
    <w:rsid w:val="00D41CC5"/>
    <w:rsid w:val="00D42819"/>
    <w:rsid w:val="00D429F4"/>
    <w:rsid w:val="00D46D3A"/>
    <w:rsid w:val="00D500CB"/>
    <w:rsid w:val="00D50E94"/>
    <w:rsid w:val="00D5107E"/>
    <w:rsid w:val="00D53EE9"/>
    <w:rsid w:val="00D5423E"/>
    <w:rsid w:val="00D56803"/>
    <w:rsid w:val="00D5686A"/>
    <w:rsid w:val="00D573C5"/>
    <w:rsid w:val="00D64D1B"/>
    <w:rsid w:val="00D65126"/>
    <w:rsid w:val="00D657AB"/>
    <w:rsid w:val="00D66BDC"/>
    <w:rsid w:val="00D67091"/>
    <w:rsid w:val="00D71901"/>
    <w:rsid w:val="00D7264A"/>
    <w:rsid w:val="00D7294B"/>
    <w:rsid w:val="00D72A8E"/>
    <w:rsid w:val="00D747D5"/>
    <w:rsid w:val="00D74CF0"/>
    <w:rsid w:val="00D75607"/>
    <w:rsid w:val="00D7589C"/>
    <w:rsid w:val="00D77A35"/>
    <w:rsid w:val="00D82162"/>
    <w:rsid w:val="00D82BE4"/>
    <w:rsid w:val="00D82E96"/>
    <w:rsid w:val="00D83A8C"/>
    <w:rsid w:val="00D844F8"/>
    <w:rsid w:val="00D84840"/>
    <w:rsid w:val="00D854EC"/>
    <w:rsid w:val="00D866F7"/>
    <w:rsid w:val="00D873AA"/>
    <w:rsid w:val="00D9006B"/>
    <w:rsid w:val="00D90A23"/>
    <w:rsid w:val="00D913AE"/>
    <w:rsid w:val="00D91FBB"/>
    <w:rsid w:val="00D92F46"/>
    <w:rsid w:val="00D94C76"/>
    <w:rsid w:val="00D9625E"/>
    <w:rsid w:val="00D962B3"/>
    <w:rsid w:val="00D97187"/>
    <w:rsid w:val="00D978A6"/>
    <w:rsid w:val="00D97F29"/>
    <w:rsid w:val="00DA050D"/>
    <w:rsid w:val="00DA1297"/>
    <w:rsid w:val="00DA12D6"/>
    <w:rsid w:val="00DA1AD5"/>
    <w:rsid w:val="00DA361E"/>
    <w:rsid w:val="00DA3776"/>
    <w:rsid w:val="00DA3A92"/>
    <w:rsid w:val="00DA4F4F"/>
    <w:rsid w:val="00DA5015"/>
    <w:rsid w:val="00DA5C0C"/>
    <w:rsid w:val="00DA5FC6"/>
    <w:rsid w:val="00DA62E2"/>
    <w:rsid w:val="00DA6A55"/>
    <w:rsid w:val="00DA6B31"/>
    <w:rsid w:val="00DA7119"/>
    <w:rsid w:val="00DA7ACD"/>
    <w:rsid w:val="00DB08AA"/>
    <w:rsid w:val="00DB2404"/>
    <w:rsid w:val="00DB2A2F"/>
    <w:rsid w:val="00DB3BB7"/>
    <w:rsid w:val="00DB40B7"/>
    <w:rsid w:val="00DB4396"/>
    <w:rsid w:val="00DB4E1B"/>
    <w:rsid w:val="00DB5ADB"/>
    <w:rsid w:val="00DB6ED0"/>
    <w:rsid w:val="00DB7129"/>
    <w:rsid w:val="00DB73AA"/>
    <w:rsid w:val="00DB74EE"/>
    <w:rsid w:val="00DB7F72"/>
    <w:rsid w:val="00DC0313"/>
    <w:rsid w:val="00DC05A9"/>
    <w:rsid w:val="00DC063A"/>
    <w:rsid w:val="00DC224C"/>
    <w:rsid w:val="00DC35CE"/>
    <w:rsid w:val="00DC5C45"/>
    <w:rsid w:val="00DC783E"/>
    <w:rsid w:val="00DC7966"/>
    <w:rsid w:val="00DC7ACB"/>
    <w:rsid w:val="00DD1760"/>
    <w:rsid w:val="00DD18BE"/>
    <w:rsid w:val="00DD3644"/>
    <w:rsid w:val="00DD3E7C"/>
    <w:rsid w:val="00DD43AC"/>
    <w:rsid w:val="00DD4FD6"/>
    <w:rsid w:val="00DD5E77"/>
    <w:rsid w:val="00DD6398"/>
    <w:rsid w:val="00DD79E9"/>
    <w:rsid w:val="00DE14B9"/>
    <w:rsid w:val="00DE367C"/>
    <w:rsid w:val="00DE47E0"/>
    <w:rsid w:val="00DE4DA1"/>
    <w:rsid w:val="00DE52C0"/>
    <w:rsid w:val="00DE5414"/>
    <w:rsid w:val="00DE559B"/>
    <w:rsid w:val="00DE5B13"/>
    <w:rsid w:val="00DE6394"/>
    <w:rsid w:val="00DE642E"/>
    <w:rsid w:val="00DE6835"/>
    <w:rsid w:val="00DE6DA3"/>
    <w:rsid w:val="00DE7CC0"/>
    <w:rsid w:val="00DF1262"/>
    <w:rsid w:val="00DF18FF"/>
    <w:rsid w:val="00DF1A23"/>
    <w:rsid w:val="00DF1AE0"/>
    <w:rsid w:val="00DF49D8"/>
    <w:rsid w:val="00E01103"/>
    <w:rsid w:val="00E0153C"/>
    <w:rsid w:val="00E03425"/>
    <w:rsid w:val="00E05B14"/>
    <w:rsid w:val="00E0606B"/>
    <w:rsid w:val="00E062C6"/>
    <w:rsid w:val="00E07118"/>
    <w:rsid w:val="00E07EC8"/>
    <w:rsid w:val="00E1139A"/>
    <w:rsid w:val="00E12B65"/>
    <w:rsid w:val="00E157EC"/>
    <w:rsid w:val="00E163BE"/>
    <w:rsid w:val="00E17AD7"/>
    <w:rsid w:val="00E20591"/>
    <w:rsid w:val="00E20638"/>
    <w:rsid w:val="00E223EC"/>
    <w:rsid w:val="00E22C48"/>
    <w:rsid w:val="00E23C85"/>
    <w:rsid w:val="00E245F9"/>
    <w:rsid w:val="00E26492"/>
    <w:rsid w:val="00E278D3"/>
    <w:rsid w:val="00E27AA8"/>
    <w:rsid w:val="00E30555"/>
    <w:rsid w:val="00E315BD"/>
    <w:rsid w:val="00E31641"/>
    <w:rsid w:val="00E31C36"/>
    <w:rsid w:val="00E32A09"/>
    <w:rsid w:val="00E33142"/>
    <w:rsid w:val="00E355C8"/>
    <w:rsid w:val="00E37082"/>
    <w:rsid w:val="00E4241B"/>
    <w:rsid w:val="00E426DB"/>
    <w:rsid w:val="00E448FB"/>
    <w:rsid w:val="00E44D96"/>
    <w:rsid w:val="00E44F58"/>
    <w:rsid w:val="00E502B3"/>
    <w:rsid w:val="00E52F73"/>
    <w:rsid w:val="00E535A9"/>
    <w:rsid w:val="00E535C5"/>
    <w:rsid w:val="00E55A94"/>
    <w:rsid w:val="00E57585"/>
    <w:rsid w:val="00E57F44"/>
    <w:rsid w:val="00E601FD"/>
    <w:rsid w:val="00E60894"/>
    <w:rsid w:val="00E611DD"/>
    <w:rsid w:val="00E658C3"/>
    <w:rsid w:val="00E66830"/>
    <w:rsid w:val="00E66A3E"/>
    <w:rsid w:val="00E66D37"/>
    <w:rsid w:val="00E70036"/>
    <w:rsid w:val="00E730A9"/>
    <w:rsid w:val="00E73412"/>
    <w:rsid w:val="00E73D45"/>
    <w:rsid w:val="00E750FC"/>
    <w:rsid w:val="00E76690"/>
    <w:rsid w:val="00E815C6"/>
    <w:rsid w:val="00E822D5"/>
    <w:rsid w:val="00E833D8"/>
    <w:rsid w:val="00E8373E"/>
    <w:rsid w:val="00E83993"/>
    <w:rsid w:val="00E84468"/>
    <w:rsid w:val="00E91008"/>
    <w:rsid w:val="00E9189A"/>
    <w:rsid w:val="00E92ECC"/>
    <w:rsid w:val="00E95753"/>
    <w:rsid w:val="00E97F06"/>
    <w:rsid w:val="00EA0110"/>
    <w:rsid w:val="00EA1989"/>
    <w:rsid w:val="00EA1A7C"/>
    <w:rsid w:val="00EA2957"/>
    <w:rsid w:val="00EA2FAD"/>
    <w:rsid w:val="00EA3D92"/>
    <w:rsid w:val="00EA4FF5"/>
    <w:rsid w:val="00EA5B58"/>
    <w:rsid w:val="00EA697A"/>
    <w:rsid w:val="00EB230F"/>
    <w:rsid w:val="00EB29DB"/>
    <w:rsid w:val="00EB5216"/>
    <w:rsid w:val="00EB666B"/>
    <w:rsid w:val="00EB793D"/>
    <w:rsid w:val="00EC206D"/>
    <w:rsid w:val="00EC2313"/>
    <w:rsid w:val="00EC294A"/>
    <w:rsid w:val="00EC4F8A"/>
    <w:rsid w:val="00EC679A"/>
    <w:rsid w:val="00EC78D8"/>
    <w:rsid w:val="00ED225C"/>
    <w:rsid w:val="00ED4B77"/>
    <w:rsid w:val="00ED6545"/>
    <w:rsid w:val="00ED6D9F"/>
    <w:rsid w:val="00EE183A"/>
    <w:rsid w:val="00EE23FF"/>
    <w:rsid w:val="00EE27DA"/>
    <w:rsid w:val="00EE287B"/>
    <w:rsid w:val="00EE3FC7"/>
    <w:rsid w:val="00EE4F7B"/>
    <w:rsid w:val="00EE51AA"/>
    <w:rsid w:val="00EE57B4"/>
    <w:rsid w:val="00EE6F28"/>
    <w:rsid w:val="00EF0216"/>
    <w:rsid w:val="00EF09C1"/>
    <w:rsid w:val="00EF1A27"/>
    <w:rsid w:val="00EF1CB5"/>
    <w:rsid w:val="00EF2276"/>
    <w:rsid w:val="00EF3C95"/>
    <w:rsid w:val="00EF3D9E"/>
    <w:rsid w:val="00EF4304"/>
    <w:rsid w:val="00EF56FB"/>
    <w:rsid w:val="00EF5E5F"/>
    <w:rsid w:val="00EF6F3F"/>
    <w:rsid w:val="00F02C28"/>
    <w:rsid w:val="00F03F88"/>
    <w:rsid w:val="00F046ED"/>
    <w:rsid w:val="00F04EAE"/>
    <w:rsid w:val="00F05522"/>
    <w:rsid w:val="00F05E6E"/>
    <w:rsid w:val="00F06BFD"/>
    <w:rsid w:val="00F07774"/>
    <w:rsid w:val="00F10EF6"/>
    <w:rsid w:val="00F1174D"/>
    <w:rsid w:val="00F125F4"/>
    <w:rsid w:val="00F126A7"/>
    <w:rsid w:val="00F12AE5"/>
    <w:rsid w:val="00F12CB5"/>
    <w:rsid w:val="00F132BB"/>
    <w:rsid w:val="00F142FC"/>
    <w:rsid w:val="00F14BC2"/>
    <w:rsid w:val="00F14E1B"/>
    <w:rsid w:val="00F15ADA"/>
    <w:rsid w:val="00F167B0"/>
    <w:rsid w:val="00F2029C"/>
    <w:rsid w:val="00F20516"/>
    <w:rsid w:val="00F21857"/>
    <w:rsid w:val="00F23CFE"/>
    <w:rsid w:val="00F23DE5"/>
    <w:rsid w:val="00F24E7D"/>
    <w:rsid w:val="00F25A3C"/>
    <w:rsid w:val="00F25AE1"/>
    <w:rsid w:val="00F26DC3"/>
    <w:rsid w:val="00F3111B"/>
    <w:rsid w:val="00F3124D"/>
    <w:rsid w:val="00F319F9"/>
    <w:rsid w:val="00F320BA"/>
    <w:rsid w:val="00F33519"/>
    <w:rsid w:val="00F33A88"/>
    <w:rsid w:val="00F340E4"/>
    <w:rsid w:val="00F347FE"/>
    <w:rsid w:val="00F36011"/>
    <w:rsid w:val="00F4186F"/>
    <w:rsid w:val="00F41941"/>
    <w:rsid w:val="00F453FF"/>
    <w:rsid w:val="00F459A6"/>
    <w:rsid w:val="00F47542"/>
    <w:rsid w:val="00F4788F"/>
    <w:rsid w:val="00F516E3"/>
    <w:rsid w:val="00F51C55"/>
    <w:rsid w:val="00F5254C"/>
    <w:rsid w:val="00F54425"/>
    <w:rsid w:val="00F55F33"/>
    <w:rsid w:val="00F57486"/>
    <w:rsid w:val="00F6196D"/>
    <w:rsid w:val="00F61DCE"/>
    <w:rsid w:val="00F62125"/>
    <w:rsid w:val="00F6358B"/>
    <w:rsid w:val="00F63BAC"/>
    <w:rsid w:val="00F63DDA"/>
    <w:rsid w:val="00F6511B"/>
    <w:rsid w:val="00F65175"/>
    <w:rsid w:val="00F65677"/>
    <w:rsid w:val="00F65D9E"/>
    <w:rsid w:val="00F669A3"/>
    <w:rsid w:val="00F67D59"/>
    <w:rsid w:val="00F70E9C"/>
    <w:rsid w:val="00F710B8"/>
    <w:rsid w:val="00F71A37"/>
    <w:rsid w:val="00F74246"/>
    <w:rsid w:val="00F7496D"/>
    <w:rsid w:val="00F74D7E"/>
    <w:rsid w:val="00F754FA"/>
    <w:rsid w:val="00F76C8E"/>
    <w:rsid w:val="00F76D47"/>
    <w:rsid w:val="00F774C2"/>
    <w:rsid w:val="00F8033A"/>
    <w:rsid w:val="00F8190A"/>
    <w:rsid w:val="00F822BC"/>
    <w:rsid w:val="00F829D4"/>
    <w:rsid w:val="00F82A44"/>
    <w:rsid w:val="00F8325C"/>
    <w:rsid w:val="00F83A24"/>
    <w:rsid w:val="00F90499"/>
    <w:rsid w:val="00F908F9"/>
    <w:rsid w:val="00F92380"/>
    <w:rsid w:val="00F926C2"/>
    <w:rsid w:val="00F930D3"/>
    <w:rsid w:val="00F93FFB"/>
    <w:rsid w:val="00F94405"/>
    <w:rsid w:val="00F94D84"/>
    <w:rsid w:val="00F97793"/>
    <w:rsid w:val="00FA092B"/>
    <w:rsid w:val="00FA0E6F"/>
    <w:rsid w:val="00FA1750"/>
    <w:rsid w:val="00FA1B09"/>
    <w:rsid w:val="00FA2711"/>
    <w:rsid w:val="00FA36E2"/>
    <w:rsid w:val="00FA3A54"/>
    <w:rsid w:val="00FA4533"/>
    <w:rsid w:val="00FA51E4"/>
    <w:rsid w:val="00FA645A"/>
    <w:rsid w:val="00FB1661"/>
    <w:rsid w:val="00FB18B5"/>
    <w:rsid w:val="00FB2054"/>
    <w:rsid w:val="00FB41F4"/>
    <w:rsid w:val="00FB5231"/>
    <w:rsid w:val="00FB7213"/>
    <w:rsid w:val="00FB74A2"/>
    <w:rsid w:val="00FC0CA8"/>
    <w:rsid w:val="00FC29A4"/>
    <w:rsid w:val="00FC2BA9"/>
    <w:rsid w:val="00FC3701"/>
    <w:rsid w:val="00FC4395"/>
    <w:rsid w:val="00FC50F2"/>
    <w:rsid w:val="00FC5607"/>
    <w:rsid w:val="00FC69EB"/>
    <w:rsid w:val="00FC6B4A"/>
    <w:rsid w:val="00FC74BB"/>
    <w:rsid w:val="00FD2296"/>
    <w:rsid w:val="00FD3D6F"/>
    <w:rsid w:val="00FD4DAA"/>
    <w:rsid w:val="00FD4E03"/>
    <w:rsid w:val="00FD5FAE"/>
    <w:rsid w:val="00FD6B23"/>
    <w:rsid w:val="00FE0C5E"/>
    <w:rsid w:val="00FE213B"/>
    <w:rsid w:val="00FE24DA"/>
    <w:rsid w:val="00FE2B89"/>
    <w:rsid w:val="00FE41E0"/>
    <w:rsid w:val="00FE48E7"/>
    <w:rsid w:val="00FE48FD"/>
    <w:rsid w:val="00FE5E99"/>
    <w:rsid w:val="00FE6760"/>
    <w:rsid w:val="00FE78CC"/>
    <w:rsid w:val="00FF156E"/>
    <w:rsid w:val="00FF1C35"/>
    <w:rsid w:val="00FF1E75"/>
    <w:rsid w:val="00FF233F"/>
    <w:rsid w:val="00FF358E"/>
    <w:rsid w:val="00FF3799"/>
    <w:rsid w:val="00FF3FC8"/>
    <w:rsid w:val="00FF4AEF"/>
    <w:rsid w:val="00FF4C3B"/>
    <w:rsid w:val="00FF4F9D"/>
    <w:rsid w:val="00FF55F0"/>
    <w:rsid w:val="00FF74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03CCFB94"/>
  <w14:defaultImageDpi w14:val="300"/>
  <w15:docId w15:val="{B7B89B6B-C9BC-EB4E-9F93-3489DC22D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6632E"/>
    <w:pPr>
      <w:spacing w:line="480" w:lineRule="auto"/>
      <w:outlineLvl w:val="0"/>
    </w:pPr>
    <w:rPr>
      <w:rFonts w:ascii="Arial" w:hAnsi="Arial"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2373"/>
    <w:rPr>
      <w:rFonts w:ascii="Lucida Grande" w:hAnsi="Lucida Grande"/>
      <w:sz w:val="18"/>
      <w:szCs w:val="18"/>
    </w:rPr>
  </w:style>
  <w:style w:type="character" w:customStyle="1" w:styleId="BalloonTextChar">
    <w:name w:val="Balloon Text Char"/>
    <w:basedOn w:val="DefaultParagraphFont"/>
    <w:link w:val="BalloonText"/>
    <w:uiPriority w:val="99"/>
    <w:semiHidden/>
    <w:rsid w:val="00BB2373"/>
    <w:rPr>
      <w:rFonts w:ascii="Lucida Grande" w:hAnsi="Lucida Grande"/>
      <w:sz w:val="18"/>
      <w:szCs w:val="18"/>
    </w:rPr>
  </w:style>
  <w:style w:type="character" w:customStyle="1" w:styleId="highlight">
    <w:name w:val="highlight"/>
    <w:basedOn w:val="DefaultParagraphFont"/>
    <w:rsid w:val="00D82BE4"/>
  </w:style>
  <w:style w:type="paragraph" w:customStyle="1" w:styleId="EndNoteBibliographyTitle">
    <w:name w:val="EndNote Bibliography Title"/>
    <w:basedOn w:val="Normal"/>
    <w:rsid w:val="00A940C8"/>
    <w:pPr>
      <w:jc w:val="center"/>
    </w:pPr>
    <w:rPr>
      <w:rFonts w:cs="Times New Roman"/>
    </w:rPr>
  </w:style>
  <w:style w:type="paragraph" w:customStyle="1" w:styleId="EndNoteBibliography">
    <w:name w:val="EndNote Bibliography"/>
    <w:basedOn w:val="Normal"/>
    <w:rsid w:val="00A940C8"/>
    <w:rPr>
      <w:rFonts w:cs="Times New Roman"/>
    </w:rPr>
  </w:style>
  <w:style w:type="character" w:styleId="CommentReference">
    <w:name w:val="annotation reference"/>
    <w:basedOn w:val="DefaultParagraphFont"/>
    <w:uiPriority w:val="99"/>
    <w:semiHidden/>
    <w:unhideWhenUsed/>
    <w:rsid w:val="007B04F6"/>
    <w:rPr>
      <w:sz w:val="18"/>
      <w:szCs w:val="18"/>
    </w:rPr>
  </w:style>
  <w:style w:type="paragraph" w:styleId="CommentText">
    <w:name w:val="annotation text"/>
    <w:basedOn w:val="Normal"/>
    <w:link w:val="CommentTextChar"/>
    <w:uiPriority w:val="99"/>
    <w:unhideWhenUsed/>
    <w:rsid w:val="007B04F6"/>
  </w:style>
  <w:style w:type="character" w:customStyle="1" w:styleId="CommentTextChar">
    <w:name w:val="Comment Text Char"/>
    <w:basedOn w:val="DefaultParagraphFont"/>
    <w:link w:val="CommentText"/>
    <w:uiPriority w:val="99"/>
    <w:rsid w:val="007B04F6"/>
  </w:style>
  <w:style w:type="paragraph" w:styleId="CommentSubject">
    <w:name w:val="annotation subject"/>
    <w:basedOn w:val="CommentText"/>
    <w:next w:val="CommentText"/>
    <w:link w:val="CommentSubjectChar"/>
    <w:uiPriority w:val="99"/>
    <w:semiHidden/>
    <w:unhideWhenUsed/>
    <w:rsid w:val="007B04F6"/>
    <w:rPr>
      <w:b/>
      <w:bCs/>
      <w:sz w:val="20"/>
      <w:szCs w:val="20"/>
    </w:rPr>
  </w:style>
  <w:style w:type="character" w:customStyle="1" w:styleId="CommentSubjectChar">
    <w:name w:val="Comment Subject Char"/>
    <w:basedOn w:val="CommentTextChar"/>
    <w:link w:val="CommentSubject"/>
    <w:uiPriority w:val="99"/>
    <w:semiHidden/>
    <w:rsid w:val="007B04F6"/>
    <w:rPr>
      <w:b/>
      <w:bCs/>
      <w:sz w:val="20"/>
      <w:szCs w:val="20"/>
    </w:rPr>
  </w:style>
  <w:style w:type="paragraph" w:styleId="Title">
    <w:name w:val="Title"/>
    <w:aliases w:val="title"/>
    <w:basedOn w:val="Normal"/>
    <w:link w:val="TitleChar"/>
    <w:uiPriority w:val="10"/>
    <w:qFormat/>
    <w:rsid w:val="0036632E"/>
    <w:pPr>
      <w:spacing w:line="480" w:lineRule="auto"/>
      <w:jc w:val="center"/>
    </w:pPr>
    <w:rPr>
      <w:rFonts w:ascii="Arial" w:hAnsi="Arial" w:cs="Arial"/>
      <w:b/>
    </w:rPr>
  </w:style>
  <w:style w:type="character" w:customStyle="1" w:styleId="TitleChar">
    <w:name w:val="Title Char"/>
    <w:aliases w:val="title Char"/>
    <w:basedOn w:val="DefaultParagraphFont"/>
    <w:link w:val="Title"/>
    <w:uiPriority w:val="10"/>
    <w:rsid w:val="0036632E"/>
    <w:rPr>
      <w:rFonts w:ascii="Arial" w:hAnsi="Arial" w:cs="Arial"/>
      <w:b/>
    </w:rPr>
  </w:style>
  <w:style w:type="character" w:styleId="Hyperlink">
    <w:name w:val="Hyperlink"/>
    <w:basedOn w:val="DefaultParagraphFont"/>
    <w:uiPriority w:val="99"/>
    <w:unhideWhenUsed/>
    <w:rsid w:val="007B04F6"/>
    <w:rPr>
      <w:color w:val="0000FF"/>
      <w:u w:val="single"/>
    </w:rPr>
  </w:style>
  <w:style w:type="paragraph" w:customStyle="1" w:styleId="desc">
    <w:name w:val="desc"/>
    <w:basedOn w:val="Normal"/>
    <w:rsid w:val="007B04F6"/>
    <w:pPr>
      <w:spacing w:before="100" w:beforeAutospacing="1" w:after="100" w:afterAutospacing="1"/>
    </w:pPr>
    <w:rPr>
      <w:rFonts w:ascii="Times" w:hAnsi="Times"/>
      <w:sz w:val="20"/>
      <w:szCs w:val="20"/>
      <w:lang w:val="en-GB"/>
    </w:rPr>
  </w:style>
  <w:style w:type="paragraph" w:customStyle="1" w:styleId="details">
    <w:name w:val="details"/>
    <w:basedOn w:val="Normal"/>
    <w:rsid w:val="007B04F6"/>
    <w:pPr>
      <w:spacing w:before="100" w:beforeAutospacing="1" w:after="100" w:afterAutospacing="1"/>
    </w:pPr>
    <w:rPr>
      <w:rFonts w:ascii="Times" w:hAnsi="Times"/>
      <w:sz w:val="20"/>
      <w:szCs w:val="20"/>
      <w:lang w:val="en-GB"/>
    </w:rPr>
  </w:style>
  <w:style w:type="character" w:customStyle="1" w:styleId="jrnl">
    <w:name w:val="jrnl"/>
    <w:basedOn w:val="DefaultParagraphFont"/>
    <w:rsid w:val="007B04F6"/>
  </w:style>
  <w:style w:type="paragraph" w:styleId="Bibliography">
    <w:name w:val="Bibliography"/>
    <w:basedOn w:val="Normal"/>
    <w:next w:val="Normal"/>
    <w:uiPriority w:val="37"/>
    <w:unhideWhenUsed/>
    <w:rsid w:val="00B7124F"/>
    <w:pPr>
      <w:tabs>
        <w:tab w:val="left" w:pos="384"/>
      </w:tabs>
      <w:spacing w:after="240"/>
      <w:ind w:left="384" w:hanging="384"/>
    </w:pPr>
  </w:style>
  <w:style w:type="paragraph" w:styleId="Revision">
    <w:name w:val="Revision"/>
    <w:hidden/>
    <w:uiPriority w:val="99"/>
    <w:semiHidden/>
    <w:rsid w:val="00B64B7E"/>
  </w:style>
  <w:style w:type="paragraph" w:styleId="Header">
    <w:name w:val="header"/>
    <w:basedOn w:val="Normal"/>
    <w:link w:val="HeaderChar"/>
    <w:uiPriority w:val="99"/>
    <w:unhideWhenUsed/>
    <w:rsid w:val="009D60A5"/>
    <w:pPr>
      <w:tabs>
        <w:tab w:val="center" w:pos="4536"/>
        <w:tab w:val="right" w:pos="9072"/>
      </w:tabs>
    </w:pPr>
  </w:style>
  <w:style w:type="character" w:customStyle="1" w:styleId="HeaderChar">
    <w:name w:val="Header Char"/>
    <w:basedOn w:val="DefaultParagraphFont"/>
    <w:link w:val="Header"/>
    <w:uiPriority w:val="99"/>
    <w:rsid w:val="009D60A5"/>
  </w:style>
  <w:style w:type="paragraph" w:styleId="Footer">
    <w:name w:val="footer"/>
    <w:basedOn w:val="Normal"/>
    <w:link w:val="FooterChar"/>
    <w:uiPriority w:val="99"/>
    <w:unhideWhenUsed/>
    <w:rsid w:val="009D60A5"/>
    <w:pPr>
      <w:tabs>
        <w:tab w:val="center" w:pos="4536"/>
        <w:tab w:val="right" w:pos="9072"/>
      </w:tabs>
    </w:pPr>
  </w:style>
  <w:style w:type="character" w:customStyle="1" w:styleId="FooterChar">
    <w:name w:val="Footer Char"/>
    <w:basedOn w:val="DefaultParagraphFont"/>
    <w:link w:val="Footer"/>
    <w:uiPriority w:val="99"/>
    <w:rsid w:val="009D60A5"/>
  </w:style>
  <w:style w:type="character" w:styleId="FollowedHyperlink">
    <w:name w:val="FollowedHyperlink"/>
    <w:basedOn w:val="DefaultParagraphFont"/>
    <w:uiPriority w:val="99"/>
    <w:semiHidden/>
    <w:unhideWhenUsed/>
    <w:rsid w:val="0070564E"/>
    <w:rPr>
      <w:color w:val="800080" w:themeColor="followedHyperlink"/>
      <w:u w:val="single"/>
    </w:rPr>
  </w:style>
  <w:style w:type="paragraph" w:styleId="NormalWeb">
    <w:name w:val="Normal (Web)"/>
    <w:basedOn w:val="Normal"/>
    <w:uiPriority w:val="99"/>
    <w:unhideWhenUsed/>
    <w:rsid w:val="00CD4A54"/>
    <w:pPr>
      <w:spacing w:before="100" w:beforeAutospacing="1" w:after="100" w:afterAutospacing="1"/>
    </w:pPr>
    <w:rPr>
      <w:rFonts w:eastAsia="Times New Roman" w:cs="Times New Roman"/>
      <w:lang w:val="fr-FR" w:eastAsia="fr-FR"/>
    </w:rPr>
  </w:style>
  <w:style w:type="character" w:styleId="PageNumber">
    <w:name w:val="page number"/>
    <w:basedOn w:val="DefaultParagraphFont"/>
    <w:uiPriority w:val="99"/>
    <w:semiHidden/>
    <w:unhideWhenUsed/>
    <w:rsid w:val="00C21714"/>
  </w:style>
  <w:style w:type="paragraph" w:customStyle="1" w:styleId="Bibliographie1">
    <w:name w:val="Bibliographie1"/>
    <w:basedOn w:val="Normal"/>
    <w:link w:val="BibliographyCar"/>
    <w:rsid w:val="00BB2249"/>
    <w:pPr>
      <w:tabs>
        <w:tab w:val="left" w:pos="0"/>
        <w:tab w:val="left" w:pos="500"/>
      </w:tabs>
      <w:spacing w:after="240"/>
      <w:ind w:left="504" w:hanging="504"/>
      <w:jc w:val="both"/>
    </w:pPr>
    <w:rPr>
      <w:rFonts w:ascii="Arial" w:hAnsi="Arial" w:cs="Arial"/>
    </w:rPr>
  </w:style>
  <w:style w:type="character" w:customStyle="1" w:styleId="BibliographyCar">
    <w:name w:val="Bibliography Car"/>
    <w:basedOn w:val="DefaultParagraphFont"/>
    <w:link w:val="Bibliographie1"/>
    <w:rsid w:val="00BB2249"/>
    <w:rPr>
      <w:rFonts w:ascii="Arial" w:hAnsi="Arial" w:cs="Arial"/>
    </w:rPr>
  </w:style>
  <w:style w:type="paragraph" w:customStyle="1" w:styleId="Bibliographie2">
    <w:name w:val="Bibliographie2"/>
    <w:basedOn w:val="Normal"/>
    <w:link w:val="BibliographyCar1"/>
    <w:rsid w:val="0070743B"/>
    <w:pPr>
      <w:tabs>
        <w:tab w:val="left" w:pos="0"/>
        <w:tab w:val="left" w:pos="500"/>
      </w:tabs>
      <w:spacing w:after="240"/>
      <w:ind w:left="504" w:hanging="504"/>
      <w:jc w:val="both"/>
    </w:pPr>
    <w:rPr>
      <w:rFonts w:ascii="Arial" w:hAnsi="Arial" w:cs="Arial"/>
    </w:rPr>
  </w:style>
  <w:style w:type="character" w:customStyle="1" w:styleId="BibliographyCar1">
    <w:name w:val="Bibliography Car1"/>
    <w:basedOn w:val="DefaultParagraphFont"/>
    <w:link w:val="Bibliographie2"/>
    <w:rsid w:val="0070743B"/>
    <w:rPr>
      <w:rFonts w:ascii="Arial" w:hAnsi="Arial" w:cs="Arial"/>
    </w:rPr>
  </w:style>
  <w:style w:type="paragraph" w:customStyle="1" w:styleId="Bibliographie3">
    <w:name w:val="Bibliographie3"/>
    <w:basedOn w:val="Normal"/>
    <w:link w:val="BibliographyCar2"/>
    <w:rsid w:val="006B61B5"/>
    <w:pPr>
      <w:tabs>
        <w:tab w:val="left" w:pos="0"/>
        <w:tab w:val="left" w:pos="500"/>
      </w:tabs>
      <w:spacing w:after="240"/>
      <w:ind w:left="504" w:hanging="504"/>
      <w:jc w:val="both"/>
    </w:pPr>
    <w:rPr>
      <w:rFonts w:ascii="Arial" w:hAnsi="Arial" w:cs="Arial"/>
    </w:rPr>
  </w:style>
  <w:style w:type="character" w:customStyle="1" w:styleId="BibliographyCar2">
    <w:name w:val="Bibliography Car2"/>
    <w:basedOn w:val="DefaultParagraphFont"/>
    <w:link w:val="Bibliographie3"/>
    <w:rsid w:val="006B61B5"/>
    <w:rPr>
      <w:rFonts w:ascii="Arial" w:hAnsi="Arial" w:cs="Arial"/>
    </w:rPr>
  </w:style>
  <w:style w:type="paragraph" w:customStyle="1" w:styleId="Bibliography1">
    <w:name w:val="Bibliography1"/>
    <w:basedOn w:val="Normal"/>
    <w:link w:val="BibliographyCar3"/>
    <w:rsid w:val="004D2938"/>
    <w:pPr>
      <w:tabs>
        <w:tab w:val="left" w:pos="500"/>
      </w:tabs>
      <w:ind w:left="504" w:hanging="504"/>
      <w:jc w:val="both"/>
    </w:pPr>
    <w:rPr>
      <w:rFonts w:ascii="Arial" w:hAnsi="Arial" w:cs="Arial"/>
    </w:rPr>
  </w:style>
  <w:style w:type="character" w:customStyle="1" w:styleId="BibliographyCar3">
    <w:name w:val="Bibliography Car3"/>
    <w:basedOn w:val="DefaultParagraphFont"/>
    <w:link w:val="Bibliography1"/>
    <w:rsid w:val="004D2938"/>
    <w:rPr>
      <w:rFonts w:ascii="Arial" w:hAnsi="Arial" w:cs="Arial"/>
    </w:rPr>
  </w:style>
  <w:style w:type="paragraph" w:customStyle="1" w:styleId="Bibliographie4">
    <w:name w:val="Bibliographie4"/>
    <w:basedOn w:val="Normal"/>
    <w:link w:val="BibliographyCar4"/>
    <w:rsid w:val="00F908F9"/>
    <w:pPr>
      <w:tabs>
        <w:tab w:val="left" w:pos="500"/>
      </w:tabs>
      <w:spacing w:after="240"/>
      <w:ind w:left="504" w:hanging="504"/>
      <w:jc w:val="both"/>
    </w:pPr>
    <w:rPr>
      <w:rFonts w:ascii="Arial" w:hAnsi="Arial" w:cs="Arial"/>
    </w:rPr>
  </w:style>
  <w:style w:type="character" w:customStyle="1" w:styleId="BibliographyCar4">
    <w:name w:val="Bibliography Car4"/>
    <w:basedOn w:val="DefaultParagraphFont"/>
    <w:link w:val="Bibliographie4"/>
    <w:rsid w:val="00F908F9"/>
    <w:rPr>
      <w:rFonts w:ascii="Arial" w:hAnsi="Arial" w:cs="Arial"/>
    </w:rPr>
  </w:style>
  <w:style w:type="paragraph" w:customStyle="1" w:styleId="Bibliographie5">
    <w:name w:val="Bibliographie5"/>
    <w:basedOn w:val="Normal"/>
    <w:link w:val="BibliographyCar5"/>
    <w:rsid w:val="00754C02"/>
    <w:pPr>
      <w:spacing w:after="240"/>
      <w:jc w:val="both"/>
    </w:pPr>
    <w:rPr>
      <w:rFonts w:ascii="Arial" w:hAnsi="Arial" w:cs="Arial"/>
    </w:rPr>
  </w:style>
  <w:style w:type="character" w:customStyle="1" w:styleId="BibliographyCar5">
    <w:name w:val="Bibliography Car5"/>
    <w:basedOn w:val="DefaultParagraphFont"/>
    <w:link w:val="Bibliographie5"/>
    <w:rsid w:val="00754C02"/>
    <w:rPr>
      <w:rFonts w:ascii="Arial" w:hAnsi="Arial" w:cs="Arial"/>
    </w:rPr>
  </w:style>
  <w:style w:type="table" w:styleId="TableGrid">
    <w:name w:val="Table Grid"/>
    <w:basedOn w:val="TableNormal"/>
    <w:uiPriority w:val="59"/>
    <w:rsid w:val="00DB7129"/>
    <w:rPr>
      <w:rFonts w:asciiTheme="minorHAnsi" w:hAnsiTheme="minorHAnsi"/>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6632E"/>
    <w:rPr>
      <w:rFonts w:ascii="Arial" w:hAnsi="Arial" w:cs="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2731">
      <w:bodyDiv w:val="1"/>
      <w:marLeft w:val="0"/>
      <w:marRight w:val="0"/>
      <w:marTop w:val="0"/>
      <w:marBottom w:val="0"/>
      <w:divBdr>
        <w:top w:val="none" w:sz="0" w:space="0" w:color="auto"/>
        <w:left w:val="none" w:sz="0" w:space="0" w:color="auto"/>
        <w:bottom w:val="none" w:sz="0" w:space="0" w:color="auto"/>
        <w:right w:val="none" w:sz="0" w:space="0" w:color="auto"/>
      </w:divBdr>
      <w:divsChild>
        <w:div w:id="1707946928">
          <w:marLeft w:val="0"/>
          <w:marRight w:val="0"/>
          <w:marTop w:val="0"/>
          <w:marBottom w:val="0"/>
          <w:divBdr>
            <w:top w:val="none" w:sz="0" w:space="0" w:color="auto"/>
            <w:left w:val="none" w:sz="0" w:space="0" w:color="auto"/>
            <w:bottom w:val="none" w:sz="0" w:space="0" w:color="auto"/>
            <w:right w:val="none" w:sz="0" w:space="0" w:color="auto"/>
          </w:divBdr>
          <w:divsChild>
            <w:div w:id="1064793733">
              <w:marLeft w:val="0"/>
              <w:marRight w:val="0"/>
              <w:marTop w:val="0"/>
              <w:marBottom w:val="0"/>
              <w:divBdr>
                <w:top w:val="none" w:sz="0" w:space="0" w:color="auto"/>
                <w:left w:val="none" w:sz="0" w:space="0" w:color="auto"/>
                <w:bottom w:val="none" w:sz="0" w:space="0" w:color="auto"/>
                <w:right w:val="none" w:sz="0" w:space="0" w:color="auto"/>
              </w:divBdr>
              <w:divsChild>
                <w:div w:id="860431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73622">
      <w:bodyDiv w:val="1"/>
      <w:marLeft w:val="0"/>
      <w:marRight w:val="0"/>
      <w:marTop w:val="0"/>
      <w:marBottom w:val="0"/>
      <w:divBdr>
        <w:top w:val="none" w:sz="0" w:space="0" w:color="auto"/>
        <w:left w:val="none" w:sz="0" w:space="0" w:color="auto"/>
        <w:bottom w:val="none" w:sz="0" w:space="0" w:color="auto"/>
        <w:right w:val="none" w:sz="0" w:space="0" w:color="auto"/>
      </w:divBdr>
    </w:div>
    <w:div w:id="103968288">
      <w:bodyDiv w:val="1"/>
      <w:marLeft w:val="0"/>
      <w:marRight w:val="0"/>
      <w:marTop w:val="0"/>
      <w:marBottom w:val="0"/>
      <w:divBdr>
        <w:top w:val="none" w:sz="0" w:space="0" w:color="auto"/>
        <w:left w:val="none" w:sz="0" w:space="0" w:color="auto"/>
        <w:bottom w:val="none" w:sz="0" w:space="0" w:color="auto"/>
        <w:right w:val="none" w:sz="0" w:space="0" w:color="auto"/>
      </w:divBdr>
      <w:divsChild>
        <w:div w:id="1693847149">
          <w:marLeft w:val="0"/>
          <w:marRight w:val="0"/>
          <w:marTop w:val="0"/>
          <w:marBottom w:val="0"/>
          <w:divBdr>
            <w:top w:val="none" w:sz="0" w:space="0" w:color="auto"/>
            <w:left w:val="none" w:sz="0" w:space="0" w:color="auto"/>
            <w:bottom w:val="none" w:sz="0" w:space="0" w:color="auto"/>
            <w:right w:val="none" w:sz="0" w:space="0" w:color="auto"/>
          </w:divBdr>
          <w:divsChild>
            <w:div w:id="444806994">
              <w:marLeft w:val="0"/>
              <w:marRight w:val="0"/>
              <w:marTop w:val="0"/>
              <w:marBottom w:val="0"/>
              <w:divBdr>
                <w:top w:val="none" w:sz="0" w:space="0" w:color="auto"/>
                <w:left w:val="none" w:sz="0" w:space="0" w:color="auto"/>
                <w:bottom w:val="none" w:sz="0" w:space="0" w:color="auto"/>
                <w:right w:val="none" w:sz="0" w:space="0" w:color="auto"/>
              </w:divBdr>
              <w:divsChild>
                <w:div w:id="1610891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01636">
      <w:bodyDiv w:val="1"/>
      <w:marLeft w:val="0"/>
      <w:marRight w:val="0"/>
      <w:marTop w:val="0"/>
      <w:marBottom w:val="0"/>
      <w:divBdr>
        <w:top w:val="none" w:sz="0" w:space="0" w:color="auto"/>
        <w:left w:val="none" w:sz="0" w:space="0" w:color="auto"/>
        <w:bottom w:val="none" w:sz="0" w:space="0" w:color="auto"/>
        <w:right w:val="none" w:sz="0" w:space="0" w:color="auto"/>
      </w:divBdr>
      <w:divsChild>
        <w:div w:id="248346703">
          <w:marLeft w:val="0"/>
          <w:marRight w:val="0"/>
          <w:marTop w:val="0"/>
          <w:marBottom w:val="0"/>
          <w:divBdr>
            <w:top w:val="none" w:sz="0" w:space="0" w:color="auto"/>
            <w:left w:val="none" w:sz="0" w:space="0" w:color="auto"/>
            <w:bottom w:val="none" w:sz="0" w:space="0" w:color="auto"/>
            <w:right w:val="none" w:sz="0" w:space="0" w:color="auto"/>
          </w:divBdr>
          <w:divsChild>
            <w:div w:id="440610736">
              <w:marLeft w:val="0"/>
              <w:marRight w:val="0"/>
              <w:marTop w:val="0"/>
              <w:marBottom w:val="0"/>
              <w:divBdr>
                <w:top w:val="none" w:sz="0" w:space="0" w:color="auto"/>
                <w:left w:val="none" w:sz="0" w:space="0" w:color="auto"/>
                <w:bottom w:val="none" w:sz="0" w:space="0" w:color="auto"/>
                <w:right w:val="none" w:sz="0" w:space="0" w:color="auto"/>
              </w:divBdr>
              <w:divsChild>
                <w:div w:id="114388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763137">
      <w:bodyDiv w:val="1"/>
      <w:marLeft w:val="0"/>
      <w:marRight w:val="0"/>
      <w:marTop w:val="0"/>
      <w:marBottom w:val="0"/>
      <w:divBdr>
        <w:top w:val="none" w:sz="0" w:space="0" w:color="auto"/>
        <w:left w:val="none" w:sz="0" w:space="0" w:color="auto"/>
        <w:bottom w:val="none" w:sz="0" w:space="0" w:color="auto"/>
        <w:right w:val="none" w:sz="0" w:space="0" w:color="auto"/>
      </w:divBdr>
    </w:div>
    <w:div w:id="264460192">
      <w:bodyDiv w:val="1"/>
      <w:marLeft w:val="0"/>
      <w:marRight w:val="0"/>
      <w:marTop w:val="0"/>
      <w:marBottom w:val="0"/>
      <w:divBdr>
        <w:top w:val="none" w:sz="0" w:space="0" w:color="auto"/>
        <w:left w:val="none" w:sz="0" w:space="0" w:color="auto"/>
        <w:bottom w:val="none" w:sz="0" w:space="0" w:color="auto"/>
        <w:right w:val="none" w:sz="0" w:space="0" w:color="auto"/>
      </w:divBdr>
    </w:div>
    <w:div w:id="316303911">
      <w:bodyDiv w:val="1"/>
      <w:marLeft w:val="0"/>
      <w:marRight w:val="0"/>
      <w:marTop w:val="0"/>
      <w:marBottom w:val="0"/>
      <w:divBdr>
        <w:top w:val="none" w:sz="0" w:space="0" w:color="auto"/>
        <w:left w:val="none" w:sz="0" w:space="0" w:color="auto"/>
        <w:bottom w:val="none" w:sz="0" w:space="0" w:color="auto"/>
        <w:right w:val="none" w:sz="0" w:space="0" w:color="auto"/>
      </w:divBdr>
      <w:divsChild>
        <w:div w:id="811294750">
          <w:marLeft w:val="0"/>
          <w:marRight w:val="0"/>
          <w:marTop w:val="0"/>
          <w:marBottom w:val="0"/>
          <w:divBdr>
            <w:top w:val="none" w:sz="0" w:space="0" w:color="auto"/>
            <w:left w:val="none" w:sz="0" w:space="0" w:color="auto"/>
            <w:bottom w:val="none" w:sz="0" w:space="0" w:color="auto"/>
            <w:right w:val="none" w:sz="0" w:space="0" w:color="auto"/>
          </w:divBdr>
          <w:divsChild>
            <w:div w:id="955909312">
              <w:marLeft w:val="0"/>
              <w:marRight w:val="0"/>
              <w:marTop w:val="0"/>
              <w:marBottom w:val="0"/>
              <w:divBdr>
                <w:top w:val="none" w:sz="0" w:space="0" w:color="auto"/>
                <w:left w:val="none" w:sz="0" w:space="0" w:color="auto"/>
                <w:bottom w:val="none" w:sz="0" w:space="0" w:color="auto"/>
                <w:right w:val="none" w:sz="0" w:space="0" w:color="auto"/>
              </w:divBdr>
              <w:divsChild>
                <w:div w:id="188482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140752">
      <w:bodyDiv w:val="1"/>
      <w:marLeft w:val="0"/>
      <w:marRight w:val="0"/>
      <w:marTop w:val="0"/>
      <w:marBottom w:val="0"/>
      <w:divBdr>
        <w:top w:val="none" w:sz="0" w:space="0" w:color="auto"/>
        <w:left w:val="none" w:sz="0" w:space="0" w:color="auto"/>
        <w:bottom w:val="none" w:sz="0" w:space="0" w:color="auto"/>
        <w:right w:val="none" w:sz="0" w:space="0" w:color="auto"/>
      </w:divBdr>
      <w:divsChild>
        <w:div w:id="1482231463">
          <w:marLeft w:val="0"/>
          <w:marRight w:val="0"/>
          <w:marTop w:val="0"/>
          <w:marBottom w:val="0"/>
          <w:divBdr>
            <w:top w:val="none" w:sz="0" w:space="0" w:color="auto"/>
            <w:left w:val="none" w:sz="0" w:space="0" w:color="auto"/>
            <w:bottom w:val="none" w:sz="0" w:space="0" w:color="auto"/>
            <w:right w:val="none" w:sz="0" w:space="0" w:color="auto"/>
          </w:divBdr>
          <w:divsChild>
            <w:div w:id="1049914007">
              <w:marLeft w:val="0"/>
              <w:marRight w:val="0"/>
              <w:marTop w:val="0"/>
              <w:marBottom w:val="0"/>
              <w:divBdr>
                <w:top w:val="none" w:sz="0" w:space="0" w:color="auto"/>
                <w:left w:val="none" w:sz="0" w:space="0" w:color="auto"/>
                <w:bottom w:val="none" w:sz="0" w:space="0" w:color="auto"/>
                <w:right w:val="none" w:sz="0" w:space="0" w:color="auto"/>
              </w:divBdr>
              <w:divsChild>
                <w:div w:id="1110927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010038">
      <w:bodyDiv w:val="1"/>
      <w:marLeft w:val="0"/>
      <w:marRight w:val="0"/>
      <w:marTop w:val="0"/>
      <w:marBottom w:val="0"/>
      <w:divBdr>
        <w:top w:val="none" w:sz="0" w:space="0" w:color="auto"/>
        <w:left w:val="none" w:sz="0" w:space="0" w:color="auto"/>
        <w:bottom w:val="none" w:sz="0" w:space="0" w:color="auto"/>
        <w:right w:val="none" w:sz="0" w:space="0" w:color="auto"/>
      </w:divBdr>
      <w:divsChild>
        <w:div w:id="700934165">
          <w:marLeft w:val="0"/>
          <w:marRight w:val="0"/>
          <w:marTop w:val="0"/>
          <w:marBottom w:val="0"/>
          <w:divBdr>
            <w:top w:val="none" w:sz="0" w:space="0" w:color="auto"/>
            <w:left w:val="none" w:sz="0" w:space="0" w:color="auto"/>
            <w:bottom w:val="none" w:sz="0" w:space="0" w:color="auto"/>
            <w:right w:val="none" w:sz="0" w:space="0" w:color="auto"/>
          </w:divBdr>
          <w:divsChild>
            <w:div w:id="1642270749">
              <w:marLeft w:val="0"/>
              <w:marRight w:val="0"/>
              <w:marTop w:val="0"/>
              <w:marBottom w:val="0"/>
              <w:divBdr>
                <w:top w:val="none" w:sz="0" w:space="0" w:color="auto"/>
                <w:left w:val="none" w:sz="0" w:space="0" w:color="auto"/>
                <w:bottom w:val="none" w:sz="0" w:space="0" w:color="auto"/>
                <w:right w:val="none" w:sz="0" w:space="0" w:color="auto"/>
              </w:divBdr>
              <w:divsChild>
                <w:div w:id="968557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1651">
      <w:bodyDiv w:val="1"/>
      <w:marLeft w:val="0"/>
      <w:marRight w:val="0"/>
      <w:marTop w:val="0"/>
      <w:marBottom w:val="0"/>
      <w:divBdr>
        <w:top w:val="none" w:sz="0" w:space="0" w:color="auto"/>
        <w:left w:val="none" w:sz="0" w:space="0" w:color="auto"/>
        <w:bottom w:val="none" w:sz="0" w:space="0" w:color="auto"/>
        <w:right w:val="none" w:sz="0" w:space="0" w:color="auto"/>
      </w:divBdr>
      <w:divsChild>
        <w:div w:id="1580285066">
          <w:marLeft w:val="0"/>
          <w:marRight w:val="0"/>
          <w:marTop w:val="0"/>
          <w:marBottom w:val="0"/>
          <w:divBdr>
            <w:top w:val="none" w:sz="0" w:space="0" w:color="auto"/>
            <w:left w:val="none" w:sz="0" w:space="0" w:color="auto"/>
            <w:bottom w:val="none" w:sz="0" w:space="0" w:color="auto"/>
            <w:right w:val="none" w:sz="0" w:space="0" w:color="auto"/>
          </w:divBdr>
          <w:divsChild>
            <w:div w:id="673340969">
              <w:marLeft w:val="0"/>
              <w:marRight w:val="0"/>
              <w:marTop w:val="0"/>
              <w:marBottom w:val="0"/>
              <w:divBdr>
                <w:top w:val="none" w:sz="0" w:space="0" w:color="auto"/>
                <w:left w:val="none" w:sz="0" w:space="0" w:color="auto"/>
                <w:bottom w:val="none" w:sz="0" w:space="0" w:color="auto"/>
                <w:right w:val="none" w:sz="0" w:space="0" w:color="auto"/>
              </w:divBdr>
              <w:divsChild>
                <w:div w:id="1128552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942740">
      <w:bodyDiv w:val="1"/>
      <w:marLeft w:val="0"/>
      <w:marRight w:val="0"/>
      <w:marTop w:val="0"/>
      <w:marBottom w:val="0"/>
      <w:divBdr>
        <w:top w:val="none" w:sz="0" w:space="0" w:color="auto"/>
        <w:left w:val="none" w:sz="0" w:space="0" w:color="auto"/>
        <w:bottom w:val="none" w:sz="0" w:space="0" w:color="auto"/>
        <w:right w:val="none" w:sz="0" w:space="0" w:color="auto"/>
      </w:divBdr>
      <w:divsChild>
        <w:div w:id="924531440">
          <w:marLeft w:val="0"/>
          <w:marRight w:val="0"/>
          <w:marTop w:val="0"/>
          <w:marBottom w:val="0"/>
          <w:divBdr>
            <w:top w:val="none" w:sz="0" w:space="0" w:color="auto"/>
            <w:left w:val="none" w:sz="0" w:space="0" w:color="auto"/>
            <w:bottom w:val="none" w:sz="0" w:space="0" w:color="auto"/>
            <w:right w:val="none" w:sz="0" w:space="0" w:color="auto"/>
          </w:divBdr>
          <w:divsChild>
            <w:div w:id="1968782055">
              <w:marLeft w:val="0"/>
              <w:marRight w:val="0"/>
              <w:marTop w:val="0"/>
              <w:marBottom w:val="0"/>
              <w:divBdr>
                <w:top w:val="none" w:sz="0" w:space="0" w:color="auto"/>
                <w:left w:val="none" w:sz="0" w:space="0" w:color="auto"/>
                <w:bottom w:val="none" w:sz="0" w:space="0" w:color="auto"/>
                <w:right w:val="none" w:sz="0" w:space="0" w:color="auto"/>
              </w:divBdr>
              <w:divsChild>
                <w:div w:id="889537016">
                  <w:marLeft w:val="0"/>
                  <w:marRight w:val="0"/>
                  <w:marTop w:val="0"/>
                  <w:marBottom w:val="0"/>
                  <w:divBdr>
                    <w:top w:val="none" w:sz="0" w:space="0" w:color="auto"/>
                    <w:left w:val="none" w:sz="0" w:space="0" w:color="auto"/>
                    <w:bottom w:val="none" w:sz="0" w:space="0" w:color="auto"/>
                    <w:right w:val="none" w:sz="0" w:space="0" w:color="auto"/>
                  </w:divBdr>
                  <w:divsChild>
                    <w:div w:id="37365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944886">
      <w:bodyDiv w:val="1"/>
      <w:marLeft w:val="0"/>
      <w:marRight w:val="0"/>
      <w:marTop w:val="0"/>
      <w:marBottom w:val="0"/>
      <w:divBdr>
        <w:top w:val="none" w:sz="0" w:space="0" w:color="auto"/>
        <w:left w:val="none" w:sz="0" w:space="0" w:color="auto"/>
        <w:bottom w:val="none" w:sz="0" w:space="0" w:color="auto"/>
        <w:right w:val="none" w:sz="0" w:space="0" w:color="auto"/>
      </w:divBdr>
      <w:divsChild>
        <w:div w:id="901404679">
          <w:marLeft w:val="0"/>
          <w:marRight w:val="0"/>
          <w:marTop w:val="0"/>
          <w:marBottom w:val="0"/>
          <w:divBdr>
            <w:top w:val="none" w:sz="0" w:space="0" w:color="auto"/>
            <w:left w:val="none" w:sz="0" w:space="0" w:color="auto"/>
            <w:bottom w:val="none" w:sz="0" w:space="0" w:color="auto"/>
            <w:right w:val="none" w:sz="0" w:space="0" w:color="auto"/>
          </w:divBdr>
          <w:divsChild>
            <w:div w:id="1569608144">
              <w:marLeft w:val="0"/>
              <w:marRight w:val="0"/>
              <w:marTop w:val="0"/>
              <w:marBottom w:val="0"/>
              <w:divBdr>
                <w:top w:val="none" w:sz="0" w:space="0" w:color="auto"/>
                <w:left w:val="none" w:sz="0" w:space="0" w:color="auto"/>
                <w:bottom w:val="none" w:sz="0" w:space="0" w:color="auto"/>
                <w:right w:val="none" w:sz="0" w:space="0" w:color="auto"/>
              </w:divBdr>
              <w:divsChild>
                <w:div w:id="12597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293967">
      <w:bodyDiv w:val="1"/>
      <w:marLeft w:val="0"/>
      <w:marRight w:val="0"/>
      <w:marTop w:val="0"/>
      <w:marBottom w:val="0"/>
      <w:divBdr>
        <w:top w:val="none" w:sz="0" w:space="0" w:color="auto"/>
        <w:left w:val="none" w:sz="0" w:space="0" w:color="auto"/>
        <w:bottom w:val="none" w:sz="0" w:space="0" w:color="auto"/>
        <w:right w:val="none" w:sz="0" w:space="0" w:color="auto"/>
      </w:divBdr>
      <w:divsChild>
        <w:div w:id="2065785510">
          <w:marLeft w:val="0"/>
          <w:marRight w:val="0"/>
          <w:marTop w:val="0"/>
          <w:marBottom w:val="0"/>
          <w:divBdr>
            <w:top w:val="none" w:sz="0" w:space="0" w:color="auto"/>
            <w:left w:val="none" w:sz="0" w:space="0" w:color="auto"/>
            <w:bottom w:val="none" w:sz="0" w:space="0" w:color="auto"/>
            <w:right w:val="none" w:sz="0" w:space="0" w:color="auto"/>
          </w:divBdr>
          <w:divsChild>
            <w:div w:id="700284209">
              <w:marLeft w:val="0"/>
              <w:marRight w:val="0"/>
              <w:marTop w:val="0"/>
              <w:marBottom w:val="0"/>
              <w:divBdr>
                <w:top w:val="none" w:sz="0" w:space="0" w:color="auto"/>
                <w:left w:val="none" w:sz="0" w:space="0" w:color="auto"/>
                <w:bottom w:val="none" w:sz="0" w:space="0" w:color="auto"/>
                <w:right w:val="none" w:sz="0" w:space="0" w:color="auto"/>
              </w:divBdr>
              <w:divsChild>
                <w:div w:id="925726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468921">
      <w:bodyDiv w:val="1"/>
      <w:marLeft w:val="0"/>
      <w:marRight w:val="0"/>
      <w:marTop w:val="0"/>
      <w:marBottom w:val="0"/>
      <w:divBdr>
        <w:top w:val="none" w:sz="0" w:space="0" w:color="auto"/>
        <w:left w:val="none" w:sz="0" w:space="0" w:color="auto"/>
        <w:bottom w:val="none" w:sz="0" w:space="0" w:color="auto"/>
        <w:right w:val="none" w:sz="0" w:space="0" w:color="auto"/>
      </w:divBdr>
      <w:divsChild>
        <w:div w:id="1241910874">
          <w:marLeft w:val="0"/>
          <w:marRight w:val="0"/>
          <w:marTop w:val="0"/>
          <w:marBottom w:val="0"/>
          <w:divBdr>
            <w:top w:val="none" w:sz="0" w:space="0" w:color="auto"/>
            <w:left w:val="none" w:sz="0" w:space="0" w:color="auto"/>
            <w:bottom w:val="none" w:sz="0" w:space="0" w:color="auto"/>
            <w:right w:val="none" w:sz="0" w:space="0" w:color="auto"/>
          </w:divBdr>
          <w:divsChild>
            <w:div w:id="31662411">
              <w:marLeft w:val="0"/>
              <w:marRight w:val="0"/>
              <w:marTop w:val="0"/>
              <w:marBottom w:val="0"/>
              <w:divBdr>
                <w:top w:val="none" w:sz="0" w:space="0" w:color="auto"/>
                <w:left w:val="none" w:sz="0" w:space="0" w:color="auto"/>
                <w:bottom w:val="none" w:sz="0" w:space="0" w:color="auto"/>
                <w:right w:val="none" w:sz="0" w:space="0" w:color="auto"/>
              </w:divBdr>
              <w:divsChild>
                <w:div w:id="140275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768959">
      <w:bodyDiv w:val="1"/>
      <w:marLeft w:val="0"/>
      <w:marRight w:val="0"/>
      <w:marTop w:val="0"/>
      <w:marBottom w:val="0"/>
      <w:divBdr>
        <w:top w:val="none" w:sz="0" w:space="0" w:color="auto"/>
        <w:left w:val="none" w:sz="0" w:space="0" w:color="auto"/>
        <w:bottom w:val="none" w:sz="0" w:space="0" w:color="auto"/>
        <w:right w:val="none" w:sz="0" w:space="0" w:color="auto"/>
      </w:divBdr>
      <w:divsChild>
        <w:div w:id="175578103">
          <w:marLeft w:val="0"/>
          <w:marRight w:val="0"/>
          <w:marTop w:val="0"/>
          <w:marBottom w:val="0"/>
          <w:divBdr>
            <w:top w:val="none" w:sz="0" w:space="0" w:color="auto"/>
            <w:left w:val="none" w:sz="0" w:space="0" w:color="auto"/>
            <w:bottom w:val="none" w:sz="0" w:space="0" w:color="auto"/>
            <w:right w:val="none" w:sz="0" w:space="0" w:color="auto"/>
          </w:divBdr>
        </w:div>
        <w:div w:id="1492019945">
          <w:marLeft w:val="0"/>
          <w:marRight w:val="0"/>
          <w:marTop w:val="0"/>
          <w:marBottom w:val="0"/>
          <w:divBdr>
            <w:top w:val="none" w:sz="0" w:space="0" w:color="auto"/>
            <w:left w:val="none" w:sz="0" w:space="0" w:color="auto"/>
            <w:bottom w:val="none" w:sz="0" w:space="0" w:color="auto"/>
            <w:right w:val="none" w:sz="0" w:space="0" w:color="auto"/>
          </w:divBdr>
        </w:div>
        <w:div w:id="407963802">
          <w:marLeft w:val="0"/>
          <w:marRight w:val="0"/>
          <w:marTop w:val="0"/>
          <w:marBottom w:val="0"/>
          <w:divBdr>
            <w:top w:val="none" w:sz="0" w:space="0" w:color="auto"/>
            <w:left w:val="none" w:sz="0" w:space="0" w:color="auto"/>
            <w:bottom w:val="none" w:sz="0" w:space="0" w:color="auto"/>
            <w:right w:val="none" w:sz="0" w:space="0" w:color="auto"/>
          </w:divBdr>
        </w:div>
        <w:div w:id="345641905">
          <w:marLeft w:val="0"/>
          <w:marRight w:val="0"/>
          <w:marTop w:val="0"/>
          <w:marBottom w:val="0"/>
          <w:divBdr>
            <w:top w:val="none" w:sz="0" w:space="0" w:color="auto"/>
            <w:left w:val="none" w:sz="0" w:space="0" w:color="auto"/>
            <w:bottom w:val="none" w:sz="0" w:space="0" w:color="auto"/>
            <w:right w:val="none" w:sz="0" w:space="0" w:color="auto"/>
          </w:divBdr>
        </w:div>
        <w:div w:id="1999262561">
          <w:marLeft w:val="0"/>
          <w:marRight w:val="0"/>
          <w:marTop w:val="0"/>
          <w:marBottom w:val="0"/>
          <w:divBdr>
            <w:top w:val="none" w:sz="0" w:space="0" w:color="auto"/>
            <w:left w:val="none" w:sz="0" w:space="0" w:color="auto"/>
            <w:bottom w:val="none" w:sz="0" w:space="0" w:color="auto"/>
            <w:right w:val="none" w:sz="0" w:space="0" w:color="auto"/>
          </w:divBdr>
        </w:div>
        <w:div w:id="1175923931">
          <w:marLeft w:val="0"/>
          <w:marRight w:val="0"/>
          <w:marTop w:val="0"/>
          <w:marBottom w:val="0"/>
          <w:divBdr>
            <w:top w:val="none" w:sz="0" w:space="0" w:color="auto"/>
            <w:left w:val="none" w:sz="0" w:space="0" w:color="auto"/>
            <w:bottom w:val="none" w:sz="0" w:space="0" w:color="auto"/>
            <w:right w:val="none" w:sz="0" w:space="0" w:color="auto"/>
          </w:divBdr>
        </w:div>
        <w:div w:id="1393239241">
          <w:marLeft w:val="0"/>
          <w:marRight w:val="0"/>
          <w:marTop w:val="0"/>
          <w:marBottom w:val="0"/>
          <w:divBdr>
            <w:top w:val="none" w:sz="0" w:space="0" w:color="auto"/>
            <w:left w:val="none" w:sz="0" w:space="0" w:color="auto"/>
            <w:bottom w:val="none" w:sz="0" w:space="0" w:color="auto"/>
            <w:right w:val="none" w:sz="0" w:space="0" w:color="auto"/>
          </w:divBdr>
        </w:div>
        <w:div w:id="1052579648">
          <w:marLeft w:val="0"/>
          <w:marRight w:val="0"/>
          <w:marTop w:val="0"/>
          <w:marBottom w:val="0"/>
          <w:divBdr>
            <w:top w:val="none" w:sz="0" w:space="0" w:color="auto"/>
            <w:left w:val="none" w:sz="0" w:space="0" w:color="auto"/>
            <w:bottom w:val="none" w:sz="0" w:space="0" w:color="auto"/>
            <w:right w:val="none" w:sz="0" w:space="0" w:color="auto"/>
          </w:divBdr>
        </w:div>
        <w:div w:id="91558084">
          <w:marLeft w:val="0"/>
          <w:marRight w:val="0"/>
          <w:marTop w:val="0"/>
          <w:marBottom w:val="0"/>
          <w:divBdr>
            <w:top w:val="none" w:sz="0" w:space="0" w:color="auto"/>
            <w:left w:val="none" w:sz="0" w:space="0" w:color="auto"/>
            <w:bottom w:val="none" w:sz="0" w:space="0" w:color="auto"/>
            <w:right w:val="none" w:sz="0" w:space="0" w:color="auto"/>
          </w:divBdr>
        </w:div>
      </w:divsChild>
    </w:div>
    <w:div w:id="702632521">
      <w:bodyDiv w:val="1"/>
      <w:marLeft w:val="0"/>
      <w:marRight w:val="0"/>
      <w:marTop w:val="0"/>
      <w:marBottom w:val="0"/>
      <w:divBdr>
        <w:top w:val="none" w:sz="0" w:space="0" w:color="auto"/>
        <w:left w:val="none" w:sz="0" w:space="0" w:color="auto"/>
        <w:bottom w:val="none" w:sz="0" w:space="0" w:color="auto"/>
        <w:right w:val="none" w:sz="0" w:space="0" w:color="auto"/>
      </w:divBdr>
      <w:divsChild>
        <w:div w:id="235671160">
          <w:marLeft w:val="0"/>
          <w:marRight w:val="0"/>
          <w:marTop w:val="0"/>
          <w:marBottom w:val="0"/>
          <w:divBdr>
            <w:top w:val="none" w:sz="0" w:space="0" w:color="auto"/>
            <w:left w:val="none" w:sz="0" w:space="0" w:color="auto"/>
            <w:bottom w:val="none" w:sz="0" w:space="0" w:color="auto"/>
            <w:right w:val="none" w:sz="0" w:space="0" w:color="auto"/>
          </w:divBdr>
          <w:divsChild>
            <w:div w:id="1469399225">
              <w:marLeft w:val="0"/>
              <w:marRight w:val="0"/>
              <w:marTop w:val="0"/>
              <w:marBottom w:val="0"/>
              <w:divBdr>
                <w:top w:val="none" w:sz="0" w:space="0" w:color="auto"/>
                <w:left w:val="none" w:sz="0" w:space="0" w:color="auto"/>
                <w:bottom w:val="none" w:sz="0" w:space="0" w:color="auto"/>
                <w:right w:val="none" w:sz="0" w:space="0" w:color="auto"/>
              </w:divBdr>
              <w:divsChild>
                <w:div w:id="1792549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9812733">
      <w:bodyDiv w:val="1"/>
      <w:marLeft w:val="0"/>
      <w:marRight w:val="0"/>
      <w:marTop w:val="0"/>
      <w:marBottom w:val="0"/>
      <w:divBdr>
        <w:top w:val="none" w:sz="0" w:space="0" w:color="auto"/>
        <w:left w:val="none" w:sz="0" w:space="0" w:color="auto"/>
        <w:bottom w:val="none" w:sz="0" w:space="0" w:color="auto"/>
        <w:right w:val="none" w:sz="0" w:space="0" w:color="auto"/>
      </w:divBdr>
      <w:divsChild>
        <w:div w:id="1272084396">
          <w:marLeft w:val="0"/>
          <w:marRight w:val="0"/>
          <w:marTop w:val="0"/>
          <w:marBottom w:val="0"/>
          <w:divBdr>
            <w:top w:val="none" w:sz="0" w:space="0" w:color="auto"/>
            <w:left w:val="none" w:sz="0" w:space="0" w:color="auto"/>
            <w:bottom w:val="none" w:sz="0" w:space="0" w:color="auto"/>
            <w:right w:val="none" w:sz="0" w:space="0" w:color="auto"/>
          </w:divBdr>
          <w:divsChild>
            <w:div w:id="1175651727">
              <w:marLeft w:val="0"/>
              <w:marRight w:val="0"/>
              <w:marTop w:val="0"/>
              <w:marBottom w:val="0"/>
              <w:divBdr>
                <w:top w:val="none" w:sz="0" w:space="0" w:color="auto"/>
                <w:left w:val="none" w:sz="0" w:space="0" w:color="auto"/>
                <w:bottom w:val="none" w:sz="0" w:space="0" w:color="auto"/>
                <w:right w:val="none" w:sz="0" w:space="0" w:color="auto"/>
              </w:divBdr>
              <w:divsChild>
                <w:div w:id="110959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2121509">
      <w:bodyDiv w:val="1"/>
      <w:marLeft w:val="0"/>
      <w:marRight w:val="0"/>
      <w:marTop w:val="0"/>
      <w:marBottom w:val="0"/>
      <w:divBdr>
        <w:top w:val="none" w:sz="0" w:space="0" w:color="auto"/>
        <w:left w:val="none" w:sz="0" w:space="0" w:color="auto"/>
        <w:bottom w:val="none" w:sz="0" w:space="0" w:color="auto"/>
        <w:right w:val="none" w:sz="0" w:space="0" w:color="auto"/>
      </w:divBdr>
    </w:div>
    <w:div w:id="774137420">
      <w:bodyDiv w:val="1"/>
      <w:marLeft w:val="0"/>
      <w:marRight w:val="0"/>
      <w:marTop w:val="0"/>
      <w:marBottom w:val="0"/>
      <w:divBdr>
        <w:top w:val="none" w:sz="0" w:space="0" w:color="auto"/>
        <w:left w:val="none" w:sz="0" w:space="0" w:color="auto"/>
        <w:bottom w:val="none" w:sz="0" w:space="0" w:color="auto"/>
        <w:right w:val="none" w:sz="0" w:space="0" w:color="auto"/>
      </w:divBdr>
      <w:divsChild>
        <w:div w:id="770054410">
          <w:marLeft w:val="0"/>
          <w:marRight w:val="0"/>
          <w:marTop w:val="0"/>
          <w:marBottom w:val="0"/>
          <w:divBdr>
            <w:top w:val="none" w:sz="0" w:space="0" w:color="auto"/>
            <w:left w:val="none" w:sz="0" w:space="0" w:color="auto"/>
            <w:bottom w:val="none" w:sz="0" w:space="0" w:color="auto"/>
            <w:right w:val="none" w:sz="0" w:space="0" w:color="auto"/>
          </w:divBdr>
          <w:divsChild>
            <w:div w:id="880021012">
              <w:marLeft w:val="0"/>
              <w:marRight w:val="0"/>
              <w:marTop w:val="0"/>
              <w:marBottom w:val="0"/>
              <w:divBdr>
                <w:top w:val="none" w:sz="0" w:space="0" w:color="auto"/>
                <w:left w:val="none" w:sz="0" w:space="0" w:color="auto"/>
                <w:bottom w:val="none" w:sz="0" w:space="0" w:color="auto"/>
                <w:right w:val="none" w:sz="0" w:space="0" w:color="auto"/>
              </w:divBdr>
              <w:divsChild>
                <w:div w:id="130693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846757">
      <w:bodyDiv w:val="1"/>
      <w:marLeft w:val="0"/>
      <w:marRight w:val="0"/>
      <w:marTop w:val="0"/>
      <w:marBottom w:val="0"/>
      <w:divBdr>
        <w:top w:val="none" w:sz="0" w:space="0" w:color="auto"/>
        <w:left w:val="none" w:sz="0" w:space="0" w:color="auto"/>
        <w:bottom w:val="none" w:sz="0" w:space="0" w:color="auto"/>
        <w:right w:val="none" w:sz="0" w:space="0" w:color="auto"/>
      </w:divBdr>
      <w:divsChild>
        <w:div w:id="456070413">
          <w:marLeft w:val="0"/>
          <w:marRight w:val="0"/>
          <w:marTop w:val="0"/>
          <w:marBottom w:val="0"/>
          <w:divBdr>
            <w:top w:val="none" w:sz="0" w:space="0" w:color="auto"/>
            <w:left w:val="none" w:sz="0" w:space="0" w:color="auto"/>
            <w:bottom w:val="none" w:sz="0" w:space="0" w:color="auto"/>
            <w:right w:val="none" w:sz="0" w:space="0" w:color="auto"/>
          </w:divBdr>
        </w:div>
      </w:divsChild>
    </w:div>
    <w:div w:id="787506570">
      <w:bodyDiv w:val="1"/>
      <w:marLeft w:val="0"/>
      <w:marRight w:val="0"/>
      <w:marTop w:val="0"/>
      <w:marBottom w:val="0"/>
      <w:divBdr>
        <w:top w:val="none" w:sz="0" w:space="0" w:color="auto"/>
        <w:left w:val="none" w:sz="0" w:space="0" w:color="auto"/>
        <w:bottom w:val="none" w:sz="0" w:space="0" w:color="auto"/>
        <w:right w:val="none" w:sz="0" w:space="0" w:color="auto"/>
      </w:divBdr>
    </w:div>
    <w:div w:id="833841260">
      <w:bodyDiv w:val="1"/>
      <w:marLeft w:val="0"/>
      <w:marRight w:val="0"/>
      <w:marTop w:val="0"/>
      <w:marBottom w:val="0"/>
      <w:divBdr>
        <w:top w:val="none" w:sz="0" w:space="0" w:color="auto"/>
        <w:left w:val="none" w:sz="0" w:space="0" w:color="auto"/>
        <w:bottom w:val="none" w:sz="0" w:space="0" w:color="auto"/>
        <w:right w:val="none" w:sz="0" w:space="0" w:color="auto"/>
      </w:divBdr>
    </w:div>
    <w:div w:id="887648476">
      <w:bodyDiv w:val="1"/>
      <w:marLeft w:val="0"/>
      <w:marRight w:val="0"/>
      <w:marTop w:val="0"/>
      <w:marBottom w:val="0"/>
      <w:divBdr>
        <w:top w:val="none" w:sz="0" w:space="0" w:color="auto"/>
        <w:left w:val="none" w:sz="0" w:space="0" w:color="auto"/>
        <w:bottom w:val="none" w:sz="0" w:space="0" w:color="auto"/>
        <w:right w:val="none" w:sz="0" w:space="0" w:color="auto"/>
      </w:divBdr>
    </w:div>
    <w:div w:id="939721172">
      <w:bodyDiv w:val="1"/>
      <w:marLeft w:val="0"/>
      <w:marRight w:val="0"/>
      <w:marTop w:val="0"/>
      <w:marBottom w:val="0"/>
      <w:divBdr>
        <w:top w:val="none" w:sz="0" w:space="0" w:color="auto"/>
        <w:left w:val="none" w:sz="0" w:space="0" w:color="auto"/>
        <w:bottom w:val="none" w:sz="0" w:space="0" w:color="auto"/>
        <w:right w:val="none" w:sz="0" w:space="0" w:color="auto"/>
      </w:divBdr>
      <w:divsChild>
        <w:div w:id="101732836">
          <w:marLeft w:val="0"/>
          <w:marRight w:val="0"/>
          <w:marTop w:val="0"/>
          <w:marBottom w:val="0"/>
          <w:divBdr>
            <w:top w:val="none" w:sz="0" w:space="0" w:color="auto"/>
            <w:left w:val="none" w:sz="0" w:space="0" w:color="auto"/>
            <w:bottom w:val="none" w:sz="0" w:space="0" w:color="auto"/>
            <w:right w:val="none" w:sz="0" w:space="0" w:color="auto"/>
          </w:divBdr>
          <w:divsChild>
            <w:div w:id="588317499">
              <w:marLeft w:val="0"/>
              <w:marRight w:val="0"/>
              <w:marTop w:val="0"/>
              <w:marBottom w:val="0"/>
              <w:divBdr>
                <w:top w:val="none" w:sz="0" w:space="0" w:color="auto"/>
                <w:left w:val="none" w:sz="0" w:space="0" w:color="auto"/>
                <w:bottom w:val="none" w:sz="0" w:space="0" w:color="auto"/>
                <w:right w:val="none" w:sz="0" w:space="0" w:color="auto"/>
              </w:divBdr>
              <w:divsChild>
                <w:div w:id="1329871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97666">
      <w:bodyDiv w:val="1"/>
      <w:marLeft w:val="0"/>
      <w:marRight w:val="0"/>
      <w:marTop w:val="0"/>
      <w:marBottom w:val="0"/>
      <w:divBdr>
        <w:top w:val="none" w:sz="0" w:space="0" w:color="auto"/>
        <w:left w:val="none" w:sz="0" w:space="0" w:color="auto"/>
        <w:bottom w:val="none" w:sz="0" w:space="0" w:color="auto"/>
        <w:right w:val="none" w:sz="0" w:space="0" w:color="auto"/>
      </w:divBdr>
      <w:divsChild>
        <w:div w:id="1811899644">
          <w:marLeft w:val="0"/>
          <w:marRight w:val="0"/>
          <w:marTop w:val="0"/>
          <w:marBottom w:val="0"/>
          <w:divBdr>
            <w:top w:val="none" w:sz="0" w:space="0" w:color="auto"/>
            <w:left w:val="none" w:sz="0" w:space="0" w:color="auto"/>
            <w:bottom w:val="none" w:sz="0" w:space="0" w:color="auto"/>
            <w:right w:val="none" w:sz="0" w:space="0" w:color="auto"/>
          </w:divBdr>
          <w:divsChild>
            <w:div w:id="1976064863">
              <w:marLeft w:val="0"/>
              <w:marRight w:val="0"/>
              <w:marTop w:val="0"/>
              <w:marBottom w:val="0"/>
              <w:divBdr>
                <w:top w:val="none" w:sz="0" w:space="0" w:color="auto"/>
                <w:left w:val="none" w:sz="0" w:space="0" w:color="auto"/>
                <w:bottom w:val="none" w:sz="0" w:space="0" w:color="auto"/>
                <w:right w:val="none" w:sz="0" w:space="0" w:color="auto"/>
              </w:divBdr>
              <w:divsChild>
                <w:div w:id="71323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0647009">
      <w:bodyDiv w:val="1"/>
      <w:marLeft w:val="0"/>
      <w:marRight w:val="0"/>
      <w:marTop w:val="0"/>
      <w:marBottom w:val="0"/>
      <w:divBdr>
        <w:top w:val="none" w:sz="0" w:space="0" w:color="auto"/>
        <w:left w:val="none" w:sz="0" w:space="0" w:color="auto"/>
        <w:bottom w:val="none" w:sz="0" w:space="0" w:color="auto"/>
        <w:right w:val="none" w:sz="0" w:space="0" w:color="auto"/>
      </w:divBdr>
      <w:divsChild>
        <w:div w:id="1085540554">
          <w:marLeft w:val="0"/>
          <w:marRight w:val="0"/>
          <w:marTop w:val="0"/>
          <w:marBottom w:val="0"/>
          <w:divBdr>
            <w:top w:val="none" w:sz="0" w:space="0" w:color="auto"/>
            <w:left w:val="none" w:sz="0" w:space="0" w:color="auto"/>
            <w:bottom w:val="none" w:sz="0" w:space="0" w:color="auto"/>
            <w:right w:val="none" w:sz="0" w:space="0" w:color="auto"/>
          </w:divBdr>
          <w:divsChild>
            <w:div w:id="568615838">
              <w:marLeft w:val="0"/>
              <w:marRight w:val="0"/>
              <w:marTop w:val="0"/>
              <w:marBottom w:val="0"/>
              <w:divBdr>
                <w:top w:val="none" w:sz="0" w:space="0" w:color="auto"/>
                <w:left w:val="none" w:sz="0" w:space="0" w:color="auto"/>
                <w:bottom w:val="none" w:sz="0" w:space="0" w:color="auto"/>
                <w:right w:val="none" w:sz="0" w:space="0" w:color="auto"/>
              </w:divBdr>
              <w:divsChild>
                <w:div w:id="10073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390703">
      <w:bodyDiv w:val="1"/>
      <w:marLeft w:val="0"/>
      <w:marRight w:val="0"/>
      <w:marTop w:val="0"/>
      <w:marBottom w:val="0"/>
      <w:divBdr>
        <w:top w:val="none" w:sz="0" w:space="0" w:color="auto"/>
        <w:left w:val="none" w:sz="0" w:space="0" w:color="auto"/>
        <w:bottom w:val="none" w:sz="0" w:space="0" w:color="auto"/>
        <w:right w:val="none" w:sz="0" w:space="0" w:color="auto"/>
      </w:divBdr>
    </w:div>
    <w:div w:id="1158115594">
      <w:bodyDiv w:val="1"/>
      <w:marLeft w:val="0"/>
      <w:marRight w:val="0"/>
      <w:marTop w:val="0"/>
      <w:marBottom w:val="0"/>
      <w:divBdr>
        <w:top w:val="none" w:sz="0" w:space="0" w:color="auto"/>
        <w:left w:val="none" w:sz="0" w:space="0" w:color="auto"/>
        <w:bottom w:val="none" w:sz="0" w:space="0" w:color="auto"/>
        <w:right w:val="none" w:sz="0" w:space="0" w:color="auto"/>
      </w:divBdr>
      <w:divsChild>
        <w:div w:id="44261061">
          <w:marLeft w:val="0"/>
          <w:marRight w:val="0"/>
          <w:marTop w:val="0"/>
          <w:marBottom w:val="0"/>
          <w:divBdr>
            <w:top w:val="none" w:sz="0" w:space="0" w:color="auto"/>
            <w:left w:val="none" w:sz="0" w:space="0" w:color="auto"/>
            <w:bottom w:val="none" w:sz="0" w:space="0" w:color="auto"/>
            <w:right w:val="none" w:sz="0" w:space="0" w:color="auto"/>
          </w:divBdr>
          <w:divsChild>
            <w:div w:id="1038823037">
              <w:marLeft w:val="0"/>
              <w:marRight w:val="0"/>
              <w:marTop w:val="0"/>
              <w:marBottom w:val="0"/>
              <w:divBdr>
                <w:top w:val="none" w:sz="0" w:space="0" w:color="auto"/>
                <w:left w:val="none" w:sz="0" w:space="0" w:color="auto"/>
                <w:bottom w:val="none" w:sz="0" w:space="0" w:color="auto"/>
                <w:right w:val="none" w:sz="0" w:space="0" w:color="auto"/>
              </w:divBdr>
              <w:divsChild>
                <w:div w:id="101222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170797">
      <w:bodyDiv w:val="1"/>
      <w:marLeft w:val="0"/>
      <w:marRight w:val="0"/>
      <w:marTop w:val="0"/>
      <w:marBottom w:val="0"/>
      <w:divBdr>
        <w:top w:val="none" w:sz="0" w:space="0" w:color="auto"/>
        <w:left w:val="none" w:sz="0" w:space="0" w:color="auto"/>
        <w:bottom w:val="none" w:sz="0" w:space="0" w:color="auto"/>
        <w:right w:val="none" w:sz="0" w:space="0" w:color="auto"/>
      </w:divBdr>
      <w:divsChild>
        <w:div w:id="306277152">
          <w:marLeft w:val="0"/>
          <w:marRight w:val="0"/>
          <w:marTop w:val="0"/>
          <w:marBottom w:val="0"/>
          <w:divBdr>
            <w:top w:val="none" w:sz="0" w:space="0" w:color="auto"/>
            <w:left w:val="none" w:sz="0" w:space="0" w:color="auto"/>
            <w:bottom w:val="none" w:sz="0" w:space="0" w:color="auto"/>
            <w:right w:val="none" w:sz="0" w:space="0" w:color="auto"/>
          </w:divBdr>
          <w:divsChild>
            <w:div w:id="218903803">
              <w:marLeft w:val="0"/>
              <w:marRight w:val="0"/>
              <w:marTop w:val="0"/>
              <w:marBottom w:val="0"/>
              <w:divBdr>
                <w:top w:val="none" w:sz="0" w:space="0" w:color="auto"/>
                <w:left w:val="none" w:sz="0" w:space="0" w:color="auto"/>
                <w:bottom w:val="none" w:sz="0" w:space="0" w:color="auto"/>
                <w:right w:val="none" w:sz="0" w:space="0" w:color="auto"/>
              </w:divBdr>
              <w:divsChild>
                <w:div w:id="8400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812433">
      <w:bodyDiv w:val="1"/>
      <w:marLeft w:val="0"/>
      <w:marRight w:val="0"/>
      <w:marTop w:val="0"/>
      <w:marBottom w:val="0"/>
      <w:divBdr>
        <w:top w:val="none" w:sz="0" w:space="0" w:color="auto"/>
        <w:left w:val="none" w:sz="0" w:space="0" w:color="auto"/>
        <w:bottom w:val="none" w:sz="0" w:space="0" w:color="auto"/>
        <w:right w:val="none" w:sz="0" w:space="0" w:color="auto"/>
      </w:divBdr>
      <w:divsChild>
        <w:div w:id="989943172">
          <w:marLeft w:val="0"/>
          <w:marRight w:val="0"/>
          <w:marTop w:val="0"/>
          <w:marBottom w:val="0"/>
          <w:divBdr>
            <w:top w:val="none" w:sz="0" w:space="0" w:color="auto"/>
            <w:left w:val="none" w:sz="0" w:space="0" w:color="auto"/>
            <w:bottom w:val="none" w:sz="0" w:space="0" w:color="auto"/>
            <w:right w:val="none" w:sz="0" w:space="0" w:color="auto"/>
          </w:divBdr>
          <w:divsChild>
            <w:div w:id="1815373292">
              <w:marLeft w:val="0"/>
              <w:marRight w:val="0"/>
              <w:marTop w:val="0"/>
              <w:marBottom w:val="0"/>
              <w:divBdr>
                <w:top w:val="none" w:sz="0" w:space="0" w:color="auto"/>
                <w:left w:val="none" w:sz="0" w:space="0" w:color="auto"/>
                <w:bottom w:val="none" w:sz="0" w:space="0" w:color="auto"/>
                <w:right w:val="none" w:sz="0" w:space="0" w:color="auto"/>
              </w:divBdr>
              <w:divsChild>
                <w:div w:id="102618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340655">
      <w:bodyDiv w:val="1"/>
      <w:marLeft w:val="0"/>
      <w:marRight w:val="0"/>
      <w:marTop w:val="0"/>
      <w:marBottom w:val="0"/>
      <w:divBdr>
        <w:top w:val="none" w:sz="0" w:space="0" w:color="auto"/>
        <w:left w:val="none" w:sz="0" w:space="0" w:color="auto"/>
        <w:bottom w:val="none" w:sz="0" w:space="0" w:color="auto"/>
        <w:right w:val="none" w:sz="0" w:space="0" w:color="auto"/>
      </w:divBdr>
      <w:divsChild>
        <w:div w:id="1963995685">
          <w:marLeft w:val="0"/>
          <w:marRight w:val="0"/>
          <w:marTop w:val="0"/>
          <w:marBottom w:val="0"/>
          <w:divBdr>
            <w:top w:val="none" w:sz="0" w:space="0" w:color="auto"/>
            <w:left w:val="none" w:sz="0" w:space="0" w:color="auto"/>
            <w:bottom w:val="none" w:sz="0" w:space="0" w:color="auto"/>
            <w:right w:val="none" w:sz="0" w:space="0" w:color="auto"/>
          </w:divBdr>
          <w:divsChild>
            <w:div w:id="440225030">
              <w:marLeft w:val="0"/>
              <w:marRight w:val="0"/>
              <w:marTop w:val="0"/>
              <w:marBottom w:val="0"/>
              <w:divBdr>
                <w:top w:val="none" w:sz="0" w:space="0" w:color="auto"/>
                <w:left w:val="none" w:sz="0" w:space="0" w:color="auto"/>
                <w:bottom w:val="none" w:sz="0" w:space="0" w:color="auto"/>
                <w:right w:val="none" w:sz="0" w:space="0" w:color="auto"/>
              </w:divBdr>
              <w:divsChild>
                <w:div w:id="68428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393911">
      <w:bodyDiv w:val="1"/>
      <w:marLeft w:val="0"/>
      <w:marRight w:val="0"/>
      <w:marTop w:val="0"/>
      <w:marBottom w:val="0"/>
      <w:divBdr>
        <w:top w:val="none" w:sz="0" w:space="0" w:color="auto"/>
        <w:left w:val="none" w:sz="0" w:space="0" w:color="auto"/>
        <w:bottom w:val="none" w:sz="0" w:space="0" w:color="auto"/>
        <w:right w:val="none" w:sz="0" w:space="0" w:color="auto"/>
      </w:divBdr>
      <w:divsChild>
        <w:div w:id="554315444">
          <w:marLeft w:val="0"/>
          <w:marRight w:val="0"/>
          <w:marTop w:val="0"/>
          <w:marBottom w:val="0"/>
          <w:divBdr>
            <w:top w:val="none" w:sz="0" w:space="0" w:color="auto"/>
            <w:left w:val="none" w:sz="0" w:space="0" w:color="auto"/>
            <w:bottom w:val="none" w:sz="0" w:space="0" w:color="auto"/>
            <w:right w:val="none" w:sz="0" w:space="0" w:color="auto"/>
          </w:divBdr>
          <w:divsChild>
            <w:div w:id="660276916">
              <w:marLeft w:val="0"/>
              <w:marRight w:val="0"/>
              <w:marTop w:val="0"/>
              <w:marBottom w:val="0"/>
              <w:divBdr>
                <w:top w:val="none" w:sz="0" w:space="0" w:color="auto"/>
                <w:left w:val="none" w:sz="0" w:space="0" w:color="auto"/>
                <w:bottom w:val="none" w:sz="0" w:space="0" w:color="auto"/>
                <w:right w:val="none" w:sz="0" w:space="0" w:color="auto"/>
              </w:divBdr>
              <w:divsChild>
                <w:div w:id="199236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424018">
      <w:bodyDiv w:val="1"/>
      <w:marLeft w:val="0"/>
      <w:marRight w:val="0"/>
      <w:marTop w:val="0"/>
      <w:marBottom w:val="0"/>
      <w:divBdr>
        <w:top w:val="none" w:sz="0" w:space="0" w:color="auto"/>
        <w:left w:val="none" w:sz="0" w:space="0" w:color="auto"/>
        <w:bottom w:val="none" w:sz="0" w:space="0" w:color="auto"/>
        <w:right w:val="none" w:sz="0" w:space="0" w:color="auto"/>
      </w:divBdr>
      <w:divsChild>
        <w:div w:id="135609888">
          <w:marLeft w:val="0"/>
          <w:marRight w:val="0"/>
          <w:marTop w:val="0"/>
          <w:marBottom w:val="0"/>
          <w:divBdr>
            <w:top w:val="none" w:sz="0" w:space="0" w:color="auto"/>
            <w:left w:val="none" w:sz="0" w:space="0" w:color="auto"/>
            <w:bottom w:val="none" w:sz="0" w:space="0" w:color="auto"/>
            <w:right w:val="none" w:sz="0" w:space="0" w:color="auto"/>
          </w:divBdr>
          <w:divsChild>
            <w:div w:id="1504324177">
              <w:marLeft w:val="0"/>
              <w:marRight w:val="0"/>
              <w:marTop w:val="0"/>
              <w:marBottom w:val="0"/>
              <w:divBdr>
                <w:top w:val="none" w:sz="0" w:space="0" w:color="auto"/>
                <w:left w:val="none" w:sz="0" w:space="0" w:color="auto"/>
                <w:bottom w:val="none" w:sz="0" w:space="0" w:color="auto"/>
                <w:right w:val="none" w:sz="0" w:space="0" w:color="auto"/>
              </w:divBdr>
              <w:divsChild>
                <w:div w:id="50444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852842">
      <w:bodyDiv w:val="1"/>
      <w:marLeft w:val="0"/>
      <w:marRight w:val="0"/>
      <w:marTop w:val="0"/>
      <w:marBottom w:val="0"/>
      <w:divBdr>
        <w:top w:val="none" w:sz="0" w:space="0" w:color="auto"/>
        <w:left w:val="none" w:sz="0" w:space="0" w:color="auto"/>
        <w:bottom w:val="none" w:sz="0" w:space="0" w:color="auto"/>
        <w:right w:val="none" w:sz="0" w:space="0" w:color="auto"/>
      </w:divBdr>
      <w:divsChild>
        <w:div w:id="769812850">
          <w:marLeft w:val="0"/>
          <w:marRight w:val="0"/>
          <w:marTop w:val="0"/>
          <w:marBottom w:val="0"/>
          <w:divBdr>
            <w:top w:val="none" w:sz="0" w:space="0" w:color="auto"/>
            <w:left w:val="none" w:sz="0" w:space="0" w:color="auto"/>
            <w:bottom w:val="none" w:sz="0" w:space="0" w:color="auto"/>
            <w:right w:val="none" w:sz="0" w:space="0" w:color="auto"/>
          </w:divBdr>
          <w:divsChild>
            <w:div w:id="506213227">
              <w:marLeft w:val="0"/>
              <w:marRight w:val="0"/>
              <w:marTop w:val="0"/>
              <w:marBottom w:val="0"/>
              <w:divBdr>
                <w:top w:val="none" w:sz="0" w:space="0" w:color="auto"/>
                <w:left w:val="none" w:sz="0" w:space="0" w:color="auto"/>
                <w:bottom w:val="none" w:sz="0" w:space="0" w:color="auto"/>
                <w:right w:val="none" w:sz="0" w:space="0" w:color="auto"/>
              </w:divBdr>
              <w:divsChild>
                <w:div w:id="182920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402588">
      <w:bodyDiv w:val="1"/>
      <w:marLeft w:val="0"/>
      <w:marRight w:val="0"/>
      <w:marTop w:val="0"/>
      <w:marBottom w:val="0"/>
      <w:divBdr>
        <w:top w:val="none" w:sz="0" w:space="0" w:color="auto"/>
        <w:left w:val="none" w:sz="0" w:space="0" w:color="auto"/>
        <w:bottom w:val="none" w:sz="0" w:space="0" w:color="auto"/>
        <w:right w:val="none" w:sz="0" w:space="0" w:color="auto"/>
      </w:divBdr>
      <w:divsChild>
        <w:div w:id="2023586367">
          <w:marLeft w:val="0"/>
          <w:marRight w:val="0"/>
          <w:marTop w:val="0"/>
          <w:marBottom w:val="0"/>
          <w:divBdr>
            <w:top w:val="none" w:sz="0" w:space="0" w:color="auto"/>
            <w:left w:val="none" w:sz="0" w:space="0" w:color="auto"/>
            <w:bottom w:val="none" w:sz="0" w:space="0" w:color="auto"/>
            <w:right w:val="none" w:sz="0" w:space="0" w:color="auto"/>
          </w:divBdr>
          <w:divsChild>
            <w:div w:id="1665861485">
              <w:marLeft w:val="0"/>
              <w:marRight w:val="0"/>
              <w:marTop w:val="0"/>
              <w:marBottom w:val="0"/>
              <w:divBdr>
                <w:top w:val="none" w:sz="0" w:space="0" w:color="auto"/>
                <w:left w:val="none" w:sz="0" w:space="0" w:color="auto"/>
                <w:bottom w:val="none" w:sz="0" w:space="0" w:color="auto"/>
                <w:right w:val="none" w:sz="0" w:space="0" w:color="auto"/>
              </w:divBdr>
              <w:divsChild>
                <w:div w:id="1186864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022002">
      <w:bodyDiv w:val="1"/>
      <w:marLeft w:val="0"/>
      <w:marRight w:val="0"/>
      <w:marTop w:val="0"/>
      <w:marBottom w:val="0"/>
      <w:divBdr>
        <w:top w:val="none" w:sz="0" w:space="0" w:color="auto"/>
        <w:left w:val="none" w:sz="0" w:space="0" w:color="auto"/>
        <w:bottom w:val="none" w:sz="0" w:space="0" w:color="auto"/>
        <w:right w:val="none" w:sz="0" w:space="0" w:color="auto"/>
      </w:divBdr>
      <w:divsChild>
        <w:div w:id="703285629">
          <w:marLeft w:val="0"/>
          <w:marRight w:val="0"/>
          <w:marTop w:val="0"/>
          <w:marBottom w:val="0"/>
          <w:divBdr>
            <w:top w:val="none" w:sz="0" w:space="0" w:color="auto"/>
            <w:left w:val="none" w:sz="0" w:space="0" w:color="auto"/>
            <w:bottom w:val="none" w:sz="0" w:space="0" w:color="auto"/>
            <w:right w:val="none" w:sz="0" w:space="0" w:color="auto"/>
          </w:divBdr>
        </w:div>
      </w:divsChild>
    </w:div>
    <w:div w:id="1771967451">
      <w:bodyDiv w:val="1"/>
      <w:marLeft w:val="0"/>
      <w:marRight w:val="0"/>
      <w:marTop w:val="0"/>
      <w:marBottom w:val="0"/>
      <w:divBdr>
        <w:top w:val="none" w:sz="0" w:space="0" w:color="auto"/>
        <w:left w:val="none" w:sz="0" w:space="0" w:color="auto"/>
        <w:bottom w:val="none" w:sz="0" w:space="0" w:color="auto"/>
        <w:right w:val="none" w:sz="0" w:space="0" w:color="auto"/>
      </w:divBdr>
    </w:div>
    <w:div w:id="1836261273">
      <w:bodyDiv w:val="1"/>
      <w:marLeft w:val="0"/>
      <w:marRight w:val="0"/>
      <w:marTop w:val="0"/>
      <w:marBottom w:val="0"/>
      <w:divBdr>
        <w:top w:val="none" w:sz="0" w:space="0" w:color="auto"/>
        <w:left w:val="none" w:sz="0" w:space="0" w:color="auto"/>
        <w:bottom w:val="none" w:sz="0" w:space="0" w:color="auto"/>
        <w:right w:val="none" w:sz="0" w:space="0" w:color="auto"/>
      </w:divBdr>
      <w:divsChild>
        <w:div w:id="609170148">
          <w:marLeft w:val="0"/>
          <w:marRight w:val="0"/>
          <w:marTop w:val="0"/>
          <w:marBottom w:val="0"/>
          <w:divBdr>
            <w:top w:val="none" w:sz="0" w:space="0" w:color="auto"/>
            <w:left w:val="none" w:sz="0" w:space="0" w:color="auto"/>
            <w:bottom w:val="none" w:sz="0" w:space="0" w:color="auto"/>
            <w:right w:val="none" w:sz="0" w:space="0" w:color="auto"/>
          </w:divBdr>
          <w:divsChild>
            <w:div w:id="964702039">
              <w:marLeft w:val="0"/>
              <w:marRight w:val="0"/>
              <w:marTop w:val="0"/>
              <w:marBottom w:val="0"/>
              <w:divBdr>
                <w:top w:val="none" w:sz="0" w:space="0" w:color="auto"/>
                <w:left w:val="none" w:sz="0" w:space="0" w:color="auto"/>
                <w:bottom w:val="none" w:sz="0" w:space="0" w:color="auto"/>
                <w:right w:val="none" w:sz="0" w:space="0" w:color="auto"/>
              </w:divBdr>
              <w:divsChild>
                <w:div w:id="167564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393479">
      <w:bodyDiv w:val="1"/>
      <w:marLeft w:val="0"/>
      <w:marRight w:val="0"/>
      <w:marTop w:val="0"/>
      <w:marBottom w:val="0"/>
      <w:divBdr>
        <w:top w:val="none" w:sz="0" w:space="0" w:color="auto"/>
        <w:left w:val="none" w:sz="0" w:space="0" w:color="auto"/>
        <w:bottom w:val="none" w:sz="0" w:space="0" w:color="auto"/>
        <w:right w:val="none" w:sz="0" w:space="0" w:color="auto"/>
      </w:divBdr>
      <w:divsChild>
        <w:div w:id="2013292034">
          <w:marLeft w:val="0"/>
          <w:marRight w:val="0"/>
          <w:marTop w:val="0"/>
          <w:marBottom w:val="0"/>
          <w:divBdr>
            <w:top w:val="none" w:sz="0" w:space="0" w:color="auto"/>
            <w:left w:val="none" w:sz="0" w:space="0" w:color="auto"/>
            <w:bottom w:val="none" w:sz="0" w:space="0" w:color="auto"/>
            <w:right w:val="none" w:sz="0" w:space="0" w:color="auto"/>
          </w:divBdr>
          <w:divsChild>
            <w:div w:id="1622305529">
              <w:marLeft w:val="0"/>
              <w:marRight w:val="0"/>
              <w:marTop w:val="0"/>
              <w:marBottom w:val="0"/>
              <w:divBdr>
                <w:top w:val="none" w:sz="0" w:space="0" w:color="auto"/>
                <w:left w:val="none" w:sz="0" w:space="0" w:color="auto"/>
                <w:bottom w:val="none" w:sz="0" w:space="0" w:color="auto"/>
                <w:right w:val="none" w:sz="0" w:space="0" w:color="auto"/>
              </w:divBdr>
              <w:divsChild>
                <w:div w:id="36459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301859">
      <w:bodyDiv w:val="1"/>
      <w:marLeft w:val="0"/>
      <w:marRight w:val="0"/>
      <w:marTop w:val="0"/>
      <w:marBottom w:val="0"/>
      <w:divBdr>
        <w:top w:val="none" w:sz="0" w:space="0" w:color="auto"/>
        <w:left w:val="none" w:sz="0" w:space="0" w:color="auto"/>
        <w:bottom w:val="none" w:sz="0" w:space="0" w:color="auto"/>
        <w:right w:val="none" w:sz="0" w:space="0" w:color="auto"/>
      </w:divBdr>
      <w:divsChild>
        <w:div w:id="321130430">
          <w:marLeft w:val="0"/>
          <w:marRight w:val="0"/>
          <w:marTop w:val="0"/>
          <w:marBottom w:val="0"/>
          <w:divBdr>
            <w:top w:val="none" w:sz="0" w:space="0" w:color="auto"/>
            <w:left w:val="none" w:sz="0" w:space="0" w:color="auto"/>
            <w:bottom w:val="none" w:sz="0" w:space="0" w:color="auto"/>
            <w:right w:val="none" w:sz="0" w:space="0" w:color="auto"/>
          </w:divBdr>
          <w:divsChild>
            <w:div w:id="477769001">
              <w:marLeft w:val="0"/>
              <w:marRight w:val="0"/>
              <w:marTop w:val="0"/>
              <w:marBottom w:val="0"/>
              <w:divBdr>
                <w:top w:val="none" w:sz="0" w:space="0" w:color="auto"/>
                <w:left w:val="none" w:sz="0" w:space="0" w:color="auto"/>
                <w:bottom w:val="none" w:sz="0" w:space="0" w:color="auto"/>
                <w:right w:val="none" w:sz="0" w:space="0" w:color="auto"/>
              </w:divBdr>
              <w:divsChild>
                <w:div w:id="679548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885297">
      <w:bodyDiv w:val="1"/>
      <w:marLeft w:val="0"/>
      <w:marRight w:val="0"/>
      <w:marTop w:val="0"/>
      <w:marBottom w:val="0"/>
      <w:divBdr>
        <w:top w:val="none" w:sz="0" w:space="0" w:color="auto"/>
        <w:left w:val="none" w:sz="0" w:space="0" w:color="auto"/>
        <w:bottom w:val="none" w:sz="0" w:space="0" w:color="auto"/>
        <w:right w:val="none" w:sz="0" w:space="0" w:color="auto"/>
      </w:divBdr>
      <w:divsChild>
        <w:div w:id="2054844236">
          <w:marLeft w:val="0"/>
          <w:marRight w:val="0"/>
          <w:marTop w:val="0"/>
          <w:marBottom w:val="0"/>
          <w:divBdr>
            <w:top w:val="none" w:sz="0" w:space="0" w:color="auto"/>
            <w:left w:val="none" w:sz="0" w:space="0" w:color="auto"/>
            <w:bottom w:val="none" w:sz="0" w:space="0" w:color="auto"/>
            <w:right w:val="none" w:sz="0" w:space="0" w:color="auto"/>
          </w:divBdr>
          <w:divsChild>
            <w:div w:id="599293577">
              <w:marLeft w:val="0"/>
              <w:marRight w:val="0"/>
              <w:marTop w:val="0"/>
              <w:marBottom w:val="0"/>
              <w:divBdr>
                <w:top w:val="none" w:sz="0" w:space="0" w:color="auto"/>
                <w:left w:val="none" w:sz="0" w:space="0" w:color="auto"/>
                <w:bottom w:val="none" w:sz="0" w:space="0" w:color="auto"/>
                <w:right w:val="none" w:sz="0" w:space="0" w:color="auto"/>
              </w:divBdr>
              <w:divsChild>
                <w:div w:id="2100829764">
                  <w:marLeft w:val="0"/>
                  <w:marRight w:val="0"/>
                  <w:marTop w:val="0"/>
                  <w:marBottom w:val="0"/>
                  <w:divBdr>
                    <w:top w:val="none" w:sz="0" w:space="0" w:color="auto"/>
                    <w:left w:val="none" w:sz="0" w:space="0" w:color="auto"/>
                    <w:bottom w:val="none" w:sz="0" w:space="0" w:color="auto"/>
                    <w:right w:val="none" w:sz="0" w:space="0" w:color="auto"/>
                  </w:divBdr>
                  <w:divsChild>
                    <w:div w:id="1976834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5971789">
      <w:bodyDiv w:val="1"/>
      <w:marLeft w:val="0"/>
      <w:marRight w:val="0"/>
      <w:marTop w:val="0"/>
      <w:marBottom w:val="0"/>
      <w:divBdr>
        <w:top w:val="none" w:sz="0" w:space="0" w:color="auto"/>
        <w:left w:val="none" w:sz="0" w:space="0" w:color="auto"/>
        <w:bottom w:val="none" w:sz="0" w:space="0" w:color="auto"/>
        <w:right w:val="none" w:sz="0" w:space="0" w:color="auto"/>
      </w:divBdr>
      <w:divsChild>
        <w:div w:id="516507796">
          <w:marLeft w:val="0"/>
          <w:marRight w:val="0"/>
          <w:marTop w:val="0"/>
          <w:marBottom w:val="0"/>
          <w:divBdr>
            <w:top w:val="none" w:sz="0" w:space="0" w:color="auto"/>
            <w:left w:val="none" w:sz="0" w:space="0" w:color="auto"/>
            <w:bottom w:val="none" w:sz="0" w:space="0" w:color="auto"/>
            <w:right w:val="none" w:sz="0" w:space="0" w:color="auto"/>
          </w:divBdr>
          <w:divsChild>
            <w:div w:id="217399832">
              <w:marLeft w:val="0"/>
              <w:marRight w:val="0"/>
              <w:marTop w:val="0"/>
              <w:marBottom w:val="0"/>
              <w:divBdr>
                <w:top w:val="none" w:sz="0" w:space="0" w:color="auto"/>
                <w:left w:val="none" w:sz="0" w:space="0" w:color="auto"/>
                <w:bottom w:val="none" w:sz="0" w:space="0" w:color="auto"/>
                <w:right w:val="none" w:sz="0" w:space="0" w:color="auto"/>
              </w:divBdr>
              <w:divsChild>
                <w:div w:id="530067483">
                  <w:marLeft w:val="0"/>
                  <w:marRight w:val="0"/>
                  <w:marTop w:val="0"/>
                  <w:marBottom w:val="0"/>
                  <w:divBdr>
                    <w:top w:val="none" w:sz="0" w:space="0" w:color="auto"/>
                    <w:left w:val="none" w:sz="0" w:space="0" w:color="auto"/>
                    <w:bottom w:val="none" w:sz="0" w:space="0" w:color="auto"/>
                    <w:right w:val="none" w:sz="0" w:space="0" w:color="auto"/>
                  </w:divBdr>
                  <w:divsChild>
                    <w:div w:id="821386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1650090">
      <w:bodyDiv w:val="1"/>
      <w:marLeft w:val="0"/>
      <w:marRight w:val="0"/>
      <w:marTop w:val="0"/>
      <w:marBottom w:val="0"/>
      <w:divBdr>
        <w:top w:val="none" w:sz="0" w:space="0" w:color="auto"/>
        <w:left w:val="none" w:sz="0" w:space="0" w:color="auto"/>
        <w:bottom w:val="none" w:sz="0" w:space="0" w:color="auto"/>
        <w:right w:val="none" w:sz="0" w:space="0" w:color="auto"/>
      </w:divBdr>
      <w:divsChild>
        <w:div w:id="1356537691">
          <w:marLeft w:val="0"/>
          <w:marRight w:val="0"/>
          <w:marTop w:val="0"/>
          <w:marBottom w:val="0"/>
          <w:divBdr>
            <w:top w:val="none" w:sz="0" w:space="0" w:color="auto"/>
            <w:left w:val="none" w:sz="0" w:space="0" w:color="auto"/>
            <w:bottom w:val="none" w:sz="0" w:space="0" w:color="auto"/>
            <w:right w:val="none" w:sz="0" w:space="0" w:color="auto"/>
          </w:divBdr>
          <w:divsChild>
            <w:div w:id="1873567726">
              <w:marLeft w:val="0"/>
              <w:marRight w:val="0"/>
              <w:marTop w:val="0"/>
              <w:marBottom w:val="0"/>
              <w:divBdr>
                <w:top w:val="none" w:sz="0" w:space="0" w:color="auto"/>
                <w:left w:val="none" w:sz="0" w:space="0" w:color="auto"/>
                <w:bottom w:val="none" w:sz="0" w:space="0" w:color="auto"/>
                <w:right w:val="none" w:sz="0" w:space="0" w:color="auto"/>
              </w:divBdr>
              <w:divsChild>
                <w:div w:id="60773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7075575">
      <w:bodyDiv w:val="1"/>
      <w:marLeft w:val="0"/>
      <w:marRight w:val="0"/>
      <w:marTop w:val="0"/>
      <w:marBottom w:val="0"/>
      <w:divBdr>
        <w:top w:val="none" w:sz="0" w:space="0" w:color="auto"/>
        <w:left w:val="none" w:sz="0" w:space="0" w:color="auto"/>
        <w:bottom w:val="none" w:sz="0" w:space="0" w:color="auto"/>
        <w:right w:val="none" w:sz="0" w:space="0" w:color="auto"/>
      </w:divBdr>
      <w:divsChild>
        <w:div w:id="1914772275">
          <w:marLeft w:val="0"/>
          <w:marRight w:val="0"/>
          <w:marTop w:val="0"/>
          <w:marBottom w:val="0"/>
          <w:divBdr>
            <w:top w:val="none" w:sz="0" w:space="0" w:color="auto"/>
            <w:left w:val="none" w:sz="0" w:space="0" w:color="auto"/>
            <w:bottom w:val="none" w:sz="0" w:space="0" w:color="auto"/>
            <w:right w:val="none" w:sz="0" w:space="0" w:color="auto"/>
          </w:divBdr>
          <w:divsChild>
            <w:div w:id="1005279051">
              <w:marLeft w:val="0"/>
              <w:marRight w:val="0"/>
              <w:marTop w:val="0"/>
              <w:marBottom w:val="0"/>
              <w:divBdr>
                <w:top w:val="none" w:sz="0" w:space="0" w:color="auto"/>
                <w:left w:val="none" w:sz="0" w:space="0" w:color="auto"/>
                <w:bottom w:val="none" w:sz="0" w:space="0" w:color="auto"/>
                <w:right w:val="none" w:sz="0" w:space="0" w:color="auto"/>
              </w:divBdr>
              <w:divsChild>
                <w:div w:id="33057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8170839">
      <w:bodyDiv w:val="1"/>
      <w:marLeft w:val="0"/>
      <w:marRight w:val="0"/>
      <w:marTop w:val="0"/>
      <w:marBottom w:val="0"/>
      <w:divBdr>
        <w:top w:val="none" w:sz="0" w:space="0" w:color="auto"/>
        <w:left w:val="none" w:sz="0" w:space="0" w:color="auto"/>
        <w:bottom w:val="none" w:sz="0" w:space="0" w:color="auto"/>
        <w:right w:val="none" w:sz="0" w:space="0" w:color="auto"/>
      </w:divBdr>
      <w:divsChild>
        <w:div w:id="959798118">
          <w:marLeft w:val="0"/>
          <w:marRight w:val="0"/>
          <w:marTop w:val="0"/>
          <w:marBottom w:val="0"/>
          <w:divBdr>
            <w:top w:val="none" w:sz="0" w:space="0" w:color="auto"/>
            <w:left w:val="none" w:sz="0" w:space="0" w:color="auto"/>
            <w:bottom w:val="none" w:sz="0" w:space="0" w:color="auto"/>
            <w:right w:val="none" w:sz="0" w:space="0" w:color="auto"/>
          </w:divBdr>
          <w:divsChild>
            <w:div w:id="1562905168">
              <w:marLeft w:val="0"/>
              <w:marRight w:val="0"/>
              <w:marTop w:val="0"/>
              <w:marBottom w:val="0"/>
              <w:divBdr>
                <w:top w:val="none" w:sz="0" w:space="0" w:color="auto"/>
                <w:left w:val="none" w:sz="0" w:space="0" w:color="auto"/>
                <w:bottom w:val="none" w:sz="0" w:space="0" w:color="auto"/>
                <w:right w:val="none" w:sz="0" w:space="0" w:color="auto"/>
              </w:divBdr>
              <w:divsChild>
                <w:div w:id="185252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876352">
      <w:bodyDiv w:val="1"/>
      <w:marLeft w:val="0"/>
      <w:marRight w:val="0"/>
      <w:marTop w:val="0"/>
      <w:marBottom w:val="0"/>
      <w:divBdr>
        <w:top w:val="none" w:sz="0" w:space="0" w:color="auto"/>
        <w:left w:val="none" w:sz="0" w:space="0" w:color="auto"/>
        <w:bottom w:val="none" w:sz="0" w:space="0" w:color="auto"/>
        <w:right w:val="none" w:sz="0" w:space="0" w:color="auto"/>
      </w:divBdr>
      <w:divsChild>
        <w:div w:id="1556696443">
          <w:marLeft w:val="0"/>
          <w:marRight w:val="0"/>
          <w:marTop w:val="0"/>
          <w:marBottom w:val="0"/>
          <w:divBdr>
            <w:top w:val="none" w:sz="0" w:space="0" w:color="auto"/>
            <w:left w:val="none" w:sz="0" w:space="0" w:color="auto"/>
            <w:bottom w:val="none" w:sz="0" w:space="0" w:color="auto"/>
            <w:right w:val="none" w:sz="0" w:space="0" w:color="auto"/>
          </w:divBdr>
          <w:divsChild>
            <w:div w:id="880674929">
              <w:marLeft w:val="0"/>
              <w:marRight w:val="0"/>
              <w:marTop w:val="0"/>
              <w:marBottom w:val="0"/>
              <w:divBdr>
                <w:top w:val="none" w:sz="0" w:space="0" w:color="auto"/>
                <w:left w:val="none" w:sz="0" w:space="0" w:color="auto"/>
                <w:bottom w:val="none" w:sz="0" w:space="0" w:color="auto"/>
                <w:right w:val="none" w:sz="0" w:space="0" w:color="auto"/>
              </w:divBdr>
              <w:divsChild>
                <w:div w:id="10554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75727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3C59D7-8343-4476-910A-99F491BB9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34</Pages>
  <Words>47330</Words>
  <Characters>269784</Characters>
  <Application>Microsoft Office Word</Application>
  <DocSecurity>0</DocSecurity>
  <Lines>2248</Lines>
  <Paragraphs>632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APHP</Company>
  <LinksUpToDate>false</LinksUpToDate>
  <CharactersWithSpaces>316482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 Koyanagi</dc:creator>
  <cp:lastModifiedBy>Blanshard, Lisa</cp:lastModifiedBy>
  <cp:revision>3</cp:revision>
  <cp:lastPrinted>2019-02-28T02:36:00Z</cp:lastPrinted>
  <dcterms:created xsi:type="dcterms:W3CDTF">2019-10-09T07:26:00Z</dcterms:created>
  <dcterms:modified xsi:type="dcterms:W3CDTF">2021-09-08T12:00:00Z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zotero-version="5.0.74"&gt;&lt;session id="4rDxTTxv"/&gt;&lt;style id="http://www.zotero.org/styles/psychological-medicine" hasBibliography="1" bibliographyStyleHasBeenSet="1"/&gt;&lt;prefs&gt;&lt;pref name="fieldType" value="Field"/&gt;&lt;pref name="automaticJ</vt:lpwstr>
  </property>
  <property fmtid="{D5CDD505-2E9C-101B-9397-08002B2CF9AE}" pid="3" name="ZOTERO_PREF_2">
    <vt:lpwstr>ournalAbbreviations" value="true"/&gt;&lt;/prefs&gt;&lt;/data&gt;</vt:lpwstr>
  </property>
</Properties>
</file>