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23F95" w14:textId="77777777" w:rsidR="006D6C1F" w:rsidRPr="008B13C9" w:rsidRDefault="00323FDD" w:rsidP="008F07A4">
      <w:pPr>
        <w:pStyle w:val="Heading1"/>
        <w:spacing w:line="480" w:lineRule="auto"/>
        <w:jc w:val="center"/>
        <w:rPr>
          <w:rFonts w:ascii="Calibri" w:hAnsi="Calibri"/>
        </w:rPr>
      </w:pPr>
      <w:r w:rsidRPr="008B13C9">
        <w:rPr>
          <w:rFonts w:ascii="Calibri" w:hAnsi="Calibri"/>
        </w:rPr>
        <w:t>Associations between sexual activity and weight status: findings from the English Longitudinal Study of Ageing</w:t>
      </w:r>
    </w:p>
    <w:p w14:paraId="78CE1071" w14:textId="16FFDFDF" w:rsidR="00352431" w:rsidRPr="008B13C9" w:rsidRDefault="00D01868" w:rsidP="008F07A4">
      <w:pPr>
        <w:spacing w:line="480" w:lineRule="auto"/>
        <w:jc w:val="center"/>
        <w:rPr>
          <w:lang w:val="it-IT"/>
        </w:rPr>
      </w:pPr>
      <w:r w:rsidRPr="008B13C9">
        <w:rPr>
          <w:lang w:val="it-IT"/>
        </w:rPr>
        <w:t>Lee Smith</w:t>
      </w:r>
      <w:r w:rsidRPr="008B13C9">
        <w:rPr>
          <w:vertAlign w:val="superscript"/>
          <w:lang w:val="it-IT"/>
        </w:rPr>
        <w:t>1</w:t>
      </w:r>
      <w:r w:rsidR="00933701" w:rsidRPr="008B13C9">
        <w:rPr>
          <w:lang w:val="it-IT"/>
        </w:rPr>
        <w:t>, Lin Yang</w:t>
      </w:r>
      <w:r w:rsidR="007A4B56" w:rsidRPr="008B13C9">
        <w:rPr>
          <w:vertAlign w:val="superscript"/>
          <w:lang w:val="it-IT"/>
        </w:rPr>
        <w:t>2</w:t>
      </w:r>
      <w:r w:rsidR="00933701" w:rsidRPr="008B13C9">
        <w:rPr>
          <w:lang w:val="it-IT"/>
        </w:rPr>
        <w:t>, Suzzanna Forwood</w:t>
      </w:r>
      <w:r w:rsidR="007A4B56" w:rsidRPr="008B13C9">
        <w:rPr>
          <w:vertAlign w:val="superscript"/>
          <w:lang w:val="it-IT"/>
        </w:rPr>
        <w:t>3</w:t>
      </w:r>
      <w:r w:rsidR="00933701" w:rsidRPr="008B13C9">
        <w:rPr>
          <w:lang w:val="it-IT"/>
        </w:rPr>
        <w:t xml:space="preserve">, </w:t>
      </w:r>
      <w:r w:rsidR="006312E4" w:rsidRPr="008B13C9">
        <w:rPr>
          <w:lang w:val="it-IT"/>
        </w:rPr>
        <w:t>Guillermo Lopez-Sanchez</w:t>
      </w:r>
      <w:r w:rsidR="007706FC" w:rsidRPr="008B13C9">
        <w:rPr>
          <w:vertAlign w:val="superscript"/>
          <w:lang w:val="it-IT"/>
        </w:rPr>
        <w:t>4</w:t>
      </w:r>
      <w:r w:rsidR="006312E4" w:rsidRPr="008B13C9">
        <w:rPr>
          <w:lang w:val="it-IT"/>
        </w:rPr>
        <w:t xml:space="preserve">, </w:t>
      </w:r>
      <w:r w:rsidR="00933701" w:rsidRPr="008B13C9">
        <w:rPr>
          <w:lang w:val="it-IT"/>
        </w:rPr>
        <w:t>Ai Koyanagi</w:t>
      </w:r>
      <w:r w:rsidR="007706FC" w:rsidRPr="008B13C9">
        <w:rPr>
          <w:vertAlign w:val="superscript"/>
          <w:lang w:val="it-IT"/>
        </w:rPr>
        <w:t>5</w:t>
      </w:r>
      <w:r w:rsidR="00933701" w:rsidRPr="008B13C9">
        <w:rPr>
          <w:lang w:val="it-IT"/>
        </w:rPr>
        <w:t>, Nicola Veronese</w:t>
      </w:r>
      <w:r w:rsidR="007706FC" w:rsidRPr="008B13C9">
        <w:rPr>
          <w:vertAlign w:val="superscript"/>
          <w:lang w:val="it-IT"/>
        </w:rPr>
        <w:t>6</w:t>
      </w:r>
      <w:r w:rsidR="00933701" w:rsidRPr="008B13C9">
        <w:rPr>
          <w:lang w:val="it-IT"/>
        </w:rPr>
        <w:t>, Pinar Soysal</w:t>
      </w:r>
      <w:r w:rsidR="007706FC" w:rsidRPr="008B13C9">
        <w:rPr>
          <w:vertAlign w:val="superscript"/>
          <w:lang w:val="it-IT"/>
        </w:rPr>
        <w:t>7</w:t>
      </w:r>
      <w:r w:rsidR="00933701" w:rsidRPr="008B13C9">
        <w:rPr>
          <w:lang w:val="it-IT"/>
        </w:rPr>
        <w:t xml:space="preserve">, </w:t>
      </w:r>
      <w:r w:rsidR="00693435" w:rsidRPr="008B13C9">
        <w:rPr>
          <w:lang w:val="it-IT"/>
        </w:rPr>
        <w:t>Igor Grabovac</w:t>
      </w:r>
      <w:r w:rsidR="007706FC" w:rsidRPr="008B13C9">
        <w:rPr>
          <w:vertAlign w:val="superscript"/>
          <w:lang w:val="it-IT"/>
        </w:rPr>
        <w:t>8</w:t>
      </w:r>
      <w:r w:rsidR="00693435" w:rsidRPr="008B13C9">
        <w:rPr>
          <w:lang w:val="it-IT"/>
        </w:rPr>
        <w:t xml:space="preserve">, </w:t>
      </w:r>
      <w:r w:rsidRPr="008B13C9">
        <w:rPr>
          <w:lang w:val="it-IT"/>
        </w:rPr>
        <w:t>Sarah E Jackson</w:t>
      </w:r>
      <w:r w:rsidR="007706FC" w:rsidRPr="008B13C9">
        <w:rPr>
          <w:vertAlign w:val="superscript"/>
          <w:lang w:val="it-IT"/>
        </w:rPr>
        <w:t>9</w:t>
      </w:r>
      <w:bookmarkStart w:id="0" w:name="_GoBack"/>
      <w:bookmarkEnd w:id="0"/>
    </w:p>
    <w:p w14:paraId="13C27131" w14:textId="77777777" w:rsidR="00D01868" w:rsidRPr="008B13C9" w:rsidRDefault="00D01868" w:rsidP="00D01868">
      <w:pPr>
        <w:tabs>
          <w:tab w:val="left" w:pos="420"/>
        </w:tabs>
        <w:spacing w:line="480" w:lineRule="auto"/>
        <w:rPr>
          <w:rFonts w:cstheme="minorHAnsi"/>
        </w:rPr>
      </w:pPr>
      <w:r w:rsidRPr="008B13C9">
        <w:rPr>
          <w:rFonts w:cstheme="minorHAnsi"/>
          <w:vertAlign w:val="superscript"/>
        </w:rPr>
        <w:t>1</w:t>
      </w:r>
      <w:r w:rsidRPr="008B13C9">
        <w:rPr>
          <w:rFonts w:cstheme="minorHAnsi"/>
        </w:rPr>
        <w:t>The Cambridge Centre for Sport and Exercise Sciences, Anglia Ruskin University, Cambridge</w:t>
      </w:r>
    </w:p>
    <w:p w14:paraId="60F95C21" w14:textId="1BAE443C" w:rsidR="007A4B56" w:rsidRPr="008B13C9" w:rsidRDefault="00A83CB2" w:rsidP="008F07A4">
      <w:pPr>
        <w:tabs>
          <w:tab w:val="left" w:pos="420"/>
        </w:tabs>
        <w:spacing w:line="480" w:lineRule="auto"/>
        <w:rPr>
          <w:rFonts w:cstheme="minorHAnsi"/>
          <w:lang w:val="sv-SE"/>
        </w:rPr>
      </w:pPr>
      <w:r w:rsidRPr="008B13C9">
        <w:rPr>
          <w:rFonts w:cstheme="minorHAnsi"/>
          <w:vertAlign w:val="superscript"/>
          <w:lang w:val="sv-SE"/>
        </w:rPr>
        <w:t xml:space="preserve">2 </w:t>
      </w:r>
      <w:r w:rsidRPr="008B13C9">
        <w:rPr>
          <w:rFonts w:cstheme="minorHAnsi"/>
          <w:lang w:val="sv-SE"/>
        </w:rPr>
        <w:t>Deparmtent of Epidemiology, Center for Public Health, Medical University of Vienna, Vienna, Austria</w:t>
      </w:r>
    </w:p>
    <w:p w14:paraId="077C7204" w14:textId="52290E98" w:rsidR="007A4B56" w:rsidRDefault="007A4B56" w:rsidP="008F07A4">
      <w:pPr>
        <w:tabs>
          <w:tab w:val="left" w:pos="420"/>
        </w:tabs>
        <w:spacing w:line="480" w:lineRule="auto"/>
        <w:rPr>
          <w:rFonts w:cstheme="minorHAnsi"/>
          <w:lang w:val="sv-SE"/>
        </w:rPr>
      </w:pPr>
      <w:r w:rsidRPr="008B13C9">
        <w:rPr>
          <w:rFonts w:cstheme="minorHAnsi"/>
          <w:vertAlign w:val="superscript"/>
          <w:lang w:val="sv-SE"/>
        </w:rPr>
        <w:t xml:space="preserve">3 </w:t>
      </w:r>
      <w:r w:rsidRPr="008B13C9">
        <w:rPr>
          <w:rFonts w:cstheme="minorHAnsi"/>
          <w:lang w:val="sv-SE"/>
        </w:rPr>
        <w:t>Department of Psychology, Anglia Ruskin University</w:t>
      </w:r>
    </w:p>
    <w:p w14:paraId="0C21C0A7" w14:textId="77777777" w:rsidR="008B72D3" w:rsidRPr="008B13C9" w:rsidRDefault="008B72D3" w:rsidP="008F07A4">
      <w:pPr>
        <w:tabs>
          <w:tab w:val="left" w:pos="420"/>
        </w:tabs>
        <w:spacing w:line="480" w:lineRule="auto"/>
        <w:rPr>
          <w:rFonts w:cstheme="minorHAnsi"/>
          <w:lang w:val="sv-SE"/>
        </w:rPr>
      </w:pPr>
    </w:p>
    <w:p w14:paraId="2FDD2DAC" w14:textId="76A95348" w:rsidR="007706FC" w:rsidRPr="008B13C9" w:rsidRDefault="007A4B56" w:rsidP="008F07A4">
      <w:pPr>
        <w:tabs>
          <w:tab w:val="left" w:pos="420"/>
        </w:tabs>
        <w:spacing w:line="480" w:lineRule="auto"/>
        <w:rPr>
          <w:rFonts w:cstheme="minorHAnsi"/>
          <w:vertAlign w:val="superscript"/>
          <w:lang w:val="sv-SE"/>
        </w:rPr>
      </w:pPr>
      <w:r w:rsidRPr="008B13C9">
        <w:rPr>
          <w:rFonts w:cstheme="minorHAnsi"/>
          <w:vertAlign w:val="superscript"/>
          <w:lang w:val="sv-SE"/>
        </w:rPr>
        <w:t>4</w:t>
      </w:r>
      <w:r w:rsidR="007706FC" w:rsidRPr="008B13C9">
        <w:t xml:space="preserve"> Faculty of Sport Sciences, University of Murcia, Murcia, Spain</w:t>
      </w:r>
    </w:p>
    <w:p w14:paraId="07BCA058" w14:textId="4576C532" w:rsidR="007A4B56" w:rsidRPr="008B13C9" w:rsidRDefault="007706FC" w:rsidP="008F07A4">
      <w:pPr>
        <w:tabs>
          <w:tab w:val="left" w:pos="420"/>
        </w:tabs>
        <w:spacing w:line="480" w:lineRule="auto"/>
        <w:rPr>
          <w:rFonts w:cstheme="minorHAnsi"/>
          <w:lang w:val="sv-SE"/>
        </w:rPr>
      </w:pPr>
      <w:r w:rsidRPr="008B13C9">
        <w:rPr>
          <w:rFonts w:cstheme="minorHAnsi"/>
          <w:vertAlign w:val="superscript"/>
          <w:lang w:val="sv-SE"/>
        </w:rPr>
        <w:t>5</w:t>
      </w:r>
      <w:r w:rsidR="007A4B56" w:rsidRPr="008B13C9">
        <w:rPr>
          <w:rFonts w:cstheme="minorHAnsi"/>
          <w:vertAlign w:val="superscript"/>
          <w:lang w:val="sv-SE"/>
        </w:rPr>
        <w:t xml:space="preserve"> </w:t>
      </w:r>
      <w:r w:rsidR="007A4B56" w:rsidRPr="008B13C9">
        <w:rPr>
          <w:rFonts w:eastAsia="Times New Roman" w:cstheme="minorHAnsi"/>
          <w:lang w:eastAsia="en-GB"/>
        </w:rPr>
        <w:t xml:space="preserve">Instituto de </w:t>
      </w:r>
      <w:proofErr w:type="spellStart"/>
      <w:r w:rsidR="007A4B56" w:rsidRPr="008B13C9">
        <w:rPr>
          <w:rFonts w:eastAsia="Times New Roman" w:cstheme="minorHAnsi"/>
          <w:lang w:eastAsia="en-GB"/>
        </w:rPr>
        <w:t>Salud</w:t>
      </w:r>
      <w:proofErr w:type="spellEnd"/>
      <w:r w:rsidR="007A4B56" w:rsidRPr="008B13C9">
        <w:rPr>
          <w:rFonts w:eastAsia="Times New Roman" w:cstheme="minorHAnsi"/>
          <w:lang w:eastAsia="en-GB"/>
        </w:rPr>
        <w:t xml:space="preserve"> Carlos III, Centro de </w:t>
      </w:r>
      <w:proofErr w:type="spellStart"/>
      <w:r w:rsidR="007A4B56" w:rsidRPr="008B13C9">
        <w:rPr>
          <w:rFonts w:eastAsia="Times New Roman" w:cstheme="minorHAnsi"/>
          <w:lang w:eastAsia="en-GB"/>
        </w:rPr>
        <w:t>Investigación</w:t>
      </w:r>
      <w:proofErr w:type="spellEnd"/>
      <w:r w:rsidR="007A4B56" w:rsidRPr="008B13C9">
        <w:rPr>
          <w:rFonts w:eastAsia="Times New Roman" w:cstheme="minorHAnsi"/>
          <w:lang w:eastAsia="en-GB"/>
        </w:rPr>
        <w:t xml:space="preserve"> </w:t>
      </w:r>
      <w:proofErr w:type="spellStart"/>
      <w:r w:rsidR="007A4B56" w:rsidRPr="008B13C9">
        <w:rPr>
          <w:rFonts w:eastAsia="Times New Roman" w:cstheme="minorHAnsi"/>
          <w:lang w:eastAsia="en-GB"/>
        </w:rPr>
        <w:t>Biomédica</w:t>
      </w:r>
      <w:proofErr w:type="spellEnd"/>
      <w:r w:rsidR="007A4B56" w:rsidRPr="008B13C9">
        <w:rPr>
          <w:rFonts w:eastAsia="Times New Roman" w:cstheme="minorHAnsi"/>
          <w:lang w:eastAsia="en-GB"/>
        </w:rPr>
        <w:t xml:space="preserve"> </w:t>
      </w:r>
      <w:proofErr w:type="spellStart"/>
      <w:r w:rsidR="007A4B56" w:rsidRPr="008B13C9">
        <w:rPr>
          <w:rFonts w:eastAsia="Times New Roman" w:cstheme="minorHAnsi"/>
          <w:lang w:eastAsia="en-GB"/>
        </w:rPr>
        <w:t>en</w:t>
      </w:r>
      <w:proofErr w:type="spellEnd"/>
      <w:r w:rsidR="007A4B56" w:rsidRPr="008B13C9">
        <w:rPr>
          <w:rFonts w:eastAsia="Times New Roman" w:cstheme="minorHAnsi"/>
          <w:lang w:eastAsia="en-GB"/>
        </w:rPr>
        <w:t xml:space="preserve"> Red de </w:t>
      </w:r>
      <w:proofErr w:type="spellStart"/>
      <w:r w:rsidR="007A4B56" w:rsidRPr="008B13C9">
        <w:rPr>
          <w:rFonts w:eastAsia="Times New Roman" w:cstheme="minorHAnsi"/>
          <w:lang w:eastAsia="en-GB"/>
        </w:rPr>
        <w:t>Salud</w:t>
      </w:r>
      <w:proofErr w:type="spellEnd"/>
      <w:r w:rsidR="007A4B56" w:rsidRPr="008B13C9">
        <w:rPr>
          <w:rFonts w:eastAsia="Times New Roman" w:cstheme="minorHAnsi"/>
          <w:lang w:eastAsia="en-GB"/>
        </w:rPr>
        <w:t xml:space="preserve"> Mental, CIBERSAM, Madrid, Spain</w:t>
      </w:r>
    </w:p>
    <w:p w14:paraId="4F42126F" w14:textId="0E2B8DC8" w:rsidR="009225C1" w:rsidRPr="008B13C9" w:rsidRDefault="007706FC" w:rsidP="008F07A4">
      <w:pPr>
        <w:tabs>
          <w:tab w:val="left" w:pos="420"/>
        </w:tabs>
        <w:spacing w:line="480" w:lineRule="auto"/>
        <w:rPr>
          <w:rFonts w:cstheme="minorHAnsi"/>
          <w:lang w:val="sv-SE"/>
        </w:rPr>
      </w:pPr>
      <w:r w:rsidRPr="008B13C9">
        <w:rPr>
          <w:rFonts w:cstheme="minorHAnsi"/>
          <w:vertAlign w:val="superscript"/>
        </w:rPr>
        <w:t>6</w:t>
      </w:r>
      <w:r w:rsidR="007A4B56" w:rsidRPr="008B13C9">
        <w:rPr>
          <w:rFonts w:cstheme="minorHAnsi"/>
          <w:vertAlign w:val="superscript"/>
        </w:rPr>
        <w:t xml:space="preserve"> </w:t>
      </w:r>
      <w:r w:rsidR="009225C1" w:rsidRPr="008B13C9">
        <w:rPr>
          <w:rFonts w:cstheme="minorHAnsi"/>
        </w:rPr>
        <w:t>National Research Council, Neuroscience Institute, Aging Branch, Padova, Italy</w:t>
      </w:r>
    </w:p>
    <w:p w14:paraId="40CB831A" w14:textId="2F558CBF" w:rsidR="00BB000D" w:rsidRPr="008B13C9" w:rsidRDefault="007706FC" w:rsidP="008F07A4">
      <w:pPr>
        <w:tabs>
          <w:tab w:val="left" w:pos="420"/>
        </w:tabs>
        <w:spacing w:line="480" w:lineRule="auto"/>
        <w:rPr>
          <w:rFonts w:cstheme="minorHAnsi"/>
        </w:rPr>
      </w:pPr>
      <w:r w:rsidRPr="008B13C9">
        <w:rPr>
          <w:rFonts w:cstheme="minorHAnsi"/>
          <w:vertAlign w:val="superscript"/>
        </w:rPr>
        <w:t>7</w:t>
      </w:r>
      <w:r w:rsidR="007A4B56" w:rsidRPr="008B13C9">
        <w:rPr>
          <w:rFonts w:cstheme="minorHAnsi"/>
        </w:rPr>
        <w:t xml:space="preserve">Department of Geriatric Medicine, Faculty of Medicine, </w:t>
      </w:r>
      <w:proofErr w:type="spellStart"/>
      <w:r w:rsidR="007A4B56" w:rsidRPr="008B13C9">
        <w:rPr>
          <w:rFonts w:cstheme="minorHAnsi"/>
        </w:rPr>
        <w:t>Bezmialem</w:t>
      </w:r>
      <w:proofErr w:type="spellEnd"/>
      <w:r w:rsidR="007A4B56" w:rsidRPr="008B13C9">
        <w:rPr>
          <w:rFonts w:cstheme="minorHAnsi"/>
        </w:rPr>
        <w:t xml:space="preserve"> </w:t>
      </w:r>
      <w:proofErr w:type="spellStart"/>
      <w:r w:rsidR="007A4B56" w:rsidRPr="008B13C9">
        <w:rPr>
          <w:rFonts w:cstheme="minorHAnsi"/>
        </w:rPr>
        <w:t>Vakif</w:t>
      </w:r>
      <w:proofErr w:type="spellEnd"/>
      <w:r w:rsidR="007A4B56" w:rsidRPr="008B13C9">
        <w:rPr>
          <w:rFonts w:cstheme="minorHAnsi"/>
        </w:rPr>
        <w:t xml:space="preserve"> University, </w:t>
      </w:r>
      <w:r w:rsidR="003305CA" w:rsidRPr="008B13C9">
        <w:rPr>
          <w:rFonts w:cstheme="minorHAnsi"/>
        </w:rPr>
        <w:t>Istanbul</w:t>
      </w:r>
      <w:r w:rsidR="007A4B56" w:rsidRPr="008B13C9">
        <w:rPr>
          <w:rFonts w:cstheme="minorHAnsi"/>
        </w:rPr>
        <w:t>, Turkey</w:t>
      </w:r>
    </w:p>
    <w:p w14:paraId="0838DCD5" w14:textId="48E93C5D" w:rsidR="00693435" w:rsidRPr="008B13C9" w:rsidRDefault="007706FC" w:rsidP="008F07A4">
      <w:pPr>
        <w:autoSpaceDE w:val="0"/>
        <w:autoSpaceDN w:val="0"/>
        <w:adjustRightInd w:val="0"/>
        <w:spacing w:after="0" w:line="480" w:lineRule="auto"/>
        <w:rPr>
          <w:rFonts w:eastAsiaTheme="minorHAnsi" w:cstheme="minorHAnsi"/>
        </w:rPr>
      </w:pPr>
      <w:r w:rsidRPr="008B13C9">
        <w:rPr>
          <w:rFonts w:cstheme="minorHAnsi"/>
          <w:vertAlign w:val="superscript"/>
        </w:rPr>
        <w:t>8</w:t>
      </w:r>
      <w:r w:rsidR="00693435" w:rsidRPr="008B13C9">
        <w:rPr>
          <w:rFonts w:eastAsiaTheme="minorHAnsi" w:cstheme="minorHAnsi"/>
        </w:rPr>
        <w:t>Department of Social and Preventive Medicine, Centre for Public Health, Medical University of Vienna, Vienna, Austria</w:t>
      </w:r>
    </w:p>
    <w:p w14:paraId="649D5030" w14:textId="77777777" w:rsidR="00D01868" w:rsidRPr="008B13C9" w:rsidRDefault="00D01868" w:rsidP="00D01868">
      <w:pPr>
        <w:spacing w:after="150" w:line="480" w:lineRule="auto"/>
        <w:rPr>
          <w:rFonts w:cstheme="minorHAnsi"/>
        </w:rPr>
      </w:pPr>
      <w:r w:rsidRPr="008B13C9">
        <w:rPr>
          <w:rFonts w:cstheme="minorHAnsi"/>
          <w:vertAlign w:val="superscript"/>
          <w:lang w:val="sv-SE"/>
        </w:rPr>
        <w:t>9</w:t>
      </w:r>
      <w:r w:rsidRPr="008B13C9">
        <w:rPr>
          <w:rFonts w:cstheme="minorHAnsi"/>
        </w:rPr>
        <w:t xml:space="preserve"> Department of Behavioural Science and Health, UCL, London, UK</w:t>
      </w:r>
    </w:p>
    <w:p w14:paraId="19FD37F3" w14:textId="1D0333A8" w:rsidR="006A727A" w:rsidRPr="008B13C9" w:rsidRDefault="006A727A" w:rsidP="008F07A4">
      <w:pPr>
        <w:spacing w:after="0" w:line="480" w:lineRule="auto"/>
        <w:rPr>
          <w:rFonts w:cs="Times New Roman"/>
          <w:u w:val="single"/>
        </w:rPr>
      </w:pPr>
      <w:r w:rsidRPr="008B13C9">
        <w:rPr>
          <w:rFonts w:cs="Times New Roman"/>
          <w:b/>
        </w:rPr>
        <w:t>Corresponding authors:</w:t>
      </w:r>
      <w:r w:rsidRPr="008B13C9">
        <w:rPr>
          <w:rFonts w:cs="Times New Roman"/>
        </w:rPr>
        <w:t xml:space="preserve"> Dr Sarah E Jackson, PhD. Department of Behavioural Science and Health, University College London, 1-19 Torrington Place, London WC1E 6BT </w:t>
      </w:r>
      <w:hyperlink r:id="rId6" w:history="1">
        <w:r w:rsidRPr="008B13C9">
          <w:rPr>
            <w:rStyle w:val="Hyperlink"/>
            <w:rFonts w:cs="Times New Roman"/>
            <w:color w:val="auto"/>
          </w:rPr>
          <w:t>s.e.jackson@ucl.ac.uk</w:t>
        </w:r>
      </w:hyperlink>
      <w:r w:rsidRPr="008B13C9">
        <w:rPr>
          <w:rFonts w:cs="Times New Roman"/>
        </w:rPr>
        <w:t xml:space="preserve">; and Dr </w:t>
      </w:r>
      <w:r w:rsidRPr="008B13C9">
        <w:rPr>
          <w:rFonts w:cs="Times New Roman"/>
        </w:rPr>
        <w:lastRenderedPageBreak/>
        <w:t>Lee Smith, PhD. Cambridge Centre for Spo</w:t>
      </w:r>
      <w:r w:rsidR="0095594C" w:rsidRPr="008B13C9">
        <w:rPr>
          <w:rFonts w:cs="Times New Roman"/>
        </w:rPr>
        <w:t>r</w:t>
      </w:r>
      <w:r w:rsidRPr="008B13C9">
        <w:rPr>
          <w:rFonts w:cs="Times New Roman"/>
        </w:rPr>
        <w:t xml:space="preserve">ts and Exercise Sciences, Anglia Ruskin University, Cambridge </w:t>
      </w:r>
      <w:hyperlink r:id="rId7" w:history="1">
        <w:r w:rsidRPr="008B13C9">
          <w:rPr>
            <w:rStyle w:val="Hyperlink"/>
            <w:rFonts w:cs="Times New Roman"/>
            <w:color w:val="auto"/>
          </w:rPr>
          <w:t>lee.smith@anglia.ac.uk</w:t>
        </w:r>
      </w:hyperlink>
      <w:r w:rsidRPr="008B13C9">
        <w:rPr>
          <w:rFonts w:cs="Times New Roman"/>
        </w:rPr>
        <w:t xml:space="preserve"> </w:t>
      </w:r>
    </w:p>
    <w:p w14:paraId="34C9FEE5" w14:textId="77777777" w:rsidR="00C274B8" w:rsidRPr="008B13C9" w:rsidRDefault="004E45E6" w:rsidP="008F07A4">
      <w:pPr>
        <w:pStyle w:val="Heading1"/>
        <w:spacing w:line="480" w:lineRule="auto"/>
      </w:pPr>
      <w:r w:rsidRPr="008B13C9">
        <w:t>Abstract</w:t>
      </w:r>
    </w:p>
    <w:p w14:paraId="04280B57" w14:textId="42EB9465" w:rsidR="00365EE1" w:rsidRPr="008B13C9" w:rsidRDefault="00365EE1" w:rsidP="008F07A4">
      <w:pPr>
        <w:spacing w:line="480" w:lineRule="auto"/>
      </w:pPr>
      <w:r w:rsidRPr="008B13C9">
        <w:rPr>
          <w:b/>
          <w:bCs/>
        </w:rPr>
        <w:t xml:space="preserve">Objective: </w:t>
      </w:r>
      <w:r w:rsidRPr="008B13C9">
        <w:t>T</w:t>
      </w:r>
      <w:r w:rsidR="00820A48" w:rsidRPr="008B13C9">
        <w:t xml:space="preserve">o investigate the </w:t>
      </w:r>
      <w:r w:rsidR="00DB5D7B" w:rsidRPr="008B13C9">
        <w:t>association</w:t>
      </w:r>
      <w:r w:rsidR="000238AC" w:rsidRPr="008B13C9">
        <w:t xml:space="preserve"> between weight status and sex</w:t>
      </w:r>
      <w:r w:rsidR="005663A8" w:rsidRPr="008B13C9">
        <w:t xml:space="preserve">ual activity in </w:t>
      </w:r>
      <w:r w:rsidR="00EA079E" w:rsidRPr="008B13C9">
        <w:t xml:space="preserve">middle-aged and </w:t>
      </w:r>
      <w:r w:rsidR="005663A8" w:rsidRPr="008B13C9">
        <w:t xml:space="preserve">older adults. </w:t>
      </w:r>
    </w:p>
    <w:p w14:paraId="100114F5" w14:textId="21C00924" w:rsidR="00365EE1" w:rsidRPr="008B13C9" w:rsidRDefault="00365EE1" w:rsidP="008F07A4">
      <w:pPr>
        <w:spacing w:line="480" w:lineRule="auto"/>
        <w:rPr>
          <w:b/>
          <w:bCs/>
        </w:rPr>
      </w:pPr>
      <w:r w:rsidRPr="008B13C9">
        <w:rPr>
          <w:b/>
          <w:bCs/>
        </w:rPr>
        <w:t xml:space="preserve">Methods: </w:t>
      </w:r>
      <w:r w:rsidR="004F1EB6" w:rsidRPr="008B13C9">
        <w:t>C</w:t>
      </w:r>
      <w:r w:rsidR="00033B7F" w:rsidRPr="008B13C9">
        <w:rPr>
          <w:rFonts w:ascii="Calibri" w:hAnsi="Calibri"/>
        </w:rPr>
        <w:t>ross-sectional analysis on</w:t>
      </w:r>
      <w:r w:rsidR="00D11262" w:rsidRPr="008B13C9">
        <w:rPr>
          <w:rFonts w:ascii="Calibri" w:hAnsi="Calibri"/>
        </w:rPr>
        <w:t xml:space="preserve"> Wave 6 (</w:t>
      </w:r>
      <w:r w:rsidR="000238AC" w:rsidRPr="008B13C9">
        <w:rPr>
          <w:rFonts w:ascii="Calibri" w:hAnsi="Calibri"/>
        </w:rPr>
        <w:t>2012/13</w:t>
      </w:r>
      <w:r w:rsidR="00D11262" w:rsidRPr="008B13C9">
        <w:rPr>
          <w:rFonts w:ascii="Calibri" w:hAnsi="Calibri"/>
        </w:rPr>
        <w:t>) of the English Longitudinal Study of Ageing. Data were</w:t>
      </w:r>
      <w:r w:rsidR="000238AC" w:rsidRPr="008B13C9">
        <w:rPr>
          <w:rFonts w:ascii="Calibri" w:hAnsi="Calibri"/>
        </w:rPr>
        <w:t xml:space="preserve"> from </w:t>
      </w:r>
      <w:r w:rsidR="000238AC" w:rsidRPr="008B13C9">
        <w:t>2,</w:t>
      </w:r>
      <w:r w:rsidR="00255957" w:rsidRPr="008B13C9">
        <w:t>200</w:t>
      </w:r>
      <w:r w:rsidR="000238AC" w:rsidRPr="008B13C9">
        <w:t xml:space="preserve"> men and 2,</w:t>
      </w:r>
      <w:r w:rsidR="00255957" w:rsidRPr="008B13C9">
        <w:t>737</w:t>
      </w:r>
      <w:r w:rsidR="000238AC" w:rsidRPr="008B13C9">
        <w:t xml:space="preserve"> women</w:t>
      </w:r>
      <w:r w:rsidR="00D11262" w:rsidRPr="008B13C9">
        <w:t xml:space="preserve"> aged </w:t>
      </w:r>
      <w:r w:rsidR="00D11262" w:rsidRPr="008B13C9">
        <w:rPr>
          <w:rFonts w:ascii="Calibri" w:hAnsi="Calibri"/>
        </w:rPr>
        <w:t>≥50 years</w:t>
      </w:r>
      <w:r w:rsidR="00112430" w:rsidRPr="008B13C9">
        <w:t xml:space="preserve"> (mean 68.2 years)</w:t>
      </w:r>
      <w:r w:rsidR="000238AC" w:rsidRPr="008B13C9">
        <w:rPr>
          <w:rFonts w:ascii="Calibri" w:hAnsi="Calibri"/>
        </w:rPr>
        <w:t xml:space="preserve">. </w:t>
      </w:r>
      <w:r w:rsidR="004F1EB6" w:rsidRPr="008B13C9">
        <w:rPr>
          <w:rFonts w:ascii="Calibri" w:hAnsi="Calibri"/>
        </w:rPr>
        <w:t>The explanatory variable was w</w:t>
      </w:r>
      <w:r w:rsidR="004A3C2A" w:rsidRPr="008B13C9">
        <w:t>eight</w:t>
      </w:r>
      <w:r w:rsidR="003C6CB1" w:rsidRPr="008B13C9">
        <w:rPr>
          <w:rFonts w:hint="eastAsia"/>
        </w:rPr>
        <w:t xml:space="preserve"> status</w:t>
      </w:r>
      <w:r w:rsidR="004F1EB6" w:rsidRPr="008B13C9">
        <w:t xml:space="preserve">, </w:t>
      </w:r>
      <w:r w:rsidR="003C6CB1" w:rsidRPr="008B13C9">
        <w:rPr>
          <w:rFonts w:hint="eastAsia"/>
        </w:rPr>
        <w:t xml:space="preserve">defined as normal-weight (BMI: </w:t>
      </w:r>
      <w:r w:rsidR="003C6CB1" w:rsidRPr="008B13C9">
        <w:rPr>
          <w:rFonts w:hint="eastAsia"/>
        </w:rPr>
        <w:t>≤</w:t>
      </w:r>
      <w:r w:rsidR="003C6CB1" w:rsidRPr="008B13C9">
        <w:rPr>
          <w:rFonts w:hint="eastAsia"/>
        </w:rPr>
        <w:t xml:space="preserve">24.9), overweight (BMI: 25.0-29.9) </w:t>
      </w:r>
      <w:r w:rsidR="004F1EB6" w:rsidRPr="008B13C9">
        <w:t>or</w:t>
      </w:r>
      <w:r w:rsidR="003C6CB1" w:rsidRPr="008B13C9">
        <w:rPr>
          <w:rFonts w:hint="eastAsia"/>
        </w:rPr>
        <w:t xml:space="preserve"> obese (BMI: </w:t>
      </w:r>
      <w:r w:rsidR="003C6CB1" w:rsidRPr="008B13C9">
        <w:rPr>
          <w:rFonts w:hint="eastAsia"/>
        </w:rPr>
        <w:t>≥</w:t>
      </w:r>
      <w:r w:rsidR="003C6CB1" w:rsidRPr="008B13C9">
        <w:rPr>
          <w:rFonts w:hint="eastAsia"/>
        </w:rPr>
        <w:t>30)</w:t>
      </w:r>
      <w:r w:rsidR="004A3C2A" w:rsidRPr="008B13C9">
        <w:t xml:space="preserve"> based on objective measurements of height and weight</w:t>
      </w:r>
      <w:r w:rsidR="000238AC" w:rsidRPr="008B13C9">
        <w:rPr>
          <w:rFonts w:cstheme="minorHAnsi"/>
        </w:rPr>
        <w:t>.</w:t>
      </w:r>
      <w:r w:rsidR="002571B9" w:rsidRPr="008B13C9">
        <w:rPr>
          <w:rFonts w:cstheme="minorHAnsi"/>
        </w:rPr>
        <w:t xml:space="preserve"> Outcome variables were </w:t>
      </w:r>
      <w:r w:rsidR="001C4278" w:rsidRPr="008B13C9">
        <w:rPr>
          <w:rFonts w:cstheme="minorHAnsi"/>
        </w:rPr>
        <w:t>a</w:t>
      </w:r>
      <w:r w:rsidR="002571B9" w:rsidRPr="008B13C9">
        <w:rPr>
          <w:rFonts w:cstheme="minorHAnsi"/>
        </w:rPr>
        <w:t>ny self-reported sexual activity in the last year (yes/no) and, if yes, frequen</w:t>
      </w:r>
      <w:r w:rsidR="009902A0" w:rsidRPr="008B13C9">
        <w:rPr>
          <w:rFonts w:cstheme="minorHAnsi"/>
        </w:rPr>
        <w:t>cy</w:t>
      </w:r>
      <w:r w:rsidR="002571B9" w:rsidRPr="008B13C9">
        <w:rPr>
          <w:rFonts w:cstheme="minorHAnsi"/>
        </w:rPr>
        <w:t xml:space="preserve"> </w:t>
      </w:r>
      <w:r w:rsidR="009902A0" w:rsidRPr="008B13C9">
        <w:t>of</w:t>
      </w:r>
      <w:r w:rsidR="002571B9" w:rsidRPr="008B13C9">
        <w:t xml:space="preserve"> </w:t>
      </w:r>
      <w:r w:rsidR="002571B9" w:rsidRPr="008B13C9">
        <w:rPr>
          <w:rFonts w:cstheme="minorHAnsi"/>
        </w:rPr>
        <w:t xml:space="preserve">sexual </w:t>
      </w:r>
      <w:r w:rsidR="00A630CA" w:rsidRPr="008B13C9">
        <w:rPr>
          <w:rFonts w:cstheme="minorHAnsi"/>
        </w:rPr>
        <w:t>intercourse</w:t>
      </w:r>
      <w:r w:rsidR="002571B9" w:rsidRPr="008B13C9">
        <w:rPr>
          <w:rFonts w:cstheme="minorHAnsi"/>
        </w:rPr>
        <w:t xml:space="preserve"> in the last mont</w:t>
      </w:r>
      <w:r w:rsidR="009902A0" w:rsidRPr="008B13C9">
        <w:rPr>
          <w:rFonts w:cstheme="minorHAnsi"/>
        </w:rPr>
        <w:t>h</w:t>
      </w:r>
      <w:r w:rsidR="002571B9" w:rsidRPr="008B13C9">
        <w:rPr>
          <w:rFonts w:cstheme="minorHAnsi"/>
        </w:rPr>
        <w:t>.</w:t>
      </w:r>
      <w:r w:rsidR="00EC46E2" w:rsidRPr="008B13C9">
        <w:rPr>
          <w:rFonts w:cstheme="minorHAnsi"/>
        </w:rPr>
        <w:t xml:space="preserve"> Covariates included a range of sociodemographic, lifestyle, and health-related variables.</w:t>
      </w:r>
      <w:r w:rsidR="002571B9" w:rsidRPr="008B13C9">
        <w:rPr>
          <w:rFonts w:cstheme="minorHAnsi"/>
        </w:rPr>
        <w:t xml:space="preserve"> </w:t>
      </w:r>
      <w:r w:rsidR="003C13B1" w:rsidRPr="008B13C9">
        <w:rPr>
          <w:rFonts w:cstheme="minorHAnsi"/>
        </w:rPr>
        <w:t>A</w:t>
      </w:r>
      <w:r w:rsidR="000238AC" w:rsidRPr="008B13C9">
        <w:rPr>
          <w:rFonts w:ascii="Calibri" w:hAnsi="Calibri"/>
        </w:rPr>
        <w:t xml:space="preserve">ssociations </w:t>
      </w:r>
      <w:r w:rsidR="003C13B1" w:rsidRPr="008B13C9">
        <w:rPr>
          <w:rFonts w:ascii="Calibri" w:hAnsi="Calibri"/>
        </w:rPr>
        <w:t>were analysed using</w:t>
      </w:r>
      <w:r w:rsidR="00033B7F" w:rsidRPr="008B13C9">
        <w:rPr>
          <w:rFonts w:ascii="Calibri" w:hAnsi="Calibri"/>
        </w:rPr>
        <w:t xml:space="preserve"> </w:t>
      </w:r>
      <w:r w:rsidR="0014162B" w:rsidRPr="008B13C9">
        <w:rPr>
          <w:rFonts w:ascii="Calibri" w:hAnsi="Calibri"/>
        </w:rPr>
        <w:t>binary (past-year sexual activity) and ordinal (frequency of past-month sexual intercourse) logistic regression models</w:t>
      </w:r>
      <w:r w:rsidR="000238AC" w:rsidRPr="008B13C9">
        <w:rPr>
          <w:rFonts w:ascii="Calibri" w:hAnsi="Calibri"/>
        </w:rPr>
        <w:t>.</w:t>
      </w:r>
    </w:p>
    <w:p w14:paraId="4E206D25" w14:textId="474D996C" w:rsidR="00365EE1" w:rsidRPr="008B13C9" w:rsidRDefault="00365EE1" w:rsidP="008B13AE">
      <w:pPr>
        <w:spacing w:line="480" w:lineRule="auto"/>
        <w:rPr>
          <w:rFonts w:ascii="Calibri" w:hAnsi="Calibri"/>
        </w:rPr>
      </w:pPr>
      <w:r w:rsidRPr="008B13C9">
        <w:rPr>
          <w:b/>
          <w:bCs/>
        </w:rPr>
        <w:t xml:space="preserve">Results: </w:t>
      </w:r>
      <w:r w:rsidR="00255957" w:rsidRPr="008B13C9">
        <w:t>The majority (73.3%) of men and half (50.0%) of women reported any sexual activity in the last year</w:t>
      </w:r>
      <w:r w:rsidR="000238AC" w:rsidRPr="008B13C9">
        <w:t xml:space="preserve">. </w:t>
      </w:r>
      <w:bookmarkStart w:id="1" w:name="_Hlk16067976"/>
      <w:r w:rsidR="003C6CB1" w:rsidRPr="008B13C9">
        <w:t>The</w:t>
      </w:r>
      <w:r w:rsidR="008B13AE" w:rsidRPr="008B13C9">
        <w:t xml:space="preserve"> odds of </w:t>
      </w:r>
      <w:r w:rsidR="00713710" w:rsidRPr="008B13C9">
        <w:t>reporting any sexual activity</w:t>
      </w:r>
      <w:r w:rsidR="008B13AE" w:rsidRPr="008B13C9">
        <w:t xml:space="preserve"> </w:t>
      </w:r>
      <w:r w:rsidR="00713710" w:rsidRPr="008B13C9">
        <w:t xml:space="preserve">in the last year </w:t>
      </w:r>
      <w:r w:rsidR="008B13AE" w:rsidRPr="008B13C9">
        <w:t>did not differ significantly by weight status</w:t>
      </w:r>
      <w:r w:rsidR="0013766A" w:rsidRPr="008B13C9">
        <w:t xml:space="preserve"> in either </w:t>
      </w:r>
      <w:r w:rsidR="00054961" w:rsidRPr="008B13C9">
        <w:t>men or women</w:t>
      </w:r>
      <w:r w:rsidR="008B13AE" w:rsidRPr="008B13C9">
        <w:t xml:space="preserve">. </w:t>
      </w:r>
      <w:bookmarkEnd w:id="1"/>
      <w:r w:rsidR="003C6CB1" w:rsidRPr="008B13C9">
        <w:t>However, a</w:t>
      </w:r>
      <w:r w:rsidR="000238AC" w:rsidRPr="008B13C9">
        <w:t xml:space="preserve">mong those </w:t>
      </w:r>
      <w:r w:rsidR="00531707" w:rsidRPr="008B13C9">
        <w:t xml:space="preserve">who were </w:t>
      </w:r>
      <w:r w:rsidR="000238AC" w:rsidRPr="008B13C9">
        <w:t xml:space="preserve">sexually active, men </w:t>
      </w:r>
      <w:r w:rsidR="000B28C5" w:rsidRPr="008B13C9">
        <w:t>with</w:t>
      </w:r>
      <w:r w:rsidR="000238AC" w:rsidRPr="008B13C9">
        <w:t xml:space="preserve"> overweight (OR=1.45, 95% CI 1.15-1.81, </w:t>
      </w:r>
      <w:r w:rsidR="000238AC" w:rsidRPr="008B13C9">
        <w:rPr>
          <w:i/>
        </w:rPr>
        <w:t>p</w:t>
      </w:r>
      <w:r w:rsidR="000238AC" w:rsidRPr="008B13C9">
        <w:t>=0.002) or obes</w:t>
      </w:r>
      <w:r w:rsidR="000B28C5" w:rsidRPr="008B13C9">
        <w:t>ity</w:t>
      </w:r>
      <w:r w:rsidR="000238AC" w:rsidRPr="008B13C9">
        <w:t xml:space="preserve"> (OR=1.38, 95% CI 1.07-1.77, </w:t>
      </w:r>
      <w:r w:rsidR="000238AC" w:rsidRPr="008B13C9">
        <w:rPr>
          <w:i/>
        </w:rPr>
        <w:t>p</w:t>
      </w:r>
      <w:r w:rsidR="000238AC" w:rsidRPr="008B13C9">
        <w:t xml:space="preserve">=0.015), and women </w:t>
      </w:r>
      <w:r w:rsidR="000B28C5" w:rsidRPr="008B13C9">
        <w:t>with</w:t>
      </w:r>
      <w:r w:rsidR="000238AC" w:rsidRPr="008B13C9">
        <w:t xml:space="preserve"> overweight (OR=1.34, 95% CI 1.05-1.71, </w:t>
      </w:r>
      <w:r w:rsidR="000238AC" w:rsidRPr="008B13C9">
        <w:rPr>
          <w:i/>
        </w:rPr>
        <w:t>p</w:t>
      </w:r>
      <w:r w:rsidR="000238AC" w:rsidRPr="008B13C9">
        <w:t xml:space="preserve">=0.017) </w:t>
      </w:r>
      <w:r w:rsidR="009B6D72" w:rsidRPr="008B13C9">
        <w:t>reported</w:t>
      </w:r>
      <w:r w:rsidR="00F42327" w:rsidRPr="008B13C9">
        <w:t xml:space="preserve"> significantly </w:t>
      </w:r>
      <w:r w:rsidR="009B6D72" w:rsidRPr="008B13C9">
        <w:t>more</w:t>
      </w:r>
      <w:r w:rsidR="000238AC" w:rsidRPr="008B13C9">
        <w:t xml:space="preserve"> frequent</w:t>
      </w:r>
      <w:r w:rsidR="00FA6E24" w:rsidRPr="008B13C9">
        <w:t xml:space="preserve"> </w:t>
      </w:r>
      <w:r w:rsidR="000238AC" w:rsidRPr="008B13C9">
        <w:t xml:space="preserve">sexual </w:t>
      </w:r>
      <w:r w:rsidR="00A630CA" w:rsidRPr="008B13C9">
        <w:t>intercourse</w:t>
      </w:r>
      <w:r w:rsidR="000238AC" w:rsidRPr="008B13C9">
        <w:t xml:space="preserve"> in the last month </w:t>
      </w:r>
      <w:r w:rsidR="000B28C5" w:rsidRPr="008B13C9">
        <w:t>compared with</w:t>
      </w:r>
      <w:r w:rsidR="000238AC" w:rsidRPr="008B13C9">
        <w:t xml:space="preserve"> those who </w:t>
      </w:r>
      <w:r w:rsidR="007447A4" w:rsidRPr="008B13C9">
        <w:t>had a BMI in the</w:t>
      </w:r>
      <w:r w:rsidR="002D396A" w:rsidRPr="008B13C9">
        <w:t xml:space="preserve"> </w:t>
      </w:r>
      <w:r w:rsidR="000238AC" w:rsidRPr="008B13C9">
        <w:t>normal</w:t>
      </w:r>
      <w:r w:rsidR="002D396A" w:rsidRPr="008B13C9">
        <w:t>-</w:t>
      </w:r>
      <w:r w:rsidR="000238AC" w:rsidRPr="008B13C9">
        <w:t>weight</w:t>
      </w:r>
      <w:r w:rsidR="007447A4" w:rsidRPr="008B13C9">
        <w:t xml:space="preserve"> range</w:t>
      </w:r>
      <w:r w:rsidR="00E86C1C" w:rsidRPr="008B13C9">
        <w:t>, after adjustment for covariates</w:t>
      </w:r>
      <w:r w:rsidR="000238AC" w:rsidRPr="008B13C9">
        <w:t>.</w:t>
      </w:r>
      <w:r w:rsidR="00CD53CF" w:rsidRPr="008B13C9">
        <w:rPr>
          <w:rFonts w:ascii="Calibri" w:hAnsi="Calibri"/>
        </w:rPr>
        <w:t xml:space="preserve"> </w:t>
      </w:r>
      <w:bookmarkStart w:id="2" w:name="_Hlk14891170"/>
    </w:p>
    <w:p w14:paraId="04B7281E" w14:textId="4ACE071B" w:rsidR="00D340F2" w:rsidRPr="008B13C9" w:rsidRDefault="00365EE1" w:rsidP="000D55F8">
      <w:pPr>
        <w:spacing w:line="480" w:lineRule="auto"/>
      </w:pPr>
      <w:r w:rsidRPr="008B13C9">
        <w:rPr>
          <w:rFonts w:ascii="Calibri" w:hAnsi="Calibri"/>
          <w:b/>
          <w:bCs/>
        </w:rPr>
        <w:t xml:space="preserve">Conclusion: </w:t>
      </w:r>
      <w:r w:rsidR="00D84A8E" w:rsidRPr="008B13C9">
        <w:rPr>
          <w:rFonts w:ascii="Calibri" w:hAnsi="Calibri"/>
        </w:rPr>
        <w:t>O</w:t>
      </w:r>
      <w:r w:rsidR="003864D3" w:rsidRPr="008B13C9">
        <w:rPr>
          <w:rFonts w:ascii="Calibri" w:hAnsi="Calibri"/>
        </w:rPr>
        <w:t>lder a</w:t>
      </w:r>
      <w:r w:rsidR="00CD53CF" w:rsidRPr="008B13C9">
        <w:rPr>
          <w:rFonts w:ascii="Calibri" w:hAnsi="Calibri"/>
        </w:rPr>
        <w:t xml:space="preserve">dults </w:t>
      </w:r>
      <w:r w:rsidR="006E13FE" w:rsidRPr="008B13C9">
        <w:rPr>
          <w:rFonts w:ascii="Calibri" w:hAnsi="Calibri"/>
        </w:rPr>
        <w:t>with</w:t>
      </w:r>
      <w:r w:rsidR="00CD53CF" w:rsidRPr="008B13C9">
        <w:rPr>
          <w:rFonts w:ascii="Calibri" w:hAnsi="Calibri"/>
        </w:rPr>
        <w:t xml:space="preserve"> overweight or obes</w:t>
      </w:r>
      <w:r w:rsidR="006E13FE" w:rsidRPr="008B13C9">
        <w:rPr>
          <w:rFonts w:ascii="Calibri" w:hAnsi="Calibri"/>
        </w:rPr>
        <w:t>ity</w:t>
      </w:r>
      <w:r w:rsidR="003A0322" w:rsidRPr="008B13C9">
        <w:rPr>
          <w:rFonts w:ascii="Calibri" w:hAnsi="Calibri"/>
        </w:rPr>
        <w:t xml:space="preserve"> who are sexually active</w:t>
      </w:r>
      <w:r w:rsidR="00CD53CF" w:rsidRPr="008B13C9">
        <w:rPr>
          <w:rFonts w:ascii="Calibri" w:hAnsi="Calibri"/>
        </w:rPr>
        <w:t xml:space="preserve"> engage in more frequent sexual activity than those </w:t>
      </w:r>
      <w:r w:rsidR="00E01B87" w:rsidRPr="008B13C9">
        <w:rPr>
          <w:rFonts w:ascii="Calibri" w:hAnsi="Calibri"/>
        </w:rPr>
        <w:t>who are</w:t>
      </w:r>
      <w:r w:rsidR="00CD53CF" w:rsidRPr="008B13C9">
        <w:rPr>
          <w:rFonts w:ascii="Calibri" w:hAnsi="Calibri"/>
        </w:rPr>
        <w:t xml:space="preserve"> normal weight. </w:t>
      </w:r>
      <w:bookmarkEnd w:id="2"/>
    </w:p>
    <w:p w14:paraId="4105F317" w14:textId="2B46C2FA" w:rsidR="00C274B8" w:rsidRPr="008B13C9" w:rsidRDefault="00352431" w:rsidP="005C7640">
      <w:pPr>
        <w:spacing w:afterLines="120" w:after="288" w:line="480" w:lineRule="auto"/>
        <w:rPr>
          <w:rFonts w:ascii="Calibri" w:hAnsi="Calibri"/>
        </w:rPr>
      </w:pPr>
      <w:r w:rsidRPr="008B13C9">
        <w:rPr>
          <w:rFonts w:ascii="Calibri" w:hAnsi="Calibri"/>
          <w:b/>
        </w:rPr>
        <w:t>Key words:</w:t>
      </w:r>
      <w:r w:rsidRPr="008B13C9">
        <w:rPr>
          <w:rFonts w:ascii="Calibri" w:hAnsi="Calibri"/>
        </w:rPr>
        <w:t xml:space="preserve"> </w:t>
      </w:r>
      <w:r w:rsidR="00952ABC" w:rsidRPr="008B13C9">
        <w:rPr>
          <w:rFonts w:ascii="Calibri" w:hAnsi="Calibri"/>
        </w:rPr>
        <w:t xml:space="preserve">sexual activity; </w:t>
      </w:r>
      <w:r w:rsidR="006821D3" w:rsidRPr="008B13C9">
        <w:rPr>
          <w:rFonts w:ascii="Calibri" w:hAnsi="Calibri"/>
        </w:rPr>
        <w:t xml:space="preserve">sexual intercourse; </w:t>
      </w:r>
      <w:r w:rsidR="00952ABC" w:rsidRPr="008B13C9">
        <w:rPr>
          <w:rFonts w:ascii="Calibri" w:hAnsi="Calibri"/>
        </w:rPr>
        <w:t>weight status; overweight; obesity; older adults</w:t>
      </w:r>
      <w:r w:rsidRPr="008B13C9">
        <w:rPr>
          <w:rFonts w:ascii="Calibri" w:hAnsi="Calibri"/>
        </w:rPr>
        <w:t>.</w:t>
      </w:r>
      <w:r w:rsidR="00C274B8" w:rsidRPr="008B13C9">
        <w:rPr>
          <w:rFonts w:ascii="Calibri" w:hAnsi="Calibri"/>
          <w:b/>
        </w:rPr>
        <w:br w:type="page"/>
      </w:r>
    </w:p>
    <w:p w14:paraId="1C4BA2DC" w14:textId="77777777" w:rsidR="00D340F2" w:rsidRPr="008B13C9" w:rsidRDefault="00D340F2" w:rsidP="008F07A4">
      <w:pPr>
        <w:pStyle w:val="Heading1"/>
        <w:spacing w:line="480" w:lineRule="auto"/>
      </w:pPr>
      <w:r w:rsidRPr="008B13C9">
        <w:lastRenderedPageBreak/>
        <w:t>Background</w:t>
      </w:r>
    </w:p>
    <w:p w14:paraId="6576FDEB" w14:textId="59FD2129" w:rsidR="00CC2D80" w:rsidRPr="008B13C9" w:rsidRDefault="00CC2D80" w:rsidP="00CC2D80">
      <w:pPr>
        <w:spacing w:line="480" w:lineRule="auto"/>
      </w:pPr>
      <w:r w:rsidRPr="008B13C9">
        <w:t>High prevalence of overweight and obesity is a leading public health concern in populations across the globe, with a substantial impact on physical and mental health</w:t>
      </w:r>
      <w:r w:rsidR="00CF11FB" w:rsidRPr="008B13C9">
        <w:t>.</w:t>
      </w:r>
      <w:r w:rsidR="00D739A7" w:rsidRPr="008B13C9">
        <w:fldChar w:fldCharType="begin"/>
      </w:r>
      <w:r w:rsidR="00D739A7" w:rsidRPr="008B13C9">
        <w:instrText xml:space="preserve"> ADDIN ZOTERO_ITEM CSL_CITATION {"citationID":"AmHIcIuc","properties":{"formattedCitation":"(1)","plainCitation":"(1)","noteIndex":0},"citationItems":[{"id":974,"uris":["http://zotero.org/users/446899/items/26FTZBNG"],"uri":["http://zotero.org/users/446899/items/26FTZBNG"],"itemData":{"id":974,"type":"article-journal","title":"Obesity: preventing and managing the global epidemic","container-title":"World Health Organization technical report series","issue":"894","source":"Google Scholar","shortTitle":"Obesity","author":[{"family":"World Health Organization","given":""}],"issued":{"date-parts":[["2000"]]}}}],"schema":"https://github.com/citation-style-language/schema/raw/master/csl-citation.json"} </w:instrText>
      </w:r>
      <w:r w:rsidR="00D739A7" w:rsidRPr="008B13C9">
        <w:fldChar w:fldCharType="separate"/>
      </w:r>
      <w:r w:rsidR="00D739A7" w:rsidRPr="008B13C9">
        <w:rPr>
          <w:rFonts w:ascii="Calibri" w:hAnsi="Calibri" w:cs="Calibri"/>
        </w:rPr>
        <w:t>(1)</w:t>
      </w:r>
      <w:r w:rsidR="00D739A7" w:rsidRPr="008B13C9">
        <w:fldChar w:fldCharType="end"/>
      </w:r>
      <w:r w:rsidRPr="008B13C9">
        <w:t xml:space="preserve"> For </w:t>
      </w:r>
      <w:r w:rsidR="00536D80" w:rsidRPr="008B13C9">
        <w:t>older adults</w:t>
      </w:r>
      <w:r w:rsidR="00D739A7" w:rsidRPr="008B13C9">
        <w:t xml:space="preserve"> in particular</w:t>
      </w:r>
      <w:r w:rsidRPr="008B13C9">
        <w:t>, carrying excess weight comes with additional health risks</w:t>
      </w:r>
      <w:r w:rsidR="00CF11FB" w:rsidRPr="008B13C9">
        <w:t>.</w:t>
      </w:r>
      <w:r w:rsidR="00D739A7" w:rsidRPr="008B13C9">
        <w:fldChar w:fldCharType="begin"/>
      </w:r>
      <w:r w:rsidR="00D739A7" w:rsidRPr="008B13C9">
        <w:instrText xml:space="preserve"> ADDIN ZOTERO_ITEM CSL_CITATION {"citationID":"1nZCdjJd","properties":{"formattedCitation":"(2)","plainCitation":"(2)","noteIndex":0},"citationItems":[{"id":1429,"uris":["http://zotero.org/users/446899/items/IVKINGM2"],"uri":["http://zotero.org/users/446899/items/IVKINGM2"],"itemData":{"id":1429,"type":"article-journal","title":"Obesity in older adults: technical review and position statement of the American Society for Nutrition and NAASO, The Obesity Society","container-title":"The American Journal of Clinical Nutrition","page":"923 -934","volume":"82","issue":"5","source":"Highwire 2.0","abstract":"Obesity causes serious medical complications and impairs quality of life. Moreover, in older persons, obesity can exacerbate\n         the age-related decline in physical function and lead to frailty. However, appropriate treatment for obesity in older persons\n         is controversial because of the reduction in relative health risks associated with increasing body mass index and the concern\n         that weight loss could have potential harmful effects in the older population. This joint position statement from the American\n         Society for Nutrition and the NAASO, The Obesity Society reviews the clinical issues related to obesity in older persons and\n         provides health professionals with appropriate weight-management guidelines for obese older patients. The current data show\n         that weight-loss therapy improves physical function, quality of life, and the medical complications associated with obesity\n         in older persons. Therefore, weight-loss therapy that minimizes muscle and bone losses is recommended for older persons who\n         are obese and who have functional impairments or medical complications that can benefit from weight loss.","shortTitle":"Obesity in older adults","author":[{"family":"Villareal","given":"Dennis T"},{"family":"Apovian","given":"Caroline M"},{"family":"Kushner","given":"Robert F"},{"family":"Klein","given":"Samuel"}],"issued":{"date-parts":[["2005",11,1]]}}}],"schema":"https://github.com/citation-style-language/schema/raw/master/csl-citation.json"} </w:instrText>
      </w:r>
      <w:r w:rsidR="00D739A7" w:rsidRPr="008B13C9">
        <w:fldChar w:fldCharType="separate"/>
      </w:r>
      <w:r w:rsidR="00D739A7" w:rsidRPr="008B13C9">
        <w:rPr>
          <w:rFonts w:ascii="Calibri" w:hAnsi="Calibri" w:cs="Calibri"/>
        </w:rPr>
        <w:t>(2)</w:t>
      </w:r>
      <w:r w:rsidR="00D739A7" w:rsidRPr="008B13C9">
        <w:fldChar w:fldCharType="end"/>
      </w:r>
      <w:r w:rsidRPr="008B13C9">
        <w:t xml:space="preserve"> A substantial number of the medical complications associated with overweight and obesity become increasingly prevalent with age </w:t>
      </w:r>
      <w:r w:rsidRPr="008B13C9">
        <w:fldChar w:fldCharType="begin"/>
      </w:r>
      <w:r w:rsidR="00D739A7" w:rsidRPr="008B13C9">
        <w:instrText xml:space="preserve"> ADDIN ZOTERO_ITEM CSL_CITATION {"citationID":"MAo7pN7O","properties":{"formattedCitation":"(3)","plainCitation":"(3)","noteIndex":0},"citationItems":[{"id":8348,"uris":["http://zotero.org/users/446899/items/FHGH7GJ5"],"uri":["http://zotero.org/users/446899/items/FHGH7GJ5"],"itemData":{"id":8348,"type":"book","title":"World report on ageing and health","publisher":"World Health Organization","publisher-place":"Luxembourg","source":"Google Scholar","event-place":"Luxembourg","author":[{"family":"World Helath Organization","given":""}],"issued":{"date-parts":[["2015"]]}}}],"schema":"https://github.com/citation-style-language/schema/raw/master/csl-citation.json"} </w:instrText>
      </w:r>
      <w:r w:rsidRPr="008B13C9">
        <w:fldChar w:fldCharType="separate"/>
      </w:r>
      <w:r w:rsidR="00D739A7" w:rsidRPr="008B13C9">
        <w:rPr>
          <w:rFonts w:ascii="Calibri" w:hAnsi="Calibri" w:cs="Calibri"/>
        </w:rPr>
        <w:t>(3)</w:t>
      </w:r>
      <w:r w:rsidRPr="008B13C9">
        <w:fldChar w:fldCharType="end"/>
      </w:r>
      <w:r w:rsidR="00A360B6" w:rsidRPr="008B13C9">
        <w:t xml:space="preserve"> and obesity exacerbates the age-related decline in physical function.</w:t>
      </w:r>
      <w:r w:rsidR="00A360B6" w:rsidRPr="008B13C9">
        <w:fldChar w:fldCharType="begin"/>
      </w:r>
      <w:r w:rsidR="00D739A7" w:rsidRPr="008B13C9">
        <w:instrText xml:space="preserve"> ADDIN ZOTERO_ITEM CSL_CITATION {"citationID":"ZGLX2T1F","properties":{"formattedCitation":"(4)","plainCitation":"(4)","noteIndex":0},"citationItems":[{"id":793,"uris":["http://zotero.org/users/446899/items/HARCTU9B"],"uri":["http://zotero.org/users/446899/items/HARCTU9B"],"itemData":{"id":793,"type":"article-journal","title":"Percentage of Body Fat and Body Mass Index Are Associated with Mobility Limitations in People Aged 70 and Older from NHANES III","container-title":"Journal of the American Geriatrics Society","page":"1802–1809","volume":"50","issue":"11","source":"Wiley Online Library","abstract":"OBJECTIVES: To assess the association between functional limitations and body composition indices, including percentage of body fat, muscle mass, and body mass index (BMI).DESIGN: A cross-sectional, population-representative sample.SETTING: All noninstitutionalized people living in the United States (National Health and Nutrition Examination Survey). Data were collected between 1988 and 1994.PARTICIPANTS: One thousand five hundred twenty-six women and 1,391 men aged 70 and older.MEASUREMENTS: Independent variables included BMI, muscle mass, and percentage of body fat; the latter two were assessed using predictive equations. The dependent variable, functional limitations, was defined as difficulty in performing at least three of five functional living tasks, such as carrying a 10-pound bag of groceries.RESULTS: Women in the highest quintile for percentage of body fat and women with a BMI of 30 or greater were two times more likely to report functional limitations than women in the comparison groups. Similar, but weaker, relationships were found among men; men in the highest quintile for body fat and men with a BMI of 35 or greater were 1.5 times more likely to report limitations. Low muscle mass (sarcopenia) and sarcopenia in combination with high percentage of body fat (sarcopenic obesity) were not associated with a greater likelihood of reporting functional limitations.CONCLUSIONS: Prevention of excessive accumulation of body fat and maintenance of a BMI in the normal range may reduce the likelihood of functional limitations in old age.","DOI":"10.1046/j.1532-5415.2002.50508.x","ISSN":"1532-5415","language":"en","author":[{"family":"Davison","given":"Kirsten Krahnstoever"},{"family":"Ford","given":"Earl S."},{"family":"Cogswell","given":"Mary E."},{"family":"Dietz","given":"William H."}],"issued":{"date-parts":[["2002"]]}}}],"schema":"https://github.com/citation-style-language/schema/raw/master/csl-citation.json"} </w:instrText>
      </w:r>
      <w:r w:rsidR="00A360B6" w:rsidRPr="008B13C9">
        <w:fldChar w:fldCharType="separate"/>
      </w:r>
      <w:r w:rsidR="00D739A7" w:rsidRPr="008B13C9">
        <w:rPr>
          <w:rFonts w:ascii="Calibri" w:hAnsi="Calibri" w:cs="Calibri"/>
        </w:rPr>
        <w:t>(4)</w:t>
      </w:r>
      <w:r w:rsidR="00A360B6" w:rsidRPr="008B13C9">
        <w:fldChar w:fldCharType="end"/>
      </w:r>
      <w:r w:rsidR="00D739A7" w:rsidRPr="008B13C9">
        <w:t xml:space="preserve"> Maintaining regular participation in activities that involve a moderate-intensity level of physical activity </w:t>
      </w:r>
      <w:r w:rsidR="0010116F" w:rsidRPr="008B13C9">
        <w:t>can aid in the preservation of physical function in older age</w:t>
      </w:r>
      <w:r w:rsidR="00CF11FB" w:rsidRPr="008B13C9">
        <w:t>.</w:t>
      </w:r>
      <w:r w:rsidR="00B7447E" w:rsidRPr="008B13C9">
        <w:fldChar w:fldCharType="begin"/>
      </w:r>
      <w:r w:rsidR="00B7447E" w:rsidRPr="008B13C9">
        <w:instrText xml:space="preserve"> ADDIN ZOTERO_ITEM CSL_CITATION {"citationID":"BTDi3CKM","properties":{"formattedCitation":"(5)","plainCitation":"(5)","noteIndex":0},"citationItems":[{"id":8350,"uris":["http://zotero.org/users/446899/items/3B9TVI67"],"uri":["http://zotero.org/users/446899/items/3B9TVI67"],"itemData":{"id":8350,"type":"article-journal","title":"Physical Activity in AgingChanges in Patterns and Their Relationship to Health and Function","container-title":"The Journals of Gerontology: Series A","page":"13-22","volume":"56","issue":"suppl_2","source":"academic.oup.com","abstract":"Abstract.  Sedentary behavior is an important risk factor for chronic disease morbidity and mortality in aging. However, there is a limited amount of informatio","DOI":"10.1093/gerona/56.suppl_2.13","ISSN":"1079-5006","journalAbbreviation":"J Gerontol A Biol Sci Med Sci","language":"en","author":[{"family":"DiPietro","given":"Loretta"}],"issued":{"date-parts":[["2001",10,1]]}}}],"schema":"https://github.com/citation-style-language/schema/raw/master/csl-citation.json"} </w:instrText>
      </w:r>
      <w:r w:rsidR="00B7447E" w:rsidRPr="008B13C9">
        <w:fldChar w:fldCharType="separate"/>
      </w:r>
      <w:r w:rsidR="00B7447E" w:rsidRPr="008B13C9">
        <w:rPr>
          <w:rFonts w:ascii="Calibri" w:hAnsi="Calibri" w:cs="Calibri"/>
        </w:rPr>
        <w:t>(5)</w:t>
      </w:r>
      <w:r w:rsidR="00B7447E" w:rsidRPr="008B13C9">
        <w:fldChar w:fldCharType="end"/>
      </w:r>
    </w:p>
    <w:p w14:paraId="372B6ECB" w14:textId="0FB8F25C" w:rsidR="007E7A99" w:rsidRPr="008B13C9" w:rsidRDefault="007E7A99" w:rsidP="007E7A99">
      <w:pPr>
        <w:spacing w:line="480" w:lineRule="auto"/>
      </w:pPr>
      <w:r w:rsidRPr="008B13C9">
        <w:t>A substantial body of work has demonstrated a negative association between body weight and physical activity in later life, with older adults with obesity tending to be less physically active than those with a body mass index (BMI) in the normal-weight range</w:t>
      </w:r>
      <w:r w:rsidR="00B94565" w:rsidRPr="008B13C9">
        <w:t>.</w:t>
      </w:r>
      <w:r w:rsidRPr="008B13C9">
        <w:fldChar w:fldCharType="begin"/>
      </w:r>
      <w:r w:rsidRPr="008B13C9">
        <w:instrText xml:space="preserve"> ADDIN ZOTERO_ITEM CSL_CITATION {"citationID":"CSvqveko","properties":{"formattedCitation":"(6,7)","plainCitation":"(6,7)","noteIndex":0},"citationItems":[{"id":8355,"uris":["http://zotero.org/users/446899/items/D7889TGD"],"uri":["http://zotero.org/users/446899/items/D7889TGD"],"itemData":{"id":8355,"type":"article-journal","title":"The Relationship Between Obesity, Physical Activity, and Physical Function in Older Adults","container-title":"Journal of Aging and Health","page":"1159-1178","volume":"21","issue":"8","source":"SAGE Journals","abstract":"Objective: This study investigated the relationship between overweight and obesity, age, and gender with physical activity and physical function in community-dwelling older men and women. Method: Multivariate analysis of covariance was used to analyze differences between normal weight, overweight, and obese adults (n = 821) above the age of 60 years. Results: Obesity but not overweight was associated with lower levels of physical activity and physical function. Within BMI groups, individuals who were physically active were less likely to have abnormal physical function scores compared to those who were sedentary. Compared to men, obese women had lower physical function scores, placing them at higher risk for future disability. Aging was associated with lower levels of physical activity and physical function.  Discussion: The study illustrates the importance of avoiding obesity and participating in regular physical activity to prevent or slow down the loss of functioning in older age.","DOI":"10.1177/0898264309350076","ISSN":"0898-2643","journalAbbreviation":"J Aging Health","language":"en","author":[{"family":"Riebe","given":"Deborah"},{"family":"Blissmer","given":"Bryan J."},{"family":"Greaney","given":"Mary L."},{"family":"Ewing Garber","given":"Carol"},{"family":"Lees","given":"Faith D."},{"family":"Clark","given":"Philip G."}],"issued":{"date-parts":[["2009",12,1]]}}},{"id":8353,"uris":["http://zotero.org/users/446899/items/TMT6I785"],"uri":["http://zotero.org/users/446899/items/TMT6I785"],"itemData":{"id":8353,"type":"article-journal","title":"Physical activity in older age: perspectives for healthy ageing and frailty","container-title":"Biogerontology","page":"567-580","volume":"17","issue":"3","source":"Springer Link","abstract":"Regular physical activity helps to improve physical and mental functions as well as reverse some effects of chronic disease to keep older people mobile and independent. Despite the highly publicised benefits of physical activity, the overwhelming majority of older people in the United Kingdom do not meet the minimum physical activity levels needed to maintain health. The sedentary lifestyles that predominate in older age results in premature onset of ill health, disease and frailty. Local authorities have a responsibility to promote physical activity amongst older people, but knowing how to stimulate regular activity at the population-level is challenging. The physiological rationale for physical activity, risks of adverse events, societal and psychological factors are discussed with a view to inform public health initiatives for the relatively healthy older person as well as those with physical frailty. The evidence shows that regular physical activity is safe for healthy and for frail older people and the risks of developing major cardiovascular and metabolic diseases, obesity, falls, cognitive impairments, osteoporosis and muscular weakness are decreased by regularly completing activities ranging from low intensity walking through to more vigorous sports and resistance exercises. Yet, participation in physical activities remains low amongst older adults, particularly those living in less affluent areas. Older people may be encouraged to increase their activities if influenced by clinicians, family or friends, keeping costs low and enjoyment high, facilitating group-based activities and raising self-efficacy for exercise.","DOI":"10.1007/s10522-016-9641-0","ISSN":"1573-6768","shortTitle":"Physical activity in older age","journalAbbreviation":"Biogerontology","language":"en","author":[{"family":"McPhee","given":"Jamie S."},{"family":"French","given":"David P."},{"family":"Jackson","given":"Dean"},{"family":"Nazroo","given":"James"},{"family":"Pendleton","given":"Neil"},{"family":"Degens","given":"Hans"}],"issued":{"date-parts":[["2016",6,1]]}}}],"schema":"https://github.com/citation-style-language/schema/raw/master/csl-citation.json"} </w:instrText>
      </w:r>
      <w:r w:rsidRPr="008B13C9">
        <w:fldChar w:fldCharType="separate"/>
      </w:r>
      <w:r w:rsidRPr="008B13C9">
        <w:rPr>
          <w:rFonts w:ascii="Calibri" w:hAnsi="Calibri" w:cs="Calibri"/>
        </w:rPr>
        <w:t>(6,7)</w:t>
      </w:r>
      <w:r w:rsidRPr="008B13C9">
        <w:fldChar w:fldCharType="end"/>
      </w:r>
      <w:r w:rsidRPr="008B13C9">
        <w:t xml:space="preserve"> However, these studies have focused on conventional forms of physical activity, such as time spent walking, cycling, or engaging in housework. </w:t>
      </w:r>
      <w:r w:rsidR="00E50097" w:rsidRPr="008B13C9">
        <w:t>Another activity that meets the definition of moderate-intensity</w:t>
      </w:r>
      <w:r w:rsidR="006A652C" w:rsidRPr="008B13C9">
        <w:t xml:space="preserve"> physical </w:t>
      </w:r>
      <w:proofErr w:type="gramStart"/>
      <w:r w:rsidR="006A652C" w:rsidRPr="008B13C9">
        <w:t>activity</w:t>
      </w:r>
      <w:r w:rsidR="00E50097" w:rsidRPr="008B13C9">
        <w:t>, but</w:t>
      </w:r>
      <w:proofErr w:type="gramEnd"/>
      <w:r w:rsidR="00E50097" w:rsidRPr="008B13C9">
        <w:t xml:space="preserve"> may be overlooked in existing studies of physical activity in relation to weight status, is sexual activity</w:t>
      </w:r>
      <w:r w:rsidR="006A652C" w:rsidRPr="008B13C9">
        <w:t>. In a study of young healthy couples, mean energy expenditure during sexual activity was 3.6kCal/minute and the mean intensity was 5.8 METS; leading the authors to conclude that sexual activity could be considered significant exercise</w:t>
      </w:r>
      <w:r w:rsidR="00B94565" w:rsidRPr="008B13C9">
        <w:t>.</w:t>
      </w:r>
      <w:r w:rsidR="00D13105" w:rsidRPr="008B13C9">
        <w:fldChar w:fldCharType="begin"/>
      </w:r>
      <w:r w:rsidR="00D13105" w:rsidRPr="008B13C9">
        <w:instrText xml:space="preserve"> ADDIN ZOTERO_ITEM CSL_CITATION {"citationID":"0WnALv5U","properties":{"formattedCitation":"(8)","plainCitation":"(8)","noteIndex":0},"citationItems":[{"id":5015,"uris":["http://zotero.org/users/446899/items/EMVPSJ9F"],"uri":["http://zotero.org/users/446899/items/EMVPSJ9F"],"itemData":{"id":5015,"type":"article-journal","title":"Energy Expenditure during Sexual Activity in Young Healthy Couples","container-title":"PLoS ONE","volume":"8","issue":"10","source":"PubMed Central","abstract":"Objective\nTo determine energy expenditure in kilocalories (kcal) during sexual activity in young healthy couples in their natural environment and compare it to a session of endurance exercise.\n\nMethods\nThe study population consisted of twenty one heterosexual couples (age: 22.6 ± 2.8 years old) from the Montreal region. Free living energy expenditure during sexual activity and the endurance exercise was measured using the portable mini SenseWear armband. Perceived energy expenditure, perception of effort, fatigue and pleasure were also assessed after sexual activity. All participants completed a 30 min endurance exercise session on a treadmill at a moderate intensity.\n\nResults\nMean energy expenditure during sexual activity was 101 kCal or 4.2 kCal/min in men and 69.1 kCal or 3.1 kCal/min in women. In addition, mean intensity was 6.0 METS in men and 5.6 METS in women, which represents a moderate intensity. Moreover, the energy expenditure and intensity during the 30 min exercise session in men was 276 kCal or 9.2 kCal/min and 8.5 METS, respectively and in women 213 kCal or 7.1 kCal/min and 8.4 METS, respectively. Interestingly, the highest range value achieved by men for absolute energy expenditure can potentially be higher than that of the mean energy expenditure of the 30 min exercise session (i.e. 306.1 vs. 276 kCal, respectively) whereas this was not observed in women. Finally, perceived energy expenditure during sexual activity was similar in men (100 kCal) and in women (76.2 kCal) when compared to measured energy expenditure.\n\nConclusion\nThe present study indicates that energy expenditure during sexual activity appears to be approximately 85 kCal or 3.6 kCal/min and seems to be performed at a moderate intensity (5.8 METS) in young healthy men and women. These results suggest that sexual activity may potentially be considered, at times, as a significant exercise.","URL":"https://www.ncbi.nlm.nih.gov/pmc/articles/PMC3812004/","DOI":"10.1371/journal.pone.0079342","ISSN":"1932-6203","note":"PMID: 24205382\nPMCID: PMC3812004","journalAbbreviation":"PLoS One","author":[{"family":"Frappier","given":"Julie"},{"family":"Toupin","given":"Isabelle"},{"family":"Levy","given":"Joseph J."},{"family":"Aubertin-Leheudre","given":"Mylene"},{"family":"Karelis","given":"Antony D."}],"issued":{"date-parts":[["2013",10,24]]},"accessed":{"date-parts":[["2018",9,11]]}}}],"schema":"https://github.com/citation-style-language/schema/raw/master/csl-citation.json"} </w:instrText>
      </w:r>
      <w:r w:rsidR="00D13105" w:rsidRPr="008B13C9">
        <w:fldChar w:fldCharType="separate"/>
      </w:r>
      <w:r w:rsidR="00D13105" w:rsidRPr="008B13C9">
        <w:rPr>
          <w:rFonts w:ascii="Calibri" w:hAnsi="Calibri" w:cs="Calibri"/>
        </w:rPr>
        <w:t>(8)</w:t>
      </w:r>
      <w:r w:rsidR="00D13105" w:rsidRPr="008B13C9">
        <w:fldChar w:fldCharType="end"/>
      </w:r>
    </w:p>
    <w:p w14:paraId="1CB38746" w14:textId="20DBF51E" w:rsidR="008A28D9" w:rsidRPr="008B13C9" w:rsidRDefault="00321F18" w:rsidP="00933CC7">
      <w:pPr>
        <w:spacing w:line="480" w:lineRule="auto"/>
        <w:rPr>
          <w:rFonts w:ascii="Calibri" w:hAnsi="Calibri" w:cs="Arial"/>
        </w:rPr>
      </w:pPr>
      <w:r w:rsidRPr="008B13C9">
        <w:t>A</w:t>
      </w:r>
      <w:r w:rsidR="00D15029" w:rsidRPr="008B13C9">
        <w:t xml:space="preserve"> growing literature </w:t>
      </w:r>
      <w:r w:rsidRPr="008B13C9">
        <w:t>has documented</w:t>
      </w:r>
      <w:r w:rsidR="00D15029" w:rsidRPr="008B13C9">
        <w:t xml:space="preserve"> </w:t>
      </w:r>
      <w:r w:rsidRPr="008B13C9">
        <w:t>associations between</w:t>
      </w:r>
      <w:r w:rsidR="00D15029" w:rsidRPr="008B13C9">
        <w:t xml:space="preserve"> engaging in sexual activity</w:t>
      </w:r>
      <w:r w:rsidRPr="008B13C9">
        <w:t xml:space="preserve"> and better health and wellbeing</w:t>
      </w:r>
      <w:r w:rsidR="00D15029" w:rsidRPr="008B13C9">
        <w:t xml:space="preserve">. </w:t>
      </w:r>
      <w:r w:rsidR="00B23667" w:rsidRPr="008B13C9">
        <w:t>Studies have</w:t>
      </w:r>
      <w:r w:rsidR="00D15029" w:rsidRPr="008B13C9">
        <w:t xml:space="preserve"> shown that a higher frequency of sexual activity is associated with a number of </w:t>
      </w:r>
      <w:r w:rsidR="00C947A8" w:rsidRPr="008B13C9">
        <w:t xml:space="preserve">benefits for </w:t>
      </w:r>
      <w:r w:rsidR="00D15029" w:rsidRPr="008B13C9">
        <w:t xml:space="preserve">physical and mental health, </w:t>
      </w:r>
      <w:r w:rsidR="00A2178C" w:rsidRPr="008B13C9">
        <w:t>including a reduction in cardio</w:t>
      </w:r>
      <w:r w:rsidR="00D15029" w:rsidRPr="008B13C9">
        <w:t>vascular events in later life</w:t>
      </w:r>
      <w:r w:rsidR="00C947A8" w:rsidRPr="008B13C9">
        <w:t>,</w:t>
      </w:r>
      <w:r w:rsidR="00D15029" w:rsidRPr="008B13C9">
        <w:t xml:space="preserve"> </w:t>
      </w:r>
      <w:r w:rsidR="00D15029" w:rsidRPr="008B13C9">
        <w:rPr>
          <w:rFonts w:ascii="Calibri" w:hAnsi="Calibri" w:cs="Arial"/>
        </w:rPr>
        <w:t>reduced risk of fatal coronary events, prostate and breast cancer</w:t>
      </w:r>
      <w:r w:rsidR="005A4DCE" w:rsidRPr="008B13C9">
        <w:rPr>
          <w:rFonts w:ascii="Calibri" w:hAnsi="Calibri" w:cs="Arial"/>
        </w:rPr>
        <w:t>,</w:t>
      </w:r>
      <w:r w:rsidR="005A4DCE" w:rsidRPr="008B13C9">
        <w:rPr>
          <w:rFonts w:ascii="Calibri" w:hAnsi="Calibri" w:cs="Arial"/>
        </w:rPr>
        <w:fldChar w:fldCharType="begin"/>
      </w:r>
      <w:r w:rsidR="00DF55D6" w:rsidRPr="008B13C9">
        <w:rPr>
          <w:rFonts w:ascii="Calibri" w:hAnsi="Calibri" w:cs="Arial"/>
        </w:rPr>
        <w:instrText xml:space="preserve"> ADDIN ZOTERO_ITEM CSL_CITATION {"citationID":"QHRxJSDx","properties":{"formattedCitation":"(9\\uc0\\u8211{}11)","plainCitation":"(9–11)","noteIndex":0},"citationItems":[{"id":4923,"uris":["http://zotero.org/users/446899/items/3KH2Y2LS"],"uri":["http://zotero.org/users/446899/items/3KH2Y2LS"],"itemData":{"id":4923,"type":"article-journal","title":"Is Sex Good for Your Health? A National Study on Partnered Sexuality and Cardiovascular Risk Among Older Men and Women","container-title":"Journal of health and social behavior","page":"276-296","volume":"57","issue":"3","source":"PubMed Central","abstract":"Working from a social relationship and life course perspective, we provide generalizable population-based evidence on partnered sexuality linked to cardiovascular risk in later life using national longitudinal data from the NSHAP (N=2204). We consider characteristics of partnered sexuality of older men and women, particularly sexual activity and sexual quality, as they affect cardiovascular risk. Cardiovascular risk is defined as hypertension, rapid heart rate, elevated CRP, and general cardiovascular events. We find that older men are more likely to report being sexually active, report having sex more often and more enjoyably than are older women. Results from cross-lagged models suggest that high frequency of sex is positively related to later risk of cardiovascular events for men but not women, whereas good sexual quality seems to protect women but not men from cardiovascular risk in later life. We find no evidence that poor cardiovascular health interferes with later sexuality for either gender.","DOI":"10.1177/0022146516661597","ISSN":"0022-1465","note":"PMID: 27601406\nPMCID: PMC5052677","shortTitle":"Is Sex Good for Your Health?","journalAbbreviation":"J Health Soc Behav","author":[{"family":"Liu","given":"Hui"},{"family":"Waite","given":"Linda"},{"family":"Shen","given":"Shannon"},{"family":"Wang","given":"Donna"}],"issued":{"date-parts":[["2016",9]]}}},{"id":4604,"uris":["http://zotero.org/users/446899/items/KKKJ28VR"],"uri":["http://zotero.org/users/446899/items/KKKJ28VR"],"itemData":{"id":4604,"type":"article-journal","title":"Characteristics of reproductive life and risk of breast cancer in a case-control study of young nulliparous women","container-title":"Journal of Clinical Epidemiology","page":"1227-1233","volume":"42","issue":"12","source":"PubMed","abstract":"Between 1982 and 1985, a case-control study of nulliparous women, aged 25-45, was conducted to analyse the relationships between the risk of breast cancer and causes of nulliparity, including contraceptive methods. Fifty-one cases of breast cancer diagnosed less than 3 months before interview were matched with 95 controls on age at diagnosis, year of interview, and medical center. The causes of nulliparity related to female sterility or subfertility (mechanical or hormonal disorders) were not found to be associated with a significantly higher risk of breast cancer. The causes related to fertilization failure, i.e. no sexual partner, rare sexual intercourse (less than once per month), or partner with abnormal semen, were found to lead to an increased risk. Detailed analysis of contraceptive methods showed that the risk of breast cancer increased (p = 0.02) with a longer duration of use of barrier methods (withdrawal or condom). Conversely, the risk significantly decreased (p = 0.004) with a longer duration of use of non-barrier methods (oral contraceptives, IUD, cap, local spermicides, vaginal douche, safe period, or no method), i.e. methods allowing a direct exposure to human semen.","ISSN":"0895-4356","note":"PMID: 2585013","journalAbbreviation":"J Clin Epidemiol","language":"eng","author":[{"family":"Lê","given":"M. G."},{"family":"Bachelot","given":"A."},{"family":"Hill","given":"C."}],"issued":{"date-parts":[["1989"]]}}},{"id":4614,"uris":["http://zotero.org/users/446899/items/V2WC4RN6"],"uri":["http://zotero.org/users/446899/items/V2WC4RN6"],"itemData":{"id":4614,"type":"article-journal","title":"Sexual intercourse and risk of ischaemic stroke and coronary heart disease: the Caerphilly study","container-title":"Journal of Epidemiology &amp; Community Health","page":"99-102","volume":"56","issue":"2","source":"jech.bmj.com","abstract":"Objective: To examine the relation between frequency of sexual intercourse and risk of ischaemic stroke and coronary heart disease.\nDesign: Cohort study with 20 year follow up.\nSetting: The town of Caerphilly, South Wales and five adjacent villages.\nSubjects: 914 men aged 45–59 years at time of recruitment in 1979 to 1983.\nMain outcome measures: Ischaemic stroke and coronary heart disease, all first events and fatal events.\nResults: Of the 914 men studied, 197 (21.5%) reported sexual intercourse less often than once a month, 231 (25.3%) reported sexual intercourse twice or more a week, and the remaining 486 (53.2%) men fell into the intermediate category. Frequency of sexual intercourse was not associated with all first ischaemic stroke events: age adjusted odds ratios (95% CI) for intermediate and low frequency of sexual intercourse of 0.61 (0.32 to 1.16) and 0.71 (0.34 to 1.49) respectively compared with the reference category of high frequency. A graded relation with fatal coronary heart disease events was observed in events recorded up to 10 years. The age adjusted relative risk (95% CI) of fatal coronary heart disease contrasting low frequency of sexual intercourse (that is, less than monthly) with the highest group (at least twice a week) was 2.80 (1.13 to 6.96, test for trend, p=0.04) which was not attenuated by adjustment for a wide range of potential confounders. Longer follow up to 20 years showed attenuation of this risk with odds of 1.69 (95% CI 0.90 to 3.20), contrasting low frequency of sexual intercourse with the highest group.\nConclusions: The differential relation between frequency of sexual intercourse, stroke and coronary heart disease suggests that confounding is an unlikely explanation for the observed association with fatal coronary heart disease events. Middle aged men should be heartened to know that frequent sexual intercourse is not likely to result in a substantial increase in risk of strokes, and that some protection from fatal coronary events may be an added bonus.","DOI":"10.1136/jech.56.2.99","ISSN":"0143-005X, 1470-2738","note":"PMID: 11812807","shortTitle":"Sexual intercourse and risk of ischaemic stroke and coronary heart disease","language":"en","author":[{"family":"Ebrahim","given":"S."},{"family":"May","given":"M."},{"family":"Shlomo","given":"Y. Ben"},{"family":"McCarron","given":"P."},{"family":"Frankel","given":"S."},{"family":"Yarnell","given":"J."},{"family":"Smith","given":"G. Davey"}],"issued":{"date-parts":[["2002",2,1]]}}}],"schema":"https://github.com/citation-style-language/schema/raw/master/csl-citation.json"} </w:instrText>
      </w:r>
      <w:r w:rsidR="005A4DCE" w:rsidRPr="008B13C9">
        <w:rPr>
          <w:rFonts w:ascii="Calibri" w:hAnsi="Calibri" w:cs="Arial"/>
        </w:rPr>
        <w:fldChar w:fldCharType="separate"/>
      </w:r>
      <w:r w:rsidR="00DF55D6" w:rsidRPr="008B13C9">
        <w:rPr>
          <w:rFonts w:ascii="Calibri" w:hAnsi="Calibri" w:cs="Calibri"/>
          <w:szCs w:val="24"/>
        </w:rPr>
        <w:t>(9–11)</w:t>
      </w:r>
      <w:r w:rsidR="005A4DCE" w:rsidRPr="008B13C9">
        <w:rPr>
          <w:rFonts w:ascii="Calibri" w:hAnsi="Calibri" w:cs="Arial"/>
        </w:rPr>
        <w:fldChar w:fldCharType="end"/>
      </w:r>
      <w:r w:rsidR="00D15029" w:rsidRPr="008B13C9">
        <w:rPr>
          <w:rFonts w:ascii="Calibri" w:hAnsi="Calibri" w:cs="Arial"/>
        </w:rPr>
        <w:t xml:space="preserve"> </w:t>
      </w:r>
      <w:r w:rsidR="00C947A8" w:rsidRPr="008B13C9">
        <w:rPr>
          <w:rFonts w:ascii="Calibri" w:hAnsi="Calibri" w:cs="Arial"/>
        </w:rPr>
        <w:t>and</w:t>
      </w:r>
      <w:r w:rsidR="00F254B8" w:rsidRPr="008B13C9">
        <w:rPr>
          <w:rFonts w:ascii="Calibri" w:hAnsi="Calibri" w:cs="Arial"/>
        </w:rPr>
        <w:t xml:space="preserve"> better reported </w:t>
      </w:r>
      <w:r w:rsidR="006F3C02" w:rsidRPr="008B13C9">
        <w:rPr>
          <w:rFonts w:ascii="Calibri" w:hAnsi="Calibri" w:cs="Arial"/>
        </w:rPr>
        <w:t>quality of life</w:t>
      </w:r>
      <w:r w:rsidR="00962DE9" w:rsidRPr="008B13C9">
        <w:rPr>
          <w:rFonts w:ascii="Calibri" w:hAnsi="Calibri" w:cs="Arial"/>
        </w:rPr>
        <w:t>.</w:t>
      </w:r>
      <w:r w:rsidR="005A4DCE" w:rsidRPr="008B13C9">
        <w:rPr>
          <w:rFonts w:ascii="Calibri" w:hAnsi="Calibri" w:cs="Arial"/>
        </w:rPr>
        <w:fldChar w:fldCharType="begin"/>
      </w:r>
      <w:r w:rsidR="00DF55D6" w:rsidRPr="008B13C9">
        <w:rPr>
          <w:rFonts w:ascii="Calibri" w:hAnsi="Calibri" w:cs="Arial"/>
        </w:rPr>
        <w:instrText xml:space="preserve"> ADDIN ZOTERO_ITEM CSL_CITATION {"citationID":"3cqYV4Hs","properties":{"formattedCitation":"(12)","plainCitation":"(12)","noteIndex":0},"citationItems":[{"id":4650,"uris":["http://zotero.org/users/446899/items/Z3DYZ4UJ"],"uri":["http://zotero.org/users/446899/items/Z3DYZ4UJ"],"itemData":{"id":4650,"type":"article-journal","title":"Examining associations between sexual behaviours and quality of life in older adults","container-title":"Age and Ageing","page":"823-828","volume":"44","issue":"5","source":"PubMed","abstract":"BACKGROUND: while sexual behaviours are potentially important for quality of life in older adults, they are under-researched. The current study examined associations between frequency and importance of sexual behaviours and quality of life in older adults.\nMETHOD: one hundred and thirty-three participants (mean 74 years, SD = 7.1) provided information about the frequency with which they participated in six sexual behaviours and the perceived importance of these: touching/holding hands, embracing/hugging, kissing, mutual stroking, masturbating and intercourse. Participants also completed the WHO Quality of Life scale, providing an overall quality of life score, in addition to the domains of physical health, psychological health, social relationships and environment. Participants provided information on their marital status, living arrangements and self-reported health.\nRESULTS: both the frequency and importance of sexual behaviours were moderately positively correlated with quality of life (r = 0.52 and 0.47, respectively, both P &lt; 0.001). In separate regression analyses, the frequency of sexual behaviours was a significant predictor of quality of life in the social relationships domain (β = 0.225, P &lt; 0.05), and the importance of sexual behaviours was associated with the psychological domain (β = 0.151, P &lt; 0.05), independent of the presence of a spouse/partner and self-reported health.\nCONCLUSIONS: with ageing trends, a broader understanding of the factors that influence quality of life in older adults is increasingly important. The current findings suggest that aspects of sexual behaviour and quality of life were positively associated. Researchers are encouraged to consider aspects of sex and sexuality when exploring determinants of well-being in later life.","DOI":"10.1093/ageing/afv083","ISSN":"1468-2834","note":"PMID: 26178206","journalAbbreviation":"Age Ageing","language":"eng","author":[{"family":"Flynn","given":"Taylor-Jane"},{"family":"Gow","given":"Alan J."}],"issued":{"date-parts":[["2015",9]]}}}],"schema":"https://github.com/citation-style-language/schema/raw/master/csl-citation.json"} </w:instrText>
      </w:r>
      <w:r w:rsidR="005A4DCE" w:rsidRPr="008B13C9">
        <w:rPr>
          <w:rFonts w:ascii="Calibri" w:hAnsi="Calibri" w:cs="Arial"/>
        </w:rPr>
        <w:fldChar w:fldCharType="separate"/>
      </w:r>
      <w:r w:rsidR="00DF55D6" w:rsidRPr="008B13C9">
        <w:rPr>
          <w:rFonts w:ascii="Calibri" w:hAnsi="Calibri" w:cs="Calibri"/>
        </w:rPr>
        <w:t>(12)</w:t>
      </w:r>
      <w:r w:rsidR="005A4DCE" w:rsidRPr="008B13C9">
        <w:rPr>
          <w:rFonts w:ascii="Calibri" w:hAnsi="Calibri" w:cs="Arial"/>
        </w:rPr>
        <w:fldChar w:fldCharType="end"/>
      </w:r>
      <w:bookmarkStart w:id="3" w:name="_Hlk14894999"/>
      <w:bookmarkStart w:id="4" w:name="_Hlk14892165"/>
      <w:r w:rsidR="00933CC7" w:rsidRPr="008B13C9">
        <w:rPr>
          <w:rFonts w:ascii="Calibri" w:hAnsi="Calibri" w:cs="Arial"/>
        </w:rPr>
        <w:t xml:space="preserve"> While the cross-sectional design employed by the majority of these studies means it is </w:t>
      </w:r>
      <w:r w:rsidR="004E7598" w:rsidRPr="008B13C9">
        <w:rPr>
          <w:rFonts w:ascii="Calibri" w:hAnsi="Calibri" w:cs="Arial"/>
        </w:rPr>
        <w:t xml:space="preserve">not </w:t>
      </w:r>
      <w:r w:rsidR="00933CC7" w:rsidRPr="008B13C9">
        <w:rPr>
          <w:rFonts w:ascii="Calibri" w:hAnsi="Calibri" w:cs="Arial"/>
        </w:rPr>
        <w:t>clear</w:t>
      </w:r>
      <w:r w:rsidR="004E7598" w:rsidRPr="008B13C9">
        <w:rPr>
          <w:rFonts w:ascii="Calibri" w:hAnsi="Calibri" w:cs="Arial"/>
        </w:rPr>
        <w:t xml:space="preserve"> whether sexual activity promotes good mental and physical health or whether good mental and physical health promotes a higher frequency of sexual activity</w:t>
      </w:r>
      <w:r w:rsidR="00933CC7" w:rsidRPr="008B13C9">
        <w:rPr>
          <w:rFonts w:ascii="Calibri" w:hAnsi="Calibri" w:cs="Arial"/>
        </w:rPr>
        <w:t xml:space="preserve"> (or </w:t>
      </w:r>
      <w:r w:rsidR="00933CC7" w:rsidRPr="008B13C9">
        <w:rPr>
          <w:rFonts w:ascii="Calibri" w:hAnsi="Calibri" w:cs="Arial"/>
        </w:rPr>
        <w:lastRenderedPageBreak/>
        <w:t xml:space="preserve">indeed, whether the relationship is bidirectional), there are </w:t>
      </w:r>
      <w:r w:rsidR="00083C84" w:rsidRPr="008B13C9">
        <w:rPr>
          <w:rFonts w:ascii="Calibri" w:hAnsi="Calibri" w:cs="Arial"/>
        </w:rPr>
        <w:t xml:space="preserve">plausible mechanisms </w:t>
      </w:r>
      <w:r w:rsidR="00933CC7" w:rsidRPr="008B13C9">
        <w:rPr>
          <w:rFonts w:ascii="Calibri" w:hAnsi="Calibri" w:cs="Arial"/>
        </w:rPr>
        <w:t>by which sexual activity may be beneficial for health</w:t>
      </w:r>
      <w:r w:rsidR="008629EE" w:rsidRPr="008B13C9">
        <w:rPr>
          <w:rFonts w:ascii="Calibri" w:hAnsi="Calibri" w:cs="Arial"/>
        </w:rPr>
        <w:t xml:space="preserve"> and wellbeing</w:t>
      </w:r>
      <w:r w:rsidR="00083C84" w:rsidRPr="008B13C9">
        <w:rPr>
          <w:rFonts w:ascii="Calibri" w:hAnsi="Calibri" w:cs="Arial"/>
        </w:rPr>
        <w:t xml:space="preserve">. First, </w:t>
      </w:r>
      <w:r w:rsidR="00DF55D6" w:rsidRPr="008B13C9">
        <w:rPr>
          <w:rFonts w:ascii="Calibri" w:hAnsi="Calibri" w:cs="Arial"/>
        </w:rPr>
        <w:t xml:space="preserve">as outlined above, sexual activity can be considered a form of physical activity </w:t>
      </w:r>
      <w:r w:rsidR="00DF55D6" w:rsidRPr="008B13C9">
        <w:rPr>
          <w:rFonts w:ascii="Calibri" w:hAnsi="Calibri" w:cs="Arial"/>
        </w:rPr>
        <w:fldChar w:fldCharType="begin"/>
      </w:r>
      <w:r w:rsidR="00DF55D6" w:rsidRPr="008B13C9">
        <w:rPr>
          <w:rFonts w:ascii="Calibri" w:hAnsi="Calibri" w:cs="Arial"/>
        </w:rPr>
        <w:instrText xml:space="preserve"> ADDIN ZOTERO_ITEM CSL_CITATION {"citationID":"aRSHszkj","properties":{"formattedCitation":"(8)","plainCitation":"(8)","noteIndex":0},"citationItems":[{"id":5015,"uris":["http://zotero.org/users/446899/items/EMVPSJ9F"],"uri":["http://zotero.org/users/446899/items/EMVPSJ9F"],"itemData":{"id":5015,"type":"article-journal","title":"Energy Expenditure during Sexual Activity in Young Healthy Couples","container-title":"PLoS ONE","volume":"8","issue":"10","source":"PubMed Central","abstract":"Objective\nTo determine energy expenditure in kilocalories (kcal) during sexual activity in young healthy couples in their natural environment and compare it to a session of endurance exercise.\n\nMethods\nThe study population consisted of twenty one heterosexual couples (age: 22.6 ± 2.8 years old) from the Montreal region. Free living energy expenditure during sexual activity and the endurance exercise was measured using the portable mini SenseWear armband. Perceived energy expenditure, perception of effort, fatigue and pleasure were also assessed after sexual activity. All participants completed a 30 min endurance exercise session on a treadmill at a moderate intensity.\n\nResults\nMean energy expenditure during sexual activity was 101 kCal or 4.2 kCal/min in men and 69.1 kCal or 3.1 kCal/min in women. In addition, mean intensity was 6.0 METS in men and 5.6 METS in women, which represents a moderate intensity. Moreover, the energy expenditure and intensity during the 30 min exercise session in men was 276 kCal or 9.2 kCal/min and 8.5 METS, respectively and in women 213 kCal or 7.1 kCal/min and 8.4 METS, respectively. Interestingly, the highest range value achieved by men for absolute energy expenditure can potentially be higher than that of the mean energy expenditure of the 30 min exercise session (i.e. 306.1 vs. 276 kCal, respectively) whereas this was not observed in women. Finally, perceived energy expenditure during sexual activity was similar in men (100 kCal) and in women (76.2 kCal) when compared to measured energy expenditure.\n\nConclusion\nThe present study indicates that energy expenditure during sexual activity appears to be approximately 85 kCal or 3.6 kCal/min and seems to be performed at a moderate intensity (5.8 METS) in young healthy men and women. These results suggest that sexual activity may potentially be considered, at times, as a significant exercise.","URL":"https://www.ncbi.nlm.nih.gov/pmc/articles/PMC3812004/","DOI":"10.1371/journal.pone.0079342","ISSN":"1932-6203","note":"PMID: 24205382\nPMCID: PMC3812004","journalAbbreviation":"PLoS One","author":[{"family":"Frappier","given":"Julie"},{"family":"Toupin","given":"Isabelle"},{"family":"Levy","given":"Joseph J."},{"family":"Aubertin-Leheudre","given":"Mylene"},{"family":"Karelis","given":"Antony D."}],"issued":{"date-parts":[["2013",10,24]]},"accessed":{"date-parts":[["2018",9,11]]}}}],"schema":"https://github.com/citation-style-language/schema/raw/master/csl-citation.json"} </w:instrText>
      </w:r>
      <w:r w:rsidR="00DF55D6" w:rsidRPr="008B13C9">
        <w:rPr>
          <w:rFonts w:ascii="Calibri" w:hAnsi="Calibri" w:cs="Arial"/>
        </w:rPr>
        <w:fldChar w:fldCharType="separate"/>
      </w:r>
      <w:r w:rsidR="00DF55D6" w:rsidRPr="008B13C9">
        <w:rPr>
          <w:rFonts w:ascii="Calibri" w:hAnsi="Calibri" w:cs="Calibri"/>
        </w:rPr>
        <w:t>(8)</w:t>
      </w:r>
      <w:r w:rsidR="00DF55D6" w:rsidRPr="008B13C9">
        <w:rPr>
          <w:rFonts w:ascii="Calibri" w:hAnsi="Calibri" w:cs="Arial"/>
        </w:rPr>
        <w:fldChar w:fldCharType="end"/>
      </w:r>
      <w:r w:rsidR="00DF55D6" w:rsidRPr="008B13C9">
        <w:rPr>
          <w:rFonts w:ascii="Calibri" w:hAnsi="Calibri" w:cs="Arial"/>
        </w:rPr>
        <w:t xml:space="preserve"> and thus those who engage in regular sexual activity likely yield the mental and physical health benefits acquired from a physically active lifestyle.</w:t>
      </w:r>
      <w:r w:rsidR="00DF55D6" w:rsidRPr="008B13C9">
        <w:rPr>
          <w:rFonts w:ascii="Calibri" w:hAnsi="Calibri" w:cs="Arial"/>
        </w:rPr>
        <w:fldChar w:fldCharType="begin"/>
      </w:r>
      <w:r w:rsidR="00DF55D6" w:rsidRPr="008B13C9">
        <w:rPr>
          <w:rFonts w:ascii="Calibri" w:hAnsi="Calibri" w:cs="Arial"/>
        </w:rPr>
        <w:instrText xml:space="preserve"> ADDIN ZOTERO_ITEM CSL_CITATION {"citationID":"pqHps1JP","properties":{"formattedCitation":"(13)","plainCitation":"(13)","noteIndex":0},"citationItems":[{"id":1529,"uris":["http://zotero.org/users/446899/items/CT9XBPDV"],"uri":["http://zotero.org/users/446899/items/CT9XBPDV"],"itemData":{"id":1529,"type":"article-journal","title":"Health benefits of physical activity: the evidence","container-title":"Canadian Medical Association Journal","page":"801-809","volume":"174","issue":"6","source":"www.cmaj.ca","abstract":"The primary purpose of this narrative review was to evaluate the current literature and to provide further insight into the role physical inactivity plays in the development of chronic disease and premature death. We confirm that there is irrefutable evidence of the effectiveness of regular physical activity in the primary and secondary prevention of several chronic diseases (e.g., cardiovascular disease, diabetes, cancer, hypertension, obesity, depression and osteoporosis) and premature death. We also reveal that the current Health Canada physical activity guidelines are sufficient to elicit health benefits, especially in previously sedentary people. There appears to be a linear relation between physical activity and health status, such that a further increase in physical activity and fitness will lead to additional improvements in health status.","DOI":"10.1503/cmaj.051351","ISSN":"0820-3946, 1488-2329","note":"PMID: 16534088","shortTitle":"Health benefits of physical activity","journalAbbreviation":"CMAJ","language":"en","author":[{"family":"Warburton","given":"Darren E. R."},{"family":"Nicol","given":"Crystal Whitney"},{"family":"Bredin","given":"Shannon S. D."}],"issued":{"date-parts":[["2006",3,14]]}}}],"schema":"https://github.com/citation-style-language/schema/raw/master/csl-citation.json"} </w:instrText>
      </w:r>
      <w:r w:rsidR="00DF55D6" w:rsidRPr="008B13C9">
        <w:rPr>
          <w:rFonts w:ascii="Calibri" w:hAnsi="Calibri" w:cs="Arial"/>
        </w:rPr>
        <w:fldChar w:fldCharType="separate"/>
      </w:r>
      <w:r w:rsidR="00DF55D6" w:rsidRPr="008B13C9">
        <w:rPr>
          <w:rFonts w:ascii="Calibri" w:hAnsi="Calibri" w:cs="Calibri"/>
        </w:rPr>
        <w:t>(13)</w:t>
      </w:r>
      <w:r w:rsidR="00DF55D6" w:rsidRPr="008B13C9">
        <w:rPr>
          <w:rFonts w:ascii="Calibri" w:hAnsi="Calibri" w:cs="Arial"/>
        </w:rPr>
        <w:fldChar w:fldCharType="end"/>
      </w:r>
      <w:r w:rsidR="00DF55D6" w:rsidRPr="008B13C9">
        <w:rPr>
          <w:rFonts w:ascii="Calibri" w:hAnsi="Calibri" w:cs="Arial"/>
        </w:rPr>
        <w:t xml:space="preserve"> Second, </w:t>
      </w:r>
      <w:r w:rsidR="00083C84" w:rsidRPr="008B13C9">
        <w:rPr>
          <w:rFonts w:ascii="Calibri" w:hAnsi="Calibri" w:cs="Arial"/>
        </w:rPr>
        <w:t>during sexual activity or at the time sexual intercourse is at its peak, there is a release of endorphins, endogenous opioid peptides that function as neurotransmitters, which generates a happy or blissful feeling</w:t>
      </w:r>
      <w:r w:rsidR="00DF55D6" w:rsidRPr="008B13C9">
        <w:rPr>
          <w:rFonts w:ascii="Calibri" w:hAnsi="Calibri" w:cs="Arial"/>
        </w:rPr>
        <w:t>.</w:t>
      </w:r>
      <w:r w:rsidR="00DF55D6" w:rsidRPr="008B13C9">
        <w:rPr>
          <w:rFonts w:ascii="Calibri" w:hAnsi="Calibri" w:cs="Arial"/>
        </w:rPr>
        <w:fldChar w:fldCharType="begin"/>
      </w:r>
      <w:r w:rsidR="00DF55D6" w:rsidRPr="008B13C9">
        <w:rPr>
          <w:rFonts w:ascii="Calibri" w:hAnsi="Calibri" w:cs="Arial"/>
        </w:rPr>
        <w:instrText xml:space="preserve"> ADDIN ZOTERO_ITEM CSL_CITATION {"citationID":"fU540IKN","properties":{"formattedCitation":"(14)","plainCitation":"(14)","noteIndex":0},"citationItems":[{"id":4742,"uris":["http://zotero.org/users/446899/items/V6DC2XJ8"],"uri":["http://zotero.org/users/446899/items/V6DC2XJ8"],"itemData":{"id":4742,"type":"article-journal","title":"Release of Endomorphin Hormone and Its Effects on Our Body and Moods : A Review","container-title":"International Conference on Chemical, Biological and Environment Sciences","abstract":"Endorphin is a hormone and types of endorphins are found in our body. Endorphin is like morphine in structure and effects and has same binding site in the brain cells or receptors. Different endorphins are released during different exercises or eating food or during sex, meditation etc. Anxiety is a disease which is widely spread and can be treated with this endogenous endorphin without using any medication or tablets, only the thing is that we must know how and when endorphin is released. It is in our hands to release endorphin where and when we need.","URL":"/paper/Release-of-Endomorphin-Hormone-and-Its-Effects-on-%3A-Rokade/d9d6a77f113bb866ea1588edf646a60e25ca1755","shortTitle":"Release of Endomorphin Hormone and Its Effects on Our Body and Moods","author":[{"family":"Rokade","given":"Dr P. B."}],"issued":{"date-parts":[["2011"]]},"accessed":{"date-parts":[["2018",8,24]]}}}],"schema":"https://github.com/citation-style-language/schema/raw/master/csl-citation.json"} </w:instrText>
      </w:r>
      <w:r w:rsidR="00DF55D6" w:rsidRPr="008B13C9">
        <w:rPr>
          <w:rFonts w:ascii="Calibri" w:hAnsi="Calibri" w:cs="Arial"/>
        </w:rPr>
        <w:fldChar w:fldCharType="separate"/>
      </w:r>
      <w:r w:rsidR="00DF55D6" w:rsidRPr="008B13C9">
        <w:rPr>
          <w:rFonts w:ascii="Calibri" w:hAnsi="Calibri" w:cs="Calibri"/>
        </w:rPr>
        <w:t>(14)</w:t>
      </w:r>
      <w:r w:rsidR="00DF55D6" w:rsidRPr="008B13C9">
        <w:rPr>
          <w:rFonts w:ascii="Calibri" w:hAnsi="Calibri" w:cs="Arial"/>
        </w:rPr>
        <w:fldChar w:fldCharType="end"/>
      </w:r>
      <w:r w:rsidR="00DF55D6" w:rsidRPr="008B13C9">
        <w:rPr>
          <w:rFonts w:ascii="Calibri" w:hAnsi="Calibri" w:cs="Arial"/>
        </w:rPr>
        <w:t xml:space="preserve"> C</w:t>
      </w:r>
      <w:r w:rsidR="00083C84" w:rsidRPr="008B13C9">
        <w:rPr>
          <w:rFonts w:ascii="Calibri" w:hAnsi="Calibri" w:cs="Arial"/>
        </w:rPr>
        <w:t>irculating endorphin levels have been showing to be associated with highe</w:t>
      </w:r>
      <w:r w:rsidR="00985440" w:rsidRPr="008B13C9">
        <w:rPr>
          <w:rFonts w:ascii="Calibri" w:hAnsi="Calibri" w:cs="Arial"/>
        </w:rPr>
        <w:t>r natural killer cell activity.</w:t>
      </w:r>
      <w:r w:rsidR="00DF55D6" w:rsidRPr="008B13C9">
        <w:rPr>
          <w:rFonts w:ascii="Calibri" w:hAnsi="Calibri" w:cs="Arial"/>
        </w:rPr>
        <w:fldChar w:fldCharType="begin"/>
      </w:r>
      <w:r w:rsidR="00DF55D6" w:rsidRPr="008B13C9">
        <w:rPr>
          <w:rFonts w:ascii="Calibri" w:hAnsi="Calibri" w:cs="Arial"/>
        </w:rPr>
        <w:instrText xml:space="preserve"> ADDIN ZOTERO_ITEM CSL_CITATION {"citationID":"HSTmb2eX","properties":{"formattedCitation":"(15)","plainCitation":"(15)","noteIndex":0},"citationItems":[{"id":8357,"uris":["http://zotero.org/users/446899/items/22LFHIW8"],"uri":["http://zotero.org/users/446899/items/22LFHIW8"],"itemData":{"id":8357,"type":"article-journal","title":"Plasma beta-endorphin and natural killer cell activity in major depression: A preliminary study","container-title":"Psychiatry Research","page":"111-119","volume":"43","issue":"2","source":"ScienceDirect","abstract":"Low concentrations of β-endorphin have been found to enhance human natural killer (NK) cell activity in vitro. Both β-endorphin and NK activity are changed by clinical depression. To evaluate whether circulating concentrations of β-endorphin have a role in the in vivo modulation of cellular immunity in humans, we measured plasma β-endorphin and NK cell activity in 14 depressed patients and 14 age-matched control subjects. In the depressed patients, both plasma β-endorphin and NK cell activity were reduced to 76% and 57%, respectively, of the mean levels in the control subjects. In addition, β-endorphin showed a significant positive correlation with lytic units of NK cell activity in the combined group of all subjects and in the patient group (p=0.04), but not in the control group. The study supports the hypothesis that circulating endorphin is correlated with NK cell activity in vivo. This correlation may be higher in the depressed patient group.","DOI":"10.1016/0165-1781(92)90125-M","ISSN":"0165-1781","shortTitle":"Plasma beta-endorphin and natural killer cell activity in major depression","journalAbbreviation":"Psychiatry Research","author":[{"family":"Darko","given":"Denis F."},{"family":"Irwin","given":"Michael R."},{"family":"Craig Risch","given":"S."},{"family":"Christian Gillin","given":"J."}],"issued":{"date-parts":[["1992",8,1]]}}}],"schema":"https://github.com/citation-style-language/schema/raw/master/csl-citation.json"} </w:instrText>
      </w:r>
      <w:r w:rsidR="00DF55D6" w:rsidRPr="008B13C9">
        <w:rPr>
          <w:rFonts w:ascii="Calibri" w:hAnsi="Calibri" w:cs="Arial"/>
        </w:rPr>
        <w:fldChar w:fldCharType="separate"/>
      </w:r>
      <w:r w:rsidR="00DF55D6" w:rsidRPr="008B13C9">
        <w:rPr>
          <w:rFonts w:ascii="Calibri" w:hAnsi="Calibri" w:cs="Calibri"/>
        </w:rPr>
        <w:t>(15)</w:t>
      </w:r>
      <w:r w:rsidR="00DF55D6" w:rsidRPr="008B13C9">
        <w:rPr>
          <w:rFonts w:ascii="Calibri" w:hAnsi="Calibri" w:cs="Arial"/>
        </w:rPr>
        <w:fldChar w:fldCharType="end"/>
      </w:r>
      <w:r w:rsidR="00083C84" w:rsidRPr="008B13C9">
        <w:rPr>
          <w:rFonts w:ascii="Calibri" w:hAnsi="Calibri" w:cs="Arial"/>
        </w:rPr>
        <w:t xml:space="preserve"> A higher natural killer cell activity may be associated with a lower risk of cancer and viruses; they have also been found to prevent against infections of the lungs and play an important role in improving asthma and many other conditions</w:t>
      </w:r>
      <w:r w:rsidR="00985440" w:rsidRPr="008B13C9">
        <w:rPr>
          <w:rFonts w:ascii="Calibri" w:hAnsi="Calibri" w:cs="Arial"/>
        </w:rPr>
        <w:t>.</w:t>
      </w:r>
      <w:r w:rsidR="00DF55D6" w:rsidRPr="008B13C9">
        <w:rPr>
          <w:rFonts w:ascii="Calibri" w:hAnsi="Calibri" w:cs="Arial"/>
        </w:rPr>
        <w:fldChar w:fldCharType="begin"/>
      </w:r>
      <w:r w:rsidR="00DF55D6" w:rsidRPr="008B13C9">
        <w:rPr>
          <w:rFonts w:ascii="Calibri" w:hAnsi="Calibri" w:cs="Arial"/>
        </w:rPr>
        <w:instrText xml:space="preserve"> ADDIN ZOTERO_ITEM CSL_CITATION {"citationID":"3AWUl6KS","properties":{"formattedCitation":"(16)","plainCitation":"(16)","noteIndex":0},"citationItems":[{"id":8359,"uris":["http://zotero.org/users/446899/items/3JCYTMDD"],"uri":["http://zotero.org/users/446899/items/3JCYTMDD"],"itemData":{"id":8359,"type":"article-journal","title":"Natural killer cells: In health and disease","container-title":"Hematology/Oncology and Stem Cell Therapy","page":"47-55","volume":"8","issue":"2","source":"ScienceDirect","abstract":"Natural killer (NK) cells constitute our bodies’ frontline defense system, guarding against tumors and launching attacks against infections. The activities of NK cells are regulated by the interaction of various receptors expressed on their surfaces with cell surface ligands. While the role of NK cells in controlling tumor activity is relatively clear, the fact that they are also linked to various other disease conditions is now being highlighted. Here, we present an overview of the role of NK cells during normal body state as well as under diseased state. We discuss the possible utilization of these powerful cells as immunotherapeutic agents in combating diseases such as asthma, autoimmune diseases, and HIV-AIDS. This review also outlines current challenges in NK cell therapy.","DOI":"10.1016/j.hemonc.2014.11.006","ISSN":"1658-3876","shortTitle":"Natural killer cells","journalAbbreviation":"Hematology/Oncology and Stem Cell Therapy","author":[{"family":"Mandal","given":"Arundhati"},{"family":"Viswanathan","given":"Chandra"}],"issued":{"date-parts":[["2015",6,1]]}}}],"schema":"https://github.com/citation-style-language/schema/raw/master/csl-citation.json"} </w:instrText>
      </w:r>
      <w:r w:rsidR="00DF55D6" w:rsidRPr="008B13C9">
        <w:rPr>
          <w:rFonts w:ascii="Calibri" w:hAnsi="Calibri" w:cs="Arial"/>
        </w:rPr>
        <w:fldChar w:fldCharType="separate"/>
      </w:r>
      <w:r w:rsidR="00DF55D6" w:rsidRPr="008B13C9">
        <w:rPr>
          <w:rFonts w:ascii="Calibri" w:hAnsi="Calibri" w:cs="Calibri"/>
        </w:rPr>
        <w:t>(16)</w:t>
      </w:r>
      <w:r w:rsidR="00DF55D6" w:rsidRPr="008B13C9">
        <w:rPr>
          <w:rFonts w:ascii="Calibri" w:hAnsi="Calibri" w:cs="Arial"/>
        </w:rPr>
        <w:fldChar w:fldCharType="end"/>
      </w:r>
      <w:bookmarkEnd w:id="3"/>
    </w:p>
    <w:bookmarkEnd w:id="4"/>
    <w:p w14:paraId="41F662E4" w14:textId="5E05946A" w:rsidR="0095594C" w:rsidRPr="008B13C9" w:rsidRDefault="006C5730" w:rsidP="00AB20FA">
      <w:pPr>
        <w:spacing w:line="480" w:lineRule="auto"/>
      </w:pPr>
      <w:r w:rsidRPr="008B13C9">
        <w:rPr>
          <w:rFonts w:ascii="Calibri" w:hAnsi="Calibri" w:cs="Arial"/>
        </w:rPr>
        <w:t>Studies indicate that t</w:t>
      </w:r>
      <w:r w:rsidR="00C93274" w:rsidRPr="008B13C9">
        <w:rPr>
          <w:rFonts w:ascii="Calibri" w:hAnsi="Calibri" w:cs="Arial"/>
        </w:rPr>
        <w:t xml:space="preserve">here </w:t>
      </w:r>
      <w:r w:rsidR="006F3C02" w:rsidRPr="008B13C9">
        <w:rPr>
          <w:rFonts w:ascii="Calibri" w:hAnsi="Calibri" w:cs="Arial"/>
        </w:rPr>
        <w:t xml:space="preserve">tends to be a decline in sexual activity </w:t>
      </w:r>
      <w:r w:rsidR="00C947A8" w:rsidRPr="008B13C9">
        <w:rPr>
          <w:rFonts w:ascii="Calibri" w:hAnsi="Calibri" w:cs="Arial"/>
        </w:rPr>
        <w:t>with</w:t>
      </w:r>
      <w:r w:rsidR="006F3C02" w:rsidRPr="008B13C9">
        <w:rPr>
          <w:rFonts w:ascii="Calibri" w:hAnsi="Calibri" w:cs="Arial"/>
        </w:rPr>
        <w:t xml:space="preserve"> age. </w:t>
      </w:r>
      <w:r w:rsidR="006F3C02" w:rsidRPr="008B13C9">
        <w:t xml:space="preserve">In a population-based study of English adults, sexual activity was found to decrease substantially from 50-59 years to </w:t>
      </w:r>
      <w:r w:rsidR="006F3C02" w:rsidRPr="008B13C9">
        <w:rPr>
          <w:rFonts w:cs="Calibri"/>
        </w:rPr>
        <w:t>≥</w:t>
      </w:r>
      <w:r w:rsidR="006F3C02" w:rsidRPr="008B13C9">
        <w:t>80 years in both men (94.1% to 31.1%) and women (53.7% to 14.2%).</w:t>
      </w:r>
      <w:r w:rsidR="005A4DCE" w:rsidRPr="008B13C9">
        <w:fldChar w:fldCharType="begin"/>
      </w:r>
      <w:r w:rsidR="00DF55D6" w:rsidRPr="008B13C9">
        <w:instrText xml:space="preserve"> ADDIN ZOTERO_ITEM CSL_CITATION {"citationID":"7lqa7yqH","properties":{"formattedCitation":"(17)","plainCitation":"(17)","noteIndex":0},"citationItems":[{"id":1683,"uris":["http://zotero.org/users/446899/items/2PHWCWFD"],"uri":["http://zotero.org/users/446899/items/2PHWCWFD"],"itemData":{"id":1683,"type":"article-journal","title":"Sexual Health and Well-being Among Older Men and Women in England: Findings from the English Longitudinal Study of Ageing","container-title":"Archives of Sexual Behavior","source":"NCBI PubMed","abstract":"We describe levels of sexual activity, problems with sexual functioning, and concerns about sexual health among older adults in the English Longitudinal Study of Ageing (ELSA), and associations with age, health, and partnership factors. Specifically, a total of 6,201 core ELSA participants (56 % women) aged 50 to &gt;90 completed a comprehensive Sexual Relationships and Activities questionnaire (SRA-Q) included in ELSA Wave 6 (2012/13). The prevalence of reporting any sexual activity in the last year declined with age, with women less likely than men at all ages to report being sexually active. Poorer health was associated with lower levels of sexual activity and a higher prevalence of problems with sexual functioning, particularly among men. Difficulties most frequently reported by sexually active women related to becoming sexually aroused (32 %) and achieving orgasm (27 %), while for men it was erectile function (39 %). Sexual health concerns most commonly reported by women related to their level of sexual desire (11 %) and frequency of sexual activities (8 %). Among men it was level of sexual desire (15 %) and erectile difficulties (14 %). While the likelihood of reporting sexual health concerns tended to decrease with age in women, the opposite was seen in men. Poor sexual functioning and disagreements with a partner about initiating and/or feeling obligated to have sex were associated with greater concerns about and dissatisfaction with overall sex life. Levels of sexual activity decline with increasing age, although a sizable minority of men and women remain sexually active until the eighth and ninth decades of life. Problems with sexual functioning were relatively common, but overall levels of sexual health concerns were much lower. Sexually active men reported higher levels of concern with their sexual health and sexual dissatisfaction than women at all ages. Older peoples' sexual health should be managed, not just in the context of their age, gender, and general health, but also within their existing sexual relationship.","DOI":"10.1007/s10508-014-0465-1","ISSN":"1573-2800","note":"PMID: 25624001","shortTitle":"Sexual Health and Well-being Among Older Men and Women in England","journalAbbreviation":"Arch Sex Behav","language":"ENG","author":[{"family":"Lee","given":"David M."},{"family":"Nazroo","given":"James"},{"family":"O'Connor","given":"Daryl B."},{"family":"Blake","given":"Margaret"},{"family":"Pendleton","given":"Neil"}],"issued":{"date-parts":[["2015",1,27]]}}}],"schema":"https://github.com/citation-style-language/schema/raw/master/csl-citation.json"} </w:instrText>
      </w:r>
      <w:r w:rsidR="005A4DCE" w:rsidRPr="008B13C9">
        <w:fldChar w:fldCharType="separate"/>
      </w:r>
      <w:r w:rsidR="00DF55D6" w:rsidRPr="008B13C9">
        <w:rPr>
          <w:rFonts w:ascii="Calibri" w:hAnsi="Calibri" w:cs="Calibri"/>
        </w:rPr>
        <w:t>(17)</w:t>
      </w:r>
      <w:r w:rsidR="005A4DCE" w:rsidRPr="008B13C9">
        <w:fldChar w:fldCharType="end"/>
      </w:r>
      <w:r w:rsidR="006F3C02" w:rsidRPr="008B13C9">
        <w:t xml:space="preserve"> A similar trend and magnitude of decline were also observed in a US population-based study.</w:t>
      </w:r>
      <w:r w:rsidR="005A4DCE" w:rsidRPr="008B13C9">
        <w:fldChar w:fldCharType="begin"/>
      </w:r>
      <w:r w:rsidR="00DF55D6" w:rsidRPr="008B13C9">
        <w:instrText xml:space="preserve"> ADDIN ZOTERO_ITEM CSL_CITATION {"citationID":"5v3JHO3j","properties":{"formattedCitation":"(18)","plainCitation":"(18)","noteIndex":0},"citationItems":[{"id":1646,"uris":["http://zotero.org/users/446899/items/SI2ZZUMR"],"uri":["http://zotero.org/users/446899/items/SI2ZZUMR"],"itemData":{"id":1646,"type":"article-journal","title":"A Study of Sexuality and Health among Older Adults in the United States","container-title":"New England Journal of Medicine","page":"762-774","volume":"357","issue":"8","source":"Taylor and Francis+NEJM","abstract":"Little is known about sexuality among older persons in the United States, despite the aging of the population. Sexuality encompasses partnership, activity, behavior, attitudes, and function.1 Sexual activity is associated with health,2–4 and illness may considerably interfere with sexual health.5 A massive and growing market for drugs and devices to treat sexual problems targets older adults. Driven in part by the availability of drugs to treat erectile dysfunction, the demand for medical attention and services relating to sexual health is increasing. Yet there is limited information on sexual behavior among older adults and how sexual activities change with aging . . .","DOI":"10.1056/NEJMoa067423","ISSN":"0028-4793","note":"PMID: 17715410","author":[{"family":"Lindau","given":"Stacy Tessler"},{"family":"Schumm","given":"L. Philip"},{"family":"Laumann","given":"Edward O."},{"family":"Levinson","given":"Wendy"},{"family":"O'Muircheartaigh","given":"Colm A."},{"family":"Waite","given":"Linda J."}],"issued":{"date-parts":[["2007",8,23]]}}}],"schema":"https://github.com/citation-style-language/schema/raw/master/csl-citation.json"} </w:instrText>
      </w:r>
      <w:r w:rsidR="005A4DCE" w:rsidRPr="008B13C9">
        <w:fldChar w:fldCharType="separate"/>
      </w:r>
      <w:r w:rsidR="00DF55D6" w:rsidRPr="008B13C9">
        <w:rPr>
          <w:rFonts w:ascii="Calibri" w:hAnsi="Calibri" w:cs="Calibri"/>
        </w:rPr>
        <w:t>(18)</w:t>
      </w:r>
      <w:r w:rsidR="005A4DCE" w:rsidRPr="008B13C9">
        <w:fldChar w:fldCharType="end"/>
      </w:r>
      <w:r w:rsidR="00C93274" w:rsidRPr="008B13C9">
        <w:t xml:space="preserve"> </w:t>
      </w:r>
      <w:bookmarkStart w:id="5" w:name="_Hlk14892397"/>
      <w:r w:rsidRPr="008B13C9">
        <w:t xml:space="preserve">While these studies were cross-sectional and cohort effects cannot be ruled out, an age-related decline in sexual activity is </w:t>
      </w:r>
      <w:r w:rsidR="00EB69B4" w:rsidRPr="008B13C9">
        <w:t xml:space="preserve">consistent with </w:t>
      </w:r>
      <w:r w:rsidR="008C5F55" w:rsidRPr="008B13C9">
        <w:t xml:space="preserve">the wealth of </w:t>
      </w:r>
      <w:r w:rsidR="00DC4757" w:rsidRPr="008B13C9">
        <w:t xml:space="preserve">longitudinal </w:t>
      </w:r>
      <w:r w:rsidR="008C5F55" w:rsidRPr="008B13C9">
        <w:t>evidence documenting an age-related decline in physical function</w:t>
      </w:r>
      <w:r w:rsidR="005A4DCE" w:rsidRPr="008B13C9">
        <w:t>.</w:t>
      </w:r>
      <w:r w:rsidR="005A4DCE" w:rsidRPr="008B13C9">
        <w:fldChar w:fldCharType="begin"/>
      </w:r>
      <w:r w:rsidR="00DF55D6" w:rsidRPr="008B13C9">
        <w:instrText xml:space="preserve"> ADDIN ZOTERO_ITEM CSL_CITATION {"citationID":"Bpev2z9Q","properties":{"formattedCitation":"(17,18)","plainCitation":"(17,18)","noteIndex":0},"citationItems":[{"id":1683,"uris":["http://zotero.org/users/446899/items/2PHWCWFD"],"uri":["http://zotero.org/users/446899/items/2PHWCWFD"],"itemData":{"id":1683,"type":"article-journal","title":"Sexual Health and Well-being Among Older Men and Women in England: Findings from the English Longitudinal Study of Ageing","container-title":"Archives of Sexual Behavior","source":"NCBI PubMed","abstract":"We describe levels of sexual activity, problems with sexual functioning, and concerns about sexual health among older adults in the English Longitudinal Study of Ageing (ELSA), and associations with age, health, and partnership factors. Specifically, a total of 6,201 core ELSA participants (56 % women) aged 50 to &gt;90 completed a comprehensive Sexual Relationships and Activities questionnaire (SRA-Q) included in ELSA Wave 6 (2012/13). The prevalence of reporting any sexual activity in the last year declined with age, with women less likely than men at all ages to report being sexually active. Poorer health was associated with lower levels of sexual activity and a higher prevalence of problems with sexual functioning, particularly among men. Difficulties most frequently reported by sexually active women related to becoming sexually aroused (32 %) and achieving orgasm (27 %), while for men it was erectile function (39 %). Sexual health concerns most commonly reported by women related to their level of sexual desire (11 %) and frequency of sexual activities (8 %). Among men it was level of sexual desire (15 %) and erectile difficulties (14 %). While the likelihood of reporting sexual health concerns tended to decrease with age in women, the opposite was seen in men. Poor sexual functioning and disagreements with a partner about initiating and/or feeling obligated to have sex were associated with greater concerns about and dissatisfaction with overall sex life. Levels of sexual activity decline with increasing age, although a sizable minority of men and women remain sexually active until the eighth and ninth decades of life. Problems with sexual functioning were relatively common, but overall levels of sexual health concerns were much lower. Sexually active men reported higher levels of concern with their sexual health and sexual dissatisfaction than women at all ages. Older peoples' sexual health should be managed, not just in the context of their age, gender, and general health, but also within their existing sexual relationship.","DOI":"10.1007/s10508-014-0465-1","ISSN":"1573-2800","note":"PMID: 25624001","shortTitle":"Sexual Health and Well-being Among Older Men and Women in England","journalAbbreviation":"Arch Sex Behav","language":"ENG","author":[{"family":"Lee","given":"David M."},{"family":"Nazroo","given":"James"},{"family":"O'Connor","given":"Daryl B."},{"family":"Blake","given":"Margaret"},{"family":"Pendleton","given":"Neil"}],"issued":{"date-parts":[["2015",1,27]]}}},{"id":1646,"uris":["http://zotero.org/users/446899/items/SI2ZZUMR"],"uri":["http://zotero.org/users/446899/items/SI2ZZUMR"],"itemData":{"id":1646,"type":"article-journal","title":"A Study of Sexuality and Health among Older Adults in the United States","container-title":"New England Journal of Medicine","page":"762-774","volume":"357","issue":"8","source":"Taylor and Francis+NEJM","abstract":"Little is known about sexuality among older persons in the United States, despite the aging of the population. Sexuality encompasses partnership, activity, behavior, attitudes, and function.1 Sexual activity is associated with health,2–4 and illness may considerably interfere with sexual health.5 A massive and growing market for drugs and devices to treat sexual problems targets older adults. Driven in part by the availability of drugs to treat erectile dysfunction, the demand for medical attention and services relating to sexual health is increasing. Yet there is limited information on sexual behavior among older adults and how sexual activities change with aging . . .","DOI":"10.1056/NEJMoa067423","ISSN":"0028-4793","note":"PMID: 17715410","author":[{"family":"Lindau","given":"Stacy Tessler"},{"family":"Schumm","given":"L. Philip"},{"family":"Laumann","given":"Edward O."},{"family":"Levinson","given":"Wendy"},{"family":"O'Muircheartaigh","given":"Colm A."},{"family":"Waite","given":"Linda J."}],"issued":{"date-parts":[["2007",8,23]]}}}],"schema":"https://github.com/citation-style-language/schema/raw/master/csl-citation.json"} </w:instrText>
      </w:r>
      <w:r w:rsidR="005A4DCE" w:rsidRPr="008B13C9">
        <w:fldChar w:fldCharType="separate"/>
      </w:r>
      <w:r w:rsidR="00DF55D6" w:rsidRPr="008B13C9">
        <w:rPr>
          <w:rFonts w:ascii="Calibri" w:hAnsi="Calibri" w:cs="Calibri"/>
        </w:rPr>
        <w:t>(17,18)</w:t>
      </w:r>
      <w:r w:rsidR="005A4DCE" w:rsidRPr="008B13C9">
        <w:fldChar w:fldCharType="end"/>
      </w:r>
      <w:bookmarkEnd w:id="5"/>
      <w:r w:rsidR="006F3C02" w:rsidRPr="008B13C9">
        <w:t xml:space="preserve"> </w:t>
      </w:r>
      <w:r w:rsidR="00FA1176" w:rsidRPr="008B13C9">
        <w:t xml:space="preserve">Preventing such a decline in older adults may aid in the </w:t>
      </w:r>
      <w:r w:rsidR="00517041" w:rsidRPr="008B13C9">
        <w:t>preservation of health and wellbeing</w:t>
      </w:r>
      <w:r w:rsidR="0012511B" w:rsidRPr="008B13C9">
        <w:t xml:space="preserve">, but the extent to which sexual activity is modifiable </w:t>
      </w:r>
      <w:r w:rsidR="00043B6E" w:rsidRPr="008B13C9">
        <w:t>is unclear and likely depends on the drivers of declines in sexual activity in later life</w:t>
      </w:r>
      <w:r w:rsidR="00FA1176" w:rsidRPr="008B13C9">
        <w:t>.</w:t>
      </w:r>
      <w:r w:rsidR="00043B6E" w:rsidRPr="008B13C9">
        <w:t xml:space="preserve"> For example, the death of one’s partner is much more likely at older ages. Understanding the extent to which sexual activity varies as a function of weight status in this population group, after controlling for potential confounders, is important to gauge the extent to which it may be possible to improve the health and wellbeing of older adults with overweight and obesity by promoting continued engagement in sexual activity.</w:t>
      </w:r>
    </w:p>
    <w:p w14:paraId="323EEF3A" w14:textId="199C0F4A" w:rsidR="006F3C02" w:rsidRPr="008B13C9" w:rsidRDefault="00E04472" w:rsidP="008F07A4">
      <w:pPr>
        <w:spacing w:line="480" w:lineRule="auto"/>
      </w:pPr>
      <w:r w:rsidRPr="008B13C9">
        <w:t xml:space="preserve">This study therefore aimed to examine </w:t>
      </w:r>
      <w:r w:rsidR="00FD46A5" w:rsidRPr="008B13C9">
        <w:t xml:space="preserve">the association between weight status and sexual activity in a population-based sample of older adults living in England. Specifically, we analysed differences </w:t>
      </w:r>
      <w:r w:rsidR="00FD46A5" w:rsidRPr="008B13C9">
        <w:lastRenderedPageBreak/>
        <w:t xml:space="preserve">between individuals who were normal-weight, overweight and obese in the prevalence of any sexual activity in the last year, and the frequency of sexual </w:t>
      </w:r>
      <w:r w:rsidR="00A630CA" w:rsidRPr="008B13C9">
        <w:t>intercourse</w:t>
      </w:r>
      <w:r w:rsidR="00FD46A5" w:rsidRPr="008B13C9">
        <w:t xml:space="preserve"> in the last month among those who were sexually active.</w:t>
      </w:r>
    </w:p>
    <w:p w14:paraId="2624699C" w14:textId="77777777" w:rsidR="00AB20FA" w:rsidRPr="008B13C9" w:rsidRDefault="00AB20FA" w:rsidP="008F07A4">
      <w:pPr>
        <w:spacing w:line="480" w:lineRule="auto"/>
      </w:pPr>
    </w:p>
    <w:p w14:paraId="68D5E518" w14:textId="00D461F4" w:rsidR="00670640" w:rsidRPr="008B13C9" w:rsidRDefault="005663A8" w:rsidP="008F07A4">
      <w:pPr>
        <w:pStyle w:val="Heading1"/>
        <w:spacing w:line="480" w:lineRule="auto"/>
      </w:pPr>
      <w:r w:rsidRPr="008B13C9">
        <w:t xml:space="preserve">Materials and </w:t>
      </w:r>
      <w:r w:rsidR="00670640" w:rsidRPr="008B13C9">
        <w:t>Method</w:t>
      </w:r>
      <w:r w:rsidRPr="008B13C9">
        <w:t>s</w:t>
      </w:r>
    </w:p>
    <w:p w14:paraId="70C2B311" w14:textId="77777777" w:rsidR="00670640" w:rsidRPr="008B13C9" w:rsidRDefault="00670640" w:rsidP="008F07A4">
      <w:pPr>
        <w:pStyle w:val="Heading2"/>
        <w:spacing w:afterLines="120" w:after="288" w:line="480" w:lineRule="auto"/>
        <w:rPr>
          <w:rFonts w:ascii="Calibri" w:hAnsi="Calibri"/>
          <w:sz w:val="22"/>
          <w:szCs w:val="22"/>
        </w:rPr>
      </w:pPr>
      <w:r w:rsidRPr="008B13C9">
        <w:rPr>
          <w:rFonts w:ascii="Calibri" w:hAnsi="Calibri"/>
          <w:sz w:val="22"/>
          <w:szCs w:val="22"/>
        </w:rPr>
        <w:t>Study population</w:t>
      </w:r>
    </w:p>
    <w:p w14:paraId="785C7BD9" w14:textId="3A6F747C" w:rsidR="0044585F" w:rsidRPr="008B13C9" w:rsidRDefault="000940D5" w:rsidP="008F07A4">
      <w:pPr>
        <w:spacing w:afterLines="120" w:after="288" w:line="480" w:lineRule="auto"/>
        <w:rPr>
          <w:rFonts w:ascii="Calibri" w:hAnsi="Calibri"/>
        </w:rPr>
      </w:pPr>
      <w:r w:rsidRPr="008B13C9">
        <w:rPr>
          <w:rFonts w:ascii="Calibri" w:hAnsi="Calibri"/>
        </w:rPr>
        <w:t>Data were</w:t>
      </w:r>
      <w:r w:rsidR="0044585F" w:rsidRPr="008B13C9">
        <w:rPr>
          <w:rFonts w:ascii="Calibri" w:hAnsi="Calibri"/>
        </w:rPr>
        <w:t xml:space="preserve"> from the English Longitudinal Study of Ageing (ELSA)</w:t>
      </w:r>
      <w:r w:rsidRPr="008B13C9">
        <w:rPr>
          <w:rFonts w:ascii="Calibri" w:hAnsi="Calibri"/>
        </w:rPr>
        <w:t>,</w:t>
      </w:r>
      <w:r w:rsidR="0044585F" w:rsidRPr="008B13C9">
        <w:rPr>
          <w:rFonts w:ascii="Calibri" w:hAnsi="Calibri"/>
        </w:rPr>
        <w:t xml:space="preserve"> a population-</w:t>
      </w:r>
      <w:r w:rsidRPr="008B13C9">
        <w:rPr>
          <w:rFonts w:ascii="Calibri" w:hAnsi="Calibri"/>
        </w:rPr>
        <w:t>representative</w:t>
      </w:r>
      <w:r w:rsidR="0044585F" w:rsidRPr="008B13C9">
        <w:rPr>
          <w:rFonts w:ascii="Calibri" w:hAnsi="Calibri"/>
        </w:rPr>
        <w:t xml:space="preserve"> longitudinal panel study of men and women aged </w:t>
      </w:r>
      <w:r w:rsidRPr="008B13C9">
        <w:rPr>
          <w:rFonts w:ascii="Calibri" w:hAnsi="Calibri" w:cs="Calibri"/>
        </w:rPr>
        <w:t>≥</w:t>
      </w:r>
      <w:r w:rsidR="0044585F" w:rsidRPr="008B13C9">
        <w:rPr>
          <w:rFonts w:ascii="Calibri" w:hAnsi="Calibri"/>
        </w:rPr>
        <w:t xml:space="preserve">50 </w:t>
      </w:r>
      <w:r w:rsidRPr="008B13C9">
        <w:rPr>
          <w:rFonts w:ascii="Calibri" w:hAnsi="Calibri"/>
        </w:rPr>
        <w:t xml:space="preserve">years </w:t>
      </w:r>
      <w:r w:rsidR="0044585F" w:rsidRPr="008B13C9">
        <w:rPr>
          <w:rFonts w:ascii="Calibri" w:hAnsi="Calibri"/>
        </w:rPr>
        <w:t>living in England</w:t>
      </w:r>
      <w:r w:rsidR="00F80943" w:rsidRPr="008B13C9">
        <w:rPr>
          <w:rFonts w:ascii="Calibri" w:hAnsi="Calibri"/>
        </w:rPr>
        <w:t>.</w:t>
      </w:r>
      <w:r w:rsidR="00F63B4A" w:rsidRPr="008B13C9">
        <w:rPr>
          <w:rFonts w:ascii="Calibri" w:hAnsi="Calibri"/>
        </w:rPr>
        <w:fldChar w:fldCharType="begin"/>
      </w:r>
      <w:r w:rsidR="00DF55D6" w:rsidRPr="008B13C9">
        <w:rPr>
          <w:rFonts w:ascii="Calibri" w:hAnsi="Calibri"/>
        </w:rPr>
        <w:instrText xml:space="preserve"> ADDIN ZOTERO_ITEM CSL_CITATION {"citationID":"nYAmvvzw","properties":{"formattedCitation":"(19)","plainCitation":"(19)","noteIndex":0},"citationItems":[{"id":1308,"uris":["http://zotero.org/users/446899/items/3CSP8CP4"],"uri":["http://zotero.org/users/446899/items/3CSP8CP4"],"itemData":{"id":1308,"type":"article-journal","title":"Cohort profile: the English Longitudinal Study of Ageing","container-title":"International journal of epidemiology","page":"1640-1648","volume":"42","issue":"6","source":"NCBI P</w:instrText>
      </w:r>
      <w:r w:rsidR="00DF55D6" w:rsidRPr="008B13C9">
        <w:rPr>
          <w:rFonts w:ascii="Calibri" w:hAnsi="Calibri" w:hint="eastAsia"/>
        </w:rPr>
        <w:instrText xml:space="preserve">ubMed","abstract":"The English Longitudinal Study of Ageing (ELSA) is a panel study of a representative cohort of men and women living in England aged </w:instrText>
      </w:r>
      <w:r w:rsidR="00DF55D6" w:rsidRPr="008B13C9">
        <w:rPr>
          <w:rFonts w:ascii="Calibri" w:hAnsi="Calibri" w:hint="eastAsia"/>
        </w:rPr>
        <w:instrText>≥</w:instrText>
      </w:r>
      <w:r w:rsidR="00DF55D6" w:rsidRPr="008B13C9">
        <w:rPr>
          <w:rFonts w:ascii="Calibri" w:hAnsi="Calibri" w:hint="eastAsia"/>
        </w:rPr>
        <w:instrText>50 years. It was designed as a sister study to the Health and Retirement Study in the USA and is multid</w:instrText>
      </w:r>
      <w:r w:rsidR="00DF55D6" w:rsidRPr="008B13C9">
        <w:rPr>
          <w:rFonts w:ascii="Calibri" w:hAnsi="Calibri"/>
        </w:rPr>
        <w:instrText xml:space="preserve">isciplinary in orientation, involving the collection of economic, social, psychological, cognitive, health, biological and genetic data. The study commenced in 2002, and the sample has been followed up every 2 years. Data are collected using computer-assisted personal interviews and self-completion questionnaires, with additional nurse visits for the assessment of biomarkers every 4 years. The original sample consisted of 11 391 members ranging in age from 50 to 100 years. ELSA is harmonized with ageing studies in other countries to facilitate international comparisons, and is linked to financial and health registry data. The data set is openly available to researchers and analysts soon after collection (http://www.esds.ac.uk/longitudinal/access/elsa/l5050.asp).","DOI":"10.1093/ije/dys168","ISSN":"1464-3685","note":"PMID: 23143611 \nPMCID: PMC3900867","shortTitle":"Cohort profile","journalAbbreviation":"Int J Epidemiol","language":"eng","author":[{"family":"Steptoe","given":"Andrew"},{"family":"Breeze","given":"Elizabeth"},{"family":"Banks","given":"James"},{"family":"Nazroo","given":"James"}],"issued":{"date-parts":[["2013",12]]}}}],"schema":"https://github.com/citation-style-language/schema/raw/master/csl-citation.json"} </w:instrText>
      </w:r>
      <w:r w:rsidR="00F63B4A" w:rsidRPr="008B13C9">
        <w:rPr>
          <w:rFonts w:ascii="Calibri" w:hAnsi="Calibri"/>
        </w:rPr>
        <w:fldChar w:fldCharType="separate"/>
      </w:r>
      <w:r w:rsidR="00DF55D6" w:rsidRPr="008B13C9">
        <w:rPr>
          <w:rFonts w:ascii="Calibri" w:hAnsi="Calibri" w:cs="Calibri"/>
        </w:rPr>
        <w:t>(19)</w:t>
      </w:r>
      <w:r w:rsidR="00F63B4A" w:rsidRPr="008B13C9">
        <w:rPr>
          <w:rFonts w:ascii="Calibri" w:hAnsi="Calibri"/>
        </w:rPr>
        <w:fldChar w:fldCharType="end"/>
      </w:r>
      <w:r w:rsidR="00165A61" w:rsidRPr="008B13C9">
        <w:rPr>
          <w:rFonts w:ascii="Calibri" w:hAnsi="Calibri"/>
        </w:rPr>
        <w:t xml:space="preserve"> </w:t>
      </w:r>
      <w:r w:rsidR="00703CB0" w:rsidRPr="008B13C9">
        <w:rPr>
          <w:rFonts w:ascii="Calibri" w:hAnsi="Calibri"/>
        </w:rPr>
        <w:t>P</w:t>
      </w:r>
      <w:r w:rsidR="004F5591" w:rsidRPr="008B13C9">
        <w:rPr>
          <w:rFonts w:ascii="Calibri" w:hAnsi="Calibri"/>
        </w:rPr>
        <w:t xml:space="preserve">articipants </w:t>
      </w:r>
      <w:r w:rsidR="00703CB0" w:rsidRPr="008B13C9">
        <w:rPr>
          <w:rFonts w:ascii="Calibri" w:hAnsi="Calibri"/>
        </w:rPr>
        <w:t>take part in biennial assessments, in which they complete a computer assisted personal interview and self-completion questionnaires</w:t>
      </w:r>
      <w:r w:rsidR="004F5591" w:rsidRPr="008B13C9">
        <w:rPr>
          <w:rFonts w:ascii="Calibri" w:hAnsi="Calibri"/>
        </w:rPr>
        <w:t>, with a nurse visit in alternate (even) waves to collect objective measures of health status, including height and weight</w:t>
      </w:r>
      <w:r w:rsidR="0044585F" w:rsidRPr="008B13C9">
        <w:rPr>
          <w:rFonts w:ascii="Calibri" w:hAnsi="Calibri"/>
        </w:rPr>
        <w:t xml:space="preserve">. </w:t>
      </w:r>
      <w:r w:rsidR="00703CB0" w:rsidRPr="008B13C9">
        <w:rPr>
          <w:rFonts w:ascii="Calibri" w:hAnsi="Calibri"/>
        </w:rPr>
        <w:t xml:space="preserve">This study uses data from Wave 6 of ELSA (2012/13) as this </w:t>
      </w:r>
      <w:r w:rsidR="00464BBA" w:rsidRPr="008B13C9">
        <w:rPr>
          <w:rFonts w:ascii="Calibri" w:hAnsi="Calibri"/>
        </w:rPr>
        <w:t>was</w:t>
      </w:r>
      <w:r w:rsidR="00703CB0" w:rsidRPr="008B13C9">
        <w:rPr>
          <w:rFonts w:ascii="Calibri" w:hAnsi="Calibri"/>
        </w:rPr>
        <w:t xml:space="preserve"> the only </w:t>
      </w:r>
      <w:r w:rsidR="00464BBA" w:rsidRPr="008B13C9">
        <w:rPr>
          <w:rFonts w:ascii="Calibri" w:hAnsi="Calibri"/>
        </w:rPr>
        <w:t xml:space="preserve">available </w:t>
      </w:r>
      <w:r w:rsidR="00703CB0" w:rsidRPr="008B13C9">
        <w:rPr>
          <w:rFonts w:ascii="Calibri" w:hAnsi="Calibri"/>
        </w:rPr>
        <w:t xml:space="preserve">wave </w:t>
      </w:r>
      <w:r w:rsidR="00464BBA" w:rsidRPr="008B13C9">
        <w:rPr>
          <w:rFonts w:ascii="Calibri" w:hAnsi="Calibri"/>
        </w:rPr>
        <w:t>at the time of analysis</w:t>
      </w:r>
      <w:r w:rsidR="00703CB0" w:rsidRPr="008B13C9">
        <w:rPr>
          <w:rFonts w:ascii="Calibri" w:hAnsi="Calibri"/>
        </w:rPr>
        <w:t xml:space="preserve"> that included assessment of sexual activity</w:t>
      </w:r>
      <w:r w:rsidR="00464BBA" w:rsidRPr="008B13C9">
        <w:rPr>
          <w:rFonts w:ascii="Calibri" w:hAnsi="Calibri"/>
        </w:rPr>
        <w:t xml:space="preserve"> (these measures have since been repeated in Wave 8)</w:t>
      </w:r>
      <w:r w:rsidR="00703CB0" w:rsidRPr="008B13C9">
        <w:rPr>
          <w:rFonts w:ascii="Calibri" w:hAnsi="Calibri"/>
        </w:rPr>
        <w:t>.</w:t>
      </w:r>
      <w:r w:rsidR="002A54BF" w:rsidRPr="008B13C9">
        <w:rPr>
          <w:rFonts w:ascii="Calibri" w:hAnsi="Calibri"/>
        </w:rPr>
        <w:t xml:space="preserve"> We restricted our sample to those who had complete data on sexual activity, BMI</w:t>
      </w:r>
      <w:r w:rsidR="001F5D53" w:rsidRPr="008B13C9">
        <w:rPr>
          <w:rFonts w:ascii="Calibri" w:hAnsi="Calibri"/>
        </w:rPr>
        <w:t>,</w:t>
      </w:r>
      <w:r w:rsidR="002A54BF" w:rsidRPr="008B13C9">
        <w:rPr>
          <w:rFonts w:ascii="Calibri" w:hAnsi="Calibri"/>
        </w:rPr>
        <w:t xml:space="preserve"> and all covariate</w:t>
      </w:r>
      <w:r w:rsidR="00B6286A" w:rsidRPr="008B13C9">
        <w:rPr>
          <w:rFonts w:ascii="Calibri" w:hAnsi="Calibri"/>
        </w:rPr>
        <w:t>s</w:t>
      </w:r>
      <w:r w:rsidR="002A54BF" w:rsidRPr="008B13C9">
        <w:rPr>
          <w:rFonts w:ascii="Calibri" w:hAnsi="Calibri"/>
        </w:rPr>
        <w:t>.</w:t>
      </w:r>
      <w:r w:rsidR="00187BA0" w:rsidRPr="008B13C9">
        <w:rPr>
          <w:rFonts w:ascii="Calibri" w:hAnsi="Calibri"/>
        </w:rPr>
        <w:t xml:space="preserve"> </w:t>
      </w:r>
      <w:r w:rsidR="0044585F" w:rsidRPr="008B13C9">
        <w:rPr>
          <w:rFonts w:ascii="Calibri" w:hAnsi="Calibri"/>
        </w:rPr>
        <w:t>All participants gave full informed consent to participate in the study, and ethical approval was obtained from the London Multi‐Centre Research Ethics Committee.</w:t>
      </w:r>
    </w:p>
    <w:p w14:paraId="0F082A99" w14:textId="77777777" w:rsidR="00670640" w:rsidRPr="008B13C9" w:rsidRDefault="00553665" w:rsidP="008F07A4">
      <w:pPr>
        <w:pStyle w:val="Heading2"/>
        <w:spacing w:afterLines="120" w:after="288" w:line="480" w:lineRule="auto"/>
        <w:rPr>
          <w:rFonts w:ascii="Calibri" w:hAnsi="Calibri"/>
          <w:sz w:val="22"/>
          <w:szCs w:val="22"/>
        </w:rPr>
      </w:pPr>
      <w:r w:rsidRPr="008B13C9">
        <w:rPr>
          <w:rFonts w:ascii="Calibri" w:hAnsi="Calibri"/>
          <w:sz w:val="22"/>
          <w:szCs w:val="22"/>
        </w:rPr>
        <w:t>Measures</w:t>
      </w:r>
    </w:p>
    <w:p w14:paraId="3E70D1C4" w14:textId="34708D02" w:rsidR="009542C6" w:rsidRPr="008B13C9" w:rsidRDefault="009542C6" w:rsidP="009542C6">
      <w:pPr>
        <w:pStyle w:val="Heading3"/>
        <w:rPr>
          <w:i/>
          <w:iCs/>
          <w:u w:val="none"/>
          <w:shd w:val="clear" w:color="auto" w:fill="FFFFFF"/>
        </w:rPr>
      </w:pPr>
      <w:r w:rsidRPr="008B13C9">
        <w:rPr>
          <w:i/>
          <w:iCs/>
          <w:u w:val="none"/>
          <w:shd w:val="clear" w:color="auto" w:fill="FFFFFF"/>
        </w:rPr>
        <w:t>Measurement of exposure</w:t>
      </w:r>
    </w:p>
    <w:p w14:paraId="6AC1CE96" w14:textId="56777E87" w:rsidR="00B721F2" w:rsidRPr="008B13C9" w:rsidRDefault="00B721F2" w:rsidP="008F07A4">
      <w:pPr>
        <w:spacing w:line="480" w:lineRule="auto"/>
      </w:pPr>
      <w:r w:rsidRPr="008B13C9">
        <w:t xml:space="preserve">Weight was measured by nurses to the nearest 0.1 kg using portable electronic scales, and height was measured to the nearest millimetre using a portable stadiometer. </w:t>
      </w:r>
      <w:r w:rsidR="0070719E" w:rsidRPr="008B13C9">
        <w:t xml:space="preserve">Waist circumference was measured at the midpoint between the lower rib and the upper margin of the iliac crest using a tape with an insertion buckle at one end. The measurement was taken twice, using the same tape, and was recorded to the nearest even millimetre. Those whose waist measurements differed by more </w:t>
      </w:r>
      <w:r w:rsidR="0070719E" w:rsidRPr="008B13C9">
        <w:lastRenderedPageBreak/>
        <w:t xml:space="preserve">than 3 cm had a third measurement taken. The mean of the two valid measurements (the two out of the three measurements that were closest to each other, if there were three measurements) was used in the analyses. </w:t>
      </w:r>
      <w:r w:rsidRPr="008B13C9">
        <w:t>Nurses recorded any factors that might have compromised the reliability of the measurements (e.g., participant was stooped/unwilling to remove shoes) and these cases were excluded. BMI was c</w:t>
      </w:r>
      <w:r w:rsidR="00D16C40" w:rsidRPr="008B13C9">
        <w:t>alculated as weight in kg divided by the square of height in metres, and categorised as underweight (&lt;18.5), normal-weight (18.5-24.9), overweight (25.0-29.9) and obese (</w:t>
      </w:r>
      <w:r w:rsidR="00D16C40" w:rsidRPr="008B13C9">
        <w:rPr>
          <w:rFonts w:cstheme="minorHAnsi"/>
        </w:rPr>
        <w:t>≥30).</w:t>
      </w:r>
      <w:r w:rsidRPr="008B13C9">
        <w:t xml:space="preserve"> </w:t>
      </w:r>
      <w:r w:rsidR="00D16C40" w:rsidRPr="008B13C9">
        <w:t>Due to low numbers, we included underweight participants in the normal-weight category for analysis.</w:t>
      </w:r>
    </w:p>
    <w:p w14:paraId="25EB52A6" w14:textId="77777777" w:rsidR="009542C6" w:rsidRPr="008B13C9" w:rsidRDefault="009542C6" w:rsidP="009542C6">
      <w:pPr>
        <w:pStyle w:val="Heading3"/>
        <w:rPr>
          <w:i/>
          <w:iCs/>
          <w:u w:val="none"/>
          <w:shd w:val="clear" w:color="auto" w:fill="FFFFFF"/>
        </w:rPr>
      </w:pPr>
      <w:r w:rsidRPr="008B13C9">
        <w:rPr>
          <w:i/>
          <w:iCs/>
          <w:u w:val="none"/>
          <w:shd w:val="clear" w:color="auto" w:fill="FFFFFF"/>
        </w:rPr>
        <w:t>Measurement of outcomes</w:t>
      </w:r>
    </w:p>
    <w:p w14:paraId="4FCE6379" w14:textId="1DD3A6D4" w:rsidR="009542C6" w:rsidRPr="008B13C9" w:rsidRDefault="007A6EBC" w:rsidP="009542C6">
      <w:pPr>
        <w:spacing w:afterLines="120" w:after="288" w:line="480" w:lineRule="auto"/>
        <w:rPr>
          <w:rFonts w:ascii="Calibri" w:hAnsi="Calibri"/>
          <w:shd w:val="clear" w:color="auto" w:fill="FFFFFF"/>
        </w:rPr>
      </w:pPr>
      <w:r w:rsidRPr="008B13C9">
        <w:rPr>
          <w:rFonts w:ascii="Calibri" w:hAnsi="Calibri"/>
          <w:shd w:val="clear" w:color="auto" w:fill="FFFFFF"/>
        </w:rPr>
        <w:t>Past-year s</w:t>
      </w:r>
      <w:r w:rsidR="009542C6" w:rsidRPr="008B13C9">
        <w:rPr>
          <w:rFonts w:ascii="Calibri" w:hAnsi="Calibri"/>
          <w:shd w:val="clear" w:color="auto" w:fill="FFFFFF"/>
        </w:rPr>
        <w:t xml:space="preserve">exual activity </w:t>
      </w:r>
      <w:r w:rsidRPr="008B13C9">
        <w:rPr>
          <w:rFonts w:ascii="Calibri" w:hAnsi="Calibri"/>
          <w:shd w:val="clear" w:color="auto" w:fill="FFFFFF"/>
        </w:rPr>
        <w:t>and frequency of past-month sexual intercourse were</w:t>
      </w:r>
      <w:r w:rsidR="009542C6" w:rsidRPr="008B13C9">
        <w:rPr>
          <w:rFonts w:ascii="Calibri" w:hAnsi="Calibri"/>
          <w:shd w:val="clear" w:color="auto" w:fill="FFFFFF"/>
        </w:rPr>
        <w:t xml:space="preserve"> assessed </w:t>
      </w:r>
      <w:r w:rsidR="00CA3D5A" w:rsidRPr="008B13C9">
        <w:rPr>
          <w:rFonts w:ascii="Calibri" w:hAnsi="Calibri"/>
          <w:shd w:val="clear" w:color="auto" w:fill="FFFFFF"/>
        </w:rPr>
        <w:t>with</w:t>
      </w:r>
      <w:r w:rsidR="009542C6" w:rsidRPr="008B13C9">
        <w:rPr>
          <w:rFonts w:ascii="Calibri" w:hAnsi="Calibri"/>
          <w:shd w:val="clear" w:color="auto" w:fill="FFFFFF"/>
        </w:rPr>
        <w:t xml:space="preserve"> two items from the </w:t>
      </w:r>
      <w:r w:rsidR="009542C6" w:rsidRPr="008B13C9">
        <w:rPr>
          <w:rFonts w:ascii="Calibri" w:hAnsi="Calibri"/>
        </w:rPr>
        <w:t>Sexual Relationships and Activities Questionnaire (</w:t>
      </w:r>
      <w:r w:rsidR="009542C6" w:rsidRPr="008B13C9">
        <w:rPr>
          <w:rFonts w:ascii="Calibri" w:hAnsi="Calibri"/>
          <w:shd w:val="clear" w:color="auto" w:fill="FFFFFF"/>
        </w:rPr>
        <w:t>SRA-Q). All men and women were asked “</w:t>
      </w:r>
      <w:r w:rsidR="009542C6" w:rsidRPr="008B13C9">
        <w:rPr>
          <w:i/>
        </w:rPr>
        <w:t>Have you had any sexual activity (sexual intercourse, masturbation, petting or fondling) in the past year?</w:t>
      </w:r>
      <w:r w:rsidR="009542C6" w:rsidRPr="008B13C9">
        <w:t>” (yes/no). Those who reported being sexually active in the past year</w:t>
      </w:r>
      <w:r w:rsidR="00B550A1" w:rsidRPr="008B13C9">
        <w:t xml:space="preserve"> (i.e. answered “yes” to the </w:t>
      </w:r>
      <w:r w:rsidR="00EB0A72" w:rsidRPr="008B13C9">
        <w:t>previous</w:t>
      </w:r>
      <w:r w:rsidR="00B550A1" w:rsidRPr="008B13C9">
        <w:t xml:space="preserve"> question)</w:t>
      </w:r>
      <w:r w:rsidR="009542C6" w:rsidRPr="008B13C9">
        <w:t xml:space="preserve"> were asked “</w:t>
      </w:r>
      <w:r w:rsidR="009542C6" w:rsidRPr="008B13C9">
        <w:rPr>
          <w:i/>
        </w:rPr>
        <w:t>How many times have you had or attempted sexual intercourse (vaginal, anal or oral sex) in the past month?</w:t>
      </w:r>
      <w:r w:rsidR="009542C6" w:rsidRPr="008B13C9">
        <w:t>”, with the following response options: not at all, once in the past month, 2-3 times in the past month, once a week, 2-3 times a week, once a day, more than once a day. Due to low numbers of participants endorsing the latter three response options, we combined those reporting having or attempting sexual intercourse once a week or more for analyses. The SRA-Q was administered as a self-completion questionnaire and returned in a sealed envelope. Participants were advised that all responses would be kept anonymous.</w:t>
      </w:r>
    </w:p>
    <w:p w14:paraId="101ACEEA" w14:textId="62CF41B7" w:rsidR="009542C6" w:rsidRPr="008B13C9" w:rsidRDefault="009542C6" w:rsidP="008E5FE5">
      <w:pPr>
        <w:pStyle w:val="Heading3"/>
        <w:rPr>
          <w:i/>
          <w:iCs/>
          <w:u w:val="none"/>
          <w:shd w:val="clear" w:color="auto" w:fill="FFFFFF"/>
        </w:rPr>
      </w:pPr>
      <w:r w:rsidRPr="008B13C9">
        <w:rPr>
          <w:i/>
          <w:iCs/>
          <w:u w:val="none"/>
          <w:shd w:val="clear" w:color="auto" w:fill="FFFFFF"/>
        </w:rPr>
        <w:t>Measurement of covariates</w:t>
      </w:r>
    </w:p>
    <w:p w14:paraId="0FB9A0E5" w14:textId="2F6EF376" w:rsidR="00A769E5" w:rsidRPr="008B13C9" w:rsidRDefault="00F92842" w:rsidP="00A769E5">
      <w:pPr>
        <w:spacing w:afterLines="120" w:after="288" w:line="480" w:lineRule="auto"/>
        <w:rPr>
          <w:rFonts w:ascii="Calibri" w:hAnsi="Calibri"/>
          <w:shd w:val="clear" w:color="auto" w:fill="FFFFFF"/>
        </w:rPr>
      </w:pPr>
      <w:r w:rsidRPr="008B13C9">
        <w:rPr>
          <w:rFonts w:ascii="Calibri" w:hAnsi="Calibri"/>
          <w:shd w:val="clear" w:color="auto" w:fill="FFFFFF"/>
        </w:rPr>
        <w:t xml:space="preserve">We included </w:t>
      </w:r>
      <w:r w:rsidR="000E3578" w:rsidRPr="008B13C9">
        <w:rPr>
          <w:rFonts w:ascii="Calibri" w:hAnsi="Calibri"/>
          <w:shd w:val="clear" w:color="auto" w:fill="FFFFFF"/>
        </w:rPr>
        <w:t xml:space="preserve">in our analyses </w:t>
      </w:r>
      <w:r w:rsidRPr="008B13C9">
        <w:rPr>
          <w:rFonts w:ascii="Calibri" w:hAnsi="Calibri"/>
          <w:shd w:val="clear" w:color="auto" w:fill="FFFFFF"/>
        </w:rPr>
        <w:t xml:space="preserve">a range of covariates, selected </w:t>
      </w:r>
      <w:r w:rsidRPr="008B13C9">
        <w:rPr>
          <w:rFonts w:ascii="Calibri" w:hAnsi="Calibri"/>
          <w:i/>
          <w:iCs/>
          <w:shd w:val="clear" w:color="auto" w:fill="FFFFFF"/>
        </w:rPr>
        <w:t>a priori</w:t>
      </w:r>
      <w:r w:rsidRPr="008B13C9">
        <w:rPr>
          <w:rFonts w:ascii="Calibri" w:hAnsi="Calibri"/>
          <w:shd w:val="clear" w:color="auto" w:fill="FFFFFF"/>
        </w:rPr>
        <w:t xml:space="preserve">, </w:t>
      </w:r>
      <w:r w:rsidR="00A769E5" w:rsidRPr="008B13C9">
        <w:rPr>
          <w:rFonts w:ascii="Calibri" w:hAnsi="Calibri"/>
          <w:shd w:val="clear" w:color="auto" w:fill="FFFFFF"/>
        </w:rPr>
        <w:t>hypothesised to be independently associated with both the exposure (weight status) and outcome (</w:t>
      </w:r>
      <w:r w:rsidRPr="008B13C9">
        <w:rPr>
          <w:rFonts w:ascii="Calibri" w:hAnsi="Calibri"/>
          <w:shd w:val="clear" w:color="auto" w:fill="FFFFFF"/>
        </w:rPr>
        <w:t>sexual activity</w:t>
      </w:r>
      <w:r w:rsidR="00A769E5" w:rsidRPr="008B13C9">
        <w:rPr>
          <w:rFonts w:ascii="Calibri" w:hAnsi="Calibri"/>
          <w:shd w:val="clear" w:color="auto" w:fill="FFFFFF"/>
        </w:rPr>
        <w:t>)</w:t>
      </w:r>
      <w:r w:rsidRPr="008B13C9">
        <w:rPr>
          <w:rFonts w:ascii="Calibri" w:hAnsi="Calibri"/>
          <w:shd w:val="clear" w:color="auto" w:fill="FFFFFF"/>
        </w:rPr>
        <w:t xml:space="preserve"> of interest</w:t>
      </w:r>
      <w:r w:rsidR="00A769E5" w:rsidRPr="008B13C9">
        <w:rPr>
          <w:rFonts w:ascii="Calibri" w:hAnsi="Calibri"/>
          <w:shd w:val="clear" w:color="auto" w:fill="FFFFFF"/>
        </w:rPr>
        <w:t>.</w:t>
      </w:r>
    </w:p>
    <w:p w14:paraId="281F381F" w14:textId="3A3DEBFB" w:rsidR="00CE7155" w:rsidRPr="008B13C9" w:rsidRDefault="00670640" w:rsidP="008F07A4">
      <w:pPr>
        <w:spacing w:afterLines="120" w:after="288" w:line="480" w:lineRule="auto"/>
        <w:rPr>
          <w:rFonts w:ascii="Calibri" w:hAnsi="Calibri"/>
          <w:shd w:val="clear" w:color="auto" w:fill="FFFFFF"/>
        </w:rPr>
      </w:pPr>
      <w:r w:rsidRPr="008B13C9">
        <w:rPr>
          <w:rFonts w:ascii="Calibri" w:hAnsi="Calibri"/>
          <w:shd w:val="clear" w:color="auto" w:fill="FFFFFF"/>
        </w:rPr>
        <w:lastRenderedPageBreak/>
        <w:t xml:space="preserve">Demographic information included age, sex, ethnicity (white vs. non-white) and partner status (married/cohabiting, separated/divorced, widowed, or single/never married). </w:t>
      </w:r>
      <w:r w:rsidR="00CF68F7" w:rsidRPr="008B13C9">
        <w:rPr>
          <w:rFonts w:ascii="Calibri" w:hAnsi="Calibri"/>
          <w:shd w:val="clear" w:color="auto" w:fill="FFFFFF"/>
        </w:rPr>
        <w:t xml:space="preserve">We used </w:t>
      </w:r>
      <w:r w:rsidRPr="008B13C9">
        <w:rPr>
          <w:rFonts w:ascii="Calibri" w:hAnsi="Calibri"/>
          <w:shd w:val="clear" w:color="auto" w:fill="FFFFFF"/>
        </w:rPr>
        <w:t>household non-</w:t>
      </w:r>
      <w:r w:rsidR="00B03C8C" w:rsidRPr="008B13C9">
        <w:rPr>
          <w:rFonts w:ascii="Calibri" w:hAnsi="Calibri"/>
          <w:shd w:val="clear" w:color="auto" w:fill="FFFFFF"/>
        </w:rPr>
        <w:t>pension wealth</w:t>
      </w:r>
      <w:r w:rsidR="00CF68F7" w:rsidRPr="008B13C9">
        <w:rPr>
          <w:rFonts w:ascii="Calibri" w:hAnsi="Calibri"/>
          <w:shd w:val="clear" w:color="auto" w:fill="FFFFFF"/>
        </w:rPr>
        <w:t xml:space="preserve"> </w:t>
      </w:r>
      <w:r w:rsidR="009C24BE" w:rsidRPr="008B13C9">
        <w:rPr>
          <w:rFonts w:ascii="Calibri" w:hAnsi="Calibri"/>
          <w:shd w:val="clear" w:color="auto" w:fill="FFFFFF"/>
        </w:rPr>
        <w:t xml:space="preserve">quintile </w:t>
      </w:r>
      <w:r w:rsidR="00855648" w:rsidRPr="008B13C9">
        <w:rPr>
          <w:rFonts w:ascii="Calibri" w:hAnsi="Calibri"/>
          <w:shd w:val="clear" w:color="auto" w:fill="FFFFFF"/>
        </w:rPr>
        <w:t xml:space="preserve">(calculated across all ELSA Wave 6 participants) </w:t>
      </w:r>
      <w:r w:rsidR="00CF68F7" w:rsidRPr="008B13C9">
        <w:rPr>
          <w:rFonts w:ascii="Calibri" w:hAnsi="Calibri"/>
          <w:shd w:val="clear" w:color="auto" w:fill="FFFFFF"/>
        </w:rPr>
        <w:t>as an indicator of socio-economic status, as this measure</w:t>
      </w:r>
      <w:r w:rsidRPr="008B13C9">
        <w:rPr>
          <w:rFonts w:ascii="Calibri" w:hAnsi="Calibri"/>
          <w:shd w:val="clear" w:color="auto" w:fill="FFFFFF"/>
        </w:rPr>
        <w:t xml:space="preserve"> has been </w:t>
      </w:r>
      <w:r w:rsidR="00CF68F7" w:rsidRPr="008B13C9">
        <w:rPr>
          <w:rFonts w:ascii="Calibri" w:hAnsi="Calibri"/>
          <w:shd w:val="clear" w:color="auto" w:fill="FFFFFF"/>
        </w:rPr>
        <w:t>shown to be particularly sensitive</w:t>
      </w:r>
      <w:r w:rsidRPr="008B13C9">
        <w:rPr>
          <w:rFonts w:ascii="Calibri" w:hAnsi="Calibri"/>
          <w:shd w:val="clear" w:color="auto" w:fill="FFFFFF"/>
        </w:rPr>
        <w:t xml:space="preserve"> in this age group</w:t>
      </w:r>
      <w:r w:rsidR="00F80943" w:rsidRPr="008B13C9">
        <w:rPr>
          <w:rFonts w:ascii="Calibri" w:hAnsi="Calibri"/>
          <w:shd w:val="clear" w:color="auto" w:fill="FFFFFF"/>
        </w:rPr>
        <w:t>.</w:t>
      </w:r>
      <w:r w:rsidR="00F63B4A" w:rsidRPr="008B13C9">
        <w:rPr>
          <w:rFonts w:ascii="Calibri" w:hAnsi="Calibri"/>
          <w:shd w:val="clear" w:color="auto" w:fill="FFFFFF"/>
        </w:rPr>
        <w:fldChar w:fldCharType="begin"/>
      </w:r>
      <w:r w:rsidR="00DF55D6" w:rsidRPr="008B13C9">
        <w:rPr>
          <w:rFonts w:ascii="Calibri" w:hAnsi="Calibri"/>
          <w:shd w:val="clear" w:color="auto" w:fill="FFFFFF"/>
        </w:rPr>
        <w:instrText xml:space="preserve"> ADDIN ZOTERO_ITEM CSL_CITATION {"citationID":"cJbyHKtp","properties":{"formattedCitation":"(20)","plainCitation":"(20)","noteIndex":0},"citationItems":[{"id":1180,"uris":["http://zotero.org/users/446899/items/UCVHZBRV"],"uri":["http://zotero.org/users/446899/items/UCVHZBRV"],"itemData":{"id":1180,"type":"article-journal","title":"Socio-economic position","source":"Google Scholar","URL":"http://discovery.ucl.ac.uk/15366/1/15366.pdf","author":[{"family":"Banks","given":"James"},{"family":"Karlsen","given":"S."},{"family":"Oldfield","given":"Zoe"}],"issued":{"date-parts":[["2003"]]},"accessed":{"date-parts":[["2014",3,4]]}}}],"schema":"https://github.com/citation-style-language/schema/raw/master/csl-citation.json"} </w:instrText>
      </w:r>
      <w:r w:rsidR="00F63B4A" w:rsidRPr="008B13C9">
        <w:rPr>
          <w:rFonts w:ascii="Calibri" w:hAnsi="Calibri"/>
          <w:shd w:val="clear" w:color="auto" w:fill="FFFFFF"/>
        </w:rPr>
        <w:fldChar w:fldCharType="separate"/>
      </w:r>
      <w:r w:rsidR="00DF55D6" w:rsidRPr="008B13C9">
        <w:rPr>
          <w:rFonts w:ascii="Calibri" w:hAnsi="Calibri" w:cs="Calibri"/>
        </w:rPr>
        <w:t>(20)</w:t>
      </w:r>
      <w:r w:rsidR="00F63B4A" w:rsidRPr="008B13C9">
        <w:rPr>
          <w:rFonts w:ascii="Calibri" w:hAnsi="Calibri"/>
          <w:shd w:val="clear" w:color="auto" w:fill="FFFFFF"/>
        </w:rPr>
        <w:fldChar w:fldCharType="end"/>
      </w:r>
    </w:p>
    <w:p w14:paraId="60556942" w14:textId="47893EE8" w:rsidR="00CA491B" w:rsidRPr="008B13C9" w:rsidRDefault="00CE7155" w:rsidP="008F07A4">
      <w:pPr>
        <w:spacing w:afterLines="120" w:after="288" w:line="480" w:lineRule="auto"/>
        <w:rPr>
          <w:rFonts w:ascii="Calibri" w:hAnsi="Calibri"/>
          <w:shd w:val="clear" w:color="auto" w:fill="FFFFFF"/>
        </w:rPr>
      </w:pPr>
      <w:r w:rsidRPr="008B13C9">
        <w:rPr>
          <w:rFonts w:ascii="Calibri" w:hAnsi="Calibri"/>
          <w:shd w:val="clear" w:color="auto" w:fill="FFFFFF"/>
        </w:rPr>
        <w:t>H</w:t>
      </w:r>
      <w:r w:rsidR="00556F9A" w:rsidRPr="008B13C9">
        <w:rPr>
          <w:rFonts w:ascii="Calibri" w:hAnsi="Calibri"/>
          <w:shd w:val="clear" w:color="auto" w:fill="FFFFFF"/>
        </w:rPr>
        <w:t>ealth-related variables</w:t>
      </w:r>
      <w:r w:rsidRPr="008B13C9">
        <w:rPr>
          <w:rFonts w:ascii="Calibri" w:hAnsi="Calibri"/>
          <w:shd w:val="clear" w:color="auto" w:fill="FFFFFF"/>
        </w:rPr>
        <w:t xml:space="preserve"> included </w:t>
      </w:r>
      <w:r w:rsidR="00CF7C96" w:rsidRPr="008B13C9">
        <w:rPr>
          <w:rFonts w:ascii="Calibri" w:hAnsi="Calibri"/>
          <w:shd w:val="clear" w:color="auto" w:fill="FFFFFF"/>
        </w:rPr>
        <w:t xml:space="preserve">self-reported limiting long-standing illness, </w:t>
      </w:r>
      <w:r w:rsidR="00670640" w:rsidRPr="008B13C9">
        <w:rPr>
          <w:rFonts w:ascii="Calibri" w:hAnsi="Calibri"/>
          <w:shd w:val="clear" w:color="auto" w:fill="FFFFFF"/>
        </w:rPr>
        <w:t>smoking status (smoker</w:t>
      </w:r>
      <w:r w:rsidR="00381D43" w:rsidRPr="008B13C9">
        <w:rPr>
          <w:rFonts w:ascii="Calibri" w:hAnsi="Calibri"/>
          <w:shd w:val="clear" w:color="auto" w:fill="FFFFFF"/>
        </w:rPr>
        <w:t xml:space="preserve"> vs. non-smoker</w:t>
      </w:r>
      <w:r w:rsidR="00670640" w:rsidRPr="008B13C9">
        <w:rPr>
          <w:rFonts w:ascii="Calibri" w:hAnsi="Calibri"/>
          <w:shd w:val="clear" w:color="auto" w:fill="FFFFFF"/>
        </w:rPr>
        <w:t xml:space="preserve">) and frequency of alcohol intake, categorised as never/rarely (never – once or twice a year), regularly (once every </w:t>
      </w:r>
      <w:r w:rsidR="009A1BEC" w:rsidRPr="008B13C9">
        <w:rPr>
          <w:rFonts w:ascii="Calibri" w:hAnsi="Calibri"/>
          <w:shd w:val="clear" w:color="auto" w:fill="FFFFFF"/>
        </w:rPr>
        <w:t>couple of</w:t>
      </w:r>
      <w:r w:rsidR="00670640" w:rsidRPr="008B13C9">
        <w:rPr>
          <w:rFonts w:ascii="Calibri" w:hAnsi="Calibri"/>
          <w:shd w:val="clear" w:color="auto" w:fill="FFFFFF"/>
        </w:rPr>
        <w:t xml:space="preserve"> months – twice a week), or frequently (3 days a week – almost every day).</w:t>
      </w:r>
      <w:r w:rsidR="00215D6D" w:rsidRPr="008B13C9">
        <w:t>[</w:t>
      </w:r>
      <w:r w:rsidR="00215D6D" w:rsidRPr="008B13C9">
        <w:rPr>
          <w:noProof/>
        </w:rPr>
        <w:t>8</w:t>
      </w:r>
      <w:r w:rsidR="00215D6D" w:rsidRPr="008B13C9">
        <w:t xml:space="preserve">] </w:t>
      </w:r>
      <w:r w:rsidR="00670640" w:rsidRPr="008B13C9">
        <w:rPr>
          <w:rFonts w:ascii="Calibri" w:hAnsi="Calibri"/>
          <w:shd w:val="clear" w:color="auto" w:fill="FFFFFF"/>
        </w:rPr>
        <w:t xml:space="preserve"> </w:t>
      </w:r>
      <w:r w:rsidR="00D5062D" w:rsidRPr="008B13C9">
        <w:rPr>
          <w:rFonts w:ascii="Calibri" w:hAnsi="Calibri"/>
          <w:shd w:val="clear" w:color="auto" w:fill="FFFFFF"/>
        </w:rPr>
        <w:t>Physical activity was assessed with three items that asked participants how often they took part in vigorous, moderate and low-intensity activities (more than once a week, once a week, 1-3 times a month, hardly ever/never)</w:t>
      </w:r>
      <w:r w:rsidR="00F80943" w:rsidRPr="008B13C9">
        <w:rPr>
          <w:rFonts w:ascii="Calibri" w:hAnsi="Calibri"/>
          <w:shd w:val="clear" w:color="auto" w:fill="FFFFFF"/>
        </w:rPr>
        <w:t>,</w:t>
      </w:r>
      <w:r w:rsidR="00AD2544" w:rsidRPr="008B13C9">
        <w:rPr>
          <w:rFonts w:ascii="Calibri" w:hAnsi="Calibri"/>
          <w:shd w:val="clear" w:color="auto" w:fill="FFFFFF"/>
        </w:rPr>
        <w:fldChar w:fldCharType="begin"/>
      </w:r>
      <w:r w:rsidR="00DF55D6" w:rsidRPr="008B13C9">
        <w:rPr>
          <w:rFonts w:ascii="Calibri" w:hAnsi="Calibri"/>
          <w:shd w:val="clear" w:color="auto" w:fill="FFFFFF"/>
        </w:rPr>
        <w:instrText xml:space="preserve"> ADDIN ZOTERO_ITEM CSL_CITATION {"citationID":"JGNegrwB","properties":{"formattedCitation":"(21)","plainCitation":"(21)","noteIndex":0},"citationItems":[{"id":123,"uris":["http://zotero.org/users/446899/items/I62RXRAI"],"uri":["http://zotero.org/users/446899/items/I62RXRAI"],"itemData":{"id":123,"type":"article-journal","title":"Low-intensity physical activity is associated with reduced risk of incident type 2 diabetes in older adults: evidence from the English Longitudinal Study of Ageing","container-title":"Diabetologia","page":"1877-1885","volume":"53","source":"CrossRef","DOI":"10.1007/s00125-010-1785-x","ISSN":"0012-186X, 1432-0428","shortTitle":"Low-intensity physical activity is associated with reduced risk of incident type 2 diabetes in older adults","author":[{"family":"Demakakos","given":"P."},{"family":"Hamer","given":"M."},{"family":"Stamatakis","given":"E."},{"family":"Steptoe","given":"A."}],"issued":{"date-parts":[["2010",5,22]]}}}],"schema":"https://github.com/citation-style-language/schema/raw/master/csl-citation.json"} </w:instrText>
      </w:r>
      <w:r w:rsidR="00AD2544" w:rsidRPr="008B13C9">
        <w:rPr>
          <w:rFonts w:ascii="Calibri" w:hAnsi="Calibri"/>
          <w:shd w:val="clear" w:color="auto" w:fill="FFFFFF"/>
        </w:rPr>
        <w:fldChar w:fldCharType="separate"/>
      </w:r>
      <w:r w:rsidR="00DF55D6" w:rsidRPr="008B13C9">
        <w:rPr>
          <w:rFonts w:ascii="Calibri" w:hAnsi="Calibri" w:cs="Calibri"/>
        </w:rPr>
        <w:t>(21)</w:t>
      </w:r>
      <w:r w:rsidR="00AD2544" w:rsidRPr="008B13C9">
        <w:rPr>
          <w:rFonts w:ascii="Calibri" w:hAnsi="Calibri"/>
          <w:shd w:val="clear" w:color="auto" w:fill="FFFFFF"/>
        </w:rPr>
        <w:fldChar w:fldCharType="end"/>
      </w:r>
      <w:r w:rsidR="00414FA4" w:rsidRPr="008B13C9">
        <w:rPr>
          <w:rFonts w:ascii="Calibri" w:hAnsi="Calibri"/>
          <w:shd w:val="clear" w:color="auto" w:fill="FFFFFF"/>
        </w:rPr>
        <w:t xml:space="preserve"> </w:t>
      </w:r>
      <w:r w:rsidR="008126E1" w:rsidRPr="008B13C9">
        <w:rPr>
          <w:rFonts w:ascii="Calibri" w:hAnsi="Calibri"/>
          <w:shd w:val="clear" w:color="auto" w:fill="FFFFFF"/>
        </w:rPr>
        <w:t>and</w:t>
      </w:r>
      <w:r w:rsidR="00BE2430" w:rsidRPr="008B13C9">
        <w:rPr>
          <w:rFonts w:ascii="Calibri" w:hAnsi="Calibri"/>
          <w:shd w:val="clear" w:color="auto" w:fill="FFFFFF"/>
        </w:rPr>
        <w:t xml:space="preserve"> </w:t>
      </w:r>
      <w:r w:rsidR="00D5062D" w:rsidRPr="008B13C9">
        <w:rPr>
          <w:rFonts w:ascii="Calibri" w:hAnsi="Calibri"/>
          <w:shd w:val="clear" w:color="auto" w:fill="FFFFFF"/>
        </w:rPr>
        <w:t xml:space="preserve">further categorised into three </w:t>
      </w:r>
      <w:r w:rsidR="00D3696F" w:rsidRPr="008B13C9">
        <w:rPr>
          <w:rFonts w:ascii="Calibri" w:hAnsi="Calibri"/>
          <w:shd w:val="clear" w:color="auto" w:fill="FFFFFF"/>
        </w:rPr>
        <w:t>groups</w:t>
      </w:r>
      <w:r w:rsidR="00414FA4" w:rsidRPr="008B13C9">
        <w:rPr>
          <w:rFonts w:ascii="Calibri" w:hAnsi="Calibri"/>
          <w:shd w:val="clear" w:color="auto" w:fill="FFFFFF"/>
        </w:rPr>
        <w:t>, as previously described</w:t>
      </w:r>
      <w:r w:rsidR="00F80943" w:rsidRPr="008B13C9">
        <w:rPr>
          <w:rFonts w:ascii="Calibri" w:hAnsi="Calibri"/>
          <w:shd w:val="clear" w:color="auto" w:fill="FFFFFF"/>
        </w:rPr>
        <w:t>:</w:t>
      </w:r>
      <w:r w:rsidR="00414FA4" w:rsidRPr="008B13C9">
        <w:rPr>
          <w:rFonts w:ascii="Calibri" w:hAnsi="Calibri"/>
          <w:shd w:val="clear" w:color="auto" w:fill="FFFFFF"/>
        </w:rPr>
        <w:t xml:space="preserve"> </w:t>
      </w:r>
      <w:r w:rsidR="00D5062D" w:rsidRPr="008B13C9">
        <w:rPr>
          <w:rFonts w:ascii="Calibri" w:hAnsi="Calibri"/>
          <w:shd w:val="clear" w:color="auto" w:fill="FFFFFF"/>
        </w:rPr>
        <w:t>inactive (no moderate/vigorous activity on a weekly basis); moderate activity at least once a week; and vigorous activity at least once a week.</w:t>
      </w:r>
      <w:r w:rsidR="00AD2544" w:rsidRPr="008B13C9">
        <w:rPr>
          <w:rFonts w:ascii="Calibri" w:hAnsi="Calibri"/>
          <w:shd w:val="clear" w:color="auto" w:fill="FFFFFF"/>
        </w:rPr>
        <w:fldChar w:fldCharType="begin"/>
      </w:r>
      <w:r w:rsidR="00DF55D6" w:rsidRPr="008B13C9">
        <w:rPr>
          <w:rFonts w:ascii="Calibri" w:hAnsi="Calibri"/>
          <w:shd w:val="clear" w:color="auto" w:fill="FFFFFF"/>
        </w:rPr>
        <w:instrText xml:space="preserve"> ADDIN ZOTERO_ITEM CSL_CITATION {"citationID":"y48ofzE4","properties":{"formattedCitation":"(22)","plainCitation":"(22)","noteIndex":0},"citationItems":[{"id":1546,"uris":["http://zotero.org/users/446899/items/3E7VIJE6"],"uri":["http://zotero.org/users/446899/items/3E7VIJE6"],"itemData":{"id":1546,"type":"article-journal","title":"Leisure time physical activity, risk of depressive symptoms, and inflammatory mediators: the English Longitudinal Study of Ageing","container-title":"Psychoneuroendocrinology","page":"1050-1055","volume":"34","issue":"7","source":"PubMed","abstract":"OBJECTIVES: To examine if inflammatory markers (CRP, fibrinogen) might partly explain the association between physical activity (PA) and risk of depression.\nDESIGN/SETTING: The English Longitudinal Study of Ageing, a prospective study of community dwelling older adults.\nPARTICIPANTS: 4323 men and women (aged 63.4+/-9.7 yrs) free from depression at baseline.\nMEASURES: Self reported leisure time PA levels and depressive symptoms (a score of &gt; or = 4 using the 8-item CES-D scale) were assessed at baseline and 4 yrs follow up. The inflammatory markers, CRP and fibrinogen, were assessed at a 2 yrs intermediate time point between baseline and follow up.\nRESULTS: At follow up 8% of the sample reported depressive symptomatology. In comparison with participants reporting none or light PA, the odds of depressive symptomatology for those reporting moderate or vigorous PA were 0.71 (95% CI, 0.54-0.95) and 0.58 (0.41-0.81), respectively, after adjustments for baseline CES-D score, age, gender, social-occupational class, smoking, alcohol, and chronic illness. Each standard unit increase in log CRP was associated with higher odds of depressive symptomatology at follow up (1.32, 1.13-1.55) and CRP was inversely associated with physical activity. The association between PA and depressive symptomatology was not, however, substantially modified by further adjustment for CRP (odds for none vs. vigorous PA=0.60, 0.43-0.84).\nCONCLUSIONS: These data suggest that low grade systemic inflammation, as indexed by CRP, is a risk marker for depressive symptomatology, although this mechanism explains only a modest (approximately 5%) amount of the association between PA and risk of depression.","DOI":"10.1016/j.psyneuen.2009.02.004","ISSN":"1873-3360","note":"PMID: 19272716","shortTitle":"Leisure time physical activity, risk of depressive symptoms, and inflammatory mediators","journalAbbreviation":"Psychoneuroendocrinology","language":"eng","author":[{"family":"Hamer","given":"Mark"},{"family":"Molloy","given":"Gerard J."},{"family":"Oliveira","given":"Cesar","non-dropping-particle":"de"},{"family":"Demakakos","given":"Panayotes"}],"issued":{"date-parts":[["2009",8]]}}}],"schema":"https://github.com/citation-style-language/schema/raw/master/csl-citation.json"} </w:instrText>
      </w:r>
      <w:r w:rsidR="00AD2544" w:rsidRPr="008B13C9">
        <w:rPr>
          <w:rFonts w:ascii="Calibri" w:hAnsi="Calibri"/>
          <w:shd w:val="clear" w:color="auto" w:fill="FFFFFF"/>
        </w:rPr>
        <w:fldChar w:fldCharType="separate"/>
      </w:r>
      <w:r w:rsidR="00DF55D6" w:rsidRPr="008B13C9">
        <w:rPr>
          <w:rFonts w:ascii="Calibri" w:hAnsi="Calibri" w:cs="Calibri"/>
        </w:rPr>
        <w:t>(22)</w:t>
      </w:r>
      <w:r w:rsidR="00AD2544" w:rsidRPr="008B13C9">
        <w:rPr>
          <w:rFonts w:ascii="Calibri" w:hAnsi="Calibri"/>
          <w:shd w:val="clear" w:color="auto" w:fill="FFFFFF"/>
        </w:rPr>
        <w:fldChar w:fldCharType="end"/>
      </w:r>
      <w:r w:rsidR="00596070" w:rsidRPr="008B13C9">
        <w:rPr>
          <w:rFonts w:ascii="Calibri" w:hAnsi="Calibri"/>
          <w:shd w:val="clear" w:color="auto" w:fill="FFFFFF"/>
        </w:rPr>
        <w:t xml:space="preserve"> </w:t>
      </w:r>
      <w:r w:rsidR="00553B31" w:rsidRPr="008B13C9">
        <w:rPr>
          <w:rFonts w:ascii="Calibri" w:hAnsi="Calibri"/>
          <w:shd w:val="clear" w:color="auto" w:fill="FFFFFF"/>
        </w:rPr>
        <w:t>Depressive symptoms were assessed using the 8-item Centre of Epidemiological Studies Depression (CES-D) scale, a scale highly validated for use in older adults</w:t>
      </w:r>
      <w:r w:rsidR="00F80943" w:rsidRPr="008B13C9">
        <w:rPr>
          <w:rFonts w:ascii="Calibri" w:hAnsi="Calibri"/>
          <w:shd w:val="clear" w:color="auto" w:fill="FFFFFF"/>
        </w:rPr>
        <w:t>.</w:t>
      </w:r>
      <w:r w:rsidR="00AD2544" w:rsidRPr="008B13C9">
        <w:rPr>
          <w:rFonts w:ascii="Calibri" w:hAnsi="Calibri"/>
          <w:shd w:val="clear" w:color="auto" w:fill="FFFFFF"/>
        </w:rPr>
        <w:fldChar w:fldCharType="begin"/>
      </w:r>
      <w:r w:rsidR="00DF55D6" w:rsidRPr="008B13C9">
        <w:rPr>
          <w:rFonts w:ascii="Calibri" w:hAnsi="Calibri"/>
          <w:shd w:val="clear" w:color="auto" w:fill="FFFFFF"/>
        </w:rPr>
        <w:instrText xml:space="preserve"> ADDIN ZOTERO_ITEM CSL_CITATION {"citationID":"2VLByvLa","properties":{"formattedCitation":"(23)","plainCitation":"(23)","noteIndex":0},"citationItems":[{"id":203,"uris":["http://zotero.org/users/446899/items/KSNSDFX5"],"uri":["http://zotero.org/users/446899/items/KSNSDFX5"],"itemData":{"id":203,"type":"article","title":"Documentation of affective functioning measures in the Health and Retirement Study","publisher":"HRS Documentation Report DR-005","author":[{"family":"Steffick","given":"D.E."}],"issued":{"date-parts":[["2000"]]}}}],"schema":"https://github.com/citation-style-language/schema/raw/master/csl-citation.json"} </w:instrText>
      </w:r>
      <w:r w:rsidR="00AD2544" w:rsidRPr="008B13C9">
        <w:rPr>
          <w:rFonts w:ascii="Calibri" w:hAnsi="Calibri"/>
          <w:shd w:val="clear" w:color="auto" w:fill="FFFFFF"/>
        </w:rPr>
        <w:fldChar w:fldCharType="separate"/>
      </w:r>
      <w:r w:rsidR="00DF55D6" w:rsidRPr="008B13C9">
        <w:rPr>
          <w:rFonts w:ascii="Calibri" w:hAnsi="Calibri" w:cs="Calibri"/>
        </w:rPr>
        <w:t>(23)</w:t>
      </w:r>
      <w:r w:rsidR="00AD2544" w:rsidRPr="008B13C9">
        <w:rPr>
          <w:rFonts w:ascii="Calibri" w:hAnsi="Calibri"/>
          <w:shd w:val="clear" w:color="auto" w:fill="FFFFFF"/>
        </w:rPr>
        <w:fldChar w:fldCharType="end"/>
      </w:r>
    </w:p>
    <w:p w14:paraId="5994A67E" w14:textId="77777777" w:rsidR="00670640" w:rsidRPr="008B13C9" w:rsidRDefault="00670640" w:rsidP="008F07A4">
      <w:pPr>
        <w:pStyle w:val="Heading2"/>
        <w:spacing w:afterLines="120" w:after="288" w:line="480" w:lineRule="auto"/>
        <w:rPr>
          <w:rFonts w:ascii="Calibri" w:hAnsi="Calibri"/>
          <w:sz w:val="22"/>
          <w:szCs w:val="22"/>
        </w:rPr>
      </w:pPr>
      <w:r w:rsidRPr="008B13C9">
        <w:rPr>
          <w:rFonts w:ascii="Calibri" w:hAnsi="Calibri"/>
          <w:sz w:val="22"/>
          <w:szCs w:val="22"/>
        </w:rPr>
        <w:t>Statistical analysis</w:t>
      </w:r>
    </w:p>
    <w:p w14:paraId="36C41C92" w14:textId="602FC5E7" w:rsidR="00670640" w:rsidRPr="008B13C9" w:rsidRDefault="00670640" w:rsidP="008F07A4">
      <w:pPr>
        <w:spacing w:afterLines="120" w:after="288" w:line="480" w:lineRule="auto"/>
        <w:rPr>
          <w:rFonts w:ascii="Calibri" w:hAnsi="Calibri"/>
          <w:shd w:val="clear" w:color="auto" w:fill="FFFFFF"/>
        </w:rPr>
      </w:pPr>
      <w:r w:rsidRPr="008B13C9">
        <w:rPr>
          <w:rFonts w:ascii="Calibri" w:hAnsi="Calibri"/>
          <w:shd w:val="clear" w:color="auto" w:fill="FFFFFF"/>
        </w:rPr>
        <w:t xml:space="preserve">Analyses were performed using IBM SPSS Statistics </w:t>
      </w:r>
      <w:r w:rsidR="004E4855" w:rsidRPr="008B13C9">
        <w:rPr>
          <w:rFonts w:ascii="Calibri" w:hAnsi="Calibri"/>
          <w:shd w:val="clear" w:color="auto" w:fill="FFFFFF"/>
        </w:rPr>
        <w:t>v.</w:t>
      </w:r>
      <w:r w:rsidRPr="008B13C9">
        <w:rPr>
          <w:rFonts w:ascii="Calibri" w:hAnsi="Calibri"/>
          <w:shd w:val="clear" w:color="auto" w:fill="FFFFFF"/>
        </w:rPr>
        <w:t>2</w:t>
      </w:r>
      <w:r w:rsidR="00D57174" w:rsidRPr="008B13C9">
        <w:rPr>
          <w:rFonts w:ascii="Calibri" w:hAnsi="Calibri"/>
          <w:shd w:val="clear" w:color="auto" w:fill="FFFFFF"/>
        </w:rPr>
        <w:t>5</w:t>
      </w:r>
      <w:r w:rsidRPr="008B13C9">
        <w:rPr>
          <w:rFonts w:ascii="Calibri" w:hAnsi="Calibri"/>
          <w:shd w:val="clear" w:color="auto" w:fill="FFFFFF"/>
        </w:rPr>
        <w:t xml:space="preserve">. Data were weighted to correct for sampling probabilities and for differential non-response and to calibrate back to the 2011 National Census population distributions for age and sex. The weights accounted for the differential probability of being included in </w:t>
      </w:r>
      <w:r w:rsidR="00115A58" w:rsidRPr="008B13C9">
        <w:rPr>
          <w:rFonts w:ascii="Calibri" w:hAnsi="Calibri"/>
          <w:shd w:val="clear" w:color="auto" w:fill="FFFFFF"/>
        </w:rPr>
        <w:t>W</w:t>
      </w:r>
      <w:r w:rsidRPr="008B13C9">
        <w:rPr>
          <w:rFonts w:ascii="Calibri" w:hAnsi="Calibri"/>
          <w:shd w:val="clear" w:color="auto" w:fill="FFFFFF"/>
        </w:rPr>
        <w:t>ave 6 of ELSA and for non-response to the SRA‐Q. Details can be found at </w:t>
      </w:r>
      <w:r w:rsidRPr="008B13C9">
        <w:rPr>
          <w:rFonts w:ascii="Calibri" w:hAnsi="Calibri"/>
        </w:rPr>
        <w:t>http://doc.ukdataservice.ac.uk/doc/</w:t>
      </w:r>
      <w:r w:rsidRPr="008B13C9">
        <w:rPr>
          <w:rFonts w:ascii="Calibri" w:hAnsi="Calibri"/>
          <w:shd w:val="clear" w:color="auto" w:fill="FFFFFF"/>
        </w:rPr>
        <w:t>5050</w:t>
      </w:r>
      <w:r w:rsidRPr="008B13C9">
        <w:rPr>
          <w:rFonts w:ascii="Calibri" w:hAnsi="Calibri"/>
        </w:rPr>
        <w:t>/mrdoc/pdf/</w:t>
      </w:r>
      <w:r w:rsidRPr="008B13C9">
        <w:rPr>
          <w:rFonts w:ascii="Calibri" w:hAnsi="Calibri"/>
          <w:shd w:val="clear" w:color="auto" w:fill="FFFFFF"/>
        </w:rPr>
        <w:t>5050</w:t>
      </w:r>
      <w:r w:rsidRPr="008B13C9">
        <w:rPr>
          <w:rFonts w:ascii="Calibri" w:hAnsi="Calibri"/>
        </w:rPr>
        <w:t>_elsa_w6_technical_report_v1.pdf</w:t>
      </w:r>
      <w:r w:rsidRPr="008B13C9">
        <w:rPr>
          <w:rFonts w:ascii="Calibri" w:hAnsi="Calibri"/>
          <w:shd w:val="clear" w:color="auto" w:fill="FFFFFF"/>
        </w:rPr>
        <w:t>.</w:t>
      </w:r>
    </w:p>
    <w:p w14:paraId="1C88DCFD" w14:textId="3FB973BB" w:rsidR="007F3014" w:rsidRPr="008B13C9" w:rsidRDefault="00B80EC8" w:rsidP="008F07A4">
      <w:pPr>
        <w:spacing w:afterLines="120" w:after="288" w:line="480" w:lineRule="auto"/>
        <w:rPr>
          <w:rFonts w:ascii="Calibri" w:hAnsi="Calibri"/>
        </w:rPr>
      </w:pPr>
      <w:r w:rsidRPr="008B13C9">
        <w:rPr>
          <w:rFonts w:ascii="Calibri" w:hAnsi="Calibri"/>
        </w:rPr>
        <w:t xml:space="preserve">Associations between weight status and covariates </w:t>
      </w:r>
      <w:r w:rsidR="001C74C3" w:rsidRPr="008B13C9">
        <w:rPr>
          <w:rFonts w:ascii="Calibri" w:hAnsi="Calibri"/>
        </w:rPr>
        <w:t>were assessed</w:t>
      </w:r>
      <w:r w:rsidR="009F39E5" w:rsidRPr="008B13C9">
        <w:rPr>
          <w:rFonts w:ascii="Calibri" w:hAnsi="Calibri"/>
        </w:rPr>
        <w:t xml:space="preserve"> using </w:t>
      </w:r>
      <w:r w:rsidR="00532828" w:rsidRPr="008B13C9">
        <w:rPr>
          <w:rFonts w:ascii="Calibri" w:hAnsi="Calibri"/>
        </w:rPr>
        <w:t>one-way analyses of variance (ANOVAs)</w:t>
      </w:r>
      <w:r w:rsidR="009F39E5" w:rsidRPr="008B13C9">
        <w:rPr>
          <w:rFonts w:ascii="Calibri" w:hAnsi="Calibri"/>
        </w:rPr>
        <w:t xml:space="preserve"> </w:t>
      </w:r>
      <w:r w:rsidR="00532828" w:rsidRPr="008B13C9">
        <w:rPr>
          <w:rFonts w:ascii="Calibri" w:hAnsi="Calibri"/>
        </w:rPr>
        <w:t xml:space="preserve">for </w:t>
      </w:r>
      <w:r w:rsidR="009F39E5" w:rsidRPr="008B13C9">
        <w:rPr>
          <w:rFonts w:ascii="Calibri" w:hAnsi="Calibri"/>
        </w:rPr>
        <w:t>continuous variables</w:t>
      </w:r>
      <w:r w:rsidR="00532828" w:rsidRPr="008B13C9">
        <w:rPr>
          <w:rFonts w:ascii="Calibri" w:hAnsi="Calibri"/>
        </w:rPr>
        <w:t xml:space="preserve"> and chi-square tests for </w:t>
      </w:r>
      <w:r w:rsidR="009F39E5" w:rsidRPr="008B13C9">
        <w:rPr>
          <w:rFonts w:ascii="Calibri" w:hAnsi="Calibri"/>
        </w:rPr>
        <w:t xml:space="preserve">categorical variables. </w:t>
      </w:r>
      <w:r w:rsidR="00DE2497" w:rsidRPr="008B13C9">
        <w:rPr>
          <w:rFonts w:ascii="Calibri" w:hAnsi="Calibri"/>
        </w:rPr>
        <w:t>We then used logistic regression to analyse independent associations between weight status and sexual activity</w:t>
      </w:r>
      <w:r w:rsidR="006E63CC" w:rsidRPr="008B13C9">
        <w:rPr>
          <w:rFonts w:ascii="Calibri" w:hAnsi="Calibri"/>
        </w:rPr>
        <w:t>. We constructed two models for each outcome; an age-adjusted model, and a multivariable-</w:t>
      </w:r>
      <w:r w:rsidR="006E63CC" w:rsidRPr="008B13C9">
        <w:rPr>
          <w:rFonts w:ascii="Calibri" w:hAnsi="Calibri"/>
        </w:rPr>
        <w:lastRenderedPageBreak/>
        <w:t>adjusted model that included</w:t>
      </w:r>
      <w:r w:rsidR="00DE2497" w:rsidRPr="008B13C9">
        <w:rPr>
          <w:rFonts w:ascii="Calibri" w:hAnsi="Calibri"/>
        </w:rPr>
        <w:t xml:space="preserve"> age, partner status, ethnicity, wealth, limiting long-standing illness, smoking status, alcohol intake, physical activity</w:t>
      </w:r>
      <w:r w:rsidR="00E85502" w:rsidRPr="008B13C9">
        <w:rPr>
          <w:rFonts w:ascii="Calibri" w:hAnsi="Calibri"/>
        </w:rPr>
        <w:t>,</w:t>
      </w:r>
      <w:r w:rsidR="00DE2497" w:rsidRPr="008B13C9">
        <w:rPr>
          <w:rFonts w:ascii="Calibri" w:hAnsi="Calibri"/>
        </w:rPr>
        <w:t xml:space="preserve"> and depressive symptoms. We used a binary logistic regression model to analyse data on any sexual activity in the past year in the whole sample, and ordinal logistic regression to analyse the frequency of sexual </w:t>
      </w:r>
      <w:r w:rsidR="00A630CA" w:rsidRPr="008B13C9">
        <w:rPr>
          <w:rFonts w:ascii="Calibri" w:hAnsi="Calibri"/>
        </w:rPr>
        <w:t>intercourse</w:t>
      </w:r>
      <w:r w:rsidR="00DE2497" w:rsidRPr="008B13C9">
        <w:rPr>
          <w:rFonts w:ascii="Calibri" w:hAnsi="Calibri"/>
        </w:rPr>
        <w:t xml:space="preserve"> in the past month among those who were sexually active.</w:t>
      </w:r>
      <w:r w:rsidR="007F3014" w:rsidRPr="008B13C9">
        <w:rPr>
          <w:rFonts w:ascii="Calibri" w:hAnsi="Calibri"/>
        </w:rPr>
        <w:t xml:space="preserve"> </w:t>
      </w:r>
      <w:r w:rsidR="00ED6893" w:rsidRPr="008B13C9">
        <w:rPr>
          <w:rFonts w:ascii="Calibri" w:hAnsi="Calibri"/>
        </w:rPr>
        <w:t xml:space="preserve">All model assumptions were met. </w:t>
      </w:r>
      <w:r w:rsidR="007F3014" w:rsidRPr="008B13C9">
        <w:rPr>
          <w:rFonts w:ascii="Calibri" w:hAnsi="Calibri"/>
        </w:rPr>
        <w:t>All analyses were performed separately for men and women</w:t>
      </w:r>
      <w:r w:rsidR="00450EB8" w:rsidRPr="008B13C9">
        <w:rPr>
          <w:rFonts w:ascii="Calibri" w:hAnsi="Calibri"/>
        </w:rPr>
        <w:t xml:space="preserve"> on the basis of previous research demonstrating substantial differences in sexual activity between older men and women</w:t>
      </w:r>
      <w:r w:rsidR="003432B0" w:rsidRPr="008B13C9">
        <w:rPr>
          <w:rFonts w:ascii="Calibri" w:hAnsi="Calibri"/>
        </w:rPr>
        <w:t xml:space="preserve"> </w:t>
      </w:r>
      <w:r w:rsidR="00C5409B" w:rsidRPr="008B13C9">
        <w:rPr>
          <w:rFonts w:ascii="Calibri" w:hAnsi="Calibri"/>
        </w:rPr>
        <w:fldChar w:fldCharType="begin"/>
      </w:r>
      <w:r w:rsidR="00DF55D6" w:rsidRPr="008B13C9">
        <w:rPr>
          <w:rFonts w:ascii="Calibri" w:hAnsi="Calibri"/>
        </w:rPr>
        <w:instrText xml:space="preserve"> ADDIN ZOTERO_ITEM CSL_CITATION {"citationID":"vkfCA16L","properties":{"formattedCitation":"(17)","plainCitation":"(17)","noteIndex":0},"citationItems":[{"id":1683,"uris":["http://zotero.org/users/446899/items/2PHWCWFD"],"uri":["http://zotero.org/users/446899/items/2PHWCWFD"],"itemData":{"id":1683,"type":"article-journal","title":"Sexual Health and Well-being Among Older Men and Women in England: Findings from the English Longitudinal Study of Ageing","container-title":"Archives of Sexual Behavior","source":"NCBI PubMed","abstract":"We describe levels of sexual activity, problems with sexual functioning, and concerns about sexual health among older adults in the English Longitudinal Study of Ageing (ELSA), and associations with age, health, and partnership factors. Specifically, a total of 6,201 core ELSA participants (56 % women) aged 50 to &gt;90 completed a comprehensive Sexual Relationships and Activities questionnaire (SRA-Q) included in ELSA Wave 6 (2012/13). The prevalence of reporting any sexual activity in the last year declined with age, with women less likely than men at all ages to report being sexually active. Poorer health was associated with lower levels of sexual activity and a higher prevalence of problems with sexual functioning, particularly among men. Difficulties most frequently reported by sexually active women related to becoming sexually aroused (32 %) and achieving orgasm (27 %), while for men it was erectile function (39 %). Sexual health concerns most commonly reported by women related to their level of sexual desire (11 %) and frequency of sexual activities (8 %). Among men it was level of sexual desire (15 %) and erectile difficulties (14 %). While the likelihood of reporting sexual health concerns tended to decrease with age in women, the opposite was seen in men. Poor sexual functioning and disagreements with a partner about initiating and/or feeling obligated to have sex were associated with greater concerns about and dissatisfaction with overall sex life. Levels of sexual activity decline with increasing age, although a sizable minority of men and women remain sexually active until the eighth and ninth decades of life. Problems with sexual functioning were relatively common, but overall levels of sexual health concerns were much lower. Sexually active men reported higher levels of concern with their sexual health and sexual dissatisfaction than women at all ages. Older peoples' sexual health should be managed, not just in the context of their age, gender, and general health, but also within their existing sexual relationship.","DOI":"10.1007/s10508-014-0465-1","ISSN":"1573-2800","note":"PMID: 25624001","shortTitle":"Sexual Health and Well-being Among Older Men and Women in England","journalAbbreviation":"Arch Sex Behav","language":"ENG","author":[{"family":"Lee","given":"David M."},{"family":"Nazroo","given":"James"},{"family":"O'Connor","given":"Daryl B."},{"family":"Blake","given":"Margaret"},{"family":"Pendleton","given":"Neil"}],"issued":{"date-parts":[["2015",1,27]]}}}],"schema":"https://github.com/citation-style-language/schema/raw/master/csl-citation.json"} </w:instrText>
      </w:r>
      <w:r w:rsidR="00C5409B" w:rsidRPr="008B13C9">
        <w:rPr>
          <w:rFonts w:ascii="Calibri" w:hAnsi="Calibri"/>
        </w:rPr>
        <w:fldChar w:fldCharType="separate"/>
      </w:r>
      <w:r w:rsidR="00DF55D6" w:rsidRPr="008B13C9">
        <w:rPr>
          <w:rFonts w:ascii="Calibri" w:hAnsi="Calibri" w:cs="Calibri"/>
        </w:rPr>
        <w:t>(17)</w:t>
      </w:r>
      <w:r w:rsidR="00C5409B" w:rsidRPr="008B13C9">
        <w:rPr>
          <w:rFonts w:ascii="Calibri" w:hAnsi="Calibri"/>
        </w:rPr>
        <w:fldChar w:fldCharType="end"/>
      </w:r>
      <w:r w:rsidR="00450EB8" w:rsidRPr="008B13C9">
        <w:rPr>
          <w:rFonts w:ascii="Calibri" w:hAnsi="Calibri"/>
        </w:rPr>
        <w:t xml:space="preserve"> and greater body image concerns among women than men</w:t>
      </w:r>
      <w:r w:rsidR="000B69E1" w:rsidRPr="008B13C9">
        <w:rPr>
          <w:rFonts w:ascii="Calibri" w:hAnsi="Calibri"/>
        </w:rPr>
        <w:t xml:space="preserve"> </w:t>
      </w:r>
      <w:r w:rsidR="000B69E1" w:rsidRPr="008B13C9">
        <w:rPr>
          <w:rFonts w:ascii="Calibri" w:hAnsi="Calibri"/>
        </w:rPr>
        <w:fldChar w:fldCharType="begin"/>
      </w:r>
      <w:r w:rsidR="00DF55D6" w:rsidRPr="008B13C9">
        <w:rPr>
          <w:rFonts w:ascii="Calibri" w:hAnsi="Calibri"/>
        </w:rPr>
        <w:instrText xml:space="preserve"> ADDIN ZOTERO_ITEM CSL_CITATION {"citationID":"FuszIbUS","properties":{"formattedCitation":"(24)","plainCitation":"(24)","noteIndex":0},"citationItems":[{"id":8346,"uris":["http://zotero.org/users/446899/items/RWKBJ4VB"],"uri":["http://zotero.org/users/446899/items/RWKBJ4VB"],"itemData":{"id":8346,"type":"article-journal","title":"A Qualitative Investigation of Women's and Men's Body Image Concerns and Their Attitudes Toward Aging","container-title":"Sex Roles","page":"675-684","volume":"49","issue":"11","source":"Springer Link","abstract":"In-depth interviews were conducted with 42 women and men (aged 22–62 years) to explore their relationships with their bodies. The particular focus was age-related changes in body image and attitudes toward the body aging, an area that has received little research attention to date. Thematic analysis revealed distinctive gender differences. Men commonly conceptualized their bodies as a holistic entity, whereas women commonly had compartmentalized conceptualizations. They also construed the importance of their bodies differently: men tended to focus on functionality, and women tended to focus on display. These findings may help to explain gendered consequences of body dissatisfaction. Accounts about the aging of the body support a “double standard of aging.” Women viewed aging most negatively in terms of its impact on appearance, whereas men reported a neutral or even positive impact on appearance.","DOI":"10.1023/B:SERS.0000003137.71080.97","ISSN":"1573-2762","journalAbbreviation":"Sex Roles","language":"en","author":[{"family":"Halliwell","given":"Emma"},{"family":"Dittmar","given":"Helga"}],"issued":{"date-parts":[["2003",12,1]]}}}],"schema":"https://github.com/citation-style-language/schema/raw/master/csl-citation.json"} </w:instrText>
      </w:r>
      <w:r w:rsidR="000B69E1" w:rsidRPr="008B13C9">
        <w:rPr>
          <w:rFonts w:ascii="Calibri" w:hAnsi="Calibri"/>
        </w:rPr>
        <w:fldChar w:fldCharType="separate"/>
      </w:r>
      <w:r w:rsidR="00DF55D6" w:rsidRPr="008B13C9">
        <w:rPr>
          <w:rFonts w:ascii="Calibri" w:hAnsi="Calibri" w:cs="Calibri"/>
        </w:rPr>
        <w:t>(24)</w:t>
      </w:r>
      <w:r w:rsidR="000B69E1" w:rsidRPr="008B13C9">
        <w:rPr>
          <w:rFonts w:ascii="Calibri" w:hAnsi="Calibri"/>
        </w:rPr>
        <w:fldChar w:fldCharType="end"/>
      </w:r>
      <w:r w:rsidR="003432B0" w:rsidRPr="008B13C9">
        <w:rPr>
          <w:rFonts w:ascii="Calibri" w:hAnsi="Calibri"/>
        </w:rPr>
        <w:t>.</w:t>
      </w:r>
    </w:p>
    <w:p w14:paraId="4992A87B" w14:textId="20DBC74B" w:rsidR="00670640" w:rsidRPr="008B13C9" w:rsidRDefault="00B21E4B" w:rsidP="008F07A4">
      <w:pPr>
        <w:spacing w:afterLines="120" w:after="288" w:line="480" w:lineRule="auto"/>
        <w:rPr>
          <w:rFonts w:ascii="Calibri" w:hAnsi="Calibri" w:cs="Calibri"/>
          <w:shd w:val="clear" w:color="auto" w:fill="FFFFFF"/>
        </w:rPr>
      </w:pPr>
      <w:r w:rsidRPr="008B13C9">
        <w:rPr>
          <w:rFonts w:ascii="Calibri" w:hAnsi="Calibri"/>
          <w:shd w:val="clear" w:color="auto" w:fill="FFFFFF"/>
        </w:rPr>
        <w:t>We conducted three sets of sensitivity analyses</w:t>
      </w:r>
      <w:r w:rsidR="00205612" w:rsidRPr="008B13C9">
        <w:rPr>
          <w:rFonts w:ascii="Calibri" w:hAnsi="Calibri"/>
          <w:shd w:val="clear" w:color="auto" w:fill="FFFFFF"/>
        </w:rPr>
        <w:t xml:space="preserve"> in which we repeated the multivariable models</w:t>
      </w:r>
      <w:r w:rsidRPr="008B13C9">
        <w:rPr>
          <w:rFonts w:ascii="Calibri" w:hAnsi="Calibri"/>
          <w:shd w:val="clear" w:color="auto" w:fill="FFFFFF"/>
        </w:rPr>
        <w:t>: 1) excluding underweight participants, i</w:t>
      </w:r>
      <w:r w:rsidR="007F3014" w:rsidRPr="008B13C9">
        <w:rPr>
          <w:rFonts w:ascii="Calibri" w:hAnsi="Calibri"/>
          <w:shd w:val="clear" w:color="auto" w:fill="FFFFFF"/>
        </w:rPr>
        <w:t>n order to evaluate the extent to which including underweight participants in the normal-weight category influenced the results</w:t>
      </w:r>
      <w:r w:rsidRPr="008B13C9">
        <w:rPr>
          <w:rFonts w:ascii="Calibri" w:hAnsi="Calibri"/>
          <w:shd w:val="clear" w:color="auto" w:fill="FFFFFF"/>
        </w:rPr>
        <w:t>;</w:t>
      </w:r>
      <w:r w:rsidR="007F3014" w:rsidRPr="008B13C9">
        <w:rPr>
          <w:rFonts w:ascii="Calibri" w:hAnsi="Calibri"/>
          <w:shd w:val="clear" w:color="auto" w:fill="FFFFFF"/>
        </w:rPr>
        <w:t xml:space="preserve"> </w:t>
      </w:r>
      <w:r w:rsidRPr="008B13C9">
        <w:rPr>
          <w:rFonts w:ascii="Calibri" w:hAnsi="Calibri"/>
          <w:shd w:val="clear" w:color="auto" w:fill="FFFFFF"/>
        </w:rPr>
        <w:t xml:space="preserve">2) further categorising participants with a BMI in the obese range into those with class I (BMI 30-34.9) vs. class II/III (BMI </w:t>
      </w:r>
      <w:r w:rsidRPr="008B13C9">
        <w:rPr>
          <w:rFonts w:ascii="Calibri" w:hAnsi="Calibri" w:cs="Calibri"/>
          <w:shd w:val="clear" w:color="auto" w:fill="FFFFFF"/>
        </w:rPr>
        <w:t>≥35) obesity</w:t>
      </w:r>
      <w:r w:rsidR="008D7C58" w:rsidRPr="008B13C9">
        <w:rPr>
          <w:rFonts w:ascii="Calibri" w:hAnsi="Calibri" w:cs="Calibri"/>
          <w:shd w:val="clear" w:color="auto" w:fill="FFFFFF"/>
        </w:rPr>
        <w:t>, in order to evaluate the extent to which associations differ at the extreme end of the weight spectrum; and 3) using elevated waist circumference as an alternative measure of adiposity</w:t>
      </w:r>
      <w:r w:rsidR="0070719E" w:rsidRPr="008B13C9">
        <w:rPr>
          <w:rFonts w:ascii="Calibri" w:hAnsi="Calibri" w:cs="Calibri"/>
          <w:shd w:val="clear" w:color="auto" w:fill="FFFFFF"/>
        </w:rPr>
        <w:t>, defined according to the National Cholesterol Education Program Adult Treatment Panel III waist circumference cut</w:t>
      </w:r>
      <w:r w:rsidR="003305CA" w:rsidRPr="008B13C9">
        <w:rPr>
          <w:rFonts w:ascii="Calibri" w:hAnsi="Calibri" w:cs="Calibri"/>
          <w:shd w:val="clear" w:color="auto" w:fill="FFFFFF"/>
        </w:rPr>
        <w:t xml:space="preserve"> </w:t>
      </w:r>
      <w:r w:rsidR="0070719E" w:rsidRPr="008B13C9">
        <w:rPr>
          <w:rFonts w:ascii="Calibri" w:hAnsi="Calibri" w:cs="Calibri"/>
          <w:shd w:val="clear" w:color="auto" w:fill="FFFFFF"/>
        </w:rPr>
        <w:t>offs (≥102 cm in men, ≥88 cm in women)</w:t>
      </w:r>
      <w:r w:rsidR="008D7C58" w:rsidRPr="008B13C9">
        <w:rPr>
          <w:rFonts w:ascii="Calibri" w:hAnsi="Calibri" w:cs="Calibri"/>
          <w:shd w:val="clear" w:color="auto" w:fill="FFFFFF"/>
        </w:rPr>
        <w:t>.</w:t>
      </w:r>
    </w:p>
    <w:p w14:paraId="0DFB5B65" w14:textId="77777777" w:rsidR="00B21E4B" w:rsidRPr="008B13C9" w:rsidRDefault="00B21E4B" w:rsidP="008F07A4">
      <w:pPr>
        <w:spacing w:afterLines="120" w:after="288" w:line="480" w:lineRule="auto"/>
        <w:rPr>
          <w:rFonts w:ascii="Calibri" w:hAnsi="Calibri"/>
          <w:shd w:val="clear" w:color="auto" w:fill="FFFFFF"/>
        </w:rPr>
      </w:pPr>
    </w:p>
    <w:p w14:paraId="1A5656F8" w14:textId="77777777" w:rsidR="00670640" w:rsidRPr="008B13C9" w:rsidRDefault="00670640" w:rsidP="008F07A4">
      <w:pPr>
        <w:pStyle w:val="Heading1"/>
        <w:spacing w:line="480" w:lineRule="auto"/>
      </w:pPr>
      <w:r w:rsidRPr="008B13C9">
        <w:t>Results</w:t>
      </w:r>
    </w:p>
    <w:p w14:paraId="26CF60C5" w14:textId="2651D1C7" w:rsidR="00521A40" w:rsidRPr="008B13C9" w:rsidRDefault="00521A40" w:rsidP="008F07A4">
      <w:pPr>
        <w:spacing w:line="480" w:lineRule="auto"/>
      </w:pPr>
      <w:r w:rsidRPr="008B13C9">
        <w:t>Of the 10,601 people who were interviewed in Wave 6 of ELSA, 7,079 (67% of those eligible) returned the SRA-Q</w:t>
      </w:r>
      <w:r w:rsidR="00957439" w:rsidRPr="008B13C9">
        <w:t xml:space="preserve"> and</w:t>
      </w:r>
      <w:r w:rsidRPr="008B13C9">
        <w:t xml:space="preserve"> </w:t>
      </w:r>
      <w:r w:rsidR="00957439" w:rsidRPr="008B13C9">
        <w:t>7,731 (72.9%) participated in the nurse visit in which height and weight were measured</w:t>
      </w:r>
      <w:r w:rsidRPr="008B13C9">
        <w:t>.</w:t>
      </w:r>
      <w:r w:rsidR="00957439" w:rsidRPr="008B13C9">
        <w:t xml:space="preserve"> </w:t>
      </w:r>
      <w:r w:rsidR="00512285" w:rsidRPr="008B13C9">
        <w:t xml:space="preserve">Data on past-year sexual activity and BMI were available for </w:t>
      </w:r>
      <w:r w:rsidR="00184E41" w:rsidRPr="008B13C9">
        <w:t>5,379</w:t>
      </w:r>
      <w:r w:rsidR="00512285" w:rsidRPr="008B13C9">
        <w:t xml:space="preserve"> participants</w:t>
      </w:r>
      <w:r w:rsidR="00184E41" w:rsidRPr="008B13C9">
        <w:t>, of whom 4,937 (91.8%) had complete data on covariates and formed the final sample for analysis.</w:t>
      </w:r>
      <w:r w:rsidR="002C021C" w:rsidRPr="008B13C9">
        <w:t xml:space="preserve"> Compared with the group of Wave 6 participants who were excluded, the analysed sample was significantly older on average (68.0 vs. 64.3 years, </w:t>
      </w:r>
      <w:r w:rsidR="002C021C" w:rsidRPr="008B13C9">
        <w:rPr>
          <w:i/>
          <w:iCs/>
        </w:rPr>
        <w:t>p</w:t>
      </w:r>
      <w:r w:rsidR="002C021C" w:rsidRPr="008B13C9">
        <w:t xml:space="preserve">&lt;0.001) and more likely to be married (68.4% vs. </w:t>
      </w:r>
      <w:r w:rsidR="002C021C" w:rsidRPr="008B13C9">
        <w:lastRenderedPageBreak/>
        <w:t xml:space="preserve">66.4%, </w:t>
      </w:r>
      <w:r w:rsidR="002C021C" w:rsidRPr="008B13C9">
        <w:rPr>
          <w:i/>
          <w:iCs/>
        </w:rPr>
        <w:t>p</w:t>
      </w:r>
      <w:r w:rsidR="002C021C" w:rsidRPr="008B13C9">
        <w:t xml:space="preserve">=0.001), white (98.0% vs. 94.4%, </w:t>
      </w:r>
      <w:r w:rsidR="002C021C" w:rsidRPr="008B13C9">
        <w:rPr>
          <w:i/>
          <w:iCs/>
        </w:rPr>
        <w:t>p</w:t>
      </w:r>
      <w:r w:rsidR="002C021C" w:rsidRPr="008B13C9">
        <w:t xml:space="preserve">&lt;0.001), and in the upper two quintiles of wealth (47.3% vs. 37.3%, </w:t>
      </w:r>
      <w:r w:rsidR="002C021C" w:rsidRPr="008B13C9">
        <w:rPr>
          <w:i/>
          <w:iCs/>
        </w:rPr>
        <w:t>p</w:t>
      </w:r>
      <w:r w:rsidR="002C021C" w:rsidRPr="008B13C9">
        <w:t xml:space="preserve">&lt;0.001). They were less likely to smoke (10.4% vs. 14.2%, </w:t>
      </w:r>
      <w:r w:rsidR="002C021C" w:rsidRPr="008B13C9">
        <w:rPr>
          <w:i/>
          <w:iCs/>
        </w:rPr>
        <w:t>p</w:t>
      </w:r>
      <w:r w:rsidR="002C021C" w:rsidRPr="008B13C9">
        <w:t xml:space="preserve">&lt;0.001), more likely to report drinking alcohol frequently (36.4% vs. 34.1%, </w:t>
      </w:r>
      <w:r w:rsidR="002C021C" w:rsidRPr="008B13C9">
        <w:rPr>
          <w:i/>
          <w:iCs/>
        </w:rPr>
        <w:t>p</w:t>
      </w:r>
      <w:r w:rsidR="002C021C" w:rsidRPr="008B13C9">
        <w:t xml:space="preserve">=0.001), and less likely to be inactive (20.1% vs. 28.9%, </w:t>
      </w:r>
      <w:r w:rsidR="002C021C" w:rsidRPr="008B13C9">
        <w:rPr>
          <w:i/>
          <w:iCs/>
        </w:rPr>
        <w:t>p</w:t>
      </w:r>
      <w:r w:rsidR="002C021C" w:rsidRPr="008B13C9">
        <w:t xml:space="preserve">&lt;0.001). A greater proportion had overweight or obesity (70.9% vs. 66.1%, </w:t>
      </w:r>
      <w:r w:rsidR="002C021C" w:rsidRPr="008B13C9">
        <w:rPr>
          <w:i/>
          <w:iCs/>
        </w:rPr>
        <w:t>p</w:t>
      </w:r>
      <w:r w:rsidR="002C021C" w:rsidRPr="008B13C9">
        <w:t xml:space="preserve">&lt;0.001) and fewer were sexually active (62.5% vs. 73.8%, </w:t>
      </w:r>
      <w:r w:rsidR="002C021C" w:rsidRPr="008B13C9">
        <w:rPr>
          <w:i/>
          <w:iCs/>
        </w:rPr>
        <w:t>p</w:t>
      </w:r>
      <w:r w:rsidR="002C021C" w:rsidRPr="008B13C9">
        <w:t>&lt;0.001).</w:t>
      </w:r>
    </w:p>
    <w:p w14:paraId="7D532B3A" w14:textId="6943BEFC" w:rsidR="00C3185E" w:rsidRPr="008B13C9" w:rsidRDefault="00466F3B" w:rsidP="008F07A4">
      <w:pPr>
        <w:spacing w:line="480" w:lineRule="auto"/>
      </w:pPr>
      <w:r w:rsidRPr="008B13C9">
        <w:t xml:space="preserve">There were </w:t>
      </w:r>
      <w:r w:rsidR="00AA0EDF" w:rsidRPr="008B13C9">
        <w:t>2,200</w:t>
      </w:r>
      <w:r w:rsidR="00F16699" w:rsidRPr="008B13C9">
        <w:t xml:space="preserve"> men </w:t>
      </w:r>
      <w:r w:rsidR="003872CE" w:rsidRPr="008B13C9">
        <w:t>(mean [SD] age = 67.</w:t>
      </w:r>
      <w:r w:rsidR="00AA0EDF" w:rsidRPr="008B13C9">
        <w:t>8</w:t>
      </w:r>
      <w:r w:rsidR="003872CE" w:rsidRPr="008B13C9">
        <w:t xml:space="preserve"> [8.4] years) </w:t>
      </w:r>
      <w:r w:rsidR="00F16699" w:rsidRPr="008B13C9">
        <w:t>and 2,</w:t>
      </w:r>
      <w:r w:rsidR="00AA0EDF" w:rsidRPr="008B13C9">
        <w:t>737</w:t>
      </w:r>
      <w:r w:rsidR="00F16699" w:rsidRPr="008B13C9">
        <w:t xml:space="preserve"> women</w:t>
      </w:r>
      <w:r w:rsidRPr="008B13C9">
        <w:t xml:space="preserve"> </w:t>
      </w:r>
      <w:r w:rsidR="003872CE" w:rsidRPr="008B13C9">
        <w:t xml:space="preserve">(68.5 [8.8] years) </w:t>
      </w:r>
      <w:r w:rsidRPr="008B13C9">
        <w:t xml:space="preserve">in the </w:t>
      </w:r>
      <w:r w:rsidR="00521A40" w:rsidRPr="008B13C9">
        <w:t xml:space="preserve">analysed </w:t>
      </w:r>
      <w:r w:rsidRPr="008B13C9">
        <w:t>sample</w:t>
      </w:r>
      <w:r w:rsidR="00585B57" w:rsidRPr="008B13C9">
        <w:t>. A quarter (</w:t>
      </w:r>
      <w:r w:rsidR="00AA0EDF" w:rsidRPr="008B13C9">
        <w:t>24.3</w:t>
      </w:r>
      <w:r w:rsidR="00585B57" w:rsidRPr="008B13C9">
        <w:t xml:space="preserve">%) of men </w:t>
      </w:r>
      <w:r w:rsidR="00E71D3C" w:rsidRPr="008B13C9">
        <w:t>had a BMI in the</w:t>
      </w:r>
      <w:r w:rsidR="00585B57" w:rsidRPr="008B13C9">
        <w:t xml:space="preserve"> normal-weight or underweight</w:t>
      </w:r>
      <w:r w:rsidR="00E71D3C" w:rsidRPr="008B13C9">
        <w:t xml:space="preserve"> range</w:t>
      </w:r>
      <w:r w:rsidR="00585B57" w:rsidRPr="008B13C9">
        <w:t xml:space="preserve">, </w:t>
      </w:r>
      <w:r w:rsidR="00AA0EDF" w:rsidRPr="008B13C9">
        <w:t>47.3</w:t>
      </w:r>
      <w:r w:rsidR="00585B57" w:rsidRPr="008B13C9">
        <w:t xml:space="preserve">% </w:t>
      </w:r>
      <w:r w:rsidR="00E71D3C" w:rsidRPr="008B13C9">
        <w:t>in the</w:t>
      </w:r>
      <w:r w:rsidR="00585B57" w:rsidRPr="008B13C9">
        <w:t xml:space="preserve"> overweight </w:t>
      </w:r>
      <w:r w:rsidR="00E71D3C" w:rsidRPr="008B13C9">
        <w:t xml:space="preserve">range </w:t>
      </w:r>
      <w:r w:rsidR="00585B57" w:rsidRPr="008B13C9">
        <w:t>and 28.</w:t>
      </w:r>
      <w:r w:rsidR="00AA0EDF" w:rsidRPr="008B13C9">
        <w:t>4</w:t>
      </w:r>
      <w:r w:rsidR="00585B57" w:rsidRPr="008B13C9">
        <w:t xml:space="preserve">% </w:t>
      </w:r>
      <w:r w:rsidR="00E71D3C" w:rsidRPr="008B13C9">
        <w:t>in the obese range</w:t>
      </w:r>
      <w:r w:rsidR="00585B57" w:rsidRPr="008B13C9">
        <w:t>. The distribution across weight categorie</w:t>
      </w:r>
      <w:r w:rsidR="002D5F19" w:rsidRPr="008B13C9">
        <w:t xml:space="preserve">s was more even in women, with </w:t>
      </w:r>
      <w:r w:rsidR="00AA0EDF" w:rsidRPr="008B13C9">
        <w:t>31.8</w:t>
      </w:r>
      <w:r w:rsidR="00585B57" w:rsidRPr="008B13C9">
        <w:t xml:space="preserve">% </w:t>
      </w:r>
      <w:r w:rsidR="00E71D3C" w:rsidRPr="008B13C9">
        <w:t xml:space="preserve">in the </w:t>
      </w:r>
      <w:r w:rsidR="00585B57" w:rsidRPr="008B13C9">
        <w:t>normal-weight or underweight</w:t>
      </w:r>
      <w:r w:rsidR="00E71D3C" w:rsidRPr="008B13C9">
        <w:t xml:space="preserve"> range</w:t>
      </w:r>
      <w:r w:rsidR="00585B57" w:rsidRPr="008B13C9">
        <w:t>, 35.</w:t>
      </w:r>
      <w:r w:rsidR="00AA0EDF" w:rsidRPr="008B13C9">
        <w:t>0</w:t>
      </w:r>
      <w:r w:rsidR="00585B57" w:rsidRPr="008B13C9">
        <w:t xml:space="preserve">% </w:t>
      </w:r>
      <w:r w:rsidR="00E71D3C" w:rsidRPr="008B13C9">
        <w:t xml:space="preserve">in the </w:t>
      </w:r>
      <w:r w:rsidR="00585B57" w:rsidRPr="008B13C9">
        <w:t>overweight</w:t>
      </w:r>
      <w:r w:rsidR="00E71D3C" w:rsidRPr="008B13C9">
        <w:t xml:space="preserve"> range</w:t>
      </w:r>
      <w:r w:rsidR="00585B57" w:rsidRPr="008B13C9">
        <w:t xml:space="preserve"> and </w:t>
      </w:r>
      <w:r w:rsidR="00AA0EDF" w:rsidRPr="008B13C9">
        <w:t>33.3</w:t>
      </w:r>
      <w:r w:rsidR="00585B57" w:rsidRPr="008B13C9">
        <w:t>%</w:t>
      </w:r>
      <w:r w:rsidR="00E71D3C" w:rsidRPr="008B13C9">
        <w:t xml:space="preserve"> in the</w:t>
      </w:r>
      <w:r w:rsidR="00585B57" w:rsidRPr="008B13C9">
        <w:t xml:space="preserve"> obese</w:t>
      </w:r>
      <w:r w:rsidR="00E71D3C" w:rsidRPr="008B13C9">
        <w:t xml:space="preserve"> range</w:t>
      </w:r>
      <w:r w:rsidR="00585B57" w:rsidRPr="008B13C9">
        <w:t>.</w:t>
      </w:r>
    </w:p>
    <w:p w14:paraId="7AAE46AE" w14:textId="11DE41A4" w:rsidR="005E27C7" w:rsidRPr="008B13C9" w:rsidRDefault="005E27C7" w:rsidP="008F07A4">
      <w:pPr>
        <w:spacing w:line="480" w:lineRule="auto"/>
      </w:pPr>
      <w:r w:rsidRPr="008B13C9">
        <w:t>Sample characteristics are presented in Table 1.</w:t>
      </w:r>
      <w:r w:rsidR="00837E4E" w:rsidRPr="008B13C9">
        <w:t xml:space="preserve"> </w:t>
      </w:r>
      <w:r w:rsidR="00D91D42" w:rsidRPr="008B13C9">
        <w:t>Among men and women, increasing weight status was associated with younger age (</w:t>
      </w:r>
      <w:r w:rsidR="00D91D42" w:rsidRPr="008B13C9">
        <w:rPr>
          <w:i/>
        </w:rPr>
        <w:t>p</w:t>
      </w:r>
      <w:r w:rsidR="00D91D42" w:rsidRPr="008B13C9">
        <w:t>=0.</w:t>
      </w:r>
      <w:r w:rsidR="00792DA0" w:rsidRPr="008B13C9">
        <w:t>021</w:t>
      </w:r>
      <w:r w:rsidR="00D91D42" w:rsidRPr="008B13C9">
        <w:t xml:space="preserve"> in men, </w:t>
      </w:r>
      <w:r w:rsidR="00D91D42" w:rsidRPr="008B13C9">
        <w:rPr>
          <w:i/>
        </w:rPr>
        <w:t>p</w:t>
      </w:r>
      <w:r w:rsidR="00D91D42" w:rsidRPr="008B13C9">
        <w:t>=0.</w:t>
      </w:r>
      <w:r w:rsidR="00792DA0" w:rsidRPr="008B13C9">
        <w:t>016</w:t>
      </w:r>
      <w:r w:rsidR="00D91D42" w:rsidRPr="008B13C9">
        <w:t xml:space="preserve"> in women)</w:t>
      </w:r>
      <w:r w:rsidR="005A1D8C" w:rsidRPr="008B13C9">
        <w:t xml:space="preserve"> and</w:t>
      </w:r>
      <w:r w:rsidR="00D91D42" w:rsidRPr="008B13C9">
        <w:t xml:space="preserve"> lower wealth (</w:t>
      </w:r>
      <w:r w:rsidR="00D91D42" w:rsidRPr="008B13C9">
        <w:rPr>
          <w:i/>
        </w:rPr>
        <w:t>p</w:t>
      </w:r>
      <w:r w:rsidR="00D91D42" w:rsidRPr="008B13C9">
        <w:t>&lt;0.001)</w:t>
      </w:r>
      <w:r w:rsidR="005A1D8C" w:rsidRPr="008B13C9">
        <w:t>. Men who were overweight or obese were more likely to be married or cohabiting (</w:t>
      </w:r>
      <w:r w:rsidR="00792DA0" w:rsidRPr="008B13C9">
        <w:rPr>
          <w:i/>
        </w:rPr>
        <w:t>p</w:t>
      </w:r>
      <w:r w:rsidR="00792DA0" w:rsidRPr="008B13C9">
        <w:rPr>
          <w:iCs/>
        </w:rPr>
        <w:t>=0.003</w:t>
      </w:r>
      <w:r w:rsidR="005A1D8C" w:rsidRPr="008B13C9">
        <w:t xml:space="preserve">) </w:t>
      </w:r>
      <w:r w:rsidR="00D52C11" w:rsidRPr="008B13C9">
        <w:t xml:space="preserve">than normal-weight men, </w:t>
      </w:r>
      <w:r w:rsidR="005A1D8C" w:rsidRPr="008B13C9">
        <w:t>but partner status was not significantly associated with weight status in women (</w:t>
      </w:r>
      <w:r w:rsidR="005A1D8C" w:rsidRPr="008B13C9">
        <w:rPr>
          <w:i/>
        </w:rPr>
        <w:t>p</w:t>
      </w:r>
      <w:r w:rsidR="005A1D8C" w:rsidRPr="008B13C9">
        <w:t>=0.</w:t>
      </w:r>
      <w:r w:rsidR="001544C8" w:rsidRPr="008B13C9">
        <w:t>304</w:t>
      </w:r>
      <w:r w:rsidR="005A1D8C" w:rsidRPr="008B13C9">
        <w:t>).</w:t>
      </w:r>
      <w:r w:rsidR="004E766A" w:rsidRPr="008B13C9">
        <w:t xml:space="preserve"> Men and women who were overweight or obese were </w:t>
      </w:r>
      <w:r w:rsidR="009C3E3F" w:rsidRPr="008B13C9">
        <w:t>less</w:t>
      </w:r>
      <w:r w:rsidR="004E766A" w:rsidRPr="008B13C9">
        <w:t xml:space="preserve"> likely to smoke (</w:t>
      </w:r>
      <w:r w:rsidR="004E766A" w:rsidRPr="008B13C9">
        <w:rPr>
          <w:i/>
        </w:rPr>
        <w:t>p</w:t>
      </w:r>
      <w:r w:rsidR="004E766A" w:rsidRPr="008B13C9">
        <w:t xml:space="preserve">=0.003 in men, </w:t>
      </w:r>
      <w:r w:rsidR="004E766A" w:rsidRPr="008B13C9">
        <w:rPr>
          <w:i/>
        </w:rPr>
        <w:t>p</w:t>
      </w:r>
      <w:r w:rsidR="004E766A" w:rsidRPr="008B13C9">
        <w:t>=0.00</w:t>
      </w:r>
      <w:r w:rsidR="001544C8" w:rsidRPr="008B13C9">
        <w:t>1</w:t>
      </w:r>
      <w:r w:rsidR="004E766A" w:rsidRPr="008B13C9">
        <w:t xml:space="preserve"> in women). </w:t>
      </w:r>
      <w:r w:rsidR="00474183" w:rsidRPr="008B13C9">
        <w:t>Men and women</w:t>
      </w:r>
      <w:r w:rsidR="00D91D42" w:rsidRPr="008B13C9">
        <w:t xml:space="preserve"> with obesity </w:t>
      </w:r>
      <w:r w:rsidR="003F346D" w:rsidRPr="008B13C9">
        <w:t xml:space="preserve">also </w:t>
      </w:r>
      <w:r w:rsidR="00D91D42" w:rsidRPr="008B13C9">
        <w:t>had a higher rate of limiting long-standing illness (</w:t>
      </w:r>
      <w:r w:rsidR="00D91D42" w:rsidRPr="008B13C9">
        <w:rPr>
          <w:i/>
        </w:rPr>
        <w:t>p</w:t>
      </w:r>
      <w:r w:rsidR="00D91D42" w:rsidRPr="008B13C9">
        <w:t>&lt;0.001)</w:t>
      </w:r>
      <w:r w:rsidR="00813147" w:rsidRPr="008B13C9">
        <w:t xml:space="preserve">, </w:t>
      </w:r>
      <w:r w:rsidR="003F346D" w:rsidRPr="008B13C9">
        <w:t>were more likely to be inactive (</w:t>
      </w:r>
      <w:r w:rsidR="003F346D" w:rsidRPr="008B13C9">
        <w:rPr>
          <w:i/>
        </w:rPr>
        <w:t>p</w:t>
      </w:r>
      <w:r w:rsidR="003F346D" w:rsidRPr="008B13C9">
        <w:t>&lt;0.001)</w:t>
      </w:r>
      <w:r w:rsidR="00813147" w:rsidRPr="008B13C9">
        <w:t xml:space="preserve"> and </w:t>
      </w:r>
      <w:r w:rsidR="00CB5EF4" w:rsidRPr="008B13C9">
        <w:t>reported</w:t>
      </w:r>
      <w:r w:rsidR="00813147" w:rsidRPr="008B13C9">
        <w:t xml:space="preserve"> the highest mean number of depressive symptoms (</w:t>
      </w:r>
      <w:r w:rsidR="00813147" w:rsidRPr="008B13C9">
        <w:rPr>
          <w:i/>
        </w:rPr>
        <w:t>p</w:t>
      </w:r>
      <w:r w:rsidR="00813147" w:rsidRPr="008B13C9">
        <w:t xml:space="preserve">=0.002 in men, </w:t>
      </w:r>
      <w:r w:rsidR="00813147" w:rsidRPr="008B13C9">
        <w:rPr>
          <w:i/>
        </w:rPr>
        <w:t>p</w:t>
      </w:r>
      <w:r w:rsidR="00813147" w:rsidRPr="008B13C9">
        <w:t>&lt;0.001 in women)</w:t>
      </w:r>
      <w:r w:rsidR="003F346D" w:rsidRPr="008B13C9">
        <w:t>.</w:t>
      </w:r>
      <w:r w:rsidR="00DE1227" w:rsidRPr="008B13C9">
        <w:t xml:space="preserve"> Women with obesity were more likely to report drinking alcohol never or rarely than those who were normal-weight or overweight (</w:t>
      </w:r>
      <w:r w:rsidR="00DE1227" w:rsidRPr="008B13C9">
        <w:rPr>
          <w:i/>
        </w:rPr>
        <w:t>p</w:t>
      </w:r>
      <w:r w:rsidR="00DE1227" w:rsidRPr="008B13C9">
        <w:t>&lt;0.001) but alcohol intake was not related to weight status in men (</w:t>
      </w:r>
      <w:r w:rsidR="00DE1227" w:rsidRPr="008B13C9">
        <w:rPr>
          <w:i/>
        </w:rPr>
        <w:t>p</w:t>
      </w:r>
      <w:r w:rsidR="00DE1227" w:rsidRPr="008B13C9">
        <w:t>=0.</w:t>
      </w:r>
      <w:r w:rsidR="001544C8" w:rsidRPr="008B13C9">
        <w:t>3</w:t>
      </w:r>
      <w:r w:rsidR="00DE1227" w:rsidRPr="008B13C9">
        <w:t>78).</w:t>
      </w:r>
      <w:r w:rsidR="00813147" w:rsidRPr="008B13C9">
        <w:t xml:space="preserve"> </w:t>
      </w:r>
      <w:r w:rsidR="00A52B64" w:rsidRPr="008B13C9">
        <w:t>There was no significant association between ethnicity and weight status in either men</w:t>
      </w:r>
      <w:r w:rsidR="00FF5F35" w:rsidRPr="008B13C9">
        <w:t xml:space="preserve"> (</w:t>
      </w:r>
      <w:r w:rsidR="00FF5F35" w:rsidRPr="008B13C9">
        <w:rPr>
          <w:i/>
        </w:rPr>
        <w:t>p</w:t>
      </w:r>
      <w:r w:rsidR="00FF5F35" w:rsidRPr="008B13C9">
        <w:t>=0.</w:t>
      </w:r>
      <w:r w:rsidR="001544C8" w:rsidRPr="008B13C9">
        <w:t>107</w:t>
      </w:r>
      <w:r w:rsidR="00FF5F35" w:rsidRPr="008B13C9">
        <w:t>)</w:t>
      </w:r>
      <w:r w:rsidR="00A52B64" w:rsidRPr="008B13C9">
        <w:t xml:space="preserve"> or women</w:t>
      </w:r>
      <w:r w:rsidR="00FF5F35" w:rsidRPr="008B13C9">
        <w:t xml:space="preserve"> (</w:t>
      </w:r>
      <w:r w:rsidR="00FF5F35" w:rsidRPr="008B13C9">
        <w:rPr>
          <w:i/>
        </w:rPr>
        <w:t>p</w:t>
      </w:r>
      <w:r w:rsidR="00FF5F35" w:rsidRPr="008B13C9">
        <w:t>=0.</w:t>
      </w:r>
      <w:r w:rsidR="001544C8" w:rsidRPr="008B13C9">
        <w:t>117</w:t>
      </w:r>
      <w:r w:rsidR="00FF5F35" w:rsidRPr="008B13C9">
        <w:t>)</w:t>
      </w:r>
      <w:r w:rsidR="00D44B84" w:rsidRPr="008B13C9">
        <w:t>, although the sample was almost exclusively white</w:t>
      </w:r>
      <w:r w:rsidR="00A52B64" w:rsidRPr="008B13C9">
        <w:t>.</w:t>
      </w:r>
    </w:p>
    <w:p w14:paraId="0ADA6FBC" w14:textId="7366242F" w:rsidR="002C1F67" w:rsidRPr="008B13C9" w:rsidRDefault="00A11D01" w:rsidP="008F07A4">
      <w:pPr>
        <w:spacing w:line="480" w:lineRule="auto"/>
      </w:pPr>
      <w:r w:rsidRPr="008B13C9">
        <w:t>The majority</w:t>
      </w:r>
      <w:r w:rsidR="005A7182" w:rsidRPr="008B13C9">
        <w:t xml:space="preserve"> (</w:t>
      </w:r>
      <w:r w:rsidR="005B6413" w:rsidRPr="008B13C9">
        <w:t>73.3</w:t>
      </w:r>
      <w:r w:rsidR="005A7182" w:rsidRPr="008B13C9">
        <w:t>%)</w:t>
      </w:r>
      <w:r w:rsidRPr="008B13C9">
        <w:t xml:space="preserve"> of men and half </w:t>
      </w:r>
      <w:r w:rsidR="005A7182" w:rsidRPr="008B13C9">
        <w:t>(</w:t>
      </w:r>
      <w:r w:rsidR="005B6413" w:rsidRPr="008B13C9">
        <w:t>50.0</w:t>
      </w:r>
      <w:r w:rsidR="005A7182" w:rsidRPr="008B13C9">
        <w:t xml:space="preserve">%) </w:t>
      </w:r>
      <w:r w:rsidRPr="008B13C9">
        <w:t>of women reported any sexual activity in the last year.</w:t>
      </w:r>
      <w:r w:rsidR="004D5A29" w:rsidRPr="008B13C9">
        <w:t xml:space="preserve"> Table 2 summarises the prevalence of sexual activity and frequency of sexual intercourse in relation to weight status</w:t>
      </w:r>
      <w:r w:rsidR="00AA14F7" w:rsidRPr="008B13C9">
        <w:t xml:space="preserve"> and Table 3 presents age- and multivariable-adjusted models of these associations.</w:t>
      </w:r>
      <w:r w:rsidRPr="008B13C9">
        <w:t xml:space="preserve"> </w:t>
      </w:r>
      <w:r w:rsidR="003825C1" w:rsidRPr="008B13C9">
        <w:lastRenderedPageBreak/>
        <w:t xml:space="preserve">After adjustment for age, partner status, ethnicity, wealth, limiting long-standing illness, smoking status, alcohol intake, physical activity and depressive symptoms, </w:t>
      </w:r>
      <w:r w:rsidR="007C3FBB" w:rsidRPr="008B13C9">
        <w:t>there was no significant difference in the odds of any sexual activity in the last year by weight status</w:t>
      </w:r>
      <w:r w:rsidR="00E129D1" w:rsidRPr="008B13C9">
        <w:t>.</w:t>
      </w:r>
      <w:r w:rsidR="00800B28" w:rsidRPr="008B13C9">
        <w:t xml:space="preserve"> </w:t>
      </w:r>
      <w:r w:rsidR="004213B1" w:rsidRPr="008B13C9">
        <w:t>However, a</w:t>
      </w:r>
      <w:r w:rsidR="00800B28" w:rsidRPr="008B13C9">
        <w:t xml:space="preserve">mong </w:t>
      </w:r>
      <w:r w:rsidR="004213B1" w:rsidRPr="008B13C9">
        <w:t>those</w:t>
      </w:r>
      <w:r w:rsidR="00800B28" w:rsidRPr="008B13C9">
        <w:t xml:space="preserve"> who reported being sexually active, </w:t>
      </w:r>
      <w:r w:rsidR="00720FC0" w:rsidRPr="008B13C9">
        <w:t xml:space="preserve">men </w:t>
      </w:r>
      <w:r w:rsidR="004213B1" w:rsidRPr="008B13C9">
        <w:t xml:space="preserve">with </w:t>
      </w:r>
      <w:r w:rsidR="00720FC0" w:rsidRPr="008B13C9">
        <w:t>overweight</w:t>
      </w:r>
      <w:r w:rsidR="004213B1" w:rsidRPr="008B13C9">
        <w:t xml:space="preserve"> </w:t>
      </w:r>
      <w:r w:rsidR="00720FC0" w:rsidRPr="008B13C9">
        <w:t xml:space="preserve">(OR=1.45, 95% CI 1.15-1.81, </w:t>
      </w:r>
      <w:r w:rsidR="00720FC0" w:rsidRPr="008B13C9">
        <w:rPr>
          <w:i/>
        </w:rPr>
        <w:t>p</w:t>
      </w:r>
      <w:r w:rsidR="00720FC0" w:rsidRPr="008B13C9">
        <w:t>=0.002) or obes</w:t>
      </w:r>
      <w:r w:rsidR="004213B1" w:rsidRPr="008B13C9">
        <w:t>ity</w:t>
      </w:r>
      <w:r w:rsidR="00720FC0" w:rsidRPr="008B13C9">
        <w:t xml:space="preserve"> (OR=1.38, 95% CI 1.07-1.77, </w:t>
      </w:r>
      <w:r w:rsidR="00720FC0" w:rsidRPr="008B13C9">
        <w:rPr>
          <w:i/>
        </w:rPr>
        <w:t>p</w:t>
      </w:r>
      <w:r w:rsidR="00720FC0" w:rsidRPr="008B13C9">
        <w:t>=0.015)</w:t>
      </w:r>
      <w:r w:rsidR="00A60F62" w:rsidRPr="008B13C9">
        <w:t xml:space="preserve"> reported a higher frequency of sexual </w:t>
      </w:r>
      <w:r w:rsidR="00A630CA" w:rsidRPr="008B13C9">
        <w:t>intercourse</w:t>
      </w:r>
      <w:r w:rsidR="00A60F62" w:rsidRPr="008B13C9">
        <w:t xml:space="preserve"> in the last month, relative to men who were normal-weight.</w:t>
      </w:r>
      <w:r w:rsidR="00582E07" w:rsidRPr="008B13C9">
        <w:t xml:space="preserve"> Similarly, women </w:t>
      </w:r>
      <w:r w:rsidR="004213B1" w:rsidRPr="008B13C9">
        <w:t xml:space="preserve">with </w:t>
      </w:r>
      <w:r w:rsidR="00582E07" w:rsidRPr="008B13C9">
        <w:t xml:space="preserve">overweight reported a higher frequency of sexual </w:t>
      </w:r>
      <w:r w:rsidR="00A630CA" w:rsidRPr="008B13C9">
        <w:t>intercourse</w:t>
      </w:r>
      <w:r w:rsidR="00582E07" w:rsidRPr="008B13C9">
        <w:t xml:space="preserve"> in the last month than those who were normal-weight (OR=1.34, 95% CI 1.05-1.71, </w:t>
      </w:r>
      <w:r w:rsidR="00582E07" w:rsidRPr="008B13C9">
        <w:rPr>
          <w:i/>
        </w:rPr>
        <w:t>p</w:t>
      </w:r>
      <w:r w:rsidR="00582E07" w:rsidRPr="008B13C9">
        <w:t xml:space="preserve">=0.017), but there was no significant difference in the frequency of sexual </w:t>
      </w:r>
      <w:r w:rsidR="00A630CA" w:rsidRPr="008B13C9">
        <w:t>intercourse</w:t>
      </w:r>
      <w:r w:rsidR="00582E07" w:rsidRPr="008B13C9">
        <w:t xml:space="preserve"> between women with obesity and women who were normal-weight (OR=0.99, 95% CI 0.77-1.29, </w:t>
      </w:r>
      <w:r w:rsidR="00582E07" w:rsidRPr="008B13C9">
        <w:rPr>
          <w:i/>
        </w:rPr>
        <w:t>p</w:t>
      </w:r>
      <w:r w:rsidR="00582E07" w:rsidRPr="008B13C9">
        <w:t>=0.959).</w:t>
      </w:r>
    </w:p>
    <w:p w14:paraId="78FD2FC6" w14:textId="2FE00158" w:rsidR="001B69F2" w:rsidRPr="008B13C9" w:rsidRDefault="007036B9" w:rsidP="008F07A4">
      <w:pPr>
        <w:spacing w:line="480" w:lineRule="auto"/>
      </w:pPr>
      <w:r w:rsidRPr="008B13C9">
        <w:t>We performed three sets of s</w:t>
      </w:r>
      <w:r w:rsidR="001B69F2" w:rsidRPr="008B13C9">
        <w:t>ensitivity analyses</w:t>
      </w:r>
      <w:r w:rsidRPr="008B13C9">
        <w:t>. The first showed that</w:t>
      </w:r>
      <w:r w:rsidR="001B69F2" w:rsidRPr="008B13C9">
        <w:t xml:space="preserve"> excluding underweight participants</w:t>
      </w:r>
      <w:r w:rsidR="001544F5" w:rsidRPr="008B13C9">
        <w:t xml:space="preserve"> (</w:t>
      </w:r>
      <w:r w:rsidR="009068E7" w:rsidRPr="008B13C9">
        <w:t>95</w:t>
      </w:r>
      <w:r w:rsidR="001544F5" w:rsidRPr="008B13C9">
        <w:t xml:space="preserve"> men and </w:t>
      </w:r>
      <w:r w:rsidR="009068E7" w:rsidRPr="008B13C9">
        <w:t>142</w:t>
      </w:r>
      <w:r w:rsidR="001544F5" w:rsidRPr="008B13C9">
        <w:t xml:space="preserve"> women)</w:t>
      </w:r>
      <w:r w:rsidR="001B69F2" w:rsidRPr="008B13C9">
        <w:t xml:space="preserve"> from the normal-weight group did not alter the pattern of results</w:t>
      </w:r>
      <w:r w:rsidR="00A615E2" w:rsidRPr="008B13C9">
        <w:t>.</w:t>
      </w:r>
      <w:r w:rsidR="002B6C95" w:rsidRPr="008B13C9">
        <w:t xml:space="preserve"> </w:t>
      </w:r>
      <w:r w:rsidR="00A615E2" w:rsidRPr="008B13C9">
        <w:t>T</w:t>
      </w:r>
      <w:r w:rsidR="002B6C95" w:rsidRPr="008B13C9">
        <w:t>here was no association between weight status and any sexual activity in the last year</w:t>
      </w:r>
      <w:r w:rsidR="00A615E2" w:rsidRPr="008B13C9">
        <w:t xml:space="preserve"> in either men or women</w:t>
      </w:r>
      <w:r w:rsidR="002B6C95" w:rsidRPr="008B13C9">
        <w:t xml:space="preserve"> (</w:t>
      </w:r>
      <w:r w:rsidR="00CE6696" w:rsidRPr="008B13C9">
        <w:t xml:space="preserve">OR range 0.91-0.99, </w:t>
      </w:r>
      <w:r w:rsidR="002B6C95" w:rsidRPr="008B13C9">
        <w:rPr>
          <w:i/>
        </w:rPr>
        <w:t>p</w:t>
      </w:r>
      <w:r w:rsidR="002B6C95" w:rsidRPr="008B13C9">
        <w:t>&gt;0.</w:t>
      </w:r>
      <w:r w:rsidR="00CE6696" w:rsidRPr="008B13C9">
        <w:t>6</w:t>
      </w:r>
      <w:r w:rsidR="002B6C95" w:rsidRPr="008B13C9">
        <w:t>)</w:t>
      </w:r>
      <w:r w:rsidR="00A615E2" w:rsidRPr="008B13C9">
        <w:t>. Among men, overweight (OR=1.4</w:t>
      </w:r>
      <w:r w:rsidR="00692DD7" w:rsidRPr="008B13C9">
        <w:t>8, 95% CI 1.17-1.87</w:t>
      </w:r>
      <w:r w:rsidR="00A615E2" w:rsidRPr="008B13C9">
        <w:t xml:space="preserve">, </w:t>
      </w:r>
      <w:r w:rsidR="00A615E2" w:rsidRPr="008B13C9">
        <w:rPr>
          <w:i/>
        </w:rPr>
        <w:t>p</w:t>
      </w:r>
      <w:r w:rsidR="00A615E2" w:rsidRPr="008B13C9">
        <w:t>=0.001) and obesity (OR=1.4</w:t>
      </w:r>
      <w:r w:rsidR="00692DD7" w:rsidRPr="008B13C9">
        <w:t>1, 95% CI 1.08</w:t>
      </w:r>
      <w:r w:rsidR="00A615E2" w:rsidRPr="008B13C9">
        <w:t>-1.8</w:t>
      </w:r>
      <w:r w:rsidR="00692DD7" w:rsidRPr="008B13C9">
        <w:t>3</w:t>
      </w:r>
      <w:r w:rsidR="00A615E2" w:rsidRPr="008B13C9">
        <w:t xml:space="preserve">, </w:t>
      </w:r>
      <w:r w:rsidR="00A615E2" w:rsidRPr="008B13C9">
        <w:rPr>
          <w:i/>
        </w:rPr>
        <w:t>p</w:t>
      </w:r>
      <w:r w:rsidR="00A615E2" w:rsidRPr="008B13C9">
        <w:t>=0.</w:t>
      </w:r>
      <w:r w:rsidR="00692DD7" w:rsidRPr="008B13C9">
        <w:t>011</w:t>
      </w:r>
      <w:r w:rsidR="00A615E2" w:rsidRPr="008B13C9">
        <w:t>) were associated with higher frequency of sexual intercourse in the last month, relative to normal-weight. Among women, overweight was associated with higher frequency of sexual intercourse in the last month (OR=1.3</w:t>
      </w:r>
      <w:r w:rsidR="00692DD7" w:rsidRPr="008B13C9">
        <w:t>4, 95% CI 1.04-1.71</w:t>
      </w:r>
      <w:r w:rsidR="00A615E2" w:rsidRPr="008B13C9">
        <w:t xml:space="preserve">, </w:t>
      </w:r>
      <w:r w:rsidR="00A615E2" w:rsidRPr="008B13C9">
        <w:rPr>
          <w:i/>
        </w:rPr>
        <w:t>p</w:t>
      </w:r>
      <w:r w:rsidR="00692DD7" w:rsidRPr="008B13C9">
        <w:t>=0.023</w:t>
      </w:r>
      <w:r w:rsidR="00A615E2" w:rsidRPr="008B13C9">
        <w:t>) relative to normal-weight, but there was no significant difference between obesity and normal-weight (</w:t>
      </w:r>
      <w:r w:rsidR="00EE53F8" w:rsidRPr="008B13C9">
        <w:t>OR=</w:t>
      </w:r>
      <w:r w:rsidR="00692DD7" w:rsidRPr="008B13C9">
        <w:t>0.99</w:t>
      </w:r>
      <w:r w:rsidR="00EE53F8" w:rsidRPr="008B13C9">
        <w:t>, 95% CI 0.7</w:t>
      </w:r>
      <w:r w:rsidR="00692DD7" w:rsidRPr="008B13C9">
        <w:t>6-1.30</w:t>
      </w:r>
      <w:r w:rsidR="00EE53F8" w:rsidRPr="008B13C9">
        <w:t xml:space="preserve">, </w:t>
      </w:r>
      <w:r w:rsidR="00A615E2" w:rsidRPr="008B13C9">
        <w:rPr>
          <w:i/>
        </w:rPr>
        <w:t>p</w:t>
      </w:r>
      <w:r w:rsidR="00A615E2" w:rsidRPr="008B13C9">
        <w:t>=0.</w:t>
      </w:r>
      <w:r w:rsidR="00692DD7" w:rsidRPr="008B13C9">
        <w:t>963</w:t>
      </w:r>
      <w:r w:rsidR="00A615E2" w:rsidRPr="008B13C9">
        <w:t>).</w:t>
      </w:r>
    </w:p>
    <w:p w14:paraId="400FB87F" w14:textId="399998E8" w:rsidR="007036B9" w:rsidRPr="008B13C9" w:rsidRDefault="007036B9" w:rsidP="008F07A4">
      <w:pPr>
        <w:spacing w:line="480" w:lineRule="auto"/>
      </w:pPr>
      <w:r w:rsidRPr="008B13C9">
        <w:t xml:space="preserve">The second set of sensitivity analyses showed that further sub-categorisation of weight status did not produce notably different results. </w:t>
      </w:r>
      <w:r w:rsidR="00AC2654" w:rsidRPr="008B13C9">
        <w:t>We grouped participants in the obese category into those with class I (</w:t>
      </w:r>
      <w:r w:rsidR="00AC2654" w:rsidRPr="008B13C9">
        <w:rPr>
          <w:i/>
        </w:rPr>
        <w:t>n</w:t>
      </w:r>
      <w:r w:rsidR="00AC2654" w:rsidRPr="008B13C9">
        <w:t>=441 men, 466 women) and class II/III obesity (</w:t>
      </w:r>
      <w:r w:rsidR="00AC2654" w:rsidRPr="008B13C9">
        <w:rPr>
          <w:i/>
        </w:rPr>
        <w:t>n</w:t>
      </w:r>
      <w:r w:rsidR="00AC2654" w:rsidRPr="008B13C9">
        <w:t xml:space="preserve">=151 men, 303 women). </w:t>
      </w:r>
      <w:r w:rsidRPr="008B13C9">
        <w:t>There was no significant association</w:t>
      </w:r>
      <w:r w:rsidR="00EC0C9B" w:rsidRPr="008B13C9">
        <w:t xml:space="preserve"> in either men or women</w:t>
      </w:r>
      <w:r w:rsidRPr="008B13C9">
        <w:t xml:space="preserve"> between class I obesity </w:t>
      </w:r>
      <w:r w:rsidR="00332E8E" w:rsidRPr="008B13C9">
        <w:t xml:space="preserve">(men: OR=1.05, 95% CI 0.74-1.49, </w:t>
      </w:r>
      <w:r w:rsidR="00332E8E" w:rsidRPr="008B13C9">
        <w:rPr>
          <w:i/>
        </w:rPr>
        <w:t>p</w:t>
      </w:r>
      <w:r w:rsidR="00332E8E" w:rsidRPr="008B13C9">
        <w:t xml:space="preserve">=0.797; women: OR=1.00, 95% CI 0.75-1.33, </w:t>
      </w:r>
      <w:r w:rsidR="00332E8E" w:rsidRPr="008B13C9">
        <w:rPr>
          <w:i/>
        </w:rPr>
        <w:t>p</w:t>
      </w:r>
      <w:r w:rsidR="00332E8E" w:rsidRPr="008B13C9">
        <w:t xml:space="preserve">=0.972) </w:t>
      </w:r>
      <w:r w:rsidRPr="008B13C9">
        <w:t>or class II/III obesity</w:t>
      </w:r>
      <w:r w:rsidR="00332E8E" w:rsidRPr="008B13C9">
        <w:t xml:space="preserve"> (men: OR=0.93, 95% CI 0.56-1.54, </w:t>
      </w:r>
      <w:r w:rsidR="00332E8E" w:rsidRPr="008B13C9">
        <w:rPr>
          <w:i/>
        </w:rPr>
        <w:t>p</w:t>
      </w:r>
      <w:r w:rsidR="00332E8E" w:rsidRPr="008B13C9">
        <w:t xml:space="preserve">=0.771; women: OR=0.96, 95% CI 0.68-1.34, </w:t>
      </w:r>
      <w:r w:rsidR="00332E8E" w:rsidRPr="008B13C9">
        <w:rPr>
          <w:i/>
        </w:rPr>
        <w:t>p</w:t>
      </w:r>
      <w:r w:rsidR="00332E8E" w:rsidRPr="008B13C9">
        <w:t>=0.793)</w:t>
      </w:r>
      <w:r w:rsidRPr="008B13C9">
        <w:t xml:space="preserve"> and any sexual activity in </w:t>
      </w:r>
      <w:r w:rsidRPr="008B13C9">
        <w:lastRenderedPageBreak/>
        <w:t>the last year</w:t>
      </w:r>
      <w:r w:rsidR="00FE6A82" w:rsidRPr="008B13C9">
        <w:t xml:space="preserve">, relative to </w:t>
      </w:r>
      <w:r w:rsidR="00C83CCC" w:rsidRPr="008B13C9">
        <w:t>normal-weight</w:t>
      </w:r>
      <w:r w:rsidRPr="008B13C9">
        <w:t xml:space="preserve">. Among men, </w:t>
      </w:r>
      <w:r w:rsidR="000E1C5F" w:rsidRPr="008B13C9">
        <w:t xml:space="preserve">class I obesity was associated with significantly higher frequency of sexual intercourse in the last month (OR=1.36, 95% CI 1.04-1.78, </w:t>
      </w:r>
      <w:r w:rsidR="000E1C5F" w:rsidRPr="008B13C9">
        <w:rPr>
          <w:i/>
        </w:rPr>
        <w:t>p</w:t>
      </w:r>
      <w:r w:rsidR="000E1C5F" w:rsidRPr="008B13C9">
        <w:t xml:space="preserve">=0.026) relative to normal-weight, and although it was not statistically significant a similar association was observed in men with class II obesity (OR=1.42, 95% CI 0.96-2.11, </w:t>
      </w:r>
      <w:r w:rsidR="000E1C5F" w:rsidRPr="008B13C9">
        <w:rPr>
          <w:i/>
        </w:rPr>
        <w:t>p</w:t>
      </w:r>
      <w:r w:rsidR="000E1C5F" w:rsidRPr="008B13C9">
        <w:t>=0.080).</w:t>
      </w:r>
      <w:r w:rsidR="00096992" w:rsidRPr="008B13C9">
        <w:t xml:space="preserve"> Among women, there was no significant association between class I </w:t>
      </w:r>
      <w:r w:rsidR="004572CC" w:rsidRPr="008B13C9">
        <w:t xml:space="preserve">(OR=1.01, 95% CI 0.76-1.35, </w:t>
      </w:r>
      <w:r w:rsidR="004572CC" w:rsidRPr="008B13C9">
        <w:rPr>
          <w:i/>
        </w:rPr>
        <w:t>p</w:t>
      </w:r>
      <w:r w:rsidR="004572CC" w:rsidRPr="008B13C9">
        <w:t xml:space="preserve">=0.941) </w:t>
      </w:r>
      <w:r w:rsidR="00096992" w:rsidRPr="008B13C9">
        <w:t>or class II/III obesity</w:t>
      </w:r>
      <w:r w:rsidR="004572CC" w:rsidRPr="008B13C9">
        <w:t xml:space="preserve"> (OR=0.96, 95% CI 0.68-1.37, </w:t>
      </w:r>
      <w:r w:rsidR="004572CC" w:rsidRPr="008B13C9">
        <w:rPr>
          <w:i/>
        </w:rPr>
        <w:t>p</w:t>
      </w:r>
      <w:r w:rsidR="004572CC" w:rsidRPr="008B13C9">
        <w:t>=0.826)</w:t>
      </w:r>
      <w:r w:rsidR="00096992" w:rsidRPr="008B13C9">
        <w:t xml:space="preserve"> and frequency of sexual intercourse.</w:t>
      </w:r>
    </w:p>
    <w:p w14:paraId="3E47B311" w14:textId="4B2D7909" w:rsidR="001E361B" w:rsidRPr="008B13C9" w:rsidRDefault="00865EF1" w:rsidP="008F07A4">
      <w:pPr>
        <w:spacing w:line="480" w:lineRule="auto"/>
      </w:pPr>
      <w:r w:rsidRPr="008B13C9">
        <w:t xml:space="preserve">The third set of sensitivity analyses showed a similar pattern of results using elevated waist circumference as an alternative indicator of adiposity. </w:t>
      </w:r>
      <w:r w:rsidR="00CB014B" w:rsidRPr="008B13C9">
        <w:t>Elevated w</w:t>
      </w:r>
      <w:r w:rsidR="00031893" w:rsidRPr="008B13C9">
        <w:t xml:space="preserve">aist circumference </w:t>
      </w:r>
      <w:r w:rsidR="00CB014B" w:rsidRPr="008B13C9">
        <w:t xml:space="preserve">(men: </w:t>
      </w:r>
      <w:r w:rsidR="00CB014B" w:rsidRPr="008B13C9">
        <w:rPr>
          <w:i/>
        </w:rPr>
        <w:t>n</w:t>
      </w:r>
      <w:r w:rsidR="00CB014B" w:rsidRPr="008B13C9">
        <w:t>=</w:t>
      </w:r>
      <w:r w:rsidR="00BC2665" w:rsidRPr="008B13C9">
        <w:t>980</w:t>
      </w:r>
      <w:r w:rsidR="00CB014B" w:rsidRPr="008B13C9">
        <w:t xml:space="preserve">; women: </w:t>
      </w:r>
      <w:r w:rsidR="00CB014B" w:rsidRPr="008B13C9">
        <w:rPr>
          <w:i/>
        </w:rPr>
        <w:t>n</w:t>
      </w:r>
      <w:r w:rsidR="00CB014B" w:rsidRPr="008B13C9">
        <w:t>=</w:t>
      </w:r>
      <w:r w:rsidR="00BC2665" w:rsidRPr="008B13C9">
        <w:t>1,414</w:t>
      </w:r>
      <w:r w:rsidR="00CB014B" w:rsidRPr="008B13C9">
        <w:t xml:space="preserve">) </w:t>
      </w:r>
      <w:r w:rsidR="00031893" w:rsidRPr="008B13C9">
        <w:t xml:space="preserve">was not associated with any sexual activity in the last year in men (OR=1.02, 95% CI 0.80-1.30, </w:t>
      </w:r>
      <w:r w:rsidR="00031893" w:rsidRPr="008B13C9">
        <w:rPr>
          <w:i/>
        </w:rPr>
        <w:t>p</w:t>
      </w:r>
      <w:r w:rsidR="00031893" w:rsidRPr="008B13C9">
        <w:t xml:space="preserve">=0.892) or women (OR=0.98, 95% CI 0.79-1.21, </w:t>
      </w:r>
      <w:r w:rsidR="00031893" w:rsidRPr="008B13C9">
        <w:rPr>
          <w:i/>
        </w:rPr>
        <w:t>p</w:t>
      </w:r>
      <w:r w:rsidR="00031893" w:rsidRPr="008B13C9">
        <w:t xml:space="preserve">=0.817). </w:t>
      </w:r>
      <w:r w:rsidR="003A4FF2" w:rsidRPr="008B13C9">
        <w:t xml:space="preserve">Men with a waist circumference </w:t>
      </w:r>
      <w:r w:rsidR="00031893" w:rsidRPr="008B13C9">
        <w:rPr>
          <w:rFonts w:cstheme="minorHAnsi"/>
        </w:rPr>
        <w:t>≥</w:t>
      </w:r>
      <w:r w:rsidR="00031893" w:rsidRPr="008B13C9">
        <w:t xml:space="preserve">102cm reported a higher frequency of sexual intercourse in the last month than those with a healthy waist circumference measurement, although the difference did not reach statistical significance (OR=1.20, 95% CI 0.998-1.45, </w:t>
      </w:r>
      <w:r w:rsidR="00031893" w:rsidRPr="008B13C9">
        <w:rPr>
          <w:i/>
        </w:rPr>
        <w:t>p</w:t>
      </w:r>
      <w:r w:rsidR="00031893" w:rsidRPr="008B13C9">
        <w:t>=0.053). There was no association between high waist circumference (</w:t>
      </w:r>
      <w:r w:rsidR="00031893" w:rsidRPr="008B13C9">
        <w:rPr>
          <w:rFonts w:cstheme="minorHAnsi"/>
        </w:rPr>
        <w:t>≥</w:t>
      </w:r>
      <w:r w:rsidR="00031893" w:rsidRPr="008B13C9">
        <w:t xml:space="preserve">88cm) in women and </w:t>
      </w:r>
      <w:r w:rsidR="00605224" w:rsidRPr="008B13C9">
        <w:t xml:space="preserve">past-month frequency of sexual intercourse (OR=1.01, 95% CI 0.82-1.24, </w:t>
      </w:r>
      <w:r w:rsidR="00605224" w:rsidRPr="008B13C9">
        <w:rPr>
          <w:i/>
        </w:rPr>
        <w:t>p</w:t>
      </w:r>
      <w:r w:rsidR="00605224" w:rsidRPr="008B13C9">
        <w:t>=0.944).</w:t>
      </w:r>
    </w:p>
    <w:p w14:paraId="241EACC7" w14:textId="77777777" w:rsidR="001B69F2" w:rsidRPr="008B13C9" w:rsidRDefault="001B69F2" w:rsidP="008F07A4">
      <w:pPr>
        <w:spacing w:line="480" w:lineRule="auto"/>
      </w:pPr>
    </w:p>
    <w:p w14:paraId="47D70CDC" w14:textId="77777777" w:rsidR="00D340F2" w:rsidRPr="008B13C9" w:rsidRDefault="00D340F2" w:rsidP="008F07A4">
      <w:pPr>
        <w:pStyle w:val="Heading1"/>
        <w:spacing w:line="480" w:lineRule="auto"/>
      </w:pPr>
      <w:r w:rsidRPr="008B13C9">
        <w:t>Discussion</w:t>
      </w:r>
    </w:p>
    <w:p w14:paraId="2015211A" w14:textId="0D406AEE" w:rsidR="008019AA" w:rsidRPr="008B13C9" w:rsidRDefault="008B6B41" w:rsidP="008F07A4">
      <w:pPr>
        <w:spacing w:afterLines="120" w:after="288" w:line="480" w:lineRule="auto"/>
        <w:rPr>
          <w:rFonts w:ascii="Calibri" w:hAnsi="Calibri"/>
        </w:rPr>
      </w:pPr>
      <w:r w:rsidRPr="008B13C9">
        <w:rPr>
          <w:rFonts w:ascii="Calibri" w:hAnsi="Calibri"/>
        </w:rPr>
        <w:t>In this large sample of older adults</w:t>
      </w:r>
      <w:r w:rsidR="0003422B" w:rsidRPr="008B13C9">
        <w:rPr>
          <w:rFonts w:ascii="Calibri" w:hAnsi="Calibri"/>
        </w:rPr>
        <w:t xml:space="preserve"> in England</w:t>
      </w:r>
      <w:r w:rsidRPr="008B13C9">
        <w:rPr>
          <w:rFonts w:ascii="Calibri" w:hAnsi="Calibri"/>
        </w:rPr>
        <w:t xml:space="preserve">, </w:t>
      </w:r>
      <w:r w:rsidR="00C6021C" w:rsidRPr="008B13C9">
        <w:rPr>
          <w:rFonts w:ascii="Calibri" w:hAnsi="Calibri"/>
        </w:rPr>
        <w:t>the odds of reporting any sexual activity in the last year did not differ significantly</w:t>
      </w:r>
      <w:r w:rsidRPr="008B13C9">
        <w:rPr>
          <w:rFonts w:ascii="Calibri" w:hAnsi="Calibri"/>
        </w:rPr>
        <w:t xml:space="preserve"> </w:t>
      </w:r>
      <w:r w:rsidR="0068774E" w:rsidRPr="008B13C9">
        <w:rPr>
          <w:rFonts w:ascii="Calibri" w:hAnsi="Calibri"/>
        </w:rPr>
        <w:t>between normal-weight, overweight and obese</w:t>
      </w:r>
      <w:r w:rsidR="007A4C4A" w:rsidRPr="008B13C9">
        <w:rPr>
          <w:rFonts w:ascii="Calibri" w:hAnsi="Calibri"/>
        </w:rPr>
        <w:t xml:space="preserve"> BMI groups</w:t>
      </w:r>
      <w:r w:rsidRPr="008B13C9">
        <w:rPr>
          <w:rFonts w:ascii="Calibri" w:hAnsi="Calibri"/>
        </w:rPr>
        <w:t xml:space="preserve">. However, </w:t>
      </w:r>
      <w:r w:rsidR="003A35FE" w:rsidRPr="008B13C9">
        <w:rPr>
          <w:rFonts w:ascii="Calibri" w:hAnsi="Calibri"/>
        </w:rPr>
        <w:t>among those who were sexually active</w:t>
      </w:r>
      <w:r w:rsidR="007624ED" w:rsidRPr="008B13C9">
        <w:rPr>
          <w:rFonts w:ascii="Calibri" w:hAnsi="Calibri"/>
        </w:rPr>
        <w:t>,</w:t>
      </w:r>
      <w:r w:rsidRPr="008B13C9">
        <w:rPr>
          <w:rFonts w:ascii="Calibri" w:hAnsi="Calibri"/>
        </w:rPr>
        <w:t xml:space="preserve"> men </w:t>
      </w:r>
      <w:r w:rsidR="00C6021C" w:rsidRPr="008B13C9">
        <w:rPr>
          <w:rFonts w:ascii="Calibri" w:hAnsi="Calibri"/>
        </w:rPr>
        <w:t>with</w:t>
      </w:r>
      <w:r w:rsidRPr="008B13C9">
        <w:rPr>
          <w:rFonts w:ascii="Calibri" w:hAnsi="Calibri"/>
        </w:rPr>
        <w:t xml:space="preserve"> overweight or obes</w:t>
      </w:r>
      <w:r w:rsidR="003A35FE" w:rsidRPr="008B13C9">
        <w:rPr>
          <w:rFonts w:ascii="Calibri" w:hAnsi="Calibri"/>
        </w:rPr>
        <w:t>ity</w:t>
      </w:r>
      <w:r w:rsidR="00826288" w:rsidRPr="008B13C9">
        <w:rPr>
          <w:rFonts w:ascii="Calibri" w:hAnsi="Calibri"/>
        </w:rPr>
        <w:t xml:space="preserve"> </w:t>
      </w:r>
      <w:r w:rsidRPr="008B13C9">
        <w:rPr>
          <w:rFonts w:ascii="Calibri" w:hAnsi="Calibri"/>
        </w:rPr>
        <w:t>and women w</w:t>
      </w:r>
      <w:r w:rsidR="003A35FE" w:rsidRPr="008B13C9">
        <w:rPr>
          <w:rFonts w:ascii="Calibri" w:hAnsi="Calibri"/>
        </w:rPr>
        <w:t xml:space="preserve">ith </w:t>
      </w:r>
      <w:r w:rsidRPr="008B13C9">
        <w:rPr>
          <w:rFonts w:ascii="Calibri" w:hAnsi="Calibri"/>
        </w:rPr>
        <w:t xml:space="preserve">overweight reported a higher frequency of sexual </w:t>
      </w:r>
      <w:r w:rsidR="00A630CA" w:rsidRPr="008B13C9">
        <w:rPr>
          <w:rFonts w:ascii="Calibri" w:hAnsi="Calibri"/>
        </w:rPr>
        <w:t>intercourse</w:t>
      </w:r>
      <w:r w:rsidRPr="008B13C9">
        <w:rPr>
          <w:rFonts w:ascii="Calibri" w:hAnsi="Calibri"/>
        </w:rPr>
        <w:t xml:space="preserve"> in the last month compared </w:t>
      </w:r>
      <w:r w:rsidR="003A35FE" w:rsidRPr="008B13C9">
        <w:rPr>
          <w:rFonts w:ascii="Calibri" w:hAnsi="Calibri"/>
        </w:rPr>
        <w:t>with</w:t>
      </w:r>
      <w:r w:rsidRPr="008B13C9">
        <w:rPr>
          <w:rFonts w:ascii="Calibri" w:hAnsi="Calibri"/>
        </w:rPr>
        <w:t xml:space="preserve"> those who were normal</w:t>
      </w:r>
      <w:r w:rsidR="007624ED" w:rsidRPr="008B13C9">
        <w:rPr>
          <w:rFonts w:ascii="Calibri" w:hAnsi="Calibri"/>
        </w:rPr>
        <w:t>-</w:t>
      </w:r>
      <w:r w:rsidR="00EB1F15" w:rsidRPr="008B13C9">
        <w:rPr>
          <w:rFonts w:ascii="Calibri" w:hAnsi="Calibri"/>
        </w:rPr>
        <w:t xml:space="preserve">weight. </w:t>
      </w:r>
      <w:r w:rsidR="003A35FE" w:rsidRPr="008B13C9">
        <w:rPr>
          <w:rFonts w:ascii="Calibri" w:hAnsi="Calibri"/>
        </w:rPr>
        <w:t>Similar</w:t>
      </w:r>
      <w:r w:rsidR="00EB1F15" w:rsidRPr="008B13C9">
        <w:rPr>
          <w:rFonts w:ascii="Calibri" w:hAnsi="Calibri"/>
        </w:rPr>
        <w:t xml:space="preserve"> </w:t>
      </w:r>
      <w:r w:rsidR="003A35FE" w:rsidRPr="008B13C9">
        <w:rPr>
          <w:rFonts w:ascii="Calibri" w:hAnsi="Calibri"/>
        </w:rPr>
        <w:t>results</w:t>
      </w:r>
      <w:r w:rsidR="00EB1F15" w:rsidRPr="008B13C9">
        <w:rPr>
          <w:rFonts w:ascii="Calibri" w:hAnsi="Calibri"/>
        </w:rPr>
        <w:t xml:space="preserve"> were observed when using waist circumference as an indicator of overweight</w:t>
      </w:r>
      <w:r w:rsidR="002F1CA2" w:rsidRPr="008B13C9">
        <w:rPr>
          <w:rFonts w:ascii="Calibri" w:hAnsi="Calibri"/>
        </w:rPr>
        <w:t>/</w:t>
      </w:r>
      <w:r w:rsidR="00EB1F15" w:rsidRPr="008B13C9">
        <w:rPr>
          <w:rFonts w:ascii="Calibri" w:hAnsi="Calibri"/>
        </w:rPr>
        <w:t>obesity.</w:t>
      </w:r>
    </w:p>
    <w:p w14:paraId="7B52F4FD" w14:textId="3A263CF2" w:rsidR="00966FDB" w:rsidRPr="008B13C9" w:rsidRDefault="0067480E" w:rsidP="008F07A4">
      <w:pPr>
        <w:spacing w:afterLines="120" w:after="288" w:line="480" w:lineRule="auto"/>
        <w:rPr>
          <w:rFonts w:ascii="Calibri" w:hAnsi="Calibri"/>
        </w:rPr>
      </w:pPr>
      <w:r w:rsidRPr="008B13C9">
        <w:rPr>
          <w:rFonts w:ascii="Calibri" w:hAnsi="Calibri"/>
        </w:rPr>
        <w:lastRenderedPageBreak/>
        <w:t>Previous research has shown that older adults with overweight and obesity tend to be less physically active than their normal-weight counterparts</w:t>
      </w:r>
      <w:r w:rsidR="006C39AA" w:rsidRPr="008B13C9">
        <w:rPr>
          <w:rFonts w:ascii="Calibri" w:hAnsi="Calibri"/>
        </w:rPr>
        <w:t xml:space="preserve"> </w:t>
      </w:r>
      <w:r w:rsidR="006C39AA" w:rsidRPr="008B13C9">
        <w:fldChar w:fldCharType="begin"/>
      </w:r>
      <w:r w:rsidR="006C39AA" w:rsidRPr="008B13C9">
        <w:instrText xml:space="preserve"> ADDIN ZOTERO_ITEM CSL_CITATION {"citationID":"CSvqveko","properties":{"formattedCitation":"(6,7)","plainCitation":"(6,7)","noteIndex":0},"citationItems":[{"id":8355,"uris":["http://zotero.org/users/446899/items/D7889TGD"],"uri":["http://zotero.org/users/446899/items/D7889TGD"],"itemData":{"id":8355,"type":"article-journal","title":"The Relationship Between Obesity, Physical Activity, and Physical Function in Older Adults","container-title":"Journal of Aging and Health","page":"1159-1178","volume":"21","issue":"8","source":"SAGE Journals","abstract":"Objective: This study investigated the relationship between overweight and obesity, age, and gender with physical activity and physical function in community-dwelling older men and women. Method: Multivariate analysis of covariance was used to analyze differences between normal weight, overweight, and obese adults (n = 821) above the age of 60 years. Results: Obesity but not overweight was associated with lower levels of physical activity and physical function. Within BMI groups, individuals who were physically active were less likely to have abnormal physical function scores compared to those who were sedentary. Compared to men, obese women had lower physical function scores, placing them at higher risk for future disability. Aging was associated with lower levels of physical activity and physical function.  Discussion: The study illustrates the importance of avoiding obesity and participating in regular physical activity to prevent or slow down the loss of functioning in older age.","DOI":"10.1177/0898264309350076","ISSN":"0898-2643","journalAbbreviation":"J Aging Health","language":"en","author":[{"family":"Riebe","given":"Deborah"},{"family":"Blissmer","given":"Bryan J."},{"family":"Greaney","given":"Mary L."},{"family":"Ewing Garber","given":"Carol"},{"family":"Lees","given":"Faith D."},{"family":"Clark","given":"Philip G."}],"issued":{"date-parts":[["2009",12,1]]}}},{"id":8353,"uris":["http://zotero.org/users/446899/items/TMT6I785"],"uri":["http://zotero.org/users/446899/items/TMT6I785"],"itemData":{"id":8353,"type":"article-journal","title":"Physical activity in older age: perspectives for healthy ageing and frailty","container-title":"Biogerontology","page":"567-580","volume":"17","issue":"3","source":"Springer Link","abstract":"Regular physical activity helps to improve physical and mental functions as well as reverse some effects of chronic disease to keep older people mobile and independent. Despite the highly publicised benefits of physical activity, the overwhelming majority of older people in the United Kingdom do not meet the minimum physical activity levels needed to maintain health. The sedentary lifestyles that predominate in older age results in premature onset of ill health, disease and frailty. Local authorities have a responsibility to promote physical activity amongst older people, but knowing how to stimulate regular activity at the population-level is challenging. The physiological rationale for physical activity, risks of adverse events, societal and psychological factors are discussed with a view to inform public health initiatives for the relatively healthy older person as well as those with physical frailty. The evidence shows that regular physical activity is safe for healthy and for frail older people and the risks of developing major cardiovascular and metabolic diseases, obesity, falls, cognitive impairments, osteoporosis and muscular weakness are decreased by regularly completing activities ranging from low intensity walking through to more vigorous sports and resistance exercises. Yet, participation in physical activities remains low amongst older adults, particularly those living in less affluent areas. Older people may be encouraged to increase their activities if influenced by clinicians, family or friends, keeping costs low and enjoyment high, facilitating group-based activities and raising self-efficacy for exercise.","DOI":"10.1007/s10522-016-9641-0","ISSN":"1573-6768","shortTitle":"Physical activity in older age","journalAbbreviation":"Biogerontology","language":"en","author":[{"family":"McPhee","given":"Jamie S."},{"family":"French","given":"David P."},{"family":"Jackson","given":"Dean"},{"family":"Nazroo","given":"James"},{"family":"Pendleton","given":"Neil"},{"family":"Degens","given":"Hans"}],"issued":{"date-parts":[["2016",6,1]]}}}],"schema":"https://github.com/citation-style-language/schema/raw/master/csl-citation.json"} </w:instrText>
      </w:r>
      <w:r w:rsidR="006C39AA" w:rsidRPr="008B13C9">
        <w:fldChar w:fldCharType="separate"/>
      </w:r>
      <w:r w:rsidR="006C39AA" w:rsidRPr="008B13C9">
        <w:rPr>
          <w:rFonts w:ascii="Calibri" w:hAnsi="Calibri" w:cs="Calibri"/>
        </w:rPr>
        <w:t>(6,7)</w:t>
      </w:r>
      <w:r w:rsidR="006C39AA" w:rsidRPr="008B13C9">
        <w:fldChar w:fldCharType="end"/>
      </w:r>
      <w:r w:rsidRPr="008B13C9">
        <w:rPr>
          <w:rFonts w:ascii="Calibri" w:hAnsi="Calibri"/>
        </w:rPr>
        <w:t xml:space="preserve">. However, we did not observe the same pattern </w:t>
      </w:r>
      <w:proofErr w:type="gramStart"/>
      <w:r w:rsidRPr="008B13C9">
        <w:rPr>
          <w:rFonts w:ascii="Calibri" w:hAnsi="Calibri"/>
        </w:rPr>
        <w:t>with regard to</w:t>
      </w:r>
      <w:proofErr w:type="gramEnd"/>
      <w:r w:rsidRPr="008B13C9">
        <w:rPr>
          <w:rFonts w:ascii="Calibri" w:hAnsi="Calibri"/>
        </w:rPr>
        <w:t xml:space="preserve"> sexual activity: rather, we found that sexually active older adults who carried excess weight engaged in more frequent sexual activity.</w:t>
      </w:r>
      <w:r w:rsidR="006C39AA" w:rsidRPr="008B13C9">
        <w:rPr>
          <w:rFonts w:ascii="Calibri" w:hAnsi="Calibri"/>
        </w:rPr>
        <w:t xml:space="preserve"> </w:t>
      </w:r>
      <w:r w:rsidR="009A14AE" w:rsidRPr="008B13C9">
        <w:rPr>
          <w:rFonts w:ascii="Calibri" w:hAnsi="Calibri"/>
        </w:rPr>
        <w:t xml:space="preserve">As such, </w:t>
      </w:r>
      <w:r w:rsidR="00966FDB" w:rsidRPr="008B13C9">
        <w:rPr>
          <w:rFonts w:ascii="Calibri" w:hAnsi="Calibri"/>
        </w:rPr>
        <w:t>th</w:t>
      </w:r>
      <w:r w:rsidRPr="008B13C9">
        <w:rPr>
          <w:rFonts w:ascii="Calibri" w:hAnsi="Calibri"/>
        </w:rPr>
        <w:t xml:space="preserve">e scope to mitigate the adverse health impacts of </w:t>
      </w:r>
      <w:r w:rsidR="009A14AE" w:rsidRPr="008B13C9">
        <w:rPr>
          <w:rFonts w:ascii="Calibri" w:hAnsi="Calibri"/>
        </w:rPr>
        <w:t>overweight and obesity</w:t>
      </w:r>
      <w:r w:rsidRPr="008B13C9">
        <w:rPr>
          <w:rFonts w:ascii="Calibri" w:hAnsi="Calibri"/>
        </w:rPr>
        <w:t xml:space="preserve"> in later life may be limited by th</w:t>
      </w:r>
      <w:r w:rsidR="009A14AE" w:rsidRPr="008B13C9">
        <w:rPr>
          <w:rFonts w:ascii="Calibri" w:hAnsi="Calibri"/>
        </w:rPr>
        <w:t>ese groups already having higher levels of sexual activity.</w:t>
      </w:r>
    </w:p>
    <w:p w14:paraId="65A3995E" w14:textId="02FAAF49" w:rsidR="00335FF9" w:rsidRPr="008B13C9" w:rsidRDefault="00826288" w:rsidP="008F07A4">
      <w:pPr>
        <w:spacing w:afterLines="120" w:after="288" w:line="480" w:lineRule="auto"/>
        <w:rPr>
          <w:rFonts w:ascii="Calibri" w:hAnsi="Calibri"/>
        </w:rPr>
      </w:pPr>
      <w:r w:rsidRPr="008B13C9">
        <w:rPr>
          <w:rFonts w:ascii="Calibri" w:hAnsi="Calibri"/>
        </w:rPr>
        <w:t xml:space="preserve">A plausible explanation for these observed associations </w:t>
      </w:r>
      <w:r w:rsidR="008E565F" w:rsidRPr="008B13C9">
        <w:rPr>
          <w:rFonts w:ascii="Calibri" w:hAnsi="Calibri"/>
        </w:rPr>
        <w:t>is that people in</w:t>
      </w:r>
      <w:r w:rsidRPr="008B13C9">
        <w:rPr>
          <w:rFonts w:ascii="Calibri" w:hAnsi="Calibri"/>
        </w:rPr>
        <w:t xml:space="preserve"> stable cohabiting relationships</w:t>
      </w:r>
      <w:r w:rsidR="008E565F" w:rsidRPr="008B13C9">
        <w:rPr>
          <w:rFonts w:ascii="Calibri" w:hAnsi="Calibri"/>
        </w:rPr>
        <w:t xml:space="preserve"> tend to gain weight over time</w:t>
      </w:r>
      <w:r w:rsidRPr="008B13C9">
        <w:rPr>
          <w:rFonts w:ascii="Calibri" w:hAnsi="Calibri"/>
        </w:rPr>
        <w:t>. For example, it was found in a longitudinal cohort of working adults</w:t>
      </w:r>
      <w:r w:rsidR="000C6DD8" w:rsidRPr="008B13C9">
        <w:rPr>
          <w:rFonts w:ascii="Calibri" w:hAnsi="Calibri"/>
        </w:rPr>
        <w:t xml:space="preserve"> (1</w:t>
      </w:r>
      <w:r w:rsidR="00E04BF0" w:rsidRPr="008B13C9">
        <w:rPr>
          <w:rFonts w:ascii="Calibri" w:hAnsi="Calibri"/>
        </w:rPr>
        <w:t>,</w:t>
      </w:r>
      <w:r w:rsidR="000C6DD8" w:rsidRPr="008B13C9">
        <w:rPr>
          <w:rFonts w:ascii="Calibri" w:hAnsi="Calibri"/>
        </w:rPr>
        <w:t>209 men and 1</w:t>
      </w:r>
      <w:r w:rsidR="00E04BF0" w:rsidRPr="008B13C9">
        <w:rPr>
          <w:rFonts w:ascii="Calibri" w:hAnsi="Calibri"/>
        </w:rPr>
        <w:t>,</w:t>
      </w:r>
      <w:r w:rsidR="000C6DD8" w:rsidRPr="008B13C9">
        <w:rPr>
          <w:rFonts w:ascii="Calibri" w:hAnsi="Calibri"/>
        </w:rPr>
        <w:t xml:space="preserve">319 women) </w:t>
      </w:r>
      <w:r w:rsidRPr="008B13C9">
        <w:rPr>
          <w:rFonts w:ascii="Calibri" w:hAnsi="Calibri"/>
        </w:rPr>
        <w:t xml:space="preserve">that </w:t>
      </w:r>
      <w:r w:rsidRPr="008B13C9">
        <w:rPr>
          <w:rFonts w:ascii="Calibri" w:hAnsi="Calibri" w:hint="eastAsia"/>
        </w:rPr>
        <w:t xml:space="preserve">marriage was associated with a significant </w:t>
      </w:r>
      <w:r w:rsidR="00E04BF0" w:rsidRPr="008B13C9">
        <w:rPr>
          <w:rFonts w:ascii="Calibri" w:hAnsi="Calibri"/>
        </w:rPr>
        <w:t>two</w:t>
      </w:r>
      <w:r w:rsidRPr="008B13C9">
        <w:rPr>
          <w:rFonts w:ascii="Calibri" w:hAnsi="Calibri" w:hint="eastAsia"/>
        </w:rPr>
        <w:t>-year weight gain</w:t>
      </w:r>
      <w:r w:rsidR="00F80943" w:rsidRPr="008B13C9">
        <w:rPr>
          <w:rFonts w:ascii="Calibri" w:hAnsi="Calibri"/>
        </w:rPr>
        <w:t>.</w:t>
      </w:r>
      <w:r w:rsidR="00AD2544" w:rsidRPr="008B13C9">
        <w:rPr>
          <w:rFonts w:ascii="Calibri" w:hAnsi="Calibri"/>
        </w:rPr>
        <w:fldChar w:fldCharType="begin"/>
      </w:r>
      <w:r w:rsidR="00DF55D6" w:rsidRPr="008B13C9">
        <w:rPr>
          <w:rFonts w:ascii="Calibri" w:hAnsi="Calibri"/>
        </w:rPr>
        <w:instrText xml:space="preserve"> ADDIN ZOTERO_ITEM CSL_CITATION {"citationID":"fwx7TlRl","properties":{"formattedCitation":"(25)","plainCitation":"(25)","noteIndex":0},"citationItems":[{"id":8335,"uris":["http://zotero.org/users/446899/items/2WXVFDRI"],"uri":["http://zotero.org/users/446899/items/2WXVFDRI"],"itemData":{"id":8335,"type":"article-journal","title":"Cross-sectional and longitudinal associations between body mass index and marriage-related factors","container-title":"Obesity Research","page":"809-815","volume":"10","issue":"8","source":"PubMed","abstract":"OBJECTIVE: To assess the relationship between marriage and obesity.\nRESEARCH METHODS AND PROCEDURES: Cross-sectional and longitudinal associations were examined between participant body mass index (BMI), spouse BMI, and participant diet and exercise habits.\nRESULTS: Spouse and participant BMI and BMI changes over 2 years were significantly associated. Participant BMI was associated with higher consumption of calorie-dense foods and lower frequency of physical activity. Participants' eating and exercise habits were only weakly related to spouse BMI. BMI did not predict the likelihood of marriage or divorce. However, marriage was associated with a significant 2-year weight gain and divorce with a significant 2-year weight loss.\nDISCUSSION: The results suggest that spouse similarity in BMI is at least partly due to shared environment. The observed effects of marriage and divorce on weight may be due to the influence of marriage on inducements to eat (e.g., shared meals) or on motivation for weight control.","DOI":"10.1038/oby.2002.109","ISSN":"1071-7323","note":"PMID: 12181390","journalAbbreviation":"Obes. Res.","language":"eng","author":[{"family":"Jeffery","given":"Robert W."},{"family":"Rick","given":"Allison M."}],"issued":{"date-parts":[["2002",8]]}}}],"schema":"https://github.com/citation-style-language/schema/raw/master/csl-citation.json"} </w:instrText>
      </w:r>
      <w:r w:rsidR="00AD2544" w:rsidRPr="008B13C9">
        <w:rPr>
          <w:rFonts w:ascii="Calibri" w:hAnsi="Calibri"/>
        </w:rPr>
        <w:fldChar w:fldCharType="separate"/>
      </w:r>
      <w:r w:rsidR="00DF55D6" w:rsidRPr="008B13C9">
        <w:rPr>
          <w:rFonts w:ascii="Calibri" w:hAnsi="Calibri" w:cs="Calibri"/>
        </w:rPr>
        <w:t>(25)</w:t>
      </w:r>
      <w:r w:rsidR="00AD2544" w:rsidRPr="008B13C9">
        <w:rPr>
          <w:rFonts w:ascii="Calibri" w:hAnsi="Calibri"/>
        </w:rPr>
        <w:fldChar w:fldCharType="end"/>
      </w:r>
      <w:r w:rsidR="000C6DD8" w:rsidRPr="008B13C9">
        <w:rPr>
          <w:rFonts w:ascii="Calibri" w:hAnsi="Calibri"/>
        </w:rPr>
        <w:t xml:space="preserve">  </w:t>
      </w:r>
      <w:r w:rsidR="00917238" w:rsidRPr="008B13C9">
        <w:rPr>
          <w:rFonts w:ascii="Calibri" w:hAnsi="Calibri"/>
        </w:rPr>
        <w:t>O</w:t>
      </w:r>
      <w:r w:rsidR="00964ECD" w:rsidRPr="008B13C9">
        <w:rPr>
          <w:rFonts w:ascii="Calibri" w:hAnsi="Calibri"/>
        </w:rPr>
        <w:t>ther studies have found similar findings</w:t>
      </w:r>
      <w:r w:rsidR="00F874D1" w:rsidRPr="008B13C9">
        <w:rPr>
          <w:rFonts w:ascii="Calibri" w:hAnsi="Calibri"/>
        </w:rPr>
        <w:t>.</w:t>
      </w:r>
      <w:r w:rsidR="00C944E8" w:rsidRPr="008B13C9">
        <w:rPr>
          <w:rFonts w:ascii="Calibri" w:hAnsi="Calibri"/>
        </w:rPr>
        <w:fldChar w:fldCharType="begin"/>
      </w:r>
      <w:r w:rsidR="00DF55D6" w:rsidRPr="008B13C9">
        <w:rPr>
          <w:rFonts w:ascii="Calibri" w:hAnsi="Calibri"/>
        </w:rPr>
        <w:instrText xml:space="preserve"> ADDIN ZOTERO_ITEM CSL_CITATION {"citationID":"dZROXrMB","properties":{"formattedCitation":"(26,27)","plainCitation":"(26,27)","noteIndex":0},"citationItems":[{"id":501,"uris":["http://zotero.org/users/446899/items/G5DSHTPJ"],"uri":["http://zotero.org/users/446899/items/G5DSHTPJ"],"itemData":{"id":501,"type":"article-journal","title":"Predictors of weight change over two years among a population of working adults: the Healthy Worker Project","container-title":"International journal of obesity and related metabolic disorders: journal of the International Association for the Study of Obesity","page":"145-154","volume":"18","issue":"3","source":"NCBI PubMed","abstract":"The present study examined behavioural predictors of body weight cross-sectionally and longitudinally in a cohort of 1639 male and 1913 female employees in 32 companies participating in a worksite intervention study for smoking cessation and weight control. Dietary intake, current and previous dieting behaviours, and physical activity were examined for their association with body weight over the two-year period. Cross-sectionally in both men and women, history of previous dieting, previous participation in a formal weight loss programme, current dieting and meat consumption were positively related to body weight while high intensity activity was negatively related to body weight. Prospectively, history of participation in a formal weight loss programme and dieting to lose weight at baseline, and increased consumption over time of french fries, dairy products, sweets and meat, independently predicted increases in body weight in women. Women who were dieting to lose weight or who had previously participated in a formal weight loss programme at baseline gained 1.99 lb and 1.74 lb more, respectively, than those who were not dieting to lose weight or who had not previously participated in a formal weight loss programme. Increased exercise, either walking or high intensity activity, predicted decreases in body weight in women (1.76 lb and 1.39 lb, respectively, for each session increase per week). In men, previous participation in a formal weight loss programme predicted increases in body weight over the two-year period. Men who had previously participated in a formal weight loss programme at baseline gained 4.83 lb more than those who had never previously participated in a formal weight loss programme. Increases in consumption of sweets and egg were prospectively related to increases in body weight, while increased walking and high intensity activity were related to decreases in body weight (0.86 lb and 3.54 lb, respectively, for each session increase per week). These results suggest the role that specific diet and exercise behaviours may play in body weight changes over time.","ISSN":"0307-0565","note":"PMID: 8186811","shortTitle":"Predictors of weight change over two years among a population of working adults","journalAbbreviation":"Int. J. Obes. Relat. Metab. Disord.","author":[{"family":"French","given":"S A"},{"family":"Jeffery","given":"R W"},{"family":"Forster","given":"J L"},{"family":"McGovern","given":"P G"},{"family":"Kelder","given":"S H"},{"family":"Baxter","given":"J E"}],"issued":{"date-parts":[["1994",3]]}}},{"id":8337,"uris":["http://zotero.org/users/446899/items/9LJLNHHS"],"uri":["http://zotero.org/users/446899/items/9LJLNHHS"],"itemData":{"id":8337,"type":"article-journal","title":"Determinants of weight gain and overweight in adult Finns","container-title":"European Journal of Clinical Nutrition","page":"419-430","volume":"45","issue":"9","source":"PubMed","abstract":"We studied sociodemographic and behavioural factors as predictors of weight gain in 12,669 adult Finns examined twice with a median interval of 5.7 years. The association of these factors with the prevalence of obesity (body mass index greater than or equal to 30 kg/m2) was also studied in a subsequent cross-sectional survey of 5673 Finns. In uni- and multivariate analyses, the risk of substantial weight gain (greater than or equal to 5 kg/5 years) was greatest for persons with a low level of education, chronic diseases, little physical activity at leisure or heavy alcohol consumption, and for those who got married or quit smoking between the examinations. Parity and energy intake predicted weight gain in women. The prevalence of obesity was inversely associated with the level of education and physical activity, and positively associated with alcohol consumption in men and parity in women. There were no significant differences in the prevalence of obesity by smoking or marital status. The recognition of socioeconomic and behavioural factors as important determinants of weight gain and overweight helps the planning of effective treatment and preventive programmes tailored for subjects at highest risk of obesity.","ISSN":"0954-3007","note":"PMID: 1959514","journalAbbreviation":"Eur J Clin Nutr","language":"eng","author":[{"family":"Rissanen","given":"A. M."},{"family":"Heliövaara","given":"M."},{"family":"Knekt","given":"P."},{"family":"Reunanen","given":"A."},{"family":"Aromaa","given":"A."}],"issued":{"date-parts":[["1991",9]]}}}],"schema":"https://github.com/citation-style-language/schema/raw/master/csl-citation.json"} </w:instrText>
      </w:r>
      <w:r w:rsidR="00C944E8" w:rsidRPr="008B13C9">
        <w:rPr>
          <w:rFonts w:ascii="Calibri" w:hAnsi="Calibri"/>
        </w:rPr>
        <w:fldChar w:fldCharType="separate"/>
      </w:r>
      <w:r w:rsidR="00DF55D6" w:rsidRPr="008B13C9">
        <w:rPr>
          <w:rFonts w:ascii="Calibri" w:hAnsi="Calibri" w:cs="Calibri"/>
        </w:rPr>
        <w:t>(26,27)</w:t>
      </w:r>
      <w:r w:rsidR="00C944E8" w:rsidRPr="008B13C9">
        <w:rPr>
          <w:rFonts w:ascii="Calibri" w:hAnsi="Calibri"/>
        </w:rPr>
        <w:fldChar w:fldCharType="end"/>
      </w:r>
      <w:r w:rsidR="00964ECD" w:rsidRPr="008B13C9">
        <w:rPr>
          <w:rFonts w:ascii="Calibri" w:hAnsi="Calibri"/>
        </w:rPr>
        <w:t xml:space="preserve"> Interestingly, studies have also shown that separation from a spouse is associated with significant weight loss.</w:t>
      </w:r>
      <w:r w:rsidR="00AD2544" w:rsidRPr="008B13C9">
        <w:rPr>
          <w:rFonts w:ascii="Calibri" w:hAnsi="Calibri"/>
        </w:rPr>
        <w:fldChar w:fldCharType="begin"/>
      </w:r>
      <w:r w:rsidR="00DF55D6" w:rsidRPr="008B13C9">
        <w:rPr>
          <w:rFonts w:ascii="Calibri" w:hAnsi="Calibri"/>
        </w:rPr>
        <w:instrText xml:space="preserve"> ADDIN ZOTERO_ITEM CSL_CITATION {"citationID":"4aaHGNrj","properties":{"formattedCitation":"(25)","plainCitation":"(25)","noteIndex":0},"citationItems":[{"id":8335,"uris":["http://zotero.org/users/446899/items/2WXVFDRI"],"uri":["http://zotero.org/users/446899/items/2WXVFDRI"],"itemData":{"id":8335,"type":"article-journal","title":"Cross-sectional and longitudinal associations between body mass index and marriage-related factors","container-title":"Obesity Research","page":"809-815","volume":"10","issue":"8","source":"PubMed","abstract":"OBJECTIVE: To assess the relationship between marriage and obesity.\nRESEARCH METHODS AND PROCEDURES: Cross-sectional and longitudinal associations were examined between participant body mass index (BMI), spouse BMI, and participant diet and exercise habits.\nRESULTS: Spouse and participant BMI and BMI changes over 2 years were significantly associated. Participant BMI was associated with higher consumption of calorie-dense foods and lower frequency of physical activity. Participants' eating and exercise habits were only weakly related to spouse BMI. BMI did not predict the likelihood of marriage or divorce. However, marriage was associated with a significant 2-year weight gain and divorce with a significant 2-year weight loss.\nDISCUSSION: The results suggest that spouse similarity in BMI is at least partly due to shared environment. The observed effects of marriage and divorce on weight may be due to the influence of marriage on inducements to eat (e.g., shared meals) or on motivation for weight control.","DOI":"10.1038/oby.2002.109","ISSN":"1071-7323","note":"PMID: 12181390","journalAbbreviation":"Obes. Res.","language":"eng","author":[{"family":"Jeffery","given":"Robert W."},{"family":"Rick","given":"Allison M."}],"issued":{"date-parts":[["2002",8]]}}}],"schema":"https://github.com/citation-style-language/schema/raw/master/csl-citation.json"} </w:instrText>
      </w:r>
      <w:r w:rsidR="00AD2544" w:rsidRPr="008B13C9">
        <w:rPr>
          <w:rFonts w:ascii="Calibri" w:hAnsi="Calibri"/>
        </w:rPr>
        <w:fldChar w:fldCharType="separate"/>
      </w:r>
      <w:r w:rsidR="00DF55D6" w:rsidRPr="008B13C9">
        <w:rPr>
          <w:rFonts w:ascii="Calibri" w:hAnsi="Calibri" w:cs="Calibri"/>
        </w:rPr>
        <w:t>(25)</w:t>
      </w:r>
      <w:r w:rsidR="00AD2544" w:rsidRPr="008B13C9">
        <w:rPr>
          <w:rFonts w:ascii="Calibri" w:hAnsi="Calibri"/>
        </w:rPr>
        <w:fldChar w:fldCharType="end"/>
      </w:r>
      <w:r w:rsidR="00964ECD" w:rsidRPr="008B13C9">
        <w:rPr>
          <w:rFonts w:ascii="Calibri" w:hAnsi="Calibri"/>
        </w:rPr>
        <w:t xml:space="preserve"> </w:t>
      </w:r>
      <w:r w:rsidR="00053581" w:rsidRPr="008B13C9">
        <w:rPr>
          <w:rFonts w:ascii="Calibri" w:hAnsi="Calibri"/>
        </w:rPr>
        <w:t>In a longitudinal study of 169 newlywed couples</w:t>
      </w:r>
      <w:r w:rsidR="00D73188" w:rsidRPr="008B13C9">
        <w:rPr>
          <w:rFonts w:ascii="Calibri" w:hAnsi="Calibri"/>
        </w:rPr>
        <w:t xml:space="preserve"> </w:t>
      </w:r>
      <w:r w:rsidR="00D73188" w:rsidRPr="008B13C9">
        <w:rPr>
          <w:rFonts w:ascii="Calibri" w:hAnsi="Calibri"/>
        </w:rPr>
        <w:fldChar w:fldCharType="begin"/>
      </w:r>
      <w:r w:rsidR="00D73188" w:rsidRPr="008B13C9">
        <w:rPr>
          <w:rFonts w:ascii="Calibri" w:hAnsi="Calibri"/>
        </w:rPr>
        <w:instrText xml:space="preserve"> ADDIN ZOTERO_ITEM CSL_CITATION {"citationID":"1kiMIxIR","properties":{"formattedCitation":"(28)","plainCitation":"(28)","noteIndex":0},"citationItems":[{"id":8339,"uris":["http://zotero.org/users/446899/items/7YVP7PFM"],"uri":["http://zotero.org/users/446899/items/7YVP7PFM"],"itemData":{"id":8339,"type":"article-journal","title":"Marital satisfaction predicts weight gain in early marriage","container-title":"Health Psychology: Official Journal of the Division of Health Psychology, American Psychological Association","page":"824-827","volume":"32","issue":"7","source":"PubMed","abstract":"OBJECTIVE: Prior research makes competing predictions regarding whether marital satisfaction is positively or negatively associated with weight gain. The health regulation model suggests that satisfying relationships facilitate the functions of marriage that promote health. Thus, spouses should be most likely to gain weight when either partner is less satisfied because marital strain causes stress that interferes with self-regulatory behaviors. The mating market model, in contrast, suggests that weight maintenance is motivated primarily by the desire to attract a mate. Thus, spouses should be least likely to gain weight when either partner is less satisfied because they should feel an increased need to attract a new mate. This longitudinal study of 169 newlywed couples evaluated each possibility.\nMETHODS: Spouses completed measures of height, weight, marital satisfaction, stress, steps toward divorce, and several covariates biannually for 4 years.\nRESULTS: Supporting the mating market model, own and partner satisfaction were positively associated with changes in weight, and this association was mediated by steps toward divorce: Spouses who were less satisfied than usual or had partners who were less satisfied than usual were more likely to consider divorce and thus less likely to gain weight.\nCONCLUSIONS: These findings challenge the idea that quality relationships always benefit health, suggesting instead that spouses in satisfying relationships relax their efforts to maintain their weight because they are no longer motivated to attract a mate. Interventions to prevent weight gain in early marriage may therefore benefit from encouraging spouses to think about their weight in terms of health rather than appearance.","DOI":"10.1037/a0031593","ISSN":"1930-7810","note":"PMID: 23477578","journalAbbreviation":"Health Psychol","language":"eng","author":[{"family":"Meltzer","given":"Andrea L."},{"family":"Novak","given":"Sarah A."},{"family":"McNulty","given":"James K."},{"family":"Butler","given":"Emily A."},{"family":"Karney","given":"Benjamin R."}],"issued":{"date-parts":[["2013",7]]}}}],"schema":"https://github.com/citation-style-language/schema/raw/master/csl-citation.json"} </w:instrText>
      </w:r>
      <w:r w:rsidR="00D73188" w:rsidRPr="008B13C9">
        <w:rPr>
          <w:rFonts w:ascii="Calibri" w:hAnsi="Calibri"/>
        </w:rPr>
        <w:fldChar w:fldCharType="separate"/>
      </w:r>
      <w:r w:rsidR="00D73188" w:rsidRPr="008B13C9">
        <w:rPr>
          <w:rFonts w:ascii="Calibri" w:hAnsi="Calibri" w:cs="Calibri"/>
        </w:rPr>
        <w:t>(28)</w:t>
      </w:r>
      <w:r w:rsidR="00D73188" w:rsidRPr="008B13C9">
        <w:rPr>
          <w:rFonts w:ascii="Calibri" w:hAnsi="Calibri"/>
        </w:rPr>
        <w:fldChar w:fldCharType="end"/>
      </w:r>
      <w:r w:rsidR="00A81172" w:rsidRPr="008B13C9">
        <w:rPr>
          <w:rFonts w:ascii="Calibri" w:hAnsi="Calibri"/>
        </w:rPr>
        <w:t>,</w:t>
      </w:r>
      <w:r w:rsidR="00053581" w:rsidRPr="008B13C9">
        <w:rPr>
          <w:rFonts w:ascii="Calibri" w:hAnsi="Calibri"/>
        </w:rPr>
        <w:t xml:space="preserve"> spouses completed measures of height, weight, marital satisfaction, stress, steps toward divorce, and several covariates biannually for </w:t>
      </w:r>
      <w:r w:rsidR="00B3644A" w:rsidRPr="008B13C9">
        <w:rPr>
          <w:rFonts w:ascii="Calibri" w:hAnsi="Calibri"/>
        </w:rPr>
        <w:t>four</w:t>
      </w:r>
      <w:r w:rsidR="00053581" w:rsidRPr="008B13C9">
        <w:rPr>
          <w:rFonts w:ascii="Calibri" w:hAnsi="Calibri"/>
        </w:rPr>
        <w:t xml:space="preserve"> years. Own and partner satisfaction were positively associated with changes in weight, and this association was mediated by st</w:t>
      </w:r>
      <w:r w:rsidR="008019AA" w:rsidRPr="008B13C9">
        <w:rPr>
          <w:rFonts w:ascii="Calibri" w:hAnsi="Calibri"/>
        </w:rPr>
        <w:t>eps toward divorce.</w:t>
      </w:r>
      <w:r w:rsidR="00053581" w:rsidRPr="008B13C9">
        <w:rPr>
          <w:rFonts w:ascii="Calibri" w:hAnsi="Calibri"/>
        </w:rPr>
        <w:t xml:space="preserve"> Spouses who were less satisfied than usual or had partners who were less satisfied than usual were more likely to consider divorce and thus less likely to gain weight. The study</w:t>
      </w:r>
      <w:r w:rsidR="004917A2" w:rsidRPr="008B13C9">
        <w:rPr>
          <w:rFonts w:ascii="Calibri" w:hAnsi="Calibri"/>
        </w:rPr>
        <w:t>’s</w:t>
      </w:r>
      <w:r w:rsidR="00053581" w:rsidRPr="008B13C9">
        <w:rPr>
          <w:rFonts w:ascii="Calibri" w:hAnsi="Calibri"/>
        </w:rPr>
        <w:t xml:space="preserve"> findings challenge the idea that quality relationships always benefit health, suggesting instead that spouses in satisfying relationships relax their efforts to maintain their weight because they are no longer motivated to attract a mate.</w:t>
      </w:r>
      <w:r w:rsidR="00C944E8" w:rsidRPr="008B13C9">
        <w:rPr>
          <w:rFonts w:ascii="Calibri" w:hAnsi="Calibri"/>
        </w:rPr>
        <w:fldChar w:fldCharType="begin"/>
      </w:r>
      <w:r w:rsidR="00DF55D6" w:rsidRPr="008B13C9">
        <w:rPr>
          <w:rFonts w:ascii="Calibri" w:hAnsi="Calibri"/>
        </w:rPr>
        <w:instrText xml:space="preserve"> ADDIN ZOTERO_ITEM CSL_CITATION {"citationID":"1kiMIxIR","properties":{"formattedCitation":"(28)","plainCitation":"(28)","noteIndex":0},"citationItems":[{"id":8339,"uris":["http://zotero.org/users/446899/items/7YVP7PFM"],"uri":["http://zotero.org/users/446899/items/7YVP7PFM"],"itemData":{"id":8339,"type":"article-journal","title":"Marital satisfaction predicts weight gain in early marriage","container-title":"Health Psychology: Official Journal of the Division of Health Psychology, American Psychological Association","page":"824-827","volume":"32","issue":"7","source":"PubMed","abstract":"OBJECTIVE: Prior research makes competing predictions regarding whether marital satisfaction is positively or negatively associated with weight gain. The health regulation model suggests that satisfying relationships facilitate the functions of marriage that promote health. Thus, spouses should be most likely to gain weight when either partner is less satisfied because marital strain causes stress that interferes with self-regulatory behaviors. The mating market model, in contrast, suggests that weight maintenance is motivated primarily by the desire to attract a mate. Thus, spouses should be least likely to gain weight when either partner is less satisfied because they should feel an increased need to attract a new mate. This longitudinal study of 169 newlywed couples evaluated each possibility.\nMETHODS: Spouses completed measures of height, weight, marital satisfaction, stress, steps toward divorce, and several covariates biannually for 4 years.\nRESULTS: Supporting the mating market model, own and partner satisfaction were positively associated with changes in weight, and this association was mediated by steps toward divorce: Spouses who were less satisfied than usual or had partners who were less satisfied than usual were more likely to consider divorce and thus less likely to gain weight.\nCONCLUSIONS: These findings challenge the idea that quality relationships always benefit health, suggesting instead that spouses in satisfying relationships relax their efforts to maintain their weight because they are no longer motivated to attract a mate. Interventions to prevent weight gain in early marriage may therefore benefit from encouraging spouses to think about their weight in terms of health rather than appearance.","DOI":"10.1037/a0031593","ISSN":"1930-7810","note":"PMID: 23477578","journalAbbreviation":"Health Psychol","language":"eng","author":[{"family":"Meltzer","given":"Andrea L."},{"family":"Novak","given":"Sarah A."},{"family":"McNulty","given":"James K."},{"family":"Butler","given":"Emily A."},{"family":"Karney","given":"Benjamin R."}],"issued":{"date-parts":[["2013",7]]}}}],"schema":"https://github.com/citation-style-language/schema/raw/master/csl-citation.json"} </w:instrText>
      </w:r>
      <w:r w:rsidR="00C944E8" w:rsidRPr="008B13C9">
        <w:rPr>
          <w:rFonts w:ascii="Calibri" w:hAnsi="Calibri"/>
        </w:rPr>
        <w:fldChar w:fldCharType="separate"/>
      </w:r>
      <w:r w:rsidR="00DF55D6" w:rsidRPr="008B13C9">
        <w:rPr>
          <w:rFonts w:ascii="Calibri" w:hAnsi="Calibri" w:cs="Calibri"/>
        </w:rPr>
        <w:t>(28)</w:t>
      </w:r>
      <w:r w:rsidR="00C944E8" w:rsidRPr="008B13C9">
        <w:rPr>
          <w:rFonts w:ascii="Calibri" w:hAnsi="Calibri"/>
        </w:rPr>
        <w:fldChar w:fldCharType="end"/>
      </w:r>
      <w:r w:rsidR="00C944E8" w:rsidRPr="008B13C9">
        <w:rPr>
          <w:rFonts w:ascii="Calibri" w:hAnsi="Calibri"/>
        </w:rPr>
        <w:t xml:space="preserve"> </w:t>
      </w:r>
      <w:r w:rsidR="00053581" w:rsidRPr="008B13C9">
        <w:rPr>
          <w:rFonts w:ascii="Calibri" w:hAnsi="Calibri"/>
        </w:rPr>
        <w:t>This finding may explain the observed association in the present study</w:t>
      </w:r>
      <w:r w:rsidR="00934266" w:rsidRPr="008B13C9">
        <w:rPr>
          <w:rFonts w:ascii="Calibri" w:hAnsi="Calibri"/>
        </w:rPr>
        <w:t>;</w:t>
      </w:r>
      <w:r w:rsidR="00053581" w:rsidRPr="008B13C9">
        <w:rPr>
          <w:rFonts w:ascii="Calibri" w:hAnsi="Calibri"/>
        </w:rPr>
        <w:t xml:space="preserve"> </w:t>
      </w:r>
      <w:r w:rsidR="00934266" w:rsidRPr="008B13C9">
        <w:rPr>
          <w:rFonts w:ascii="Calibri" w:hAnsi="Calibri"/>
        </w:rPr>
        <w:t>if</w:t>
      </w:r>
      <w:r w:rsidR="00053581" w:rsidRPr="008B13C9">
        <w:rPr>
          <w:rFonts w:ascii="Calibri" w:hAnsi="Calibri"/>
        </w:rPr>
        <w:t xml:space="preserve"> </w:t>
      </w:r>
      <w:r w:rsidR="00934266" w:rsidRPr="008B13C9">
        <w:rPr>
          <w:rFonts w:ascii="Calibri" w:hAnsi="Calibri"/>
        </w:rPr>
        <w:t xml:space="preserve">individuals </w:t>
      </w:r>
      <w:r w:rsidR="00053581" w:rsidRPr="008B13C9">
        <w:rPr>
          <w:rFonts w:ascii="Calibri" w:hAnsi="Calibri"/>
        </w:rPr>
        <w:t>who are overweight are more likely to be in a happy and satisfying relationship, those who are in a satisfying and happy relationship are potentially more likely to engage in frequent sexual activity.</w:t>
      </w:r>
    </w:p>
    <w:p w14:paraId="503F8A75" w14:textId="5376068A" w:rsidR="002A2825" w:rsidRPr="008B13C9" w:rsidRDefault="00335FF9" w:rsidP="008F07A4">
      <w:pPr>
        <w:spacing w:afterLines="120" w:after="288" w:line="480" w:lineRule="auto"/>
      </w:pPr>
      <w:r w:rsidRPr="008B13C9">
        <w:t xml:space="preserve">It should be noted here that women </w:t>
      </w:r>
      <w:r w:rsidR="004917A2" w:rsidRPr="008B13C9">
        <w:t>with obesity</w:t>
      </w:r>
      <w:r w:rsidRPr="008B13C9">
        <w:t xml:space="preserve"> did not report a higher frequency of sexual </w:t>
      </w:r>
      <w:r w:rsidR="00A630CA" w:rsidRPr="008B13C9">
        <w:t>intercourse</w:t>
      </w:r>
      <w:r w:rsidRPr="008B13C9">
        <w:t xml:space="preserve">. One plausible explanation may be that </w:t>
      </w:r>
      <w:r w:rsidR="00F52B2C" w:rsidRPr="008B13C9">
        <w:t xml:space="preserve">women with obesity </w:t>
      </w:r>
      <w:r w:rsidRPr="008B13C9">
        <w:t xml:space="preserve">find it more difficult to become sexually aroused. </w:t>
      </w:r>
      <w:r w:rsidR="00D802A0" w:rsidRPr="008B13C9">
        <w:t>In</w:t>
      </w:r>
      <w:r w:rsidR="004149F4" w:rsidRPr="008B13C9">
        <w:t xml:space="preserve"> women</w:t>
      </w:r>
      <w:r w:rsidR="00D802A0" w:rsidRPr="008B13C9">
        <w:t>,</w:t>
      </w:r>
      <w:r w:rsidR="004149F4" w:rsidRPr="008B13C9">
        <w:t xml:space="preserve"> the first sign of sexual arousal is an increase in the blood flow </w:t>
      </w:r>
      <w:r w:rsidR="004149F4" w:rsidRPr="008B13C9">
        <w:lastRenderedPageBreak/>
        <w:t>to the vaginal wall.</w:t>
      </w:r>
      <w:r w:rsidR="00B35BF8" w:rsidRPr="008B13C9">
        <w:fldChar w:fldCharType="begin"/>
      </w:r>
      <w:r w:rsidR="00DF55D6" w:rsidRPr="008B13C9">
        <w:instrText xml:space="preserve"> ADDIN ZOTERO_ITEM CSL_CITATION {"citationID":"yB3678HK","properties":{"formattedCitation":"(31)","plainCitation":"(31)","noteIndex":0},"citationItems":[{"id":5148,"uris":["http://zotero.org/users/446899/items/FXZGCBTQ"],"uri":["http://zotero.org/users/446899/items/FXZGCBTQ"],"itemData":{"id":5148,"type":"article-journal","title":"VIP, vagina, clitoral and periurethral glans--an update on human female genital arousal","container-title":"Experimental and Clinical Endocrinology","page":"61-69","volume":"98","issue":"2","source":"PubMed","abstract":"The sexually quiescent human vagina is a just moist, potential space with a minimal blood flow and very low luminal oxygen tension. The first measurable sign of sexual arousal is an increase in the blood flow. This creates the engorged condition, elevates the luminal oxygen tension and stimulates the production of surface vaginal fluid by an increased plasma transudation that saturates the fluid reabsorptive capacity of the epithelium. The vaginal lubrication created allows painless penile penetration and coital movements. The mechanisms underlying the changes appear to be mediated by Vasoactive Intestinal Peptide (VIP). VIP is present in nerves closely applied to blood vessels in the vaginal wall. Administration of VIP either intravenously, or by subepithelial injection in the vaginal wall, increases vaginal blood flow and induces vaginal fluid production. Increases in vaginal blood flow by sexual arousal are not blocked by atropine injection indicating that cholinergic mechanisms are unimportant. All the present evidence suggests that the local vaginal release of VIP induces the vaginal changes of arousal. Discourse on vaginal and pudendal anatomy (Sevely, 1987) has proposed that the female glans of the clitoris is not the true homologue of the penile glans because it has no urethral opening. The speculative suggestion is that the true female glans is the area surrounding the urethral opening (which has no specific anatomical name). Preliminary studies indicate that the area of this tissue (periurethral glans) decreases on vaginal penile insertion and reappears on withdrawal indicating that it is moved during coitus. How important such movement is to stimulate erotic sensation and how sensitive this area is to erotic stimulation are unanswered questions.","DOI":"10.1055/s-0029-1211102","ISSN":"0232-7384","note":"PMID: 1778234","journalAbbreviation":"Exp. Clin. Endocrinol.","language":"eng","author":[{"family":"Levin","given":"R. J."}],"issued":{"date-parts":[["1991"]]}}}],"schema":"https://github.com/citation-style-language/schema/raw/master/csl-citation.json"} </w:instrText>
      </w:r>
      <w:r w:rsidR="00B35BF8" w:rsidRPr="008B13C9">
        <w:fldChar w:fldCharType="separate"/>
      </w:r>
      <w:r w:rsidR="00DF55D6" w:rsidRPr="008B13C9">
        <w:rPr>
          <w:rFonts w:ascii="Calibri" w:hAnsi="Calibri" w:cs="Calibri"/>
        </w:rPr>
        <w:t>(31)</w:t>
      </w:r>
      <w:r w:rsidR="00B35BF8" w:rsidRPr="008B13C9">
        <w:fldChar w:fldCharType="end"/>
      </w:r>
      <w:r w:rsidR="003B16DC" w:rsidRPr="008B13C9">
        <w:t xml:space="preserve"> </w:t>
      </w:r>
      <w:r w:rsidR="004149F4" w:rsidRPr="008B13C9">
        <w:t>Diminished pelvic blood flow secondary to aortoiliac or atherosclerotic disease leads to vaginal wall and clitoral smooth muscle fibrosis. This can ultimately result in symptoms of vaginal dryness and dyspareunia,</w:t>
      </w:r>
      <w:r w:rsidR="00B35BF8" w:rsidRPr="008B13C9">
        <w:fldChar w:fldCharType="begin"/>
      </w:r>
      <w:r w:rsidR="00DF55D6" w:rsidRPr="008B13C9">
        <w:instrText xml:space="preserve"> ADDIN ZOTERO_ITEM CSL_CITATION {"citationID":"tmQ6fxKX","properties":{"formattedCitation":"(32)","plainCitation":"(32)","noteIndex":0},"citationItems":[{"id":5145,"uris":["http://zotero.org/users/446899/items/BCK6F5GE"],"uri":["http://zotero.org/users/446899/items/BCK6F5GE"],"itemData":{"id":5145,"type":"article-journal","title":"Physiology of female sexual function and dysfunction","container-title":"International Journal of Impotence Research","page":"S44-S51","volume":"17","issue":"S1","source":"www.nature.com","abstract":"Female sexual dysfunction is age-related, progressive, and highly prevalent, affecting 30–50% of American women. While there are emotional and relational elements to female sexual function and response, female sexual dysfunction can occur secondary to medical problems and have an organic basis. This paper addresses anatomy and physiology of normal female sexual function as well as the pathophysiology of female sexual dysfunction. Although the female sexual response is inherently difficult to evaluate in the clinical setting, a variety of instruments have been developed for assessing subjective measures of sexual arousal and function. Objective measurements used in conjunction with the subjective assessment help diagnose potential physiologic/organic abnormalities. Therapeutic options for the treatment of female sexual dysfunction, including hormonal, and pharmacological, are also addressed.","DOI":"10.1038/sj.ijir.3901428","ISSN":"1476-5489","language":"en","author":[{"family":"Berman","given":"J. R."}],"issued":{"date-parts":[["2005",12,20]]}}}],"schema":"https://github.com/citation-style-language/schema/raw/master/csl-citation.json"} </w:instrText>
      </w:r>
      <w:r w:rsidR="00B35BF8" w:rsidRPr="008B13C9">
        <w:fldChar w:fldCharType="separate"/>
      </w:r>
      <w:r w:rsidR="00DF55D6" w:rsidRPr="008B13C9">
        <w:rPr>
          <w:rFonts w:ascii="Calibri" w:hAnsi="Calibri" w:cs="Calibri"/>
        </w:rPr>
        <w:t>(32)</w:t>
      </w:r>
      <w:r w:rsidR="00B35BF8" w:rsidRPr="008B13C9">
        <w:fldChar w:fldCharType="end"/>
      </w:r>
      <w:r w:rsidR="004149F4" w:rsidRPr="008B13C9">
        <w:t xml:space="preserve"> which may result in a decrease in sexual desire. Importantly, aortoiliac or atherosclerotic disease is associated with higher levels of adiposity.</w:t>
      </w:r>
      <w:r w:rsidR="00B35BF8" w:rsidRPr="008B13C9">
        <w:fldChar w:fldCharType="begin"/>
      </w:r>
      <w:r w:rsidR="00DF55D6" w:rsidRPr="008B13C9">
        <w:instrText xml:space="preserve"> ADDIN ZOTERO_ITEM CSL_CITATION {"citationID":"rKTGYB1F","properties":{"formattedCitation":"(33)","plainCitation":"(33)","noteIndex":0},"citationItems":[{"id":8341,"uris":["http://zotero.org/users/446899/items/QDPVS2DG"],"uri":["http://zotero.org/users/446899/items/QDPVS2DG"],"itemData":{"id":8341,"type":"article-journal","title":"The relation of body fat mass and distribution to markers of chronic inflammation","container-title":"International Journal of Obesity and Related Metabolic Disorders: Journal of the International Association for the Study of Obesity","page":"1407-1415","volume":"25","issue":"10","source":"PubMed","abstract":"OBJECTIVE: To study the relation of fibrinogen and C-reactive protein (CRP) to various measures of body fat and body fat distribution and to investigate whether these relations were explained by differences in insulin sensitivity.\nDESIGN AND SUBJECTS: Cross-sectional analysis of the IRAS (Insulin Resistance Atherosclerosis Study), a large (n=1559) tri-ethnic population (non-Hispanic whites, African-Americans and Mexican-Americans) across different states of glucose tolerance.\nMEASUREMENTS: Glucose tolerance (oral glucose tolerance test), insulin sensitivity (frequently sampled intravenous glucose tolerance test and minimal model analysis), assessment of body fat mass and distribution (weight, girths, bioelectrical impedance), subclinical atherosclerosis (B-mode ultrasonography of carotid artery intima-media thickness, IMT), CRP (highly sensitive immunoassay), fibrinogen (standard assay).\nRESULTS: Both CRP and fibrinogen were related to all measures of body fat. Strong correlations (correlation coefficient r &gt; or = 0.35) were found between CRP and body mass index (BMI), waist circumference and adipose body mass, respectively. The associations were consistent in non-diabetic and type-2 diabetic subjects, were generally stronger in women, and were only moderately attenuated by the prevailing insulin sensitivity (S(I)). In a multivariate linear regression model waist circumference explained 14.5% of the variability of circulating CRP levels (P=0.0001), BMI 0.4% (P=0.0067), and S(I) 1.7% (P=0.0001). Common carotid artery IMT was related to CRP and fibrinogen in men, but not in women, and was attenuated after adjusting for BMI or waist.\nCONCLUSION: Our findings show that measures of body fat are strongly associated with circulating levels of CRP and fibrinogen. These associations were not explained by lower S(I) in obese subjects. Chronic, subclinical inflammation may be one pathophysiological mechanism explaining the increased risk of atherosclerotic disease associated with adiposity.","DOI":"10.1038/sj.ijo.0801792","note":"PMID: 11673759","journalAbbreviation":"Int. J. Obes. Relat. Metab. Disord.","language":"eng","author":[{"family":"Festa","given":"A."},{"family":"D'Agostino","given":"R."},{"family":"Williams","given":"K."},{"family":"Karter","given":"A. J."},{"family":"Mayer-Davis","given":"E. J."},{"family":"Tracy","given":"R. P."},{"family":"Haffner","given":"S. M."}],"issued":{"date-parts":[["2001",10]]}}}],"schema":"https://github.com/citation-style-language/schema/raw/master/csl-citation.json"} </w:instrText>
      </w:r>
      <w:r w:rsidR="00B35BF8" w:rsidRPr="008B13C9">
        <w:fldChar w:fldCharType="separate"/>
      </w:r>
      <w:r w:rsidR="00DF55D6" w:rsidRPr="008B13C9">
        <w:rPr>
          <w:rFonts w:ascii="Calibri" w:hAnsi="Calibri" w:cs="Calibri"/>
        </w:rPr>
        <w:t>(33)</w:t>
      </w:r>
      <w:r w:rsidR="00B35BF8" w:rsidRPr="008B13C9">
        <w:fldChar w:fldCharType="end"/>
      </w:r>
      <w:r w:rsidR="008F34FA" w:rsidRPr="008B13C9">
        <w:t xml:space="preserve"> Another possible pathway for the observed association is that </w:t>
      </w:r>
      <w:r w:rsidR="00CB4AF2" w:rsidRPr="008B13C9">
        <w:t>women with obesity</w:t>
      </w:r>
      <w:r w:rsidR="008F34FA" w:rsidRPr="008B13C9">
        <w:t xml:space="preserve"> may have concerns about their body image and lack confidence this may subsequently reduce the amount of sexual activity in which they engage.</w:t>
      </w:r>
      <w:r w:rsidR="00B35BF8" w:rsidRPr="008B13C9">
        <w:fldChar w:fldCharType="begin"/>
      </w:r>
      <w:r w:rsidR="00DF55D6" w:rsidRPr="008B13C9">
        <w:instrText xml:space="preserve"> ADDIN ZOTERO_ITEM CSL_CITATION {"citationID":"NBGjhkzg","properties":{"formattedCitation":"(34)","plainCitation":"(34)","noteIndex":0},"citationItems":[{"id":8343,"uris":["http://zotero.org/users/446899/items/29T39SYE"],"uri":["http://zotero.org/users/446899/items/29T39SYE"],"itemData":{"id":8343,"type":"article-journal","title":"Body Weight and Body Image","container-title":"BMC Women's Health","page":"S5","volume":"4","issue":"Suppl 1","source":"PubMed Central","abstract":"Health Issue\nBody weight is of physical and psychological importance to Canadian women; it is associated with health status, physical activity, body image, and self-esteem. Although the problems associated with overweight and obesity are indeed serious, there are also problems connected to being underweight. Weight prejudice and the dieting industry intensify body image concerns for Canadian women and can have a major negative impact on self-esteem.\n\nKey Findings\nWomen have lower BMIs than men, a lower incidence of being overweight and a higher incidence of being underweight. However, women across all weight categories are more dissatisfied with their bodies. Sixty percent of women are inactive, and women with a BMI of 27 or higher are more likely to be inactive than women with lower BMIs. The data show that women are aware of the health benefits of exercise, but there is a gap between knowledge and practice. When asked about barriers to health improvement, 39.7% of women cited lack of time and 39.2% lack of willpower.\n\nData Gaps and Recommendations\nWeight prejudice must be made unacceptable and positive body image should be encouraged and diversity valued. Health policies should encourage healthy eating and healthy activity. Health curricula for young students should include information about healthy eating, active lifestyle, and self-esteem. Physical activities that mothers can participate in with their families should be encouraged. Research should be funded to elucidate the most effective methods of getting women to become and remain physically active without focusing on appearance.","DOI":"10.1186/1472-6874-4-S1-S5","ISSN":"1472-6874","note":"PMID: 15345068\nPMCID: PMC2096673","journalAbbreviation":"BMC Womens Health","author":[{"family":"Olmsted","given":"Marion P"},{"family":"McFarlane","given":"Traci"}],"issued":{"date-parts":[["2004",8,25]]}}}],"schema":"https://github.com/citation-style-language/schema/raw/master/csl-citation.json"} </w:instrText>
      </w:r>
      <w:r w:rsidR="00B35BF8" w:rsidRPr="008B13C9">
        <w:fldChar w:fldCharType="separate"/>
      </w:r>
      <w:r w:rsidR="00DF55D6" w:rsidRPr="008B13C9">
        <w:rPr>
          <w:rFonts w:ascii="Calibri" w:hAnsi="Calibri" w:cs="Calibri"/>
        </w:rPr>
        <w:t>(34)</w:t>
      </w:r>
      <w:r w:rsidR="00B35BF8" w:rsidRPr="008B13C9">
        <w:fldChar w:fldCharType="end"/>
      </w:r>
    </w:p>
    <w:p w14:paraId="30AF8624" w14:textId="2EEC505D" w:rsidR="00333AEC" w:rsidRPr="008B13C9" w:rsidRDefault="00D758F1" w:rsidP="008F07A4">
      <w:pPr>
        <w:spacing w:afterLines="120" w:after="288" w:line="480" w:lineRule="auto"/>
        <w:rPr>
          <w:rFonts w:ascii="Calibri" w:hAnsi="Calibri"/>
        </w:rPr>
      </w:pPr>
      <w:r w:rsidRPr="008B13C9">
        <w:t>To our knowledge, t</w:t>
      </w:r>
      <w:r w:rsidR="0025547B" w:rsidRPr="008B13C9">
        <w:t xml:space="preserve">his is the first study to investigate the relationship between frequency of sexual activities and weight status. The large sample </w:t>
      </w:r>
      <w:r w:rsidR="008C318D" w:rsidRPr="008B13C9">
        <w:t>and objective measure</w:t>
      </w:r>
      <w:r w:rsidRPr="008B13C9">
        <w:t>ment</w:t>
      </w:r>
      <w:r w:rsidR="008C318D" w:rsidRPr="008B13C9">
        <w:t xml:space="preserve"> of weight status are</w:t>
      </w:r>
      <w:r w:rsidR="0025547B" w:rsidRPr="008B13C9">
        <w:t xml:space="preserve"> clear strength</w:t>
      </w:r>
      <w:r w:rsidR="008C318D" w:rsidRPr="008B13C9">
        <w:t>s</w:t>
      </w:r>
      <w:r w:rsidR="0025547B" w:rsidRPr="008B13C9">
        <w:t xml:space="preserve"> of the study. </w:t>
      </w:r>
      <w:r w:rsidR="008C318D" w:rsidRPr="008B13C9">
        <w:t xml:space="preserve">However, findings from the present study must be interpreted </w:t>
      </w:r>
      <w:proofErr w:type="gramStart"/>
      <w:r w:rsidR="008C318D" w:rsidRPr="008B13C9">
        <w:t>in light of</w:t>
      </w:r>
      <w:proofErr w:type="gramEnd"/>
      <w:r w:rsidR="008C318D" w:rsidRPr="008B13C9">
        <w:t xml:space="preserve"> its limitations. </w:t>
      </w:r>
      <w:r w:rsidR="00333AEC" w:rsidRPr="008B13C9">
        <w:rPr>
          <w:rFonts w:ascii="Calibri" w:hAnsi="Calibri"/>
        </w:rPr>
        <w:t>Sexual information was self-reported, and people may not respond honestly to questions for fear of being judged. However, participants were informed that survey responses would remain anonymous. Moreover, there is currently little other option to measure the exposure variables investigated in the present study other than by self-report.</w:t>
      </w:r>
      <w:r w:rsidR="00E53620" w:rsidRPr="008B13C9">
        <w:rPr>
          <w:rFonts w:ascii="Calibri" w:hAnsi="Calibri"/>
        </w:rPr>
        <w:t xml:space="preserve"> The measure used in the present study has also show</w:t>
      </w:r>
      <w:r w:rsidR="00972BF0" w:rsidRPr="008B13C9">
        <w:rPr>
          <w:rFonts w:ascii="Calibri" w:hAnsi="Calibri"/>
        </w:rPr>
        <w:t>n</w:t>
      </w:r>
      <w:r w:rsidR="00E53620" w:rsidRPr="008B13C9">
        <w:rPr>
          <w:rFonts w:ascii="Calibri" w:hAnsi="Calibri"/>
        </w:rPr>
        <w:t xml:space="preserve"> good criterion validity with several health outcomes</w:t>
      </w:r>
      <w:r w:rsidR="00D85063" w:rsidRPr="008B13C9">
        <w:rPr>
          <w:rFonts w:ascii="Calibri" w:hAnsi="Calibri"/>
        </w:rPr>
        <w:t>.</w:t>
      </w:r>
      <w:r w:rsidR="00D85063" w:rsidRPr="008B13C9">
        <w:rPr>
          <w:rFonts w:ascii="Calibri" w:hAnsi="Calibri"/>
        </w:rPr>
        <w:fldChar w:fldCharType="begin"/>
      </w:r>
      <w:r w:rsidR="00D85063" w:rsidRPr="008B13C9">
        <w:rPr>
          <w:rFonts w:ascii="Calibri" w:hAnsi="Calibri"/>
        </w:rPr>
        <w:instrText xml:space="preserve"> ADDIN ZOTERO_ITEM CSL_CITATION {"citationID":"cVsI3prY","properties":{"formattedCitation":"(35\\uc0\\u8211{}37)","plainCitation":"(35–37)","noteIndex":0},"citationItems":[{"id":7707,"uris":["http://zotero.org/users/446899/items/J6HDFAE5"],"uri":["http://zotero.org/users/446899/items/J6HDFAE5"],"itemData":{"id":7707,"type":"article-journal","title":"Sexual Activity is Associated with Greater Enjoyment of Life in Older Adults","container-title":"Sexual Medicine","page":"11-18","volume":"7","issue":"1","source":"PubMed","abstract":"BACKGROUND: Relationships among sexual activity, problems and concerns, and well-being among older adults have not been fully explored.\nAIM: To investigate associations among sexual activity, problems and concerns, and experienced well-being in a representative sample of older adults.\nMETHODS: In this cross-sectional analysis from the English Longitudinal Study of Ageing, sexual behavior, problems, and concerns were assessed via a self-completed questionnaire. Covariates included age, partnership status, socioeconomic status, smoking status, alcohol intake, limiting long-standing illness, and depressive symptoms. Data were analyzed using 1-way independent analysis of variance.\nMAIN OUTCOME MEASURE: Enjoyment of life was assessed with the pleasure subscale of the CASP-19 (Control, Autonomy, Self-realization, and Pleasure), a validated measure of quality of life specific to older age.\nRESULTS: Data on sexual activity and enjoyment of life were available for a total of 3,045 men and 3,834 women (mean age 64.4 years in men and 65.3 years in women). Men and women who reported any sexual activity in the past year had significantly higher mean enjoyment of life scores compared with those who were not sexually active (men, 9.75 vs 9.</w:instrText>
      </w:r>
      <w:r w:rsidR="00D85063" w:rsidRPr="008B13C9">
        <w:rPr>
          <w:rFonts w:ascii="Calibri" w:hAnsi="Calibri" w:hint="eastAsia"/>
        </w:rPr>
        <w:instrText>44 [P &lt; .001]; women, 9.86 vs 9.67 [P = .003]). Among sexually active men, frequent (</w:instrText>
      </w:r>
      <w:r w:rsidR="00D85063" w:rsidRPr="008B13C9">
        <w:rPr>
          <w:rFonts w:ascii="Calibri" w:hAnsi="Calibri" w:hint="eastAsia"/>
        </w:rPr>
        <w:instrText>≥</w:instrText>
      </w:r>
      <w:r w:rsidR="00D85063" w:rsidRPr="008B13C9">
        <w:rPr>
          <w:rFonts w:ascii="Calibri" w:hAnsi="Calibri" w:hint="eastAsia"/>
        </w:rPr>
        <w:instrText>2 times a month) sexual intercourse (P &lt; .001) and frequent kissing, petting, or fondling (P &lt; .001) were associated with greater enjoyment of life. Among sexually activ</w:instrText>
      </w:r>
      <w:r w:rsidR="00D85063" w:rsidRPr="008B13C9">
        <w:rPr>
          <w:rFonts w:ascii="Calibri" w:hAnsi="Calibri"/>
        </w:rPr>
        <w:instrText>e women, frequent kissing, petting, or fondling was also associated with greater enjoyment of life (P &lt; .001), but there was no significant association with frequent intercourse (P = .101). Concerns about one's sex life and problems with sexual function were strongly associated with lower levels of enjoyment of life in men and to a lesser extent in women.\nCONCLUSION: This is among the first studies to show that well-being is higher among older adults when they are sexually active. Preferences regarding the expression of sexual activity differed between the sexes. Further longitudinal research is needed to confirm a causal association between sexual activity and well-being. Smith L, Yang L, Veronese N, et al. Sexual Activity is Associated with Greater Enjoyment of Life in Older Adults. Sex Med 2019;7:11-18.","DOI":"10.1016/j.esxm.2018.11.001","ISSN":"2050-1161","note":"PMID: 30554952\nPMCID: PMC6377384","journalAbbreviation":"Sex Med","language":"eng","author":[{"family":"Smith","given":"Lee"},{"family":"Yang","given":"Lin"},{"family":"Veronese","given":"Nicola"},{"family":"Soysal","given":"Pinar"},{"family":"Stubbs","given":"Brendon"},{"family":"Jackson","given":"Sarah E."}],"issued":{"date-parts":[["2019",3]]}}},{"id":7709,"uris":["http://zotero.org/users/446899/items/N5IRFLDH"],"uri":["http://zotero.org/users/446899/items/N5IRFLDH"],"itemData":{"id":7709,"type":"article-journal","title":"Decline in sexuality and wellbeing in older adults: A population-based study","container-title":"Journal of Affective Disorders","page":"912-917","volume":"245","source":"ScienceDirect","abstract":"Background\nAge-related declines in sexuality and increase in mental health complications have been well documented. However, whether these two phenomena are related has not been explored. The present study therefore aimed to investigate associations between a decline in sexuality and markers of mental health and wellbeing.\nMethod\nData were collected in 2012/13 from 2614 men and 3217 women participating in the English Longitudinal Study of Ageing, a population-representative panel study of older adults (</w:instrText>
      </w:r>
      <w:r w:rsidR="00D85063" w:rsidRPr="008B13C9">
        <w:rPr>
          <w:rFonts w:ascii="Calibri" w:hAnsi="Calibri" w:hint="eastAsia"/>
        </w:rPr>
        <w:instrText>≥</w:instrText>
      </w:r>
      <w:r w:rsidR="00D85063" w:rsidRPr="008B13C9">
        <w:rPr>
          <w:rFonts w:ascii="Calibri" w:hAnsi="Calibri"/>
        </w:rPr>
        <w:instrText> 50 years). Past-year declines in sexual desire, frequency of sexual activities, and sexual function were self-reported. Three markers of wellbeing (depressive symptoms, quality of life and life satisfaction) were assessed using validated scales. Associations between declines in sexuality and wellbeing were analysed using one-way independent analyses of variance, adjusted for a range of socio-demographic and health-related covariates.\nResults\nMen and women who reported a past-year decline in sexual desire or frequency of sexual activities had a higher number of depressive symptoms (desire p = 0.001, frequency p &lt; 0.001) and lower quality of life (all p &lt; 0.001). Decline in sexual desire was also associated with lower life satisfaction in men (p = 0.012) and decline in frequency of sexual activities was associated with lower life satisfaction in women (p &lt; 0.001). Declines in erectile function in men and ability to become sexually aroused in women were also significantly associated with more depressive symptoms (p &lt; 0.001), lower quality of life (p &lt; 0.001) and lower life satisfaction (p &lt; 0.001 in men, p = 0.024 in women).\nConclusion\nOlder adults who experience a decline in sexuality report poorer wellbeing than those who do not.","DOI":"10.1016/j.jad.2018.11.091","ISSN":"0165-0327","shortTitle":"Decline in sexuality and wellbeing in older adults","journalAbbreviation":"Journal of Affective Disorders","author":[{"family":"Jackson","given":"Sarah E."},{"family":"Firth","given":"Joseph"},{"family":"Veronese","given":"Nicola"},{"family":"Stubbs","given":"Brendon"},{"family":"Koyanagi","given":"Ai"},{"family":"Yang","given":"Lin"},{"family":"Smith","given":"Lee"}],"issued":{"date-parts":[["2019",2,15]]}}},{"id":8362,"uris":["http://zotero.org/users/446899/items/NJP5PCY4"],"uri":["http://zotero.org/users/446899/items/NJP5PCY4"],"itemData":{"id":8362,"type":"article-journal","title":"Sleep Quality, Duration, and Associated Sexual Function at Older Age: Findings from the English Longitudinal Study of Ageing","container-title":"The Journal of Sexual Medicine","page":"427-433","volume":"16","issue":"3","source":"www.jsm.jsexmed.org","abstract":"&lt;h2&gt;Abstract&lt;/h2&gt;&lt;h3&gt;Introduction&lt;/h3&gt;&lt;p&gt;One factor that may plausibly be associated with sexual dysfunction is sleep disturbance. Like sexual problems, complaints of sleep disturbance increase with age and are commonly reported by older adults.&lt;/p&gt;&lt;h3&gt;Aims&lt;/h3&gt;&lt;p&gt;To examine associations</w:instrText>
      </w:r>
      <w:r w:rsidR="00D85063" w:rsidRPr="008B13C9">
        <w:rPr>
          <w:rFonts w:ascii="Calibri" w:hAnsi="Calibri" w:hint="eastAsia"/>
        </w:rPr>
        <w:instrText xml:space="preserve"> between sleep quality, duration, and a range of sexual problems in a large, representative sample of older adults.&lt;/p&gt;&lt;h3&gt;Methods&lt;/h3&gt;&lt;p&gt;Data were from 2,568 men and 1,376 women (age </w:instrText>
      </w:r>
      <w:r w:rsidR="00D85063" w:rsidRPr="008B13C9">
        <w:rPr>
          <w:rFonts w:ascii="Calibri" w:hAnsi="Calibri" w:hint="eastAsia"/>
        </w:rPr>
        <w:instrText>≥</w:instrText>
      </w:r>
      <w:r w:rsidR="00D85063" w:rsidRPr="008B13C9">
        <w:rPr>
          <w:rFonts w:ascii="Calibri" w:hAnsi="Calibri" w:hint="eastAsia"/>
        </w:rPr>
        <w:instrText>50 years) participating in Wave 6 of the English Longitudinal Study of</w:instrText>
      </w:r>
      <w:r w:rsidR="00D85063" w:rsidRPr="008B13C9">
        <w:rPr>
          <w:rFonts w:ascii="Calibri" w:hAnsi="Calibri"/>
        </w:rPr>
        <w:instrText xml:space="preserve"> Ageing (2012–2013). Sleep quality, duration, and problems with erectile function, sexual arousal, and orgasmic experience were self-reported; associations were examined using logistic regression models. Covariates included age, ethnicity, partner status, wealth, limiting long-standing illness, smoking, alcohol consumption, physical activity, and depressive symptoms.&lt;/p&gt;&lt;h3&gt;Main Outcome Measure&lt;/h3&gt;&lt;p&gt;Participants self-reported problems with erectile function, sexual arousal, and orgasmic experience.&lt;/p&gt;&lt;h3&gt;Results&lt;/h3&gt;&lt;p&gt;In women, moderate (odds ratio [OR] = 1.53, 95% CI 1.09–2.13, &lt;i&gt;P&lt;/i&gt; = .013) and low sleep quality (OR = 1.70, 95% CI 1.24–2.32, &lt;i&gt;P&lt;/i&gt; = .001) were associated with increased odds of arousal problems relative to high sleep quality. In men, moderate sleep quality was associated with increased odds of erectile difficulties (OR = 1.47, 95% CI 1.16–1.85, &lt;i&gt;P&lt;/i&gt; = .001), the difference between low and high sleep quality did not reach statistical significance (OR = 1.24, 95% CI 0.97–1.58, &lt;i&gt;P&lt;/i&gt; = .091). Sleep quality was not associated with difficulty achieving an orgasm in men, but in women low sleep quality was associated with increased odds of orgasmic difficulty (OR = 1.63, 95% CI 1.18–2.25, &lt;i&gt;P&lt;/i&gt; = .003). No associations between sleep duration and problems with sexual function were observed in women, but, in men, long sleep was associated with higher odds of difficulty achieving orgasm (OR = 1.75, 95% CI 1.04–2.95, &lt;i&gt;P&lt;/i&gt; = 0.036) relative to optimal sleep duration.&lt;/p&gt;&lt;h3&gt;Clinical Implications&lt;/h3&gt;&lt;p&gt;Older adults presenting sleep problems should be screened for sexual dysfunction and vice versa.&lt;/p&gt;&lt;h3&gt;Strength &amp; Limitations&lt;/h3&gt;&lt;p&gt;Strengths of this study include the large representative sample of older English adults, the assessment of several aspects of sexual dysfunction and sleep, and the inclusion of potentially important confounding variables into statistical models. However, the study was cross-sectional, meaning we were unable to ascertain the direction of the observed associations.&lt;/p&gt;&lt;h3&gt;Conclusion&lt;/h3&gt;&lt;p&gt;Sleep problems are associated with sexual dysfunction in older English adults, although some variation is noted between men and women.&lt;/p&gt;&lt;p&gt;&lt;b&gt;Smith L, Grabovac I, Veronese N, et al. Sleep Quality, Duration, and Associated Sexual Function at Older Age: Findings From the English Longitudinal Study of Ageing. J Sex Med 2019;16:427–433.&lt;/b&gt;&lt;/p&gt;","DOI":"10.1016/j.jsxm.2019.01.005","ISSN":"1743-6095","note":"PMID: 30773496","shortTitle":"Sleep Quality, Duration, and Associated Sexual Function at Older Age","journalAbbreviation":"The Journal of Sexual Medicine","language":"English","author":[{"family":"Smith","given":"Lee"},{"family":"Grabovac","given":"Igor"},{"family":"Veronese","given":"Nicola"},{"family":"Soysal","given":"Pinar"},{"family":"Isik","given":"Ahmet Turan"},{"family":"Stubbs","given":"Brendon"},{"family":"Yang","given":"Lin"},{"family":"Jackson","given":"Sarah E."}],"issued":{"date-parts":[["2019",3,1]]}}}],"schema":"https://github.com/citation-style-language/schema/raw/master/csl-citation.json"} </w:instrText>
      </w:r>
      <w:r w:rsidR="00D85063" w:rsidRPr="008B13C9">
        <w:rPr>
          <w:rFonts w:ascii="Calibri" w:hAnsi="Calibri"/>
        </w:rPr>
        <w:fldChar w:fldCharType="separate"/>
      </w:r>
      <w:r w:rsidR="00D85063" w:rsidRPr="008B13C9">
        <w:rPr>
          <w:rFonts w:ascii="Calibri" w:hAnsi="Calibri" w:cs="Calibri"/>
          <w:szCs w:val="24"/>
        </w:rPr>
        <w:t>(35–37)</w:t>
      </w:r>
      <w:r w:rsidR="00D85063" w:rsidRPr="008B13C9">
        <w:rPr>
          <w:rFonts w:ascii="Calibri" w:hAnsi="Calibri"/>
        </w:rPr>
        <w:fldChar w:fldCharType="end"/>
      </w:r>
      <w:r w:rsidR="00E53620" w:rsidRPr="008B13C9">
        <w:rPr>
          <w:rFonts w:ascii="Calibri" w:hAnsi="Calibri"/>
        </w:rPr>
        <w:t xml:space="preserve"> </w:t>
      </w:r>
      <w:r w:rsidR="00EB1F15" w:rsidRPr="008B13C9">
        <w:rPr>
          <w:rFonts w:ascii="Calibri" w:hAnsi="Calibri"/>
        </w:rPr>
        <w:t xml:space="preserve">Although the present </w:t>
      </w:r>
      <w:r w:rsidR="003305CA" w:rsidRPr="008B13C9">
        <w:rPr>
          <w:rFonts w:ascii="Calibri" w:hAnsi="Calibri"/>
        </w:rPr>
        <w:t xml:space="preserve">analysis </w:t>
      </w:r>
      <w:r w:rsidR="00EB1F15" w:rsidRPr="008B13C9">
        <w:rPr>
          <w:rFonts w:ascii="Calibri" w:hAnsi="Calibri"/>
        </w:rPr>
        <w:t>controlled for many of the measurable risk factors predicting morbidity in older adults, it may not have perfectly controlled for the actual onset of a possibly still undiagnosed serious illness or frailty which may have influenced sexual</w:t>
      </w:r>
      <w:r w:rsidR="003B1723" w:rsidRPr="008B13C9">
        <w:rPr>
          <w:rFonts w:ascii="Calibri" w:hAnsi="Calibri"/>
        </w:rPr>
        <w:t xml:space="preserve"> activity</w:t>
      </w:r>
      <w:r w:rsidR="00EB1F15" w:rsidRPr="008B13C9">
        <w:rPr>
          <w:rFonts w:ascii="Calibri" w:hAnsi="Calibri"/>
        </w:rPr>
        <w:t xml:space="preserve"> outcomes. </w:t>
      </w:r>
      <w:r w:rsidRPr="008B13C9">
        <w:rPr>
          <w:rFonts w:ascii="Calibri" w:hAnsi="Calibri"/>
        </w:rPr>
        <w:t>There were some missing data on body weight, either because it was not possible to obtain a valid measurement or because participants did not consent to provide this information. It is possible that those who were more self-conscious about their body weight were less likely to consent to weighing; and if this is related to sexual activity associations between higher weight status and sexual</w:t>
      </w:r>
      <w:r w:rsidR="003B1723" w:rsidRPr="008B13C9">
        <w:rPr>
          <w:rFonts w:ascii="Calibri" w:hAnsi="Calibri"/>
        </w:rPr>
        <w:t xml:space="preserve"> activity</w:t>
      </w:r>
      <w:r w:rsidRPr="008B13C9">
        <w:rPr>
          <w:rFonts w:ascii="Calibri" w:hAnsi="Calibri"/>
        </w:rPr>
        <w:t xml:space="preserve"> may have been over or underestimated.</w:t>
      </w:r>
      <w:r w:rsidR="00CA491B" w:rsidRPr="008B13C9">
        <w:rPr>
          <w:rFonts w:ascii="Calibri" w:hAnsi="Calibri"/>
        </w:rPr>
        <w:t xml:space="preserve"> </w:t>
      </w:r>
      <w:bookmarkStart w:id="6" w:name="_Hlk16073206"/>
      <w:bookmarkStart w:id="7" w:name="_Hlk14895555"/>
      <w:r w:rsidR="00111CC9" w:rsidRPr="008B13C9">
        <w:rPr>
          <w:rFonts w:ascii="Calibri" w:hAnsi="Calibri"/>
        </w:rPr>
        <w:t xml:space="preserve">The cross-sectional design means the results do not provide any insight into how sexual activity changes in relation to changes in weight, or vice versa. </w:t>
      </w:r>
      <w:bookmarkEnd w:id="6"/>
      <w:r w:rsidR="00CA491B" w:rsidRPr="008B13C9">
        <w:rPr>
          <w:rFonts w:ascii="Calibri" w:hAnsi="Calibri"/>
        </w:rPr>
        <w:t xml:space="preserve">It should be noted that since the completion of the present analyses further recent data on sexual activity has become available in </w:t>
      </w:r>
      <w:r w:rsidR="00CA491B" w:rsidRPr="008B13C9">
        <w:rPr>
          <w:rFonts w:ascii="Calibri" w:hAnsi="Calibri"/>
        </w:rPr>
        <w:lastRenderedPageBreak/>
        <w:t xml:space="preserve">the ELSA </w:t>
      </w:r>
      <w:r w:rsidR="00111CC9" w:rsidRPr="008B13C9">
        <w:rPr>
          <w:rFonts w:ascii="Calibri" w:hAnsi="Calibri"/>
        </w:rPr>
        <w:t>dataset.</w:t>
      </w:r>
      <w:bookmarkStart w:id="8" w:name="_Hlk16073234"/>
      <w:r w:rsidR="00CA491B" w:rsidRPr="008B13C9">
        <w:rPr>
          <w:rFonts w:ascii="Calibri" w:hAnsi="Calibri"/>
        </w:rPr>
        <w:t xml:space="preserve"> </w:t>
      </w:r>
      <w:r w:rsidR="00111CC9" w:rsidRPr="008B13C9">
        <w:rPr>
          <w:rFonts w:ascii="Calibri" w:hAnsi="Calibri"/>
        </w:rPr>
        <w:t>F</w:t>
      </w:r>
      <w:r w:rsidR="00CA491B" w:rsidRPr="008B13C9">
        <w:rPr>
          <w:rFonts w:ascii="Calibri" w:hAnsi="Calibri"/>
        </w:rPr>
        <w:t xml:space="preserve">uture studies may now wish to examine this association using longitudinal models. </w:t>
      </w:r>
      <w:bookmarkEnd w:id="8"/>
      <w:r w:rsidR="009D23B4" w:rsidRPr="008B13C9">
        <w:rPr>
          <w:rFonts w:ascii="Calibri" w:hAnsi="Calibri"/>
        </w:rPr>
        <w:t xml:space="preserve">Finally, there was a substantial amount of missing data and </w:t>
      </w:r>
      <w:proofErr w:type="gramStart"/>
      <w:r w:rsidR="009D23B4" w:rsidRPr="008B13C9">
        <w:rPr>
          <w:rFonts w:ascii="Calibri" w:hAnsi="Calibri"/>
        </w:rPr>
        <w:t>a number of</w:t>
      </w:r>
      <w:proofErr w:type="gramEnd"/>
      <w:r w:rsidR="009D23B4" w:rsidRPr="008B13C9">
        <w:rPr>
          <w:rFonts w:ascii="Calibri" w:hAnsi="Calibri"/>
        </w:rPr>
        <w:t xml:space="preserve"> differences between the analysed sample of participants and those who were excluded, which may limit the generalisability of the results</w:t>
      </w:r>
      <w:r w:rsidR="00071AA4" w:rsidRPr="008B13C9">
        <w:rPr>
          <w:rFonts w:ascii="Calibri" w:hAnsi="Calibri"/>
        </w:rPr>
        <w:t xml:space="preserve"> to the older adult population in general.</w:t>
      </w:r>
    </w:p>
    <w:p w14:paraId="599FF819" w14:textId="23F98BFE" w:rsidR="00E31187" w:rsidRPr="008B13C9" w:rsidRDefault="00333AEC" w:rsidP="008F07A4">
      <w:pPr>
        <w:spacing w:afterLines="120" w:after="288" w:line="480" w:lineRule="auto"/>
        <w:rPr>
          <w:rFonts w:ascii="Calibri" w:hAnsi="Calibri"/>
        </w:rPr>
      </w:pPr>
      <w:bookmarkStart w:id="9" w:name="_Hlk16068290"/>
      <w:bookmarkEnd w:id="7"/>
      <w:r w:rsidRPr="008B13C9">
        <w:rPr>
          <w:rFonts w:ascii="Calibri" w:hAnsi="Calibri"/>
        </w:rPr>
        <w:t xml:space="preserve">In conclusion, </w:t>
      </w:r>
      <w:r w:rsidR="00A630CA" w:rsidRPr="008B13C9">
        <w:rPr>
          <w:rFonts w:ascii="Calibri" w:hAnsi="Calibri"/>
        </w:rPr>
        <w:t>the</w:t>
      </w:r>
      <w:r w:rsidRPr="008B13C9">
        <w:rPr>
          <w:rFonts w:ascii="Calibri" w:hAnsi="Calibri"/>
        </w:rPr>
        <w:t xml:space="preserve"> present </w:t>
      </w:r>
      <w:r w:rsidR="00A630CA" w:rsidRPr="008B13C9">
        <w:rPr>
          <w:rFonts w:ascii="Calibri" w:hAnsi="Calibri"/>
        </w:rPr>
        <w:t>results indicate that while the odds of older adults being sexually active did not differ by weight status, there were differences in the frequency of sexual intercourse among those who were sexually active. M</w:t>
      </w:r>
      <w:r w:rsidRPr="008B13C9">
        <w:rPr>
          <w:rFonts w:ascii="Calibri" w:hAnsi="Calibri"/>
        </w:rPr>
        <w:t xml:space="preserve">en </w:t>
      </w:r>
      <w:r w:rsidR="00A630CA" w:rsidRPr="008B13C9">
        <w:rPr>
          <w:rFonts w:ascii="Calibri" w:hAnsi="Calibri"/>
        </w:rPr>
        <w:t>with overweight and obesity</w:t>
      </w:r>
      <w:r w:rsidRPr="008B13C9">
        <w:rPr>
          <w:rFonts w:ascii="Calibri" w:hAnsi="Calibri"/>
        </w:rPr>
        <w:t xml:space="preserve"> and women </w:t>
      </w:r>
      <w:r w:rsidR="00A630CA" w:rsidRPr="008B13C9">
        <w:rPr>
          <w:rFonts w:ascii="Calibri" w:hAnsi="Calibri"/>
        </w:rPr>
        <w:t>with</w:t>
      </w:r>
      <w:r w:rsidRPr="008B13C9">
        <w:rPr>
          <w:rFonts w:ascii="Calibri" w:hAnsi="Calibri"/>
        </w:rPr>
        <w:t xml:space="preserve"> overweight </w:t>
      </w:r>
      <w:r w:rsidR="00A630CA" w:rsidRPr="008B13C9">
        <w:rPr>
          <w:rFonts w:ascii="Calibri" w:hAnsi="Calibri"/>
        </w:rPr>
        <w:t>reported</w:t>
      </w:r>
      <w:r w:rsidRPr="008B13C9">
        <w:rPr>
          <w:rFonts w:ascii="Calibri" w:hAnsi="Calibri"/>
        </w:rPr>
        <w:t xml:space="preserve"> a higher frequency of sexual </w:t>
      </w:r>
      <w:r w:rsidR="00A630CA" w:rsidRPr="008B13C9">
        <w:rPr>
          <w:rFonts w:ascii="Calibri" w:hAnsi="Calibri"/>
        </w:rPr>
        <w:t>intercourse</w:t>
      </w:r>
      <w:r w:rsidRPr="008B13C9">
        <w:rPr>
          <w:rFonts w:ascii="Calibri" w:hAnsi="Calibri"/>
        </w:rPr>
        <w:t xml:space="preserve"> in the last month </w:t>
      </w:r>
      <w:r w:rsidR="00A630CA" w:rsidRPr="008B13C9">
        <w:rPr>
          <w:rFonts w:ascii="Calibri" w:hAnsi="Calibri"/>
        </w:rPr>
        <w:t>than those</w:t>
      </w:r>
      <w:r w:rsidRPr="008B13C9">
        <w:rPr>
          <w:rFonts w:ascii="Calibri" w:hAnsi="Calibri"/>
        </w:rPr>
        <w:t xml:space="preserve"> who were normal weight.</w:t>
      </w:r>
      <w:bookmarkStart w:id="10" w:name="_Hlk14890690"/>
      <w:bookmarkEnd w:id="9"/>
    </w:p>
    <w:p w14:paraId="6251E449" w14:textId="77777777" w:rsidR="00AB20FA" w:rsidRPr="008B13C9" w:rsidRDefault="00AB20FA" w:rsidP="008F07A4">
      <w:pPr>
        <w:spacing w:afterLines="120" w:after="288" w:line="480" w:lineRule="auto"/>
        <w:rPr>
          <w:rFonts w:ascii="Calibri" w:hAnsi="Calibri"/>
        </w:rPr>
      </w:pPr>
    </w:p>
    <w:bookmarkEnd w:id="10"/>
    <w:p w14:paraId="1D4A7BAA" w14:textId="77777777" w:rsidR="00E31187" w:rsidRPr="008B13C9" w:rsidRDefault="00E31187" w:rsidP="008F07A4">
      <w:pPr>
        <w:spacing w:afterLines="120" w:after="288" w:line="480" w:lineRule="auto"/>
        <w:rPr>
          <w:rFonts w:ascii="Calibri" w:hAnsi="Calibri"/>
          <w:b/>
        </w:rPr>
      </w:pPr>
      <w:r w:rsidRPr="008B13C9">
        <w:rPr>
          <w:rFonts w:ascii="Calibri" w:hAnsi="Calibri"/>
          <w:b/>
        </w:rPr>
        <w:t>Conflicts of interest</w:t>
      </w:r>
    </w:p>
    <w:p w14:paraId="58B9F289" w14:textId="72B70095" w:rsidR="004E0147" w:rsidRPr="008B13C9" w:rsidRDefault="00E31187" w:rsidP="008F07A4">
      <w:pPr>
        <w:spacing w:afterLines="120" w:after="288" w:line="480" w:lineRule="auto"/>
        <w:rPr>
          <w:rFonts w:ascii="Calibri" w:hAnsi="Calibri"/>
          <w:b/>
        </w:rPr>
      </w:pPr>
      <w:r w:rsidRPr="008B13C9">
        <w:rPr>
          <w:rFonts w:ascii="Calibri" w:hAnsi="Calibri"/>
        </w:rPr>
        <w:t>The authors declare</w:t>
      </w:r>
      <w:r w:rsidR="00636E17" w:rsidRPr="008B13C9">
        <w:rPr>
          <w:rFonts w:ascii="Calibri" w:hAnsi="Calibri"/>
        </w:rPr>
        <w:t xml:space="preserve"> that they have</w:t>
      </w:r>
      <w:r w:rsidRPr="008B13C9">
        <w:rPr>
          <w:rFonts w:ascii="Calibri" w:hAnsi="Calibri"/>
        </w:rPr>
        <w:t xml:space="preserve"> no conflicts of interest. </w:t>
      </w:r>
      <w:r w:rsidRPr="008B13C9">
        <w:rPr>
          <w:rFonts w:ascii="Calibri" w:hAnsi="Calibri"/>
          <w:b/>
        </w:rPr>
        <w:t xml:space="preserve"> </w:t>
      </w:r>
      <w:r w:rsidR="004E0147" w:rsidRPr="008B13C9">
        <w:rPr>
          <w:rFonts w:ascii="Calibri" w:hAnsi="Calibri"/>
        </w:rPr>
        <w:br w:type="page"/>
      </w:r>
    </w:p>
    <w:p w14:paraId="709A5B57" w14:textId="77777777" w:rsidR="00E10802" w:rsidRPr="008B13C9" w:rsidRDefault="00E10802" w:rsidP="008F07A4">
      <w:pPr>
        <w:pStyle w:val="Heading1"/>
        <w:tabs>
          <w:tab w:val="left" w:pos="142"/>
        </w:tabs>
        <w:spacing w:line="480" w:lineRule="auto"/>
      </w:pPr>
      <w:bookmarkStart w:id="11" w:name="_Hlk16062436"/>
      <w:r w:rsidRPr="008B13C9">
        <w:lastRenderedPageBreak/>
        <w:t>References</w:t>
      </w:r>
    </w:p>
    <w:bookmarkEnd w:id="11"/>
    <w:p w14:paraId="5E58C955" w14:textId="77777777" w:rsidR="00D85063" w:rsidRPr="008B13C9" w:rsidRDefault="00B35BF8" w:rsidP="00D85063">
      <w:pPr>
        <w:pStyle w:val="Bibliography"/>
        <w:rPr>
          <w:rFonts w:ascii="Calibri" w:hAnsi="Calibri" w:cs="Calibri"/>
        </w:rPr>
      </w:pPr>
      <w:r w:rsidRPr="008B13C9">
        <w:fldChar w:fldCharType="begin"/>
      </w:r>
      <w:r w:rsidRPr="008B13C9">
        <w:instrText xml:space="preserve"> ADDIN ZOTERO_BIBL {"uncited":[],"omitted":[],"custom":[]} CSL_BIBLIOGRAPHY </w:instrText>
      </w:r>
      <w:r w:rsidRPr="008B13C9">
        <w:fldChar w:fldCharType="separate"/>
      </w:r>
      <w:r w:rsidR="00D85063" w:rsidRPr="008B13C9">
        <w:rPr>
          <w:rFonts w:ascii="Calibri" w:hAnsi="Calibri" w:cs="Calibri"/>
        </w:rPr>
        <w:t xml:space="preserve">1. </w:t>
      </w:r>
      <w:r w:rsidR="00D85063" w:rsidRPr="008B13C9">
        <w:rPr>
          <w:rFonts w:ascii="Calibri" w:hAnsi="Calibri" w:cs="Calibri"/>
        </w:rPr>
        <w:tab/>
        <w:t xml:space="preserve">World Health Organization. Obesity: preventing and managing the global epidemic. World Health Organ Tech Rep Ser. 2000;(894). </w:t>
      </w:r>
    </w:p>
    <w:p w14:paraId="0F30BB31" w14:textId="77777777" w:rsidR="00D85063" w:rsidRPr="008B13C9" w:rsidRDefault="00D85063" w:rsidP="00D85063">
      <w:pPr>
        <w:pStyle w:val="Bibliography"/>
        <w:rPr>
          <w:rFonts w:ascii="Calibri" w:hAnsi="Calibri" w:cs="Calibri"/>
        </w:rPr>
      </w:pPr>
      <w:r w:rsidRPr="008B13C9">
        <w:rPr>
          <w:rFonts w:ascii="Calibri" w:hAnsi="Calibri" w:cs="Calibri"/>
        </w:rPr>
        <w:t xml:space="preserve">2. </w:t>
      </w:r>
      <w:r w:rsidRPr="008B13C9">
        <w:rPr>
          <w:rFonts w:ascii="Calibri" w:hAnsi="Calibri" w:cs="Calibri"/>
        </w:rPr>
        <w:tab/>
        <w:t xml:space="preserve">Villareal DT, Apovian CM, Kushner RF, Klein S. Obesity in older adults: technical review and position statement of the American Society for Nutrition and NAASO, The Obesity Society. Am J Clin Nutr. 2005 Nov 1;82(5):923–34. </w:t>
      </w:r>
    </w:p>
    <w:p w14:paraId="5B89FD33" w14:textId="77777777" w:rsidR="00D85063" w:rsidRPr="008B13C9" w:rsidRDefault="00D85063" w:rsidP="00D85063">
      <w:pPr>
        <w:pStyle w:val="Bibliography"/>
        <w:rPr>
          <w:rFonts w:ascii="Calibri" w:hAnsi="Calibri" w:cs="Calibri"/>
        </w:rPr>
      </w:pPr>
      <w:r w:rsidRPr="008B13C9">
        <w:rPr>
          <w:rFonts w:ascii="Calibri" w:hAnsi="Calibri" w:cs="Calibri"/>
        </w:rPr>
        <w:t xml:space="preserve">3. </w:t>
      </w:r>
      <w:r w:rsidRPr="008B13C9">
        <w:rPr>
          <w:rFonts w:ascii="Calibri" w:hAnsi="Calibri" w:cs="Calibri"/>
        </w:rPr>
        <w:tab/>
        <w:t xml:space="preserve">World Helath Organization. World report on ageing and health. Luxembourg: World Health Organization; 2015. </w:t>
      </w:r>
    </w:p>
    <w:p w14:paraId="57C3626C" w14:textId="77777777" w:rsidR="00D85063" w:rsidRPr="008B13C9" w:rsidRDefault="00D85063" w:rsidP="00D85063">
      <w:pPr>
        <w:pStyle w:val="Bibliography"/>
        <w:rPr>
          <w:rFonts w:ascii="Calibri" w:hAnsi="Calibri" w:cs="Calibri"/>
        </w:rPr>
      </w:pPr>
      <w:r w:rsidRPr="008B13C9">
        <w:rPr>
          <w:rFonts w:ascii="Calibri" w:hAnsi="Calibri" w:cs="Calibri"/>
        </w:rPr>
        <w:t xml:space="preserve">4. </w:t>
      </w:r>
      <w:r w:rsidRPr="008B13C9">
        <w:rPr>
          <w:rFonts w:ascii="Calibri" w:hAnsi="Calibri" w:cs="Calibri"/>
        </w:rPr>
        <w:tab/>
        <w:t xml:space="preserve">Davison KK, Ford ES, Cogswell ME, Dietz WH. Percentage of Body Fat and Body Mass Index Are Associated with Mobility Limitations in People Aged 70 and Older from NHANES III. J Am Geriatr Soc. 2002;50(11):1802–1809. </w:t>
      </w:r>
    </w:p>
    <w:p w14:paraId="7DA39B5A" w14:textId="77777777" w:rsidR="00D85063" w:rsidRPr="008B13C9" w:rsidRDefault="00D85063" w:rsidP="00D85063">
      <w:pPr>
        <w:pStyle w:val="Bibliography"/>
        <w:rPr>
          <w:rFonts w:ascii="Calibri" w:hAnsi="Calibri" w:cs="Calibri"/>
        </w:rPr>
      </w:pPr>
      <w:r w:rsidRPr="008B13C9">
        <w:rPr>
          <w:rFonts w:ascii="Calibri" w:hAnsi="Calibri" w:cs="Calibri"/>
        </w:rPr>
        <w:t xml:space="preserve">5. </w:t>
      </w:r>
      <w:r w:rsidRPr="008B13C9">
        <w:rPr>
          <w:rFonts w:ascii="Calibri" w:hAnsi="Calibri" w:cs="Calibri"/>
        </w:rPr>
        <w:tab/>
        <w:t xml:space="preserve">DiPietro L. Physical Activity in AgingChanges in Patterns and Their Relationship to Health and Function. J Gerontol Ser A. 2001 Oct 1;56(suppl_2):13–22. </w:t>
      </w:r>
    </w:p>
    <w:p w14:paraId="088BCEE6" w14:textId="77777777" w:rsidR="00D85063" w:rsidRPr="008B13C9" w:rsidRDefault="00D85063" w:rsidP="00D85063">
      <w:pPr>
        <w:pStyle w:val="Bibliography"/>
        <w:rPr>
          <w:rFonts w:ascii="Calibri" w:hAnsi="Calibri" w:cs="Calibri"/>
        </w:rPr>
      </w:pPr>
      <w:r w:rsidRPr="008B13C9">
        <w:rPr>
          <w:rFonts w:ascii="Calibri" w:hAnsi="Calibri" w:cs="Calibri"/>
        </w:rPr>
        <w:t xml:space="preserve">6. </w:t>
      </w:r>
      <w:r w:rsidRPr="008B13C9">
        <w:rPr>
          <w:rFonts w:ascii="Calibri" w:hAnsi="Calibri" w:cs="Calibri"/>
        </w:rPr>
        <w:tab/>
        <w:t xml:space="preserve">Riebe D, Blissmer BJ, Greaney ML, Ewing Garber C, Lees FD, Clark PG. The Relationship Between Obesity, Physical Activity, and Physical Function in Older Adults. J Aging Health. 2009 Dec 1;21(8):1159–78. </w:t>
      </w:r>
    </w:p>
    <w:p w14:paraId="768D0320" w14:textId="77777777" w:rsidR="00D85063" w:rsidRPr="008B13C9" w:rsidRDefault="00D85063" w:rsidP="00D85063">
      <w:pPr>
        <w:pStyle w:val="Bibliography"/>
        <w:rPr>
          <w:rFonts w:ascii="Calibri" w:hAnsi="Calibri" w:cs="Calibri"/>
        </w:rPr>
      </w:pPr>
      <w:r w:rsidRPr="008B13C9">
        <w:rPr>
          <w:rFonts w:ascii="Calibri" w:hAnsi="Calibri" w:cs="Calibri"/>
        </w:rPr>
        <w:t xml:space="preserve">7. </w:t>
      </w:r>
      <w:r w:rsidRPr="008B13C9">
        <w:rPr>
          <w:rFonts w:ascii="Calibri" w:hAnsi="Calibri" w:cs="Calibri"/>
        </w:rPr>
        <w:tab/>
        <w:t xml:space="preserve">McPhee JS, French DP, Jackson D, Nazroo J, Pendleton N, Degens H. Physical activity in older age: perspectives for healthy ageing and frailty. Biogerontology. 2016 Jun 1;17(3):567–80. </w:t>
      </w:r>
    </w:p>
    <w:p w14:paraId="1ABDDDF6" w14:textId="77777777" w:rsidR="00D85063" w:rsidRPr="008B13C9" w:rsidRDefault="00D85063" w:rsidP="00D85063">
      <w:pPr>
        <w:pStyle w:val="Bibliography"/>
        <w:rPr>
          <w:rFonts w:ascii="Calibri" w:hAnsi="Calibri" w:cs="Calibri"/>
        </w:rPr>
      </w:pPr>
      <w:r w:rsidRPr="008B13C9">
        <w:rPr>
          <w:rFonts w:ascii="Calibri" w:hAnsi="Calibri" w:cs="Calibri"/>
        </w:rPr>
        <w:t xml:space="preserve">8. </w:t>
      </w:r>
      <w:r w:rsidRPr="008B13C9">
        <w:rPr>
          <w:rFonts w:ascii="Calibri" w:hAnsi="Calibri" w:cs="Calibri"/>
        </w:rPr>
        <w:tab/>
        <w:t>Frappier J, Toupin I, Levy JJ, Aubertin-Leheudre M, Karelis AD. Energy Expenditure during Sexual Activity in Young Healthy Couples. PLoS ONE [Internet]. 2013 Oct 24 [cited 2018 Sep 11];8(10). Available from: https://www.ncbi.nlm.nih.gov/pmc/articles/PMC3812004/</w:t>
      </w:r>
    </w:p>
    <w:p w14:paraId="00F8D93F" w14:textId="77777777" w:rsidR="00D85063" w:rsidRPr="008B13C9" w:rsidRDefault="00D85063" w:rsidP="00D85063">
      <w:pPr>
        <w:pStyle w:val="Bibliography"/>
        <w:rPr>
          <w:rFonts w:ascii="Calibri" w:hAnsi="Calibri" w:cs="Calibri"/>
        </w:rPr>
      </w:pPr>
      <w:r w:rsidRPr="008B13C9">
        <w:rPr>
          <w:rFonts w:ascii="Calibri" w:hAnsi="Calibri" w:cs="Calibri"/>
        </w:rPr>
        <w:t xml:space="preserve">9. </w:t>
      </w:r>
      <w:r w:rsidRPr="008B13C9">
        <w:rPr>
          <w:rFonts w:ascii="Calibri" w:hAnsi="Calibri" w:cs="Calibri"/>
        </w:rPr>
        <w:tab/>
        <w:t xml:space="preserve">Liu H, Waite L, Shen S, Wang D. Is Sex Good for Your Health? A National Study on Partnered Sexuality and Cardiovascular Risk Among Older Men and Women. J Health Soc Behav. 2016 Sep;57(3):276–96. </w:t>
      </w:r>
    </w:p>
    <w:p w14:paraId="65B3062C" w14:textId="77777777" w:rsidR="00D85063" w:rsidRPr="008B13C9" w:rsidRDefault="00D85063" w:rsidP="00D85063">
      <w:pPr>
        <w:pStyle w:val="Bibliography"/>
        <w:rPr>
          <w:rFonts w:ascii="Calibri" w:hAnsi="Calibri" w:cs="Calibri"/>
        </w:rPr>
      </w:pPr>
      <w:r w:rsidRPr="008B13C9">
        <w:rPr>
          <w:rFonts w:ascii="Calibri" w:hAnsi="Calibri" w:cs="Calibri"/>
        </w:rPr>
        <w:t xml:space="preserve">10. </w:t>
      </w:r>
      <w:r w:rsidRPr="008B13C9">
        <w:rPr>
          <w:rFonts w:ascii="Calibri" w:hAnsi="Calibri" w:cs="Calibri"/>
        </w:rPr>
        <w:tab/>
        <w:t xml:space="preserve">Lê MG, Bachelot A, Hill C. Characteristics of reproductive life and risk of breast cancer in a case-control study of young nulliparous women. J Clin Epidemiol. 1989;42(12):1227–33. </w:t>
      </w:r>
    </w:p>
    <w:p w14:paraId="2000C059" w14:textId="77777777" w:rsidR="00D85063" w:rsidRPr="008B13C9" w:rsidRDefault="00D85063" w:rsidP="00D85063">
      <w:pPr>
        <w:pStyle w:val="Bibliography"/>
        <w:rPr>
          <w:rFonts w:ascii="Calibri" w:hAnsi="Calibri" w:cs="Calibri"/>
        </w:rPr>
      </w:pPr>
      <w:r w:rsidRPr="008B13C9">
        <w:rPr>
          <w:rFonts w:ascii="Calibri" w:hAnsi="Calibri" w:cs="Calibri"/>
        </w:rPr>
        <w:t xml:space="preserve">11. </w:t>
      </w:r>
      <w:r w:rsidRPr="008B13C9">
        <w:rPr>
          <w:rFonts w:ascii="Calibri" w:hAnsi="Calibri" w:cs="Calibri"/>
        </w:rPr>
        <w:tab/>
        <w:t xml:space="preserve">Ebrahim S, May M, Shlomo YB, McCarron P, Frankel S, Yarnell J, et al. Sexual intercourse and risk of ischaemic stroke and coronary heart disease: the Caerphilly study. J Epidemiol Community Health. 2002 Feb 1;56(2):99–102. </w:t>
      </w:r>
    </w:p>
    <w:p w14:paraId="57DFC6A9" w14:textId="77777777" w:rsidR="00D85063" w:rsidRPr="008B13C9" w:rsidRDefault="00D85063" w:rsidP="00D85063">
      <w:pPr>
        <w:pStyle w:val="Bibliography"/>
        <w:rPr>
          <w:rFonts w:ascii="Calibri" w:hAnsi="Calibri" w:cs="Calibri"/>
        </w:rPr>
      </w:pPr>
      <w:r w:rsidRPr="008B13C9">
        <w:rPr>
          <w:rFonts w:ascii="Calibri" w:hAnsi="Calibri" w:cs="Calibri"/>
        </w:rPr>
        <w:t xml:space="preserve">12. </w:t>
      </w:r>
      <w:r w:rsidRPr="008B13C9">
        <w:rPr>
          <w:rFonts w:ascii="Calibri" w:hAnsi="Calibri" w:cs="Calibri"/>
        </w:rPr>
        <w:tab/>
        <w:t xml:space="preserve">Flynn T-J, Gow AJ. Examining associations between sexual behaviours and quality of life in older adults. Age Ageing. 2015 Sep;44(5):823–8. </w:t>
      </w:r>
    </w:p>
    <w:p w14:paraId="3ED5214E" w14:textId="77777777" w:rsidR="00D85063" w:rsidRPr="008B13C9" w:rsidRDefault="00D85063" w:rsidP="00D85063">
      <w:pPr>
        <w:pStyle w:val="Bibliography"/>
        <w:rPr>
          <w:rFonts w:ascii="Calibri" w:hAnsi="Calibri" w:cs="Calibri"/>
        </w:rPr>
      </w:pPr>
      <w:r w:rsidRPr="008B13C9">
        <w:rPr>
          <w:rFonts w:ascii="Calibri" w:hAnsi="Calibri" w:cs="Calibri"/>
        </w:rPr>
        <w:t xml:space="preserve">13. </w:t>
      </w:r>
      <w:r w:rsidRPr="008B13C9">
        <w:rPr>
          <w:rFonts w:ascii="Calibri" w:hAnsi="Calibri" w:cs="Calibri"/>
        </w:rPr>
        <w:tab/>
        <w:t xml:space="preserve">Warburton DER, Nicol CW, Bredin SSD. Health benefits of physical activity: the evidence. Can Med Assoc J. 2006 Mar 14;174(6):801–9. </w:t>
      </w:r>
    </w:p>
    <w:p w14:paraId="116B73FF" w14:textId="77777777" w:rsidR="00D85063" w:rsidRPr="008B13C9" w:rsidRDefault="00D85063" w:rsidP="00D85063">
      <w:pPr>
        <w:pStyle w:val="Bibliography"/>
        <w:rPr>
          <w:rFonts w:ascii="Calibri" w:hAnsi="Calibri" w:cs="Calibri"/>
        </w:rPr>
      </w:pPr>
      <w:r w:rsidRPr="008B13C9">
        <w:rPr>
          <w:rFonts w:ascii="Calibri" w:hAnsi="Calibri" w:cs="Calibri"/>
        </w:rPr>
        <w:t xml:space="preserve">14. </w:t>
      </w:r>
      <w:r w:rsidRPr="008B13C9">
        <w:rPr>
          <w:rFonts w:ascii="Calibri" w:hAnsi="Calibri" w:cs="Calibri"/>
        </w:rPr>
        <w:tab/>
        <w:t>Rokade DPB. Release of Endomorphin Hormone and Its Effects on Our Body and Moods : A Review. Int Conf Chem Biol Environ Sci [Internet]. 2011 [cited 2018 Aug 24]; Available from: /paper/Release-of-Endomorphin-Hormone-and-Its-Effects-on-%3A-Rokade/d9d6a77f113bb866ea1588edf646a60e25ca1755</w:t>
      </w:r>
    </w:p>
    <w:p w14:paraId="624DBC20" w14:textId="77777777" w:rsidR="00D85063" w:rsidRPr="008B13C9" w:rsidRDefault="00D85063" w:rsidP="00D85063">
      <w:pPr>
        <w:pStyle w:val="Bibliography"/>
        <w:rPr>
          <w:rFonts w:ascii="Calibri" w:hAnsi="Calibri" w:cs="Calibri"/>
        </w:rPr>
      </w:pPr>
      <w:r w:rsidRPr="008B13C9">
        <w:rPr>
          <w:rFonts w:ascii="Calibri" w:hAnsi="Calibri" w:cs="Calibri"/>
        </w:rPr>
        <w:lastRenderedPageBreak/>
        <w:t xml:space="preserve">15. </w:t>
      </w:r>
      <w:r w:rsidRPr="008B13C9">
        <w:rPr>
          <w:rFonts w:ascii="Calibri" w:hAnsi="Calibri" w:cs="Calibri"/>
        </w:rPr>
        <w:tab/>
        <w:t xml:space="preserve">Darko DF, Irwin MR, Craig Risch S, Christian Gillin J. Plasma beta-endorphin and natural killer cell activity in major depression: A preliminary study. Psychiatry Res. 1992 Aug 1;43(2):111–9. </w:t>
      </w:r>
    </w:p>
    <w:p w14:paraId="5B370432" w14:textId="77777777" w:rsidR="00D85063" w:rsidRPr="008B13C9" w:rsidRDefault="00D85063" w:rsidP="00D85063">
      <w:pPr>
        <w:pStyle w:val="Bibliography"/>
        <w:rPr>
          <w:rFonts w:ascii="Calibri" w:hAnsi="Calibri" w:cs="Calibri"/>
        </w:rPr>
      </w:pPr>
      <w:r w:rsidRPr="008B13C9">
        <w:rPr>
          <w:rFonts w:ascii="Calibri" w:hAnsi="Calibri" w:cs="Calibri"/>
        </w:rPr>
        <w:t xml:space="preserve">16. </w:t>
      </w:r>
      <w:r w:rsidRPr="008B13C9">
        <w:rPr>
          <w:rFonts w:ascii="Calibri" w:hAnsi="Calibri" w:cs="Calibri"/>
        </w:rPr>
        <w:tab/>
        <w:t xml:space="preserve">Mandal A, Viswanathan C. Natural killer cells: In health and disease. Hematol Oncol Stem Cell Ther. 2015 Jun 1;8(2):47–55. </w:t>
      </w:r>
    </w:p>
    <w:p w14:paraId="68A8D392" w14:textId="77777777" w:rsidR="00D85063" w:rsidRPr="008B13C9" w:rsidRDefault="00D85063" w:rsidP="00D85063">
      <w:pPr>
        <w:pStyle w:val="Bibliography"/>
        <w:rPr>
          <w:rFonts w:ascii="Calibri" w:hAnsi="Calibri" w:cs="Calibri"/>
        </w:rPr>
      </w:pPr>
      <w:r w:rsidRPr="008B13C9">
        <w:rPr>
          <w:rFonts w:ascii="Calibri" w:hAnsi="Calibri" w:cs="Calibri"/>
        </w:rPr>
        <w:t xml:space="preserve">17. </w:t>
      </w:r>
      <w:r w:rsidRPr="008B13C9">
        <w:rPr>
          <w:rFonts w:ascii="Calibri" w:hAnsi="Calibri" w:cs="Calibri"/>
        </w:rPr>
        <w:tab/>
        <w:t xml:space="preserve">Lee DM, Nazroo J, O’Connor DB, Blake M, Pendleton N. Sexual Health and Well-being Among Older Men and Women in England: Findings from the English Longitudinal Study of Ageing. Arch Sex Behav. 2015 Jan 27; </w:t>
      </w:r>
    </w:p>
    <w:p w14:paraId="2FC966F9" w14:textId="77777777" w:rsidR="00D85063" w:rsidRPr="008B13C9" w:rsidRDefault="00D85063" w:rsidP="00D85063">
      <w:pPr>
        <w:pStyle w:val="Bibliography"/>
        <w:rPr>
          <w:rFonts w:ascii="Calibri" w:hAnsi="Calibri" w:cs="Calibri"/>
        </w:rPr>
      </w:pPr>
      <w:r w:rsidRPr="008B13C9">
        <w:rPr>
          <w:rFonts w:ascii="Calibri" w:hAnsi="Calibri" w:cs="Calibri"/>
        </w:rPr>
        <w:t xml:space="preserve">18. </w:t>
      </w:r>
      <w:r w:rsidRPr="008B13C9">
        <w:rPr>
          <w:rFonts w:ascii="Calibri" w:hAnsi="Calibri" w:cs="Calibri"/>
        </w:rPr>
        <w:tab/>
        <w:t xml:space="preserve">Lindau ST, Schumm LP, Laumann EO, Levinson W, O’Muircheartaigh CA, Waite LJ. A Study of Sexuality and Health among Older Adults in the United States. N Engl J Med. 2007 Aug 23;357(8):762–74. </w:t>
      </w:r>
    </w:p>
    <w:p w14:paraId="5C803D9D" w14:textId="77777777" w:rsidR="00D85063" w:rsidRPr="008B13C9" w:rsidRDefault="00D85063" w:rsidP="00D85063">
      <w:pPr>
        <w:pStyle w:val="Bibliography"/>
        <w:rPr>
          <w:rFonts w:ascii="Calibri" w:hAnsi="Calibri" w:cs="Calibri"/>
        </w:rPr>
      </w:pPr>
      <w:r w:rsidRPr="008B13C9">
        <w:rPr>
          <w:rFonts w:ascii="Calibri" w:hAnsi="Calibri" w:cs="Calibri"/>
        </w:rPr>
        <w:t xml:space="preserve">19. </w:t>
      </w:r>
      <w:r w:rsidRPr="008B13C9">
        <w:rPr>
          <w:rFonts w:ascii="Calibri" w:hAnsi="Calibri" w:cs="Calibri"/>
        </w:rPr>
        <w:tab/>
        <w:t xml:space="preserve">Steptoe A, Breeze E, Banks J, Nazroo J. Cohort profile: the English Longitudinal Study of Ageing. Int J Epidemiol. 2013 Dec;42(6):1640–8. </w:t>
      </w:r>
    </w:p>
    <w:p w14:paraId="3EC8A419" w14:textId="77777777" w:rsidR="00D85063" w:rsidRPr="008B13C9" w:rsidRDefault="00D85063" w:rsidP="00D85063">
      <w:pPr>
        <w:pStyle w:val="Bibliography"/>
        <w:rPr>
          <w:rFonts w:ascii="Calibri" w:hAnsi="Calibri" w:cs="Calibri"/>
        </w:rPr>
      </w:pPr>
      <w:r w:rsidRPr="008B13C9">
        <w:rPr>
          <w:rFonts w:ascii="Calibri" w:hAnsi="Calibri" w:cs="Calibri"/>
        </w:rPr>
        <w:t xml:space="preserve">20. </w:t>
      </w:r>
      <w:r w:rsidRPr="008B13C9">
        <w:rPr>
          <w:rFonts w:ascii="Calibri" w:hAnsi="Calibri" w:cs="Calibri"/>
        </w:rPr>
        <w:tab/>
        <w:t>Banks J, Karlsen S, Oldfield Z. Socio-economic position. 2003 [cited 2014 Mar 4]; Available from: http://discovery.ucl.ac.uk/15366/1/15366.pdf</w:t>
      </w:r>
    </w:p>
    <w:p w14:paraId="324C3AC9" w14:textId="77777777" w:rsidR="00D85063" w:rsidRPr="008B13C9" w:rsidRDefault="00D85063" w:rsidP="00D85063">
      <w:pPr>
        <w:pStyle w:val="Bibliography"/>
        <w:rPr>
          <w:rFonts w:ascii="Calibri" w:hAnsi="Calibri" w:cs="Calibri"/>
        </w:rPr>
      </w:pPr>
      <w:r w:rsidRPr="008B13C9">
        <w:rPr>
          <w:rFonts w:ascii="Calibri" w:hAnsi="Calibri" w:cs="Calibri"/>
        </w:rPr>
        <w:t xml:space="preserve">21. </w:t>
      </w:r>
      <w:r w:rsidRPr="008B13C9">
        <w:rPr>
          <w:rFonts w:ascii="Calibri" w:hAnsi="Calibri" w:cs="Calibri"/>
        </w:rPr>
        <w:tab/>
        <w:t xml:space="preserve">Demakakos P, Hamer M, Stamatakis E, Steptoe A. Low-intensity physical activity is associated with reduced risk of incident type 2 diabetes in older adults: evidence from the English Longitudinal Study of Ageing. Diabetologia. 2010 May 22;53:1877–85. </w:t>
      </w:r>
    </w:p>
    <w:p w14:paraId="3177F37B" w14:textId="77777777" w:rsidR="00D85063" w:rsidRPr="008B13C9" w:rsidRDefault="00D85063" w:rsidP="00D85063">
      <w:pPr>
        <w:pStyle w:val="Bibliography"/>
        <w:rPr>
          <w:rFonts w:ascii="Calibri" w:hAnsi="Calibri" w:cs="Calibri"/>
        </w:rPr>
      </w:pPr>
      <w:r w:rsidRPr="008B13C9">
        <w:rPr>
          <w:rFonts w:ascii="Calibri" w:hAnsi="Calibri" w:cs="Calibri"/>
        </w:rPr>
        <w:t xml:space="preserve">22. </w:t>
      </w:r>
      <w:r w:rsidRPr="008B13C9">
        <w:rPr>
          <w:rFonts w:ascii="Calibri" w:hAnsi="Calibri" w:cs="Calibri"/>
        </w:rPr>
        <w:tab/>
        <w:t xml:space="preserve">Hamer M, Molloy GJ, de Oliveira C, Demakakos P. Leisure time physical activity, risk of depressive symptoms, and inflammatory mediators: the English Longitudinal Study of Ageing. Psychoneuroendocrinology. 2009 Aug;34(7):1050–5. </w:t>
      </w:r>
    </w:p>
    <w:p w14:paraId="61C493F1" w14:textId="77777777" w:rsidR="00D85063" w:rsidRPr="008B13C9" w:rsidRDefault="00D85063" w:rsidP="00D85063">
      <w:pPr>
        <w:pStyle w:val="Bibliography"/>
        <w:rPr>
          <w:rFonts w:ascii="Calibri" w:hAnsi="Calibri" w:cs="Calibri"/>
        </w:rPr>
      </w:pPr>
      <w:r w:rsidRPr="008B13C9">
        <w:rPr>
          <w:rFonts w:ascii="Calibri" w:hAnsi="Calibri" w:cs="Calibri"/>
        </w:rPr>
        <w:t xml:space="preserve">23. </w:t>
      </w:r>
      <w:r w:rsidRPr="008B13C9">
        <w:rPr>
          <w:rFonts w:ascii="Calibri" w:hAnsi="Calibri" w:cs="Calibri"/>
        </w:rPr>
        <w:tab/>
        <w:t xml:space="preserve">Steffick DE. Documentation of affective functioning measures in the Health and Retirement Study. HRS Documentation Report DR-005; 2000. </w:t>
      </w:r>
    </w:p>
    <w:p w14:paraId="4D6C71B9" w14:textId="77777777" w:rsidR="00D85063" w:rsidRPr="008B13C9" w:rsidRDefault="00D85063" w:rsidP="00D85063">
      <w:pPr>
        <w:pStyle w:val="Bibliography"/>
        <w:rPr>
          <w:rFonts w:ascii="Calibri" w:hAnsi="Calibri" w:cs="Calibri"/>
        </w:rPr>
      </w:pPr>
      <w:r w:rsidRPr="008B13C9">
        <w:rPr>
          <w:rFonts w:ascii="Calibri" w:hAnsi="Calibri" w:cs="Calibri"/>
        </w:rPr>
        <w:t xml:space="preserve">24. </w:t>
      </w:r>
      <w:r w:rsidRPr="008B13C9">
        <w:rPr>
          <w:rFonts w:ascii="Calibri" w:hAnsi="Calibri" w:cs="Calibri"/>
        </w:rPr>
        <w:tab/>
        <w:t xml:space="preserve">Halliwell E, Dittmar H. A Qualitative Investigation of Women’s and Men’s Body Image Concerns and Their Attitudes Toward Aging. Sex Roles. 2003 Dec 1;49(11):675–84. </w:t>
      </w:r>
    </w:p>
    <w:p w14:paraId="545392A2" w14:textId="77777777" w:rsidR="00D85063" w:rsidRPr="008B13C9" w:rsidRDefault="00D85063" w:rsidP="00D85063">
      <w:pPr>
        <w:pStyle w:val="Bibliography"/>
        <w:rPr>
          <w:rFonts w:ascii="Calibri" w:hAnsi="Calibri" w:cs="Calibri"/>
        </w:rPr>
      </w:pPr>
      <w:r w:rsidRPr="008B13C9">
        <w:rPr>
          <w:rFonts w:ascii="Calibri" w:hAnsi="Calibri" w:cs="Calibri"/>
        </w:rPr>
        <w:t xml:space="preserve">25. </w:t>
      </w:r>
      <w:r w:rsidRPr="008B13C9">
        <w:rPr>
          <w:rFonts w:ascii="Calibri" w:hAnsi="Calibri" w:cs="Calibri"/>
        </w:rPr>
        <w:tab/>
        <w:t xml:space="preserve">Jeffery RW, Rick AM. Cross-sectional and longitudinal associations between body mass index and marriage-related factors. Obes Res. 2002 Aug;10(8):809–15. </w:t>
      </w:r>
    </w:p>
    <w:p w14:paraId="252D352F" w14:textId="77777777" w:rsidR="00D85063" w:rsidRPr="008B13C9" w:rsidRDefault="00D85063" w:rsidP="00D85063">
      <w:pPr>
        <w:pStyle w:val="Bibliography"/>
        <w:rPr>
          <w:rFonts w:ascii="Calibri" w:hAnsi="Calibri" w:cs="Calibri"/>
        </w:rPr>
      </w:pPr>
      <w:r w:rsidRPr="008B13C9">
        <w:rPr>
          <w:rFonts w:ascii="Calibri" w:hAnsi="Calibri" w:cs="Calibri"/>
        </w:rPr>
        <w:t xml:space="preserve">26. </w:t>
      </w:r>
      <w:r w:rsidRPr="008B13C9">
        <w:rPr>
          <w:rFonts w:ascii="Calibri" w:hAnsi="Calibri" w:cs="Calibri"/>
        </w:rPr>
        <w:tab/>
        <w:t xml:space="preserve">French SA, Jeffery RW, Forster JL, McGovern PG, Kelder SH, Baxter JE. Predictors of weight change over two years among a population of working adults: the Healthy Worker Project. Int J Obes Relat Metab Disord J Int Assoc Study Obes. 1994 Mar;18(3):145–54. </w:t>
      </w:r>
    </w:p>
    <w:p w14:paraId="525E07DE" w14:textId="77777777" w:rsidR="00D85063" w:rsidRPr="008B13C9" w:rsidRDefault="00D85063" w:rsidP="00D85063">
      <w:pPr>
        <w:pStyle w:val="Bibliography"/>
        <w:rPr>
          <w:rFonts w:ascii="Calibri" w:hAnsi="Calibri" w:cs="Calibri"/>
        </w:rPr>
      </w:pPr>
      <w:r w:rsidRPr="008B13C9">
        <w:rPr>
          <w:rFonts w:ascii="Calibri" w:hAnsi="Calibri" w:cs="Calibri"/>
        </w:rPr>
        <w:t xml:space="preserve">27. </w:t>
      </w:r>
      <w:r w:rsidRPr="008B13C9">
        <w:rPr>
          <w:rFonts w:ascii="Calibri" w:hAnsi="Calibri" w:cs="Calibri"/>
        </w:rPr>
        <w:tab/>
        <w:t xml:space="preserve">Rissanen AM, Heliövaara M, Knekt P, Reunanen A, Aromaa A. Determinants of weight gain and overweight in adult Finns. Eur J Clin Nutr. 1991 Sep;45(9):419–30. </w:t>
      </w:r>
    </w:p>
    <w:p w14:paraId="7C60A789" w14:textId="77777777" w:rsidR="00D85063" w:rsidRPr="008B13C9" w:rsidRDefault="00D85063" w:rsidP="00D85063">
      <w:pPr>
        <w:pStyle w:val="Bibliography"/>
        <w:rPr>
          <w:rFonts w:ascii="Calibri" w:hAnsi="Calibri" w:cs="Calibri"/>
        </w:rPr>
      </w:pPr>
      <w:r w:rsidRPr="008B13C9">
        <w:rPr>
          <w:rFonts w:ascii="Calibri" w:hAnsi="Calibri" w:cs="Calibri"/>
        </w:rPr>
        <w:t xml:space="preserve">28. </w:t>
      </w:r>
      <w:r w:rsidRPr="008B13C9">
        <w:rPr>
          <w:rFonts w:ascii="Calibri" w:hAnsi="Calibri" w:cs="Calibri"/>
        </w:rPr>
        <w:tab/>
        <w:t xml:space="preserve">Meltzer AL, Novak SA, McNulty JK, Butler EA, Karney BR. Marital satisfaction predicts weight gain in early marriage. Health Psychol Off J Div Health Psychol Am Psychol Assoc. 2013 Jul;32(7):824–7. </w:t>
      </w:r>
    </w:p>
    <w:p w14:paraId="23083572" w14:textId="77777777" w:rsidR="00D85063" w:rsidRPr="008B13C9" w:rsidRDefault="00D85063" w:rsidP="00D85063">
      <w:pPr>
        <w:pStyle w:val="Bibliography"/>
        <w:rPr>
          <w:rFonts w:ascii="Calibri" w:hAnsi="Calibri" w:cs="Calibri"/>
        </w:rPr>
      </w:pPr>
      <w:r w:rsidRPr="008B13C9">
        <w:rPr>
          <w:rFonts w:ascii="Calibri" w:hAnsi="Calibri" w:cs="Calibri"/>
        </w:rPr>
        <w:t xml:space="preserve">29. </w:t>
      </w:r>
      <w:r w:rsidRPr="008B13C9">
        <w:rPr>
          <w:rFonts w:ascii="Calibri" w:hAnsi="Calibri" w:cs="Calibri"/>
        </w:rPr>
        <w:tab/>
        <w:t xml:space="preserve">Laxy M, Teuner C, Holle R, Kurz C. The association between BMI and health-related quality of life in the US population: sex, age and ethnicity matters. Int J Obes 2005. 2018;42(3):318–26. </w:t>
      </w:r>
    </w:p>
    <w:p w14:paraId="0CF727DD" w14:textId="77777777" w:rsidR="00D85063" w:rsidRPr="008B13C9" w:rsidRDefault="00D85063" w:rsidP="00D85063">
      <w:pPr>
        <w:pStyle w:val="Bibliography"/>
        <w:rPr>
          <w:rFonts w:ascii="Calibri" w:hAnsi="Calibri" w:cs="Calibri"/>
        </w:rPr>
      </w:pPr>
      <w:r w:rsidRPr="008B13C9">
        <w:rPr>
          <w:rFonts w:ascii="Calibri" w:hAnsi="Calibri" w:cs="Calibri"/>
        </w:rPr>
        <w:lastRenderedPageBreak/>
        <w:t xml:space="preserve">30. </w:t>
      </w:r>
      <w:r w:rsidRPr="008B13C9">
        <w:rPr>
          <w:rFonts w:ascii="Calibri" w:hAnsi="Calibri" w:cs="Calibri"/>
        </w:rPr>
        <w:tab/>
        <w:t xml:space="preserve">Flegal KM, Kit BK, Orpana H, Graubard BI. Association of all-cause mortality with overweight and obesity using standard body mass index categories: a systematic review and meta-analysis. Jama. 2013;309(1):71–82. </w:t>
      </w:r>
    </w:p>
    <w:p w14:paraId="00C10DC6" w14:textId="77777777" w:rsidR="00D85063" w:rsidRPr="008B13C9" w:rsidRDefault="00D85063" w:rsidP="00D85063">
      <w:pPr>
        <w:pStyle w:val="Bibliography"/>
        <w:rPr>
          <w:rFonts w:ascii="Calibri" w:hAnsi="Calibri" w:cs="Calibri"/>
        </w:rPr>
      </w:pPr>
      <w:r w:rsidRPr="008B13C9">
        <w:rPr>
          <w:rFonts w:ascii="Calibri" w:hAnsi="Calibri" w:cs="Calibri"/>
        </w:rPr>
        <w:t xml:space="preserve">31. </w:t>
      </w:r>
      <w:r w:rsidRPr="008B13C9">
        <w:rPr>
          <w:rFonts w:ascii="Calibri" w:hAnsi="Calibri" w:cs="Calibri"/>
        </w:rPr>
        <w:tab/>
        <w:t xml:space="preserve">Levin RJ. VIP, vagina, clitoral and periurethral glans--an update on human female genital arousal. Exp Clin Endocrinol. 1991;98(2):61–9. </w:t>
      </w:r>
    </w:p>
    <w:p w14:paraId="093A1929" w14:textId="77777777" w:rsidR="00D85063" w:rsidRPr="008B13C9" w:rsidRDefault="00D85063" w:rsidP="00D85063">
      <w:pPr>
        <w:pStyle w:val="Bibliography"/>
        <w:rPr>
          <w:rFonts w:ascii="Calibri" w:hAnsi="Calibri" w:cs="Calibri"/>
        </w:rPr>
      </w:pPr>
      <w:r w:rsidRPr="008B13C9">
        <w:rPr>
          <w:rFonts w:ascii="Calibri" w:hAnsi="Calibri" w:cs="Calibri"/>
        </w:rPr>
        <w:t xml:space="preserve">32. </w:t>
      </w:r>
      <w:r w:rsidRPr="008B13C9">
        <w:rPr>
          <w:rFonts w:ascii="Calibri" w:hAnsi="Calibri" w:cs="Calibri"/>
        </w:rPr>
        <w:tab/>
        <w:t xml:space="preserve">Berman JR. Physiology of female sexual function and dysfunction. Int J Impot Res. 2005 Dec 20;17(S1):S44–51. </w:t>
      </w:r>
    </w:p>
    <w:p w14:paraId="14E3DE2A" w14:textId="77777777" w:rsidR="00D85063" w:rsidRPr="008B13C9" w:rsidRDefault="00D85063" w:rsidP="00D85063">
      <w:pPr>
        <w:pStyle w:val="Bibliography"/>
        <w:rPr>
          <w:rFonts w:ascii="Calibri" w:hAnsi="Calibri" w:cs="Calibri"/>
        </w:rPr>
      </w:pPr>
      <w:r w:rsidRPr="008B13C9">
        <w:rPr>
          <w:rFonts w:ascii="Calibri" w:hAnsi="Calibri" w:cs="Calibri"/>
        </w:rPr>
        <w:t xml:space="preserve">33. </w:t>
      </w:r>
      <w:r w:rsidRPr="008B13C9">
        <w:rPr>
          <w:rFonts w:ascii="Calibri" w:hAnsi="Calibri" w:cs="Calibri"/>
        </w:rPr>
        <w:tab/>
        <w:t xml:space="preserve">Festa A, D’Agostino R, Williams K, Karter AJ, Mayer-Davis EJ, Tracy RP, et al. The relation of body fat mass and distribution to markers of chronic inflammation. Int J Obes Relat Metab Disord J Int Assoc Study Obes. 2001 Oct;25(10):1407–15. </w:t>
      </w:r>
    </w:p>
    <w:p w14:paraId="04CEACF1" w14:textId="77777777" w:rsidR="00D85063" w:rsidRPr="008B13C9" w:rsidRDefault="00D85063" w:rsidP="00D85063">
      <w:pPr>
        <w:pStyle w:val="Bibliography"/>
        <w:rPr>
          <w:rFonts w:ascii="Calibri" w:hAnsi="Calibri" w:cs="Calibri"/>
        </w:rPr>
      </w:pPr>
      <w:r w:rsidRPr="008B13C9">
        <w:rPr>
          <w:rFonts w:ascii="Calibri" w:hAnsi="Calibri" w:cs="Calibri"/>
        </w:rPr>
        <w:t xml:space="preserve">34. </w:t>
      </w:r>
      <w:r w:rsidRPr="008B13C9">
        <w:rPr>
          <w:rFonts w:ascii="Calibri" w:hAnsi="Calibri" w:cs="Calibri"/>
        </w:rPr>
        <w:tab/>
        <w:t xml:space="preserve">Olmsted MP, McFarlane T. Body Weight and Body Image. BMC Womens Health. 2004 Aug 25;4(Suppl 1):S5. </w:t>
      </w:r>
    </w:p>
    <w:p w14:paraId="07CD53D0" w14:textId="77777777" w:rsidR="00D85063" w:rsidRPr="008B13C9" w:rsidRDefault="00D85063" w:rsidP="00D85063">
      <w:pPr>
        <w:pStyle w:val="Bibliography"/>
        <w:rPr>
          <w:rFonts w:ascii="Calibri" w:hAnsi="Calibri" w:cs="Calibri"/>
        </w:rPr>
      </w:pPr>
      <w:r w:rsidRPr="008B13C9">
        <w:rPr>
          <w:rFonts w:ascii="Calibri" w:hAnsi="Calibri" w:cs="Calibri"/>
        </w:rPr>
        <w:t xml:space="preserve">35. </w:t>
      </w:r>
      <w:r w:rsidRPr="008B13C9">
        <w:rPr>
          <w:rFonts w:ascii="Calibri" w:hAnsi="Calibri" w:cs="Calibri"/>
        </w:rPr>
        <w:tab/>
        <w:t xml:space="preserve">Smith L, Yang L, Veronese N, Soysal P, Stubbs B, Jackson SE. Sexual Activity is Associated with Greater Enjoyment of Life in Older Adults. Sex Med. 2019 Mar;7(1):11–8. </w:t>
      </w:r>
    </w:p>
    <w:p w14:paraId="6B14FB82" w14:textId="77777777" w:rsidR="00D85063" w:rsidRPr="008B13C9" w:rsidRDefault="00D85063" w:rsidP="00D85063">
      <w:pPr>
        <w:pStyle w:val="Bibliography"/>
        <w:rPr>
          <w:rFonts w:ascii="Calibri" w:hAnsi="Calibri" w:cs="Calibri"/>
        </w:rPr>
      </w:pPr>
      <w:r w:rsidRPr="008B13C9">
        <w:rPr>
          <w:rFonts w:ascii="Calibri" w:hAnsi="Calibri" w:cs="Calibri"/>
        </w:rPr>
        <w:t xml:space="preserve">36. </w:t>
      </w:r>
      <w:r w:rsidRPr="008B13C9">
        <w:rPr>
          <w:rFonts w:ascii="Calibri" w:hAnsi="Calibri" w:cs="Calibri"/>
        </w:rPr>
        <w:tab/>
        <w:t xml:space="preserve">Jackson SE, Firth J, Veronese N, Stubbs B, Koyanagi A, Yang L, et al. Decline in sexuality and wellbeing in older adults: A population-based study. J Affect Disord. 2019 Feb 15;245:912–7. </w:t>
      </w:r>
    </w:p>
    <w:p w14:paraId="1F01A17A" w14:textId="77777777" w:rsidR="00D85063" w:rsidRPr="008B13C9" w:rsidRDefault="00D85063" w:rsidP="00D85063">
      <w:pPr>
        <w:pStyle w:val="Bibliography"/>
        <w:rPr>
          <w:rFonts w:ascii="Calibri" w:hAnsi="Calibri" w:cs="Calibri"/>
        </w:rPr>
      </w:pPr>
      <w:r w:rsidRPr="008B13C9">
        <w:rPr>
          <w:rFonts w:ascii="Calibri" w:hAnsi="Calibri" w:cs="Calibri"/>
        </w:rPr>
        <w:t xml:space="preserve">37. </w:t>
      </w:r>
      <w:r w:rsidRPr="008B13C9">
        <w:rPr>
          <w:rFonts w:ascii="Calibri" w:hAnsi="Calibri" w:cs="Calibri"/>
        </w:rPr>
        <w:tab/>
        <w:t xml:space="preserve">Smith L, Grabovac I, Veronese N, Soysal P, Isik AT, Stubbs B, et al. Sleep Quality, Duration, and Associated Sexual Function at Older Age: Findings from the English Longitudinal Study of Ageing. J Sex Med. 2019 Mar 1;16(3):427–33. </w:t>
      </w:r>
    </w:p>
    <w:p w14:paraId="2C7D15F8" w14:textId="1C9C8F21" w:rsidR="00165A61" w:rsidRPr="008B13C9" w:rsidRDefault="00B35BF8" w:rsidP="008F07A4">
      <w:pPr>
        <w:spacing w:line="480" w:lineRule="auto"/>
      </w:pPr>
      <w:r w:rsidRPr="008B13C9">
        <w:fldChar w:fldCharType="end"/>
      </w:r>
      <w:r w:rsidR="00165A61" w:rsidRPr="008B13C9">
        <w:br w:type="page"/>
      </w:r>
    </w:p>
    <w:p w14:paraId="5ADD527C" w14:textId="375656AD" w:rsidR="001F02A9" w:rsidRPr="008B13C9" w:rsidRDefault="00165A61" w:rsidP="005247AB">
      <w:pPr>
        <w:pStyle w:val="Heading1"/>
        <w:spacing w:line="480" w:lineRule="auto"/>
      </w:pPr>
      <w:r w:rsidRPr="008B13C9">
        <w:lastRenderedPageBreak/>
        <w:t>Table</w:t>
      </w:r>
      <w:r w:rsidR="005247AB" w:rsidRPr="008B13C9">
        <w:t>s</w:t>
      </w:r>
    </w:p>
    <w:tbl>
      <w:tblPr>
        <w:tblStyle w:val="TableGrid"/>
        <w:tblW w:w="10479" w:type="dxa"/>
        <w:tblInd w:w="-851"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4"/>
        <w:gridCol w:w="1985"/>
        <w:gridCol w:w="992"/>
        <w:gridCol w:w="1308"/>
        <w:gridCol w:w="851"/>
        <w:gridCol w:w="850"/>
        <w:gridCol w:w="7"/>
        <w:gridCol w:w="277"/>
        <w:gridCol w:w="7"/>
        <w:gridCol w:w="963"/>
        <w:gridCol w:w="1223"/>
        <w:gridCol w:w="851"/>
        <w:gridCol w:w="881"/>
      </w:tblGrid>
      <w:tr w:rsidR="008B13C9" w:rsidRPr="008B13C9" w14:paraId="0F05E28F" w14:textId="77777777" w:rsidTr="0058440C">
        <w:tc>
          <w:tcPr>
            <w:tcW w:w="10479" w:type="dxa"/>
            <w:gridSpan w:val="13"/>
            <w:tcBorders>
              <w:top w:val="nil"/>
              <w:bottom w:val="single" w:sz="8" w:space="0" w:color="auto"/>
            </w:tcBorders>
          </w:tcPr>
          <w:p w14:paraId="77B25222" w14:textId="77777777" w:rsidR="005E576A" w:rsidRPr="008B13C9" w:rsidRDefault="005E576A" w:rsidP="005247AB">
            <w:pPr>
              <w:spacing w:after="0" w:line="240" w:lineRule="auto"/>
              <w:rPr>
                <w:rFonts w:eastAsia="Times New Roman"/>
                <w:b/>
                <w:sz w:val="20"/>
              </w:rPr>
            </w:pPr>
            <w:r w:rsidRPr="008B13C9">
              <w:rPr>
                <w:rFonts w:eastAsia="Times New Roman"/>
                <w:b/>
                <w:sz w:val="20"/>
              </w:rPr>
              <w:t xml:space="preserve">Table </w:t>
            </w:r>
            <w:r w:rsidRPr="008B13C9">
              <w:rPr>
                <w:rFonts w:eastAsia="Times New Roman"/>
                <w:b/>
                <w:noProof/>
                <w:sz w:val="20"/>
              </w:rPr>
              <w:t>1</w:t>
            </w:r>
            <w:r w:rsidRPr="008B13C9">
              <w:rPr>
                <w:rFonts w:eastAsia="Times New Roman"/>
                <w:sz w:val="20"/>
              </w:rPr>
              <w:t xml:space="preserve">  </w:t>
            </w:r>
            <w:r w:rsidR="00755E4A" w:rsidRPr="008B13C9">
              <w:rPr>
                <w:rFonts w:eastAsia="Times New Roman"/>
                <w:sz w:val="20"/>
              </w:rPr>
              <w:t>Characteristics of the male and female samples in relation to weight status</w:t>
            </w:r>
          </w:p>
        </w:tc>
      </w:tr>
      <w:tr w:rsidR="008B13C9" w:rsidRPr="008B13C9" w14:paraId="163E6B6D"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6FD13355" w14:textId="77777777" w:rsidR="00C01564" w:rsidRPr="008B13C9" w:rsidRDefault="00C01564" w:rsidP="005247AB">
            <w:pPr>
              <w:spacing w:after="0" w:line="240" w:lineRule="auto"/>
              <w:rPr>
                <w:rFonts w:eastAsia="Times New Roman"/>
                <w:sz w:val="20"/>
                <w:shd w:val="clear" w:color="auto" w:fill="FFFFFF"/>
              </w:rPr>
            </w:pPr>
          </w:p>
        </w:tc>
        <w:tc>
          <w:tcPr>
            <w:tcW w:w="1985" w:type="dxa"/>
            <w:tcBorders>
              <w:top w:val="nil"/>
              <w:left w:val="nil"/>
              <w:bottom w:val="nil"/>
              <w:right w:val="nil"/>
            </w:tcBorders>
          </w:tcPr>
          <w:p w14:paraId="47AB243D" w14:textId="77777777" w:rsidR="00C01564" w:rsidRPr="008B13C9" w:rsidRDefault="00C01564" w:rsidP="005247AB">
            <w:pPr>
              <w:spacing w:after="0" w:line="240" w:lineRule="auto"/>
              <w:rPr>
                <w:rFonts w:eastAsia="Times New Roman"/>
                <w:sz w:val="20"/>
                <w:shd w:val="clear" w:color="auto" w:fill="FFFFFF"/>
              </w:rPr>
            </w:pPr>
          </w:p>
        </w:tc>
        <w:tc>
          <w:tcPr>
            <w:tcW w:w="4008" w:type="dxa"/>
            <w:gridSpan w:val="5"/>
            <w:tcBorders>
              <w:top w:val="single" w:sz="4" w:space="0" w:color="auto"/>
              <w:left w:val="nil"/>
              <w:bottom w:val="single" w:sz="4" w:space="0" w:color="auto"/>
              <w:right w:val="nil"/>
            </w:tcBorders>
            <w:vAlign w:val="center"/>
          </w:tcPr>
          <w:p w14:paraId="0B9A026B" w14:textId="77777777" w:rsidR="00C01564" w:rsidRPr="008B13C9" w:rsidRDefault="00C01564" w:rsidP="005247AB">
            <w:pPr>
              <w:spacing w:after="0" w:line="240" w:lineRule="auto"/>
              <w:jc w:val="center"/>
              <w:rPr>
                <w:rFonts w:eastAsia="Times New Roman"/>
                <w:b/>
                <w:sz w:val="20"/>
                <w:shd w:val="clear" w:color="auto" w:fill="FFFFFF"/>
              </w:rPr>
            </w:pPr>
            <w:r w:rsidRPr="008B13C9">
              <w:rPr>
                <w:rFonts w:eastAsia="Times New Roman"/>
                <w:b/>
                <w:sz w:val="20"/>
                <w:shd w:val="clear" w:color="auto" w:fill="FFFFFF"/>
              </w:rPr>
              <w:t>Men</w:t>
            </w:r>
          </w:p>
        </w:tc>
        <w:tc>
          <w:tcPr>
            <w:tcW w:w="284" w:type="dxa"/>
            <w:gridSpan w:val="2"/>
            <w:tcBorders>
              <w:top w:val="nil"/>
              <w:left w:val="nil"/>
              <w:bottom w:val="nil"/>
              <w:right w:val="nil"/>
            </w:tcBorders>
          </w:tcPr>
          <w:p w14:paraId="2E5B7693" w14:textId="77777777" w:rsidR="00C01564" w:rsidRPr="008B13C9" w:rsidRDefault="00C01564" w:rsidP="005247AB">
            <w:pPr>
              <w:spacing w:after="0" w:line="240" w:lineRule="auto"/>
              <w:jc w:val="center"/>
              <w:rPr>
                <w:rFonts w:eastAsia="Times New Roman"/>
                <w:b/>
                <w:i/>
                <w:sz w:val="20"/>
                <w:shd w:val="clear" w:color="auto" w:fill="FFFFFF"/>
              </w:rPr>
            </w:pPr>
          </w:p>
        </w:tc>
        <w:tc>
          <w:tcPr>
            <w:tcW w:w="3918" w:type="dxa"/>
            <w:gridSpan w:val="4"/>
            <w:tcBorders>
              <w:top w:val="nil"/>
              <w:left w:val="nil"/>
              <w:bottom w:val="single" w:sz="4" w:space="0" w:color="auto"/>
              <w:right w:val="nil"/>
            </w:tcBorders>
            <w:vAlign w:val="center"/>
          </w:tcPr>
          <w:p w14:paraId="05E0A59F" w14:textId="77777777" w:rsidR="00C01564" w:rsidRPr="008B13C9" w:rsidRDefault="00C01564" w:rsidP="005247AB">
            <w:pPr>
              <w:spacing w:after="0" w:line="240" w:lineRule="auto"/>
              <w:jc w:val="center"/>
              <w:rPr>
                <w:rFonts w:eastAsia="Times New Roman"/>
                <w:b/>
                <w:sz w:val="20"/>
                <w:shd w:val="clear" w:color="auto" w:fill="FFFFFF"/>
              </w:rPr>
            </w:pPr>
            <w:r w:rsidRPr="008B13C9">
              <w:rPr>
                <w:rFonts w:eastAsia="Times New Roman"/>
                <w:b/>
                <w:sz w:val="20"/>
                <w:shd w:val="clear" w:color="auto" w:fill="FFFFFF"/>
              </w:rPr>
              <w:t>Women</w:t>
            </w:r>
          </w:p>
        </w:tc>
      </w:tr>
      <w:tr w:rsidR="008B13C9" w:rsidRPr="008B13C9" w14:paraId="1FE47227"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single" w:sz="4" w:space="0" w:color="auto"/>
              <w:right w:val="nil"/>
            </w:tcBorders>
            <w:vAlign w:val="center"/>
          </w:tcPr>
          <w:p w14:paraId="73AC03F2" w14:textId="77777777" w:rsidR="00AB1C26" w:rsidRPr="008B13C9" w:rsidRDefault="00AB1C26" w:rsidP="00AB1C26">
            <w:pPr>
              <w:spacing w:after="0" w:line="240" w:lineRule="auto"/>
              <w:jc w:val="center"/>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29204277" w14:textId="77777777" w:rsidR="00AB1C26" w:rsidRPr="008B13C9" w:rsidRDefault="00AB1C26" w:rsidP="00AB1C26">
            <w:pPr>
              <w:spacing w:after="0" w:line="240" w:lineRule="auto"/>
              <w:jc w:val="center"/>
              <w:rPr>
                <w:rFonts w:eastAsia="Times New Roman"/>
                <w:sz w:val="20"/>
                <w:shd w:val="clear" w:color="auto" w:fill="FFFFFF"/>
              </w:rPr>
            </w:pPr>
          </w:p>
        </w:tc>
        <w:tc>
          <w:tcPr>
            <w:tcW w:w="992" w:type="dxa"/>
            <w:tcBorders>
              <w:top w:val="single" w:sz="4" w:space="0" w:color="auto"/>
              <w:left w:val="nil"/>
              <w:bottom w:val="single" w:sz="4" w:space="0" w:color="auto"/>
              <w:right w:val="nil"/>
            </w:tcBorders>
            <w:vAlign w:val="center"/>
          </w:tcPr>
          <w:p w14:paraId="0CEE5E54" w14:textId="77777777"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Normal-weight</w:t>
            </w:r>
          </w:p>
          <w:p w14:paraId="5C6AE724" w14:textId="2FA5692D"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=544)</w:t>
            </w:r>
            <w:r w:rsidRPr="008B13C9">
              <w:rPr>
                <w:rFonts w:eastAsia="Times New Roman"/>
                <w:sz w:val="20"/>
                <w:shd w:val="clear" w:color="auto" w:fill="FFFFFF"/>
                <w:vertAlign w:val="superscript"/>
              </w:rPr>
              <w:t>1</w:t>
            </w:r>
          </w:p>
        </w:tc>
        <w:tc>
          <w:tcPr>
            <w:tcW w:w="1308" w:type="dxa"/>
            <w:tcBorders>
              <w:top w:val="single" w:sz="4" w:space="0" w:color="auto"/>
              <w:left w:val="nil"/>
              <w:bottom w:val="single" w:sz="4" w:space="0" w:color="auto"/>
              <w:right w:val="nil"/>
            </w:tcBorders>
            <w:vAlign w:val="center"/>
          </w:tcPr>
          <w:p w14:paraId="33E25D41" w14:textId="77777777"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Overweight</w:t>
            </w:r>
          </w:p>
          <w:p w14:paraId="7D0B9C31" w14:textId="0E205943"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=1043)</w:t>
            </w:r>
          </w:p>
        </w:tc>
        <w:tc>
          <w:tcPr>
            <w:tcW w:w="851" w:type="dxa"/>
            <w:tcBorders>
              <w:top w:val="single" w:sz="4" w:space="0" w:color="auto"/>
              <w:left w:val="nil"/>
              <w:bottom w:val="single" w:sz="4" w:space="0" w:color="auto"/>
              <w:right w:val="nil"/>
            </w:tcBorders>
            <w:vAlign w:val="center"/>
          </w:tcPr>
          <w:p w14:paraId="349A3673" w14:textId="77777777"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Obese</w:t>
            </w:r>
          </w:p>
          <w:p w14:paraId="1BBBE140" w14:textId="1B27AA67"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=613)</w:t>
            </w:r>
          </w:p>
        </w:tc>
        <w:tc>
          <w:tcPr>
            <w:tcW w:w="850" w:type="dxa"/>
            <w:tcBorders>
              <w:top w:val="nil"/>
              <w:left w:val="nil"/>
              <w:bottom w:val="single" w:sz="4" w:space="0" w:color="auto"/>
              <w:right w:val="nil"/>
            </w:tcBorders>
            <w:vAlign w:val="center"/>
          </w:tcPr>
          <w:p w14:paraId="11BD0D59" w14:textId="77777777" w:rsidR="00AB1C26" w:rsidRPr="008B13C9" w:rsidRDefault="00AB1C26" w:rsidP="00AB1C26">
            <w:pPr>
              <w:spacing w:after="0" w:line="240" w:lineRule="auto"/>
              <w:jc w:val="center"/>
              <w:rPr>
                <w:rFonts w:eastAsia="Times New Roman"/>
                <w:b/>
                <w:i/>
                <w:sz w:val="20"/>
                <w:shd w:val="clear" w:color="auto" w:fill="FFFFFF"/>
              </w:rPr>
            </w:pPr>
            <w:r w:rsidRPr="008B13C9">
              <w:rPr>
                <w:rFonts w:eastAsia="Times New Roman"/>
                <w:b/>
                <w:i/>
                <w:sz w:val="20"/>
                <w:shd w:val="clear" w:color="auto" w:fill="FFFFFF"/>
              </w:rPr>
              <w:t>p</w:t>
            </w:r>
          </w:p>
        </w:tc>
        <w:tc>
          <w:tcPr>
            <w:tcW w:w="284" w:type="dxa"/>
            <w:gridSpan w:val="2"/>
            <w:tcBorders>
              <w:top w:val="nil"/>
              <w:left w:val="nil"/>
              <w:bottom w:val="single" w:sz="4" w:space="0" w:color="auto"/>
              <w:right w:val="nil"/>
            </w:tcBorders>
            <w:vAlign w:val="center"/>
          </w:tcPr>
          <w:p w14:paraId="1CB5D28C" w14:textId="77777777" w:rsidR="00AB1C26" w:rsidRPr="008B13C9" w:rsidRDefault="00AB1C26" w:rsidP="00AB1C26">
            <w:pPr>
              <w:spacing w:after="0" w:line="240" w:lineRule="auto"/>
              <w:jc w:val="center"/>
              <w:rPr>
                <w:rFonts w:eastAsia="Times New Roman"/>
                <w:b/>
                <w:i/>
                <w:sz w:val="20"/>
                <w:shd w:val="clear" w:color="auto" w:fill="FFFFFF"/>
              </w:rPr>
            </w:pPr>
          </w:p>
        </w:tc>
        <w:tc>
          <w:tcPr>
            <w:tcW w:w="970" w:type="dxa"/>
            <w:gridSpan w:val="2"/>
            <w:tcBorders>
              <w:top w:val="nil"/>
              <w:left w:val="nil"/>
              <w:bottom w:val="single" w:sz="4" w:space="0" w:color="auto"/>
              <w:right w:val="nil"/>
            </w:tcBorders>
            <w:vAlign w:val="center"/>
          </w:tcPr>
          <w:p w14:paraId="20E09366" w14:textId="77777777"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Normal-weight</w:t>
            </w:r>
          </w:p>
          <w:p w14:paraId="6A913170" w14:textId="62836A1F" w:rsidR="00AB1C26" w:rsidRPr="008B13C9" w:rsidRDefault="00AB1C26" w:rsidP="00AB1C26">
            <w:pPr>
              <w:spacing w:after="0" w:line="240" w:lineRule="auto"/>
              <w:jc w:val="center"/>
              <w:rPr>
                <w:rFonts w:eastAsia="Times New Roman"/>
                <w:b/>
                <w:i/>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=894)</w:t>
            </w:r>
          </w:p>
        </w:tc>
        <w:tc>
          <w:tcPr>
            <w:tcW w:w="1223" w:type="dxa"/>
            <w:tcBorders>
              <w:top w:val="nil"/>
              <w:left w:val="nil"/>
              <w:bottom w:val="single" w:sz="4" w:space="0" w:color="auto"/>
              <w:right w:val="nil"/>
            </w:tcBorders>
            <w:vAlign w:val="center"/>
          </w:tcPr>
          <w:p w14:paraId="0225810A" w14:textId="77777777"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Overweight</w:t>
            </w:r>
          </w:p>
          <w:p w14:paraId="4B6A4E2F" w14:textId="73D3FF19" w:rsidR="00AB1C26" w:rsidRPr="008B13C9" w:rsidRDefault="00AB1C26" w:rsidP="00AB1C26">
            <w:pPr>
              <w:spacing w:after="0" w:line="240" w:lineRule="auto"/>
              <w:jc w:val="center"/>
              <w:rPr>
                <w:rFonts w:eastAsia="Times New Roman"/>
                <w:b/>
                <w:i/>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=956)</w:t>
            </w:r>
          </w:p>
        </w:tc>
        <w:tc>
          <w:tcPr>
            <w:tcW w:w="851" w:type="dxa"/>
            <w:tcBorders>
              <w:top w:val="nil"/>
              <w:left w:val="nil"/>
              <w:bottom w:val="single" w:sz="4" w:space="0" w:color="auto"/>
              <w:right w:val="nil"/>
            </w:tcBorders>
            <w:vAlign w:val="center"/>
          </w:tcPr>
          <w:p w14:paraId="1FAE10AF" w14:textId="77777777" w:rsidR="00AB1C26" w:rsidRPr="008B13C9" w:rsidRDefault="00AB1C26" w:rsidP="00AB1C26">
            <w:pPr>
              <w:spacing w:after="0" w:line="240" w:lineRule="auto"/>
              <w:jc w:val="center"/>
              <w:rPr>
                <w:rFonts w:eastAsia="Times New Roman"/>
                <w:b/>
                <w:sz w:val="20"/>
                <w:shd w:val="clear" w:color="auto" w:fill="FFFFFF"/>
              </w:rPr>
            </w:pPr>
            <w:r w:rsidRPr="008B13C9">
              <w:rPr>
                <w:rFonts w:eastAsia="Times New Roman"/>
                <w:b/>
                <w:sz w:val="20"/>
                <w:shd w:val="clear" w:color="auto" w:fill="FFFFFF"/>
              </w:rPr>
              <w:t>Obese</w:t>
            </w:r>
          </w:p>
          <w:p w14:paraId="486BDEE5" w14:textId="73C2C66A" w:rsidR="00AB1C26" w:rsidRPr="008B13C9" w:rsidRDefault="00AB1C26" w:rsidP="00AB1C26">
            <w:pPr>
              <w:spacing w:after="0" w:line="240" w:lineRule="auto"/>
              <w:jc w:val="center"/>
              <w:rPr>
                <w:rFonts w:eastAsia="Times New Roman"/>
                <w:b/>
                <w:i/>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=887)</w:t>
            </w:r>
          </w:p>
        </w:tc>
        <w:tc>
          <w:tcPr>
            <w:tcW w:w="881" w:type="dxa"/>
            <w:tcBorders>
              <w:top w:val="nil"/>
              <w:left w:val="nil"/>
              <w:bottom w:val="single" w:sz="4" w:space="0" w:color="auto"/>
              <w:right w:val="nil"/>
            </w:tcBorders>
            <w:vAlign w:val="center"/>
          </w:tcPr>
          <w:p w14:paraId="6D52E33C" w14:textId="77777777" w:rsidR="00AB1C26" w:rsidRPr="008B13C9" w:rsidRDefault="00AB1C26" w:rsidP="00AB1C26">
            <w:pPr>
              <w:spacing w:after="0" w:line="240" w:lineRule="auto"/>
              <w:jc w:val="center"/>
              <w:rPr>
                <w:rFonts w:eastAsia="Times New Roman"/>
                <w:b/>
                <w:i/>
                <w:sz w:val="20"/>
                <w:shd w:val="clear" w:color="auto" w:fill="FFFFFF"/>
              </w:rPr>
            </w:pPr>
            <w:r w:rsidRPr="008B13C9">
              <w:rPr>
                <w:rFonts w:eastAsia="Times New Roman"/>
                <w:b/>
                <w:i/>
                <w:sz w:val="20"/>
                <w:shd w:val="clear" w:color="auto" w:fill="FFFFFF"/>
              </w:rPr>
              <w:t>p</w:t>
            </w:r>
          </w:p>
        </w:tc>
      </w:tr>
      <w:tr w:rsidR="008B13C9" w:rsidRPr="008B13C9" w14:paraId="52DF0798" w14:textId="77777777" w:rsidTr="0058440C">
        <w:tblPrEx>
          <w:tblBorders>
            <w:left w:val="single" w:sz="4" w:space="0" w:color="auto"/>
            <w:right w:val="single" w:sz="4" w:space="0" w:color="auto"/>
            <w:insideV w:val="single" w:sz="4" w:space="0" w:color="auto"/>
          </w:tblBorders>
        </w:tblPrEx>
        <w:tc>
          <w:tcPr>
            <w:tcW w:w="2269" w:type="dxa"/>
            <w:gridSpan w:val="2"/>
            <w:tcBorders>
              <w:top w:val="nil"/>
              <w:left w:val="nil"/>
              <w:bottom w:val="single" w:sz="4" w:space="0" w:color="auto"/>
              <w:right w:val="nil"/>
            </w:tcBorders>
            <w:vAlign w:val="center"/>
          </w:tcPr>
          <w:p w14:paraId="19FC17AA" w14:textId="77777777" w:rsidR="005E576A" w:rsidRPr="008B13C9" w:rsidRDefault="005E576A" w:rsidP="005247AB">
            <w:pPr>
              <w:spacing w:after="0" w:line="240" w:lineRule="auto"/>
              <w:rPr>
                <w:rFonts w:eastAsia="Times New Roman"/>
                <w:sz w:val="20"/>
                <w:shd w:val="clear" w:color="auto" w:fill="FFFFFF"/>
              </w:rPr>
            </w:pPr>
            <w:r w:rsidRPr="008B13C9">
              <w:rPr>
                <w:rFonts w:cs="Arial"/>
                <w:sz w:val="20"/>
                <w:szCs w:val="20"/>
              </w:rPr>
              <w:t>Age (mean [SD] years)</w:t>
            </w:r>
          </w:p>
        </w:tc>
        <w:tc>
          <w:tcPr>
            <w:tcW w:w="992" w:type="dxa"/>
            <w:tcBorders>
              <w:top w:val="nil"/>
              <w:left w:val="nil"/>
              <w:bottom w:val="single" w:sz="4" w:space="0" w:color="auto"/>
              <w:right w:val="nil"/>
            </w:tcBorders>
            <w:vAlign w:val="bottom"/>
          </w:tcPr>
          <w:p w14:paraId="772491E5" w14:textId="6D906D15" w:rsidR="005E576A" w:rsidRPr="008B13C9" w:rsidRDefault="00094EEC"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68.5</w:t>
            </w:r>
            <w:r w:rsidR="00591764" w:rsidRPr="008B13C9">
              <w:rPr>
                <w:rFonts w:eastAsia="Times New Roman"/>
                <w:sz w:val="20"/>
                <w:shd w:val="clear" w:color="auto" w:fill="FFFFFF"/>
              </w:rPr>
              <w:t>0</w:t>
            </w:r>
            <w:r w:rsidRPr="008B13C9">
              <w:rPr>
                <w:rFonts w:eastAsia="Times New Roman"/>
                <w:sz w:val="20"/>
                <w:shd w:val="clear" w:color="auto" w:fill="FFFFFF"/>
              </w:rPr>
              <w:t xml:space="preserve"> (8.</w:t>
            </w:r>
            <w:r w:rsidR="00591764" w:rsidRPr="008B13C9">
              <w:rPr>
                <w:rFonts w:eastAsia="Times New Roman"/>
                <w:sz w:val="20"/>
                <w:shd w:val="clear" w:color="auto" w:fill="FFFFFF"/>
              </w:rPr>
              <w:t>64</w:t>
            </w:r>
            <w:r w:rsidRPr="008B13C9">
              <w:rPr>
                <w:rFonts w:eastAsia="Times New Roman"/>
                <w:sz w:val="20"/>
                <w:shd w:val="clear" w:color="auto" w:fill="FFFFFF"/>
              </w:rPr>
              <w:t>)</w:t>
            </w:r>
          </w:p>
        </w:tc>
        <w:tc>
          <w:tcPr>
            <w:tcW w:w="1308" w:type="dxa"/>
            <w:tcBorders>
              <w:top w:val="nil"/>
              <w:left w:val="nil"/>
              <w:bottom w:val="single" w:sz="4" w:space="0" w:color="auto"/>
              <w:right w:val="nil"/>
            </w:tcBorders>
            <w:vAlign w:val="bottom"/>
          </w:tcPr>
          <w:p w14:paraId="50FE06C9" w14:textId="22E09B60" w:rsidR="005E576A" w:rsidRPr="008B13C9" w:rsidRDefault="00094EEC"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68.</w:t>
            </w:r>
            <w:r w:rsidR="00591764" w:rsidRPr="008B13C9">
              <w:rPr>
                <w:rFonts w:eastAsia="Times New Roman"/>
                <w:sz w:val="20"/>
                <w:shd w:val="clear" w:color="auto" w:fill="FFFFFF"/>
              </w:rPr>
              <w:t>05</w:t>
            </w:r>
            <w:r w:rsidRPr="008B13C9">
              <w:rPr>
                <w:rFonts w:eastAsia="Times New Roman"/>
                <w:sz w:val="20"/>
                <w:shd w:val="clear" w:color="auto" w:fill="FFFFFF"/>
              </w:rPr>
              <w:t xml:space="preserve"> (8.</w:t>
            </w:r>
            <w:r w:rsidR="00591764" w:rsidRPr="008B13C9">
              <w:rPr>
                <w:rFonts w:eastAsia="Times New Roman"/>
                <w:sz w:val="20"/>
                <w:shd w:val="clear" w:color="auto" w:fill="FFFFFF"/>
              </w:rPr>
              <w:t>07</w:t>
            </w:r>
            <w:r w:rsidRPr="008B13C9">
              <w:rPr>
                <w:rFonts w:eastAsia="Times New Roman"/>
                <w:sz w:val="20"/>
                <w:shd w:val="clear" w:color="auto" w:fill="FFFFFF"/>
              </w:rPr>
              <w:t>)</w:t>
            </w:r>
          </w:p>
        </w:tc>
        <w:tc>
          <w:tcPr>
            <w:tcW w:w="851" w:type="dxa"/>
            <w:tcBorders>
              <w:top w:val="nil"/>
              <w:left w:val="nil"/>
              <w:bottom w:val="single" w:sz="4" w:space="0" w:color="auto"/>
              <w:right w:val="nil"/>
            </w:tcBorders>
            <w:vAlign w:val="bottom"/>
          </w:tcPr>
          <w:p w14:paraId="3C572BF4" w14:textId="3C20FBD5" w:rsidR="005E576A" w:rsidRPr="008B13C9" w:rsidRDefault="00094EEC"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67.2</w:t>
            </w:r>
            <w:r w:rsidR="00591764" w:rsidRPr="008B13C9">
              <w:rPr>
                <w:rFonts w:eastAsia="Times New Roman"/>
                <w:sz w:val="20"/>
                <w:shd w:val="clear" w:color="auto" w:fill="FFFFFF"/>
              </w:rPr>
              <w:t>3</w:t>
            </w:r>
            <w:r w:rsidRPr="008B13C9">
              <w:rPr>
                <w:rFonts w:eastAsia="Times New Roman"/>
                <w:sz w:val="20"/>
                <w:shd w:val="clear" w:color="auto" w:fill="FFFFFF"/>
              </w:rPr>
              <w:t xml:space="preserve"> (7.7</w:t>
            </w:r>
            <w:r w:rsidR="00591764" w:rsidRPr="008B13C9">
              <w:rPr>
                <w:rFonts w:eastAsia="Times New Roman"/>
                <w:sz w:val="20"/>
                <w:shd w:val="clear" w:color="auto" w:fill="FFFFFF"/>
              </w:rPr>
              <w:t>9</w:t>
            </w:r>
            <w:r w:rsidRPr="008B13C9">
              <w:rPr>
                <w:rFonts w:eastAsia="Times New Roman"/>
                <w:sz w:val="20"/>
                <w:shd w:val="clear" w:color="auto" w:fill="FFFFFF"/>
              </w:rPr>
              <w:t>)</w:t>
            </w:r>
          </w:p>
        </w:tc>
        <w:tc>
          <w:tcPr>
            <w:tcW w:w="850" w:type="dxa"/>
            <w:tcBorders>
              <w:top w:val="nil"/>
              <w:left w:val="nil"/>
              <w:bottom w:val="single" w:sz="4" w:space="0" w:color="auto"/>
              <w:right w:val="nil"/>
            </w:tcBorders>
            <w:vAlign w:val="bottom"/>
          </w:tcPr>
          <w:p w14:paraId="773E0ECC" w14:textId="45BF80B6" w:rsidR="005E576A" w:rsidRPr="008B13C9" w:rsidRDefault="008C5B9C"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w:t>
            </w:r>
            <w:r w:rsidR="00591764" w:rsidRPr="008B13C9">
              <w:rPr>
                <w:rFonts w:eastAsia="Times New Roman"/>
                <w:sz w:val="20"/>
                <w:shd w:val="clear" w:color="auto" w:fill="FFFFFF"/>
              </w:rPr>
              <w:t>021</w:t>
            </w:r>
          </w:p>
        </w:tc>
        <w:tc>
          <w:tcPr>
            <w:tcW w:w="284" w:type="dxa"/>
            <w:gridSpan w:val="2"/>
            <w:tcBorders>
              <w:top w:val="nil"/>
              <w:left w:val="nil"/>
              <w:bottom w:val="single" w:sz="4" w:space="0" w:color="auto"/>
              <w:right w:val="nil"/>
            </w:tcBorders>
            <w:vAlign w:val="bottom"/>
          </w:tcPr>
          <w:p w14:paraId="22CA9C2D" w14:textId="77777777" w:rsidR="005E576A" w:rsidRPr="008B13C9" w:rsidRDefault="005E576A" w:rsidP="005247AB">
            <w:pPr>
              <w:spacing w:after="0" w:line="240" w:lineRule="auto"/>
              <w:jc w:val="center"/>
              <w:rPr>
                <w:rFonts w:eastAsia="Times New Roman"/>
                <w:sz w:val="20"/>
                <w:shd w:val="clear" w:color="auto" w:fill="FFFFFF"/>
              </w:rPr>
            </w:pPr>
          </w:p>
        </w:tc>
        <w:tc>
          <w:tcPr>
            <w:tcW w:w="970" w:type="dxa"/>
            <w:gridSpan w:val="2"/>
            <w:tcBorders>
              <w:top w:val="nil"/>
              <w:left w:val="nil"/>
              <w:bottom w:val="single" w:sz="4" w:space="0" w:color="auto"/>
              <w:right w:val="nil"/>
            </w:tcBorders>
            <w:vAlign w:val="bottom"/>
          </w:tcPr>
          <w:p w14:paraId="51D62BC2" w14:textId="146AD276" w:rsidR="005E576A" w:rsidRPr="008B13C9" w:rsidRDefault="00094EEC"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68.05 (8.8</w:t>
            </w:r>
            <w:r w:rsidR="00591764" w:rsidRPr="008B13C9">
              <w:rPr>
                <w:rFonts w:eastAsia="Times New Roman"/>
                <w:sz w:val="20"/>
                <w:shd w:val="clear" w:color="auto" w:fill="FFFFFF"/>
              </w:rPr>
              <w:t>3</w:t>
            </w:r>
            <w:r w:rsidRPr="008B13C9">
              <w:rPr>
                <w:rFonts w:eastAsia="Times New Roman"/>
                <w:sz w:val="20"/>
                <w:shd w:val="clear" w:color="auto" w:fill="FFFFFF"/>
              </w:rPr>
              <w:t>)</w:t>
            </w:r>
          </w:p>
        </w:tc>
        <w:tc>
          <w:tcPr>
            <w:tcW w:w="1223" w:type="dxa"/>
            <w:tcBorders>
              <w:top w:val="nil"/>
              <w:left w:val="nil"/>
              <w:bottom w:val="single" w:sz="4" w:space="0" w:color="auto"/>
              <w:right w:val="nil"/>
            </w:tcBorders>
            <w:vAlign w:val="bottom"/>
          </w:tcPr>
          <w:p w14:paraId="2059A146" w14:textId="75AF2014" w:rsidR="005E576A" w:rsidRPr="008B13C9" w:rsidRDefault="00094EEC"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68.</w:t>
            </w:r>
            <w:r w:rsidR="00591764" w:rsidRPr="008B13C9">
              <w:rPr>
                <w:rFonts w:eastAsia="Times New Roman"/>
                <w:sz w:val="20"/>
                <w:shd w:val="clear" w:color="auto" w:fill="FFFFFF"/>
              </w:rPr>
              <w:t>84</w:t>
            </w:r>
            <w:r w:rsidRPr="008B13C9">
              <w:rPr>
                <w:rFonts w:eastAsia="Times New Roman"/>
                <w:sz w:val="20"/>
                <w:shd w:val="clear" w:color="auto" w:fill="FFFFFF"/>
              </w:rPr>
              <w:t xml:space="preserve"> (8.6</w:t>
            </w:r>
            <w:r w:rsidR="00591764" w:rsidRPr="008B13C9">
              <w:rPr>
                <w:rFonts w:eastAsia="Times New Roman"/>
                <w:sz w:val="20"/>
                <w:shd w:val="clear" w:color="auto" w:fill="FFFFFF"/>
              </w:rPr>
              <w:t>1</w:t>
            </w:r>
            <w:r w:rsidRPr="008B13C9">
              <w:rPr>
                <w:rFonts w:eastAsia="Times New Roman"/>
                <w:sz w:val="20"/>
                <w:shd w:val="clear" w:color="auto" w:fill="FFFFFF"/>
              </w:rPr>
              <w:t>)</w:t>
            </w:r>
          </w:p>
        </w:tc>
        <w:tc>
          <w:tcPr>
            <w:tcW w:w="851" w:type="dxa"/>
            <w:tcBorders>
              <w:top w:val="nil"/>
              <w:left w:val="nil"/>
              <w:bottom w:val="single" w:sz="4" w:space="0" w:color="auto"/>
              <w:right w:val="nil"/>
            </w:tcBorders>
            <w:vAlign w:val="bottom"/>
          </w:tcPr>
          <w:p w14:paraId="298CAE35" w14:textId="35DBC5E2" w:rsidR="005E576A" w:rsidRPr="008B13C9" w:rsidRDefault="00094EEC"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67.</w:t>
            </w:r>
            <w:r w:rsidR="00591764" w:rsidRPr="008B13C9">
              <w:rPr>
                <w:rFonts w:eastAsia="Times New Roman"/>
                <w:sz w:val="20"/>
                <w:shd w:val="clear" w:color="auto" w:fill="FFFFFF"/>
              </w:rPr>
              <w:t>71</w:t>
            </w:r>
            <w:r w:rsidRPr="008B13C9">
              <w:rPr>
                <w:rFonts w:eastAsia="Times New Roman"/>
                <w:sz w:val="20"/>
                <w:shd w:val="clear" w:color="auto" w:fill="FFFFFF"/>
              </w:rPr>
              <w:t xml:space="preserve"> (8.</w:t>
            </w:r>
            <w:r w:rsidR="00591764" w:rsidRPr="008B13C9">
              <w:rPr>
                <w:rFonts w:eastAsia="Times New Roman"/>
                <w:sz w:val="20"/>
                <w:shd w:val="clear" w:color="auto" w:fill="FFFFFF"/>
              </w:rPr>
              <w:t>09</w:t>
            </w:r>
            <w:r w:rsidRPr="008B13C9">
              <w:rPr>
                <w:rFonts w:eastAsia="Times New Roman"/>
                <w:sz w:val="20"/>
                <w:shd w:val="clear" w:color="auto" w:fill="FFFFFF"/>
              </w:rPr>
              <w:t>)</w:t>
            </w:r>
          </w:p>
        </w:tc>
        <w:tc>
          <w:tcPr>
            <w:tcW w:w="881" w:type="dxa"/>
            <w:tcBorders>
              <w:top w:val="nil"/>
              <w:left w:val="nil"/>
              <w:bottom w:val="single" w:sz="4" w:space="0" w:color="auto"/>
              <w:right w:val="nil"/>
            </w:tcBorders>
            <w:vAlign w:val="bottom"/>
          </w:tcPr>
          <w:p w14:paraId="1503EE70" w14:textId="640A72AF" w:rsidR="005E576A" w:rsidRPr="008B13C9" w:rsidRDefault="008C5B9C"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w:t>
            </w:r>
            <w:r w:rsidR="00591764" w:rsidRPr="008B13C9">
              <w:rPr>
                <w:rFonts w:eastAsia="Times New Roman"/>
                <w:sz w:val="20"/>
                <w:shd w:val="clear" w:color="auto" w:fill="FFFFFF"/>
              </w:rPr>
              <w:t>016</w:t>
            </w:r>
          </w:p>
        </w:tc>
      </w:tr>
      <w:tr w:rsidR="008B13C9" w:rsidRPr="008B13C9" w14:paraId="79E78187" w14:textId="77777777" w:rsidTr="0058440C">
        <w:tblPrEx>
          <w:tblBorders>
            <w:left w:val="single" w:sz="4" w:space="0" w:color="auto"/>
            <w:right w:val="single" w:sz="4" w:space="0" w:color="auto"/>
            <w:insideV w:val="single" w:sz="4" w:space="0" w:color="auto"/>
          </w:tblBorders>
        </w:tblPrEx>
        <w:tc>
          <w:tcPr>
            <w:tcW w:w="2269" w:type="dxa"/>
            <w:gridSpan w:val="2"/>
            <w:tcBorders>
              <w:top w:val="single" w:sz="4" w:space="0" w:color="auto"/>
              <w:left w:val="nil"/>
              <w:bottom w:val="nil"/>
              <w:right w:val="nil"/>
            </w:tcBorders>
          </w:tcPr>
          <w:p w14:paraId="513321F1" w14:textId="77777777" w:rsidR="005E576A" w:rsidRPr="008B13C9" w:rsidRDefault="005E576A" w:rsidP="005247AB">
            <w:pPr>
              <w:spacing w:after="0" w:line="240" w:lineRule="auto"/>
              <w:rPr>
                <w:rFonts w:eastAsia="Times New Roman"/>
                <w:sz w:val="20"/>
                <w:shd w:val="clear" w:color="auto" w:fill="FFFFFF"/>
              </w:rPr>
            </w:pPr>
            <w:r w:rsidRPr="008B13C9">
              <w:rPr>
                <w:rFonts w:eastAsia="Times New Roman"/>
                <w:sz w:val="20"/>
                <w:shd w:val="clear" w:color="auto" w:fill="FFFFFF"/>
              </w:rPr>
              <w:t>Partner status</w:t>
            </w:r>
          </w:p>
        </w:tc>
        <w:tc>
          <w:tcPr>
            <w:tcW w:w="992" w:type="dxa"/>
            <w:tcBorders>
              <w:top w:val="single" w:sz="4" w:space="0" w:color="auto"/>
              <w:left w:val="nil"/>
              <w:bottom w:val="nil"/>
              <w:right w:val="nil"/>
            </w:tcBorders>
            <w:vAlign w:val="bottom"/>
          </w:tcPr>
          <w:p w14:paraId="31A9FE95" w14:textId="77777777" w:rsidR="005E576A" w:rsidRPr="008B13C9" w:rsidRDefault="005E576A" w:rsidP="005247AB">
            <w:pPr>
              <w:spacing w:after="0" w:line="240" w:lineRule="auto"/>
              <w:jc w:val="center"/>
              <w:rPr>
                <w:rFonts w:eastAsia="Times New Roman"/>
                <w:sz w:val="20"/>
                <w:shd w:val="clear" w:color="auto" w:fill="FFFFFF"/>
              </w:rPr>
            </w:pPr>
          </w:p>
        </w:tc>
        <w:tc>
          <w:tcPr>
            <w:tcW w:w="1308" w:type="dxa"/>
            <w:tcBorders>
              <w:top w:val="single" w:sz="4" w:space="0" w:color="auto"/>
              <w:left w:val="nil"/>
              <w:bottom w:val="nil"/>
              <w:right w:val="nil"/>
            </w:tcBorders>
            <w:vAlign w:val="bottom"/>
          </w:tcPr>
          <w:p w14:paraId="61986069" w14:textId="77777777" w:rsidR="005E576A" w:rsidRPr="008B13C9" w:rsidRDefault="005E576A"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2DB78485" w14:textId="77777777" w:rsidR="005E576A" w:rsidRPr="008B13C9" w:rsidRDefault="005E576A" w:rsidP="005247AB">
            <w:pPr>
              <w:spacing w:after="0" w:line="240" w:lineRule="auto"/>
              <w:jc w:val="center"/>
              <w:rPr>
                <w:rFonts w:eastAsia="Times New Roman"/>
                <w:sz w:val="20"/>
                <w:shd w:val="clear" w:color="auto" w:fill="FFFFFF"/>
              </w:rPr>
            </w:pPr>
          </w:p>
        </w:tc>
        <w:tc>
          <w:tcPr>
            <w:tcW w:w="850" w:type="dxa"/>
            <w:tcBorders>
              <w:top w:val="single" w:sz="4" w:space="0" w:color="auto"/>
              <w:left w:val="nil"/>
              <w:bottom w:val="nil"/>
              <w:right w:val="nil"/>
            </w:tcBorders>
            <w:vAlign w:val="bottom"/>
          </w:tcPr>
          <w:p w14:paraId="7463BD20" w14:textId="77777777" w:rsidR="005E576A" w:rsidRPr="008B13C9" w:rsidRDefault="005E576A" w:rsidP="005247AB">
            <w:pPr>
              <w:spacing w:after="0" w:line="240" w:lineRule="auto"/>
              <w:jc w:val="center"/>
              <w:rPr>
                <w:rFonts w:eastAsia="Times New Roman"/>
                <w:sz w:val="20"/>
                <w:shd w:val="clear" w:color="auto" w:fill="FFFFFF"/>
              </w:rPr>
            </w:pPr>
          </w:p>
        </w:tc>
        <w:tc>
          <w:tcPr>
            <w:tcW w:w="284" w:type="dxa"/>
            <w:gridSpan w:val="2"/>
            <w:tcBorders>
              <w:top w:val="single" w:sz="4" w:space="0" w:color="auto"/>
              <w:left w:val="nil"/>
              <w:bottom w:val="nil"/>
              <w:right w:val="nil"/>
            </w:tcBorders>
            <w:vAlign w:val="bottom"/>
          </w:tcPr>
          <w:p w14:paraId="315B7A86" w14:textId="77777777" w:rsidR="005E576A" w:rsidRPr="008B13C9" w:rsidRDefault="005E576A" w:rsidP="005247AB">
            <w:pPr>
              <w:spacing w:after="0" w:line="240" w:lineRule="auto"/>
              <w:jc w:val="center"/>
              <w:rPr>
                <w:rFonts w:eastAsia="Times New Roman"/>
                <w:sz w:val="20"/>
                <w:shd w:val="clear" w:color="auto" w:fill="FFFFFF"/>
              </w:rPr>
            </w:pPr>
          </w:p>
        </w:tc>
        <w:tc>
          <w:tcPr>
            <w:tcW w:w="970" w:type="dxa"/>
            <w:gridSpan w:val="2"/>
            <w:tcBorders>
              <w:top w:val="single" w:sz="4" w:space="0" w:color="auto"/>
              <w:left w:val="nil"/>
              <w:bottom w:val="nil"/>
              <w:right w:val="nil"/>
            </w:tcBorders>
            <w:vAlign w:val="bottom"/>
          </w:tcPr>
          <w:p w14:paraId="1D7830F0" w14:textId="77777777" w:rsidR="005E576A" w:rsidRPr="008B13C9" w:rsidRDefault="005E576A"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26FA1AE4" w14:textId="77777777" w:rsidR="005E576A" w:rsidRPr="008B13C9" w:rsidRDefault="005E576A"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63E65D0A" w14:textId="77777777" w:rsidR="005E576A" w:rsidRPr="008B13C9" w:rsidRDefault="005E576A" w:rsidP="005247AB">
            <w:pPr>
              <w:spacing w:after="0" w:line="240" w:lineRule="auto"/>
              <w:jc w:val="center"/>
              <w:rPr>
                <w:rFonts w:eastAsia="Times New Roman"/>
                <w:sz w:val="20"/>
                <w:shd w:val="clear" w:color="auto" w:fill="FFFFFF"/>
              </w:rPr>
            </w:pPr>
          </w:p>
        </w:tc>
        <w:tc>
          <w:tcPr>
            <w:tcW w:w="881" w:type="dxa"/>
            <w:tcBorders>
              <w:top w:val="single" w:sz="4" w:space="0" w:color="auto"/>
              <w:left w:val="nil"/>
              <w:bottom w:val="nil"/>
              <w:right w:val="nil"/>
            </w:tcBorders>
            <w:vAlign w:val="bottom"/>
          </w:tcPr>
          <w:p w14:paraId="178C3C06" w14:textId="77777777" w:rsidR="005E576A" w:rsidRPr="008B13C9" w:rsidRDefault="005E576A" w:rsidP="005247AB">
            <w:pPr>
              <w:spacing w:after="0" w:line="240" w:lineRule="auto"/>
              <w:jc w:val="center"/>
              <w:rPr>
                <w:rFonts w:eastAsia="Times New Roman"/>
                <w:sz w:val="20"/>
                <w:shd w:val="clear" w:color="auto" w:fill="FFFFFF"/>
              </w:rPr>
            </w:pPr>
          </w:p>
        </w:tc>
      </w:tr>
      <w:tr w:rsidR="008B13C9" w:rsidRPr="008B13C9" w14:paraId="4C50AF03"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4160FF98" w14:textId="77777777" w:rsidR="005E576A" w:rsidRPr="008B13C9" w:rsidRDefault="005E576A"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413A4542" w14:textId="77777777" w:rsidR="005E576A" w:rsidRPr="008B13C9" w:rsidRDefault="005E576A" w:rsidP="005247AB">
            <w:pPr>
              <w:spacing w:after="0" w:line="240" w:lineRule="auto"/>
              <w:rPr>
                <w:rFonts w:eastAsia="Times New Roman"/>
                <w:sz w:val="20"/>
                <w:shd w:val="clear" w:color="auto" w:fill="FFFFFF"/>
              </w:rPr>
            </w:pPr>
            <w:r w:rsidRPr="008B13C9">
              <w:rPr>
                <w:rFonts w:cs="Arial"/>
                <w:sz w:val="20"/>
                <w:szCs w:val="20"/>
              </w:rPr>
              <w:t>Married/cohabiting</w:t>
            </w:r>
          </w:p>
        </w:tc>
        <w:tc>
          <w:tcPr>
            <w:tcW w:w="992" w:type="dxa"/>
            <w:tcBorders>
              <w:top w:val="nil"/>
              <w:left w:val="nil"/>
              <w:right w:val="nil"/>
            </w:tcBorders>
            <w:vAlign w:val="bottom"/>
          </w:tcPr>
          <w:p w14:paraId="737FC30D" w14:textId="1F1B726B" w:rsidR="005E576A"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71.1</w:t>
            </w:r>
          </w:p>
        </w:tc>
        <w:tc>
          <w:tcPr>
            <w:tcW w:w="1308" w:type="dxa"/>
            <w:tcBorders>
              <w:top w:val="nil"/>
              <w:left w:val="nil"/>
              <w:right w:val="nil"/>
            </w:tcBorders>
            <w:vAlign w:val="bottom"/>
          </w:tcPr>
          <w:p w14:paraId="076AADE8" w14:textId="3042A0B4" w:rsidR="005E576A"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77.1</w:t>
            </w:r>
          </w:p>
        </w:tc>
        <w:tc>
          <w:tcPr>
            <w:tcW w:w="851" w:type="dxa"/>
            <w:tcBorders>
              <w:top w:val="nil"/>
              <w:left w:val="nil"/>
              <w:right w:val="nil"/>
            </w:tcBorders>
            <w:vAlign w:val="bottom"/>
          </w:tcPr>
          <w:p w14:paraId="229E4B37" w14:textId="418A1A63" w:rsidR="005E576A"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76.7</w:t>
            </w:r>
          </w:p>
        </w:tc>
        <w:tc>
          <w:tcPr>
            <w:tcW w:w="850" w:type="dxa"/>
            <w:tcBorders>
              <w:top w:val="nil"/>
              <w:left w:val="nil"/>
              <w:right w:val="nil"/>
            </w:tcBorders>
            <w:vAlign w:val="bottom"/>
          </w:tcPr>
          <w:p w14:paraId="2DB83DB8" w14:textId="7CC4B0E5" w:rsidR="005E576A"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0.003</w:t>
            </w:r>
          </w:p>
        </w:tc>
        <w:tc>
          <w:tcPr>
            <w:tcW w:w="284" w:type="dxa"/>
            <w:gridSpan w:val="2"/>
            <w:tcBorders>
              <w:top w:val="nil"/>
              <w:left w:val="nil"/>
              <w:right w:val="nil"/>
            </w:tcBorders>
            <w:vAlign w:val="bottom"/>
          </w:tcPr>
          <w:p w14:paraId="1024934A" w14:textId="77777777" w:rsidR="005E576A" w:rsidRPr="008B13C9" w:rsidRDefault="005E576A"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66333062" w14:textId="05564FA2" w:rsidR="005E576A"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57.4</w:t>
            </w:r>
          </w:p>
        </w:tc>
        <w:tc>
          <w:tcPr>
            <w:tcW w:w="1223" w:type="dxa"/>
            <w:tcBorders>
              <w:top w:val="nil"/>
              <w:left w:val="nil"/>
              <w:right w:val="nil"/>
            </w:tcBorders>
            <w:vAlign w:val="bottom"/>
          </w:tcPr>
          <w:p w14:paraId="54D409C6" w14:textId="4B2CAD26" w:rsidR="005E576A"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62.1</w:t>
            </w:r>
          </w:p>
        </w:tc>
        <w:tc>
          <w:tcPr>
            <w:tcW w:w="851" w:type="dxa"/>
            <w:tcBorders>
              <w:top w:val="nil"/>
              <w:left w:val="nil"/>
              <w:right w:val="nil"/>
            </w:tcBorders>
            <w:vAlign w:val="bottom"/>
          </w:tcPr>
          <w:p w14:paraId="6587D987" w14:textId="520E4140" w:rsidR="005E576A"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62.8</w:t>
            </w:r>
          </w:p>
        </w:tc>
        <w:tc>
          <w:tcPr>
            <w:tcW w:w="881" w:type="dxa"/>
            <w:tcBorders>
              <w:top w:val="nil"/>
              <w:left w:val="nil"/>
              <w:right w:val="nil"/>
            </w:tcBorders>
            <w:vAlign w:val="bottom"/>
          </w:tcPr>
          <w:p w14:paraId="27B0FFC3" w14:textId="6E01A775" w:rsidR="005E576A" w:rsidRPr="008B13C9" w:rsidRDefault="00E50AE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w:t>
            </w:r>
            <w:r w:rsidR="00E64620" w:rsidRPr="008B13C9">
              <w:rPr>
                <w:rFonts w:eastAsia="Times New Roman"/>
                <w:sz w:val="20"/>
                <w:shd w:val="clear" w:color="auto" w:fill="FFFFFF"/>
              </w:rPr>
              <w:t>304</w:t>
            </w:r>
          </w:p>
        </w:tc>
      </w:tr>
      <w:tr w:rsidR="008B13C9" w:rsidRPr="008B13C9" w14:paraId="0CC34176"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4E56D164"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73ABD838"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Separated/divorced</w:t>
            </w:r>
          </w:p>
        </w:tc>
        <w:tc>
          <w:tcPr>
            <w:tcW w:w="992" w:type="dxa"/>
            <w:tcBorders>
              <w:top w:val="nil"/>
              <w:left w:val="nil"/>
              <w:right w:val="nil"/>
            </w:tcBorders>
            <w:vAlign w:val="bottom"/>
          </w:tcPr>
          <w:p w14:paraId="2292D5F4" w14:textId="125457FA"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8.4</w:t>
            </w:r>
          </w:p>
        </w:tc>
        <w:tc>
          <w:tcPr>
            <w:tcW w:w="1308" w:type="dxa"/>
            <w:tcBorders>
              <w:top w:val="nil"/>
              <w:left w:val="nil"/>
              <w:right w:val="nil"/>
            </w:tcBorders>
            <w:vAlign w:val="bottom"/>
          </w:tcPr>
          <w:p w14:paraId="7626C3FC" w14:textId="78506FF9"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9.5</w:t>
            </w:r>
          </w:p>
        </w:tc>
        <w:tc>
          <w:tcPr>
            <w:tcW w:w="851" w:type="dxa"/>
            <w:tcBorders>
              <w:top w:val="nil"/>
              <w:left w:val="nil"/>
              <w:right w:val="nil"/>
            </w:tcBorders>
            <w:vAlign w:val="bottom"/>
          </w:tcPr>
          <w:p w14:paraId="48398C4A" w14:textId="3DFF7B72"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11.3</w:t>
            </w:r>
          </w:p>
        </w:tc>
        <w:tc>
          <w:tcPr>
            <w:tcW w:w="850" w:type="dxa"/>
            <w:tcBorders>
              <w:top w:val="nil"/>
              <w:left w:val="nil"/>
              <w:right w:val="nil"/>
            </w:tcBorders>
            <w:vAlign w:val="bottom"/>
          </w:tcPr>
          <w:p w14:paraId="62C7C288"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247EB878"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2C779E00" w14:textId="7F6EE22F"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14.4</w:t>
            </w:r>
          </w:p>
        </w:tc>
        <w:tc>
          <w:tcPr>
            <w:tcW w:w="1223" w:type="dxa"/>
            <w:tcBorders>
              <w:top w:val="nil"/>
              <w:left w:val="nil"/>
              <w:right w:val="nil"/>
            </w:tcBorders>
            <w:vAlign w:val="bottom"/>
          </w:tcPr>
          <w:p w14:paraId="03F527A4" w14:textId="592F0FE4"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13.1</w:t>
            </w:r>
          </w:p>
        </w:tc>
        <w:tc>
          <w:tcPr>
            <w:tcW w:w="851" w:type="dxa"/>
            <w:tcBorders>
              <w:top w:val="nil"/>
              <w:left w:val="nil"/>
              <w:right w:val="nil"/>
            </w:tcBorders>
            <w:vAlign w:val="bottom"/>
          </w:tcPr>
          <w:p w14:paraId="6EFE768C" w14:textId="7AEE5818"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13.3</w:t>
            </w:r>
          </w:p>
        </w:tc>
        <w:tc>
          <w:tcPr>
            <w:tcW w:w="881" w:type="dxa"/>
            <w:tcBorders>
              <w:top w:val="nil"/>
              <w:left w:val="nil"/>
              <w:right w:val="nil"/>
            </w:tcBorders>
            <w:vAlign w:val="bottom"/>
          </w:tcPr>
          <w:p w14:paraId="3316CD00"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7A37E212"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39B2F1C8"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20F25C0D"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Widowed</w:t>
            </w:r>
          </w:p>
        </w:tc>
        <w:tc>
          <w:tcPr>
            <w:tcW w:w="992" w:type="dxa"/>
            <w:tcBorders>
              <w:top w:val="nil"/>
              <w:left w:val="nil"/>
              <w:right w:val="nil"/>
            </w:tcBorders>
            <w:vAlign w:val="bottom"/>
          </w:tcPr>
          <w:p w14:paraId="0CC222C3" w14:textId="370314E9"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10.1</w:t>
            </w:r>
          </w:p>
        </w:tc>
        <w:tc>
          <w:tcPr>
            <w:tcW w:w="1308" w:type="dxa"/>
            <w:tcBorders>
              <w:top w:val="nil"/>
              <w:left w:val="nil"/>
              <w:right w:val="nil"/>
            </w:tcBorders>
            <w:vAlign w:val="bottom"/>
          </w:tcPr>
          <w:p w14:paraId="0EBC439F" w14:textId="3D37022B"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7.3</w:t>
            </w:r>
          </w:p>
        </w:tc>
        <w:tc>
          <w:tcPr>
            <w:tcW w:w="851" w:type="dxa"/>
            <w:tcBorders>
              <w:top w:val="nil"/>
              <w:left w:val="nil"/>
              <w:right w:val="nil"/>
            </w:tcBorders>
            <w:vAlign w:val="bottom"/>
          </w:tcPr>
          <w:p w14:paraId="677AE7C0" w14:textId="37E309CF"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6.5</w:t>
            </w:r>
          </w:p>
        </w:tc>
        <w:tc>
          <w:tcPr>
            <w:tcW w:w="850" w:type="dxa"/>
            <w:tcBorders>
              <w:top w:val="nil"/>
              <w:left w:val="nil"/>
              <w:right w:val="nil"/>
            </w:tcBorders>
            <w:vAlign w:val="bottom"/>
          </w:tcPr>
          <w:p w14:paraId="7119AB68"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00D19BE3"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0456048C" w14:textId="2CE090EC"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22.4</w:t>
            </w:r>
          </w:p>
        </w:tc>
        <w:tc>
          <w:tcPr>
            <w:tcW w:w="1223" w:type="dxa"/>
            <w:tcBorders>
              <w:top w:val="nil"/>
              <w:left w:val="nil"/>
              <w:right w:val="nil"/>
            </w:tcBorders>
            <w:vAlign w:val="bottom"/>
          </w:tcPr>
          <w:p w14:paraId="72F9215C" w14:textId="0DC1F8EA"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21.0</w:t>
            </w:r>
          </w:p>
        </w:tc>
        <w:tc>
          <w:tcPr>
            <w:tcW w:w="851" w:type="dxa"/>
            <w:tcBorders>
              <w:top w:val="nil"/>
              <w:left w:val="nil"/>
              <w:right w:val="nil"/>
            </w:tcBorders>
            <w:vAlign w:val="bottom"/>
          </w:tcPr>
          <w:p w14:paraId="5A81BC17" w14:textId="1BFF8AA8"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19.3</w:t>
            </w:r>
          </w:p>
        </w:tc>
        <w:tc>
          <w:tcPr>
            <w:tcW w:w="881" w:type="dxa"/>
            <w:tcBorders>
              <w:top w:val="nil"/>
              <w:left w:val="nil"/>
              <w:right w:val="nil"/>
            </w:tcBorders>
            <w:vAlign w:val="bottom"/>
          </w:tcPr>
          <w:p w14:paraId="3E19AE13"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79FD8B30"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single" w:sz="4" w:space="0" w:color="auto"/>
              <w:right w:val="nil"/>
            </w:tcBorders>
          </w:tcPr>
          <w:p w14:paraId="4CE8BE34"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17D5BFDD"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Single/never married</w:t>
            </w:r>
          </w:p>
        </w:tc>
        <w:tc>
          <w:tcPr>
            <w:tcW w:w="992" w:type="dxa"/>
            <w:tcBorders>
              <w:top w:val="nil"/>
              <w:left w:val="nil"/>
              <w:right w:val="nil"/>
            </w:tcBorders>
            <w:vAlign w:val="bottom"/>
          </w:tcPr>
          <w:p w14:paraId="7E2E3522" w14:textId="0D514F33"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10.5</w:t>
            </w:r>
          </w:p>
        </w:tc>
        <w:tc>
          <w:tcPr>
            <w:tcW w:w="1308" w:type="dxa"/>
            <w:tcBorders>
              <w:top w:val="nil"/>
              <w:left w:val="nil"/>
              <w:right w:val="nil"/>
            </w:tcBorders>
            <w:vAlign w:val="bottom"/>
          </w:tcPr>
          <w:p w14:paraId="4DB94DDD" w14:textId="571D8BCE"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6.0</w:t>
            </w:r>
          </w:p>
        </w:tc>
        <w:tc>
          <w:tcPr>
            <w:tcW w:w="851" w:type="dxa"/>
            <w:tcBorders>
              <w:top w:val="nil"/>
              <w:left w:val="nil"/>
              <w:right w:val="nil"/>
            </w:tcBorders>
            <w:vAlign w:val="bottom"/>
          </w:tcPr>
          <w:p w14:paraId="58ED0282" w14:textId="77D95215"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5.6</w:t>
            </w:r>
          </w:p>
        </w:tc>
        <w:tc>
          <w:tcPr>
            <w:tcW w:w="850" w:type="dxa"/>
            <w:tcBorders>
              <w:top w:val="nil"/>
              <w:left w:val="nil"/>
              <w:right w:val="nil"/>
            </w:tcBorders>
            <w:vAlign w:val="bottom"/>
          </w:tcPr>
          <w:p w14:paraId="17860C4C"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0C9275A3"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69B7A044" w14:textId="05309A25"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5.8</w:t>
            </w:r>
          </w:p>
        </w:tc>
        <w:tc>
          <w:tcPr>
            <w:tcW w:w="1223" w:type="dxa"/>
            <w:tcBorders>
              <w:top w:val="nil"/>
              <w:left w:val="nil"/>
              <w:right w:val="nil"/>
            </w:tcBorders>
            <w:vAlign w:val="bottom"/>
          </w:tcPr>
          <w:p w14:paraId="448C376E" w14:textId="1624110B"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3.9</w:t>
            </w:r>
          </w:p>
        </w:tc>
        <w:tc>
          <w:tcPr>
            <w:tcW w:w="851" w:type="dxa"/>
            <w:tcBorders>
              <w:top w:val="nil"/>
              <w:left w:val="nil"/>
              <w:right w:val="nil"/>
            </w:tcBorders>
            <w:vAlign w:val="bottom"/>
          </w:tcPr>
          <w:p w14:paraId="523751EC" w14:textId="39718E0F" w:rsidR="000F2642" w:rsidRPr="008B13C9" w:rsidRDefault="00A062B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4.6</w:t>
            </w:r>
          </w:p>
        </w:tc>
        <w:tc>
          <w:tcPr>
            <w:tcW w:w="881" w:type="dxa"/>
            <w:tcBorders>
              <w:top w:val="nil"/>
              <w:left w:val="nil"/>
              <w:right w:val="nil"/>
            </w:tcBorders>
            <w:vAlign w:val="bottom"/>
          </w:tcPr>
          <w:p w14:paraId="2F4EB835"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7C806615" w14:textId="77777777" w:rsidTr="0058440C">
        <w:tblPrEx>
          <w:tblBorders>
            <w:left w:val="single" w:sz="4" w:space="0" w:color="auto"/>
            <w:right w:val="single" w:sz="4" w:space="0" w:color="auto"/>
            <w:insideV w:val="single" w:sz="4" w:space="0" w:color="auto"/>
          </w:tblBorders>
        </w:tblPrEx>
        <w:tc>
          <w:tcPr>
            <w:tcW w:w="2269" w:type="dxa"/>
            <w:gridSpan w:val="2"/>
            <w:tcBorders>
              <w:top w:val="single" w:sz="4" w:space="0" w:color="auto"/>
              <w:left w:val="nil"/>
              <w:bottom w:val="nil"/>
              <w:right w:val="nil"/>
            </w:tcBorders>
          </w:tcPr>
          <w:p w14:paraId="0ED1AAA6" w14:textId="77777777" w:rsidR="000F2642" w:rsidRPr="008B13C9" w:rsidRDefault="000F2642" w:rsidP="005247AB">
            <w:pPr>
              <w:spacing w:after="0" w:line="240" w:lineRule="auto"/>
              <w:rPr>
                <w:rFonts w:eastAsia="Times New Roman"/>
                <w:sz w:val="20"/>
                <w:shd w:val="clear" w:color="auto" w:fill="FFFFFF"/>
              </w:rPr>
            </w:pPr>
            <w:r w:rsidRPr="008B13C9">
              <w:rPr>
                <w:rFonts w:eastAsia="Times New Roman"/>
                <w:sz w:val="20"/>
                <w:shd w:val="clear" w:color="auto" w:fill="FFFFFF"/>
              </w:rPr>
              <w:t>Ethnicity</w:t>
            </w:r>
          </w:p>
        </w:tc>
        <w:tc>
          <w:tcPr>
            <w:tcW w:w="992" w:type="dxa"/>
            <w:tcBorders>
              <w:top w:val="single" w:sz="4" w:space="0" w:color="auto"/>
              <w:left w:val="nil"/>
              <w:bottom w:val="nil"/>
              <w:right w:val="nil"/>
            </w:tcBorders>
            <w:vAlign w:val="bottom"/>
          </w:tcPr>
          <w:p w14:paraId="1C8C5FAC" w14:textId="77777777" w:rsidR="000F2642" w:rsidRPr="008B13C9" w:rsidRDefault="000F2642" w:rsidP="005247AB">
            <w:pPr>
              <w:spacing w:after="0" w:line="240" w:lineRule="auto"/>
              <w:jc w:val="center"/>
              <w:rPr>
                <w:rFonts w:eastAsia="Times New Roman"/>
                <w:sz w:val="20"/>
                <w:shd w:val="clear" w:color="auto" w:fill="FFFFFF"/>
              </w:rPr>
            </w:pPr>
          </w:p>
        </w:tc>
        <w:tc>
          <w:tcPr>
            <w:tcW w:w="1308" w:type="dxa"/>
            <w:tcBorders>
              <w:top w:val="single" w:sz="4" w:space="0" w:color="auto"/>
              <w:left w:val="nil"/>
              <w:bottom w:val="nil"/>
              <w:right w:val="nil"/>
            </w:tcBorders>
            <w:vAlign w:val="bottom"/>
          </w:tcPr>
          <w:p w14:paraId="503F1A42"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1FDF287A" w14:textId="77777777" w:rsidR="000F2642" w:rsidRPr="008B13C9" w:rsidRDefault="000F2642" w:rsidP="005247AB">
            <w:pPr>
              <w:spacing w:after="0" w:line="240" w:lineRule="auto"/>
              <w:jc w:val="center"/>
              <w:rPr>
                <w:rFonts w:eastAsia="Times New Roman"/>
                <w:sz w:val="20"/>
                <w:shd w:val="clear" w:color="auto" w:fill="FFFFFF"/>
              </w:rPr>
            </w:pPr>
          </w:p>
        </w:tc>
        <w:tc>
          <w:tcPr>
            <w:tcW w:w="850" w:type="dxa"/>
            <w:tcBorders>
              <w:top w:val="single" w:sz="4" w:space="0" w:color="auto"/>
              <w:left w:val="nil"/>
              <w:bottom w:val="nil"/>
              <w:right w:val="nil"/>
            </w:tcBorders>
            <w:vAlign w:val="bottom"/>
          </w:tcPr>
          <w:p w14:paraId="4F208345" w14:textId="77777777" w:rsidR="000F2642" w:rsidRPr="008B13C9" w:rsidRDefault="000F2642" w:rsidP="005247AB">
            <w:pPr>
              <w:spacing w:after="0" w:line="240" w:lineRule="auto"/>
              <w:jc w:val="center"/>
              <w:rPr>
                <w:rFonts w:eastAsia="Times New Roman"/>
                <w:sz w:val="20"/>
                <w:shd w:val="clear" w:color="auto" w:fill="FFFFFF"/>
              </w:rPr>
            </w:pPr>
          </w:p>
        </w:tc>
        <w:tc>
          <w:tcPr>
            <w:tcW w:w="284" w:type="dxa"/>
            <w:gridSpan w:val="2"/>
            <w:tcBorders>
              <w:top w:val="single" w:sz="4" w:space="0" w:color="auto"/>
              <w:left w:val="nil"/>
              <w:bottom w:val="nil"/>
              <w:right w:val="nil"/>
            </w:tcBorders>
            <w:vAlign w:val="bottom"/>
          </w:tcPr>
          <w:p w14:paraId="2D58DBB0"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single" w:sz="4" w:space="0" w:color="auto"/>
              <w:left w:val="nil"/>
              <w:bottom w:val="nil"/>
              <w:right w:val="nil"/>
            </w:tcBorders>
            <w:vAlign w:val="bottom"/>
          </w:tcPr>
          <w:p w14:paraId="44F0BED0" w14:textId="77777777" w:rsidR="000F2642" w:rsidRPr="008B13C9" w:rsidRDefault="000F2642"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62D4FD2A"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200118AA" w14:textId="77777777" w:rsidR="000F2642" w:rsidRPr="008B13C9" w:rsidRDefault="000F2642" w:rsidP="005247AB">
            <w:pPr>
              <w:spacing w:after="0" w:line="240" w:lineRule="auto"/>
              <w:jc w:val="center"/>
              <w:rPr>
                <w:rFonts w:eastAsia="Times New Roman"/>
                <w:sz w:val="20"/>
                <w:shd w:val="clear" w:color="auto" w:fill="FFFFFF"/>
              </w:rPr>
            </w:pPr>
          </w:p>
        </w:tc>
        <w:tc>
          <w:tcPr>
            <w:tcW w:w="881" w:type="dxa"/>
            <w:tcBorders>
              <w:top w:val="single" w:sz="4" w:space="0" w:color="auto"/>
              <w:left w:val="nil"/>
              <w:bottom w:val="nil"/>
              <w:right w:val="nil"/>
            </w:tcBorders>
            <w:vAlign w:val="bottom"/>
          </w:tcPr>
          <w:p w14:paraId="651BF484" w14:textId="77777777" w:rsidR="000F2642" w:rsidRPr="008B13C9" w:rsidRDefault="000F2642" w:rsidP="005247AB">
            <w:pPr>
              <w:spacing w:after="0" w:line="240" w:lineRule="auto"/>
              <w:jc w:val="center"/>
              <w:rPr>
                <w:rFonts w:eastAsia="Times New Roman"/>
                <w:sz w:val="20"/>
                <w:shd w:val="clear" w:color="auto" w:fill="FFFFFF"/>
              </w:rPr>
            </w:pPr>
          </w:p>
        </w:tc>
      </w:tr>
      <w:tr w:rsidR="008B13C9" w:rsidRPr="008B13C9" w14:paraId="76ABBB32"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64D936AD"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7C137F35"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White</w:t>
            </w:r>
          </w:p>
        </w:tc>
        <w:tc>
          <w:tcPr>
            <w:tcW w:w="992" w:type="dxa"/>
            <w:tcBorders>
              <w:top w:val="nil"/>
              <w:left w:val="nil"/>
              <w:right w:val="nil"/>
            </w:tcBorders>
            <w:vAlign w:val="bottom"/>
          </w:tcPr>
          <w:p w14:paraId="130417D5" w14:textId="01123733"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95.0</w:t>
            </w:r>
          </w:p>
        </w:tc>
        <w:tc>
          <w:tcPr>
            <w:tcW w:w="1308" w:type="dxa"/>
            <w:tcBorders>
              <w:top w:val="nil"/>
              <w:left w:val="nil"/>
              <w:right w:val="nil"/>
            </w:tcBorders>
            <w:vAlign w:val="bottom"/>
          </w:tcPr>
          <w:p w14:paraId="1F12F85C" w14:textId="2AE99AC0"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94.9</w:t>
            </w:r>
          </w:p>
        </w:tc>
        <w:tc>
          <w:tcPr>
            <w:tcW w:w="851" w:type="dxa"/>
            <w:tcBorders>
              <w:top w:val="nil"/>
              <w:left w:val="nil"/>
              <w:right w:val="nil"/>
            </w:tcBorders>
            <w:vAlign w:val="bottom"/>
          </w:tcPr>
          <w:p w14:paraId="35CE9AD1" w14:textId="3C8852D9"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97.1</w:t>
            </w:r>
          </w:p>
        </w:tc>
        <w:tc>
          <w:tcPr>
            <w:tcW w:w="850" w:type="dxa"/>
            <w:tcBorders>
              <w:top w:val="nil"/>
              <w:left w:val="nil"/>
              <w:right w:val="nil"/>
            </w:tcBorders>
            <w:vAlign w:val="bottom"/>
          </w:tcPr>
          <w:p w14:paraId="52162302" w14:textId="02D79C30" w:rsidR="000F2642" w:rsidRPr="008B13C9" w:rsidRDefault="003A360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w:t>
            </w:r>
            <w:r w:rsidR="00E64620" w:rsidRPr="008B13C9">
              <w:rPr>
                <w:rFonts w:eastAsia="Times New Roman"/>
                <w:sz w:val="20"/>
                <w:shd w:val="clear" w:color="auto" w:fill="FFFFFF"/>
              </w:rPr>
              <w:t>107</w:t>
            </w:r>
          </w:p>
        </w:tc>
        <w:tc>
          <w:tcPr>
            <w:tcW w:w="284" w:type="dxa"/>
            <w:gridSpan w:val="2"/>
            <w:tcBorders>
              <w:top w:val="nil"/>
              <w:left w:val="nil"/>
              <w:right w:val="nil"/>
            </w:tcBorders>
            <w:vAlign w:val="bottom"/>
          </w:tcPr>
          <w:p w14:paraId="3649F0D3"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4DA8941C" w14:textId="698716BB"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97.7</w:t>
            </w:r>
          </w:p>
        </w:tc>
        <w:tc>
          <w:tcPr>
            <w:tcW w:w="1223" w:type="dxa"/>
            <w:tcBorders>
              <w:top w:val="nil"/>
              <w:left w:val="nil"/>
              <w:right w:val="nil"/>
            </w:tcBorders>
            <w:vAlign w:val="bottom"/>
          </w:tcPr>
          <w:p w14:paraId="5746DE9F" w14:textId="27677374"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96.8</w:t>
            </w:r>
          </w:p>
        </w:tc>
        <w:tc>
          <w:tcPr>
            <w:tcW w:w="851" w:type="dxa"/>
            <w:tcBorders>
              <w:top w:val="nil"/>
              <w:left w:val="nil"/>
              <w:right w:val="nil"/>
            </w:tcBorders>
            <w:vAlign w:val="bottom"/>
          </w:tcPr>
          <w:p w14:paraId="54D75B8B" w14:textId="16C43ED2"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95.8</w:t>
            </w:r>
          </w:p>
        </w:tc>
        <w:tc>
          <w:tcPr>
            <w:tcW w:w="881" w:type="dxa"/>
            <w:tcBorders>
              <w:top w:val="nil"/>
              <w:left w:val="nil"/>
              <w:right w:val="nil"/>
            </w:tcBorders>
            <w:vAlign w:val="bottom"/>
          </w:tcPr>
          <w:p w14:paraId="64DFBEE8" w14:textId="66F79852" w:rsidR="000F2642" w:rsidRPr="008B13C9" w:rsidRDefault="003A360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w:t>
            </w:r>
            <w:r w:rsidR="009419D5" w:rsidRPr="008B13C9">
              <w:rPr>
                <w:rFonts w:eastAsia="Times New Roman"/>
                <w:sz w:val="20"/>
                <w:shd w:val="clear" w:color="auto" w:fill="FFFFFF"/>
              </w:rPr>
              <w:t>117</w:t>
            </w:r>
          </w:p>
        </w:tc>
      </w:tr>
      <w:tr w:rsidR="008B13C9" w:rsidRPr="008B13C9" w14:paraId="74092200"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single" w:sz="4" w:space="0" w:color="auto"/>
              <w:right w:val="nil"/>
            </w:tcBorders>
          </w:tcPr>
          <w:p w14:paraId="3539631A"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759BB2AF"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Non-white</w:t>
            </w:r>
          </w:p>
        </w:tc>
        <w:tc>
          <w:tcPr>
            <w:tcW w:w="992" w:type="dxa"/>
            <w:tcBorders>
              <w:top w:val="nil"/>
              <w:left w:val="nil"/>
              <w:right w:val="nil"/>
            </w:tcBorders>
            <w:vAlign w:val="bottom"/>
          </w:tcPr>
          <w:p w14:paraId="7122E665" w14:textId="4C9BF58D"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5.0</w:t>
            </w:r>
          </w:p>
        </w:tc>
        <w:tc>
          <w:tcPr>
            <w:tcW w:w="1308" w:type="dxa"/>
            <w:tcBorders>
              <w:top w:val="nil"/>
              <w:left w:val="nil"/>
              <w:right w:val="nil"/>
            </w:tcBorders>
            <w:vAlign w:val="bottom"/>
          </w:tcPr>
          <w:p w14:paraId="62EDB696" w14:textId="25D6D486"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5.1</w:t>
            </w:r>
          </w:p>
        </w:tc>
        <w:tc>
          <w:tcPr>
            <w:tcW w:w="851" w:type="dxa"/>
            <w:tcBorders>
              <w:top w:val="nil"/>
              <w:left w:val="nil"/>
              <w:right w:val="nil"/>
            </w:tcBorders>
            <w:vAlign w:val="bottom"/>
          </w:tcPr>
          <w:p w14:paraId="5482891C" w14:textId="0D7746A3"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2.9</w:t>
            </w:r>
          </w:p>
        </w:tc>
        <w:tc>
          <w:tcPr>
            <w:tcW w:w="850" w:type="dxa"/>
            <w:tcBorders>
              <w:top w:val="nil"/>
              <w:left w:val="nil"/>
              <w:right w:val="nil"/>
            </w:tcBorders>
            <w:vAlign w:val="bottom"/>
          </w:tcPr>
          <w:p w14:paraId="2ED2D13D"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68B1D15F"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08BA1CE8" w14:textId="199F2794"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2.3</w:t>
            </w:r>
          </w:p>
        </w:tc>
        <w:tc>
          <w:tcPr>
            <w:tcW w:w="1223" w:type="dxa"/>
            <w:tcBorders>
              <w:top w:val="nil"/>
              <w:left w:val="nil"/>
              <w:right w:val="nil"/>
            </w:tcBorders>
            <w:vAlign w:val="bottom"/>
          </w:tcPr>
          <w:p w14:paraId="66F39944" w14:textId="7FAAC8BD"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3.2</w:t>
            </w:r>
          </w:p>
        </w:tc>
        <w:tc>
          <w:tcPr>
            <w:tcW w:w="851" w:type="dxa"/>
            <w:tcBorders>
              <w:top w:val="nil"/>
              <w:left w:val="nil"/>
              <w:right w:val="nil"/>
            </w:tcBorders>
            <w:vAlign w:val="bottom"/>
          </w:tcPr>
          <w:p w14:paraId="2A4BAD41" w14:textId="159B586B" w:rsidR="000F2642" w:rsidRPr="008B13C9" w:rsidRDefault="00E64620"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4.2</w:t>
            </w:r>
          </w:p>
        </w:tc>
        <w:tc>
          <w:tcPr>
            <w:tcW w:w="881" w:type="dxa"/>
            <w:tcBorders>
              <w:top w:val="nil"/>
              <w:left w:val="nil"/>
              <w:right w:val="nil"/>
            </w:tcBorders>
            <w:vAlign w:val="bottom"/>
          </w:tcPr>
          <w:p w14:paraId="34427181"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52A9A918" w14:textId="77777777" w:rsidTr="0058440C">
        <w:tblPrEx>
          <w:tblBorders>
            <w:left w:val="single" w:sz="4" w:space="0" w:color="auto"/>
            <w:right w:val="single" w:sz="4" w:space="0" w:color="auto"/>
            <w:insideV w:val="single" w:sz="4" w:space="0" w:color="auto"/>
          </w:tblBorders>
        </w:tblPrEx>
        <w:tc>
          <w:tcPr>
            <w:tcW w:w="2269" w:type="dxa"/>
            <w:gridSpan w:val="2"/>
            <w:tcBorders>
              <w:top w:val="single" w:sz="4" w:space="0" w:color="auto"/>
              <w:left w:val="nil"/>
              <w:bottom w:val="nil"/>
              <w:right w:val="nil"/>
            </w:tcBorders>
          </w:tcPr>
          <w:p w14:paraId="1D6A466C" w14:textId="77777777" w:rsidR="000F2642" w:rsidRPr="008B13C9" w:rsidRDefault="000F2642" w:rsidP="005247AB">
            <w:pPr>
              <w:spacing w:after="0" w:line="240" w:lineRule="auto"/>
              <w:rPr>
                <w:rFonts w:eastAsia="Times New Roman"/>
                <w:sz w:val="20"/>
                <w:shd w:val="clear" w:color="auto" w:fill="FFFFFF"/>
              </w:rPr>
            </w:pPr>
            <w:r w:rsidRPr="008B13C9">
              <w:rPr>
                <w:rFonts w:eastAsia="Times New Roman"/>
                <w:sz w:val="20"/>
                <w:shd w:val="clear" w:color="auto" w:fill="FFFFFF"/>
              </w:rPr>
              <w:t>Wealth quintile</w:t>
            </w:r>
          </w:p>
        </w:tc>
        <w:tc>
          <w:tcPr>
            <w:tcW w:w="992" w:type="dxa"/>
            <w:tcBorders>
              <w:top w:val="single" w:sz="4" w:space="0" w:color="auto"/>
              <w:left w:val="nil"/>
              <w:bottom w:val="nil"/>
              <w:right w:val="nil"/>
            </w:tcBorders>
            <w:vAlign w:val="bottom"/>
          </w:tcPr>
          <w:p w14:paraId="111C70C8" w14:textId="77777777" w:rsidR="000F2642" w:rsidRPr="008B13C9" w:rsidRDefault="000F2642" w:rsidP="005247AB">
            <w:pPr>
              <w:spacing w:after="0" w:line="240" w:lineRule="auto"/>
              <w:jc w:val="center"/>
              <w:rPr>
                <w:rFonts w:eastAsia="Times New Roman"/>
                <w:sz w:val="20"/>
                <w:shd w:val="clear" w:color="auto" w:fill="FFFFFF"/>
              </w:rPr>
            </w:pPr>
          </w:p>
        </w:tc>
        <w:tc>
          <w:tcPr>
            <w:tcW w:w="1308" w:type="dxa"/>
            <w:tcBorders>
              <w:top w:val="single" w:sz="4" w:space="0" w:color="auto"/>
              <w:left w:val="nil"/>
              <w:bottom w:val="nil"/>
              <w:right w:val="nil"/>
            </w:tcBorders>
            <w:vAlign w:val="bottom"/>
          </w:tcPr>
          <w:p w14:paraId="0B1F7071"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502952FA" w14:textId="77777777" w:rsidR="000F2642" w:rsidRPr="008B13C9" w:rsidRDefault="000F2642" w:rsidP="005247AB">
            <w:pPr>
              <w:spacing w:after="0" w:line="240" w:lineRule="auto"/>
              <w:jc w:val="center"/>
              <w:rPr>
                <w:rFonts w:eastAsia="Times New Roman"/>
                <w:sz w:val="20"/>
                <w:shd w:val="clear" w:color="auto" w:fill="FFFFFF"/>
              </w:rPr>
            </w:pPr>
          </w:p>
        </w:tc>
        <w:tc>
          <w:tcPr>
            <w:tcW w:w="850" w:type="dxa"/>
            <w:tcBorders>
              <w:top w:val="single" w:sz="4" w:space="0" w:color="auto"/>
              <w:left w:val="nil"/>
              <w:bottom w:val="nil"/>
              <w:right w:val="nil"/>
            </w:tcBorders>
            <w:vAlign w:val="bottom"/>
          </w:tcPr>
          <w:p w14:paraId="5C6115F0" w14:textId="77777777" w:rsidR="000F2642" w:rsidRPr="008B13C9" w:rsidRDefault="000F2642" w:rsidP="005247AB">
            <w:pPr>
              <w:spacing w:after="0" w:line="240" w:lineRule="auto"/>
              <w:jc w:val="center"/>
              <w:rPr>
                <w:rFonts w:eastAsia="Times New Roman"/>
                <w:sz w:val="20"/>
                <w:shd w:val="clear" w:color="auto" w:fill="FFFFFF"/>
              </w:rPr>
            </w:pPr>
          </w:p>
        </w:tc>
        <w:tc>
          <w:tcPr>
            <w:tcW w:w="284" w:type="dxa"/>
            <w:gridSpan w:val="2"/>
            <w:tcBorders>
              <w:top w:val="single" w:sz="4" w:space="0" w:color="auto"/>
              <w:left w:val="nil"/>
              <w:bottom w:val="nil"/>
              <w:right w:val="nil"/>
            </w:tcBorders>
            <w:vAlign w:val="bottom"/>
          </w:tcPr>
          <w:p w14:paraId="13937F38"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single" w:sz="4" w:space="0" w:color="auto"/>
              <w:left w:val="nil"/>
              <w:bottom w:val="nil"/>
              <w:right w:val="nil"/>
            </w:tcBorders>
            <w:vAlign w:val="bottom"/>
          </w:tcPr>
          <w:p w14:paraId="1C843175" w14:textId="77777777" w:rsidR="000F2642" w:rsidRPr="008B13C9" w:rsidRDefault="000F2642"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166A0C21"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7D60116C" w14:textId="77777777" w:rsidR="000F2642" w:rsidRPr="008B13C9" w:rsidRDefault="000F2642" w:rsidP="005247AB">
            <w:pPr>
              <w:spacing w:after="0" w:line="240" w:lineRule="auto"/>
              <w:jc w:val="center"/>
              <w:rPr>
                <w:rFonts w:eastAsia="Times New Roman"/>
                <w:sz w:val="20"/>
                <w:shd w:val="clear" w:color="auto" w:fill="FFFFFF"/>
              </w:rPr>
            </w:pPr>
          </w:p>
        </w:tc>
        <w:tc>
          <w:tcPr>
            <w:tcW w:w="881" w:type="dxa"/>
            <w:tcBorders>
              <w:top w:val="single" w:sz="4" w:space="0" w:color="auto"/>
              <w:left w:val="nil"/>
              <w:bottom w:val="nil"/>
              <w:right w:val="nil"/>
            </w:tcBorders>
            <w:vAlign w:val="bottom"/>
          </w:tcPr>
          <w:p w14:paraId="6989485B" w14:textId="77777777" w:rsidR="000F2642" w:rsidRPr="008B13C9" w:rsidRDefault="000F2642" w:rsidP="005247AB">
            <w:pPr>
              <w:spacing w:after="0" w:line="240" w:lineRule="auto"/>
              <w:jc w:val="center"/>
              <w:rPr>
                <w:rFonts w:eastAsia="Times New Roman"/>
                <w:sz w:val="20"/>
                <w:shd w:val="clear" w:color="auto" w:fill="FFFFFF"/>
              </w:rPr>
            </w:pPr>
          </w:p>
        </w:tc>
      </w:tr>
      <w:tr w:rsidR="008B13C9" w:rsidRPr="008B13C9" w14:paraId="4941BF2F"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51C8D5FC"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20C5FD57"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1 (poorest)</w:t>
            </w:r>
          </w:p>
        </w:tc>
        <w:tc>
          <w:tcPr>
            <w:tcW w:w="992" w:type="dxa"/>
            <w:tcBorders>
              <w:top w:val="nil"/>
              <w:left w:val="nil"/>
              <w:right w:val="nil"/>
            </w:tcBorders>
            <w:vAlign w:val="bottom"/>
          </w:tcPr>
          <w:p w14:paraId="6694AF72" w14:textId="76E98D7B"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13.2</w:t>
            </w:r>
          </w:p>
        </w:tc>
        <w:tc>
          <w:tcPr>
            <w:tcW w:w="1308" w:type="dxa"/>
            <w:tcBorders>
              <w:top w:val="nil"/>
              <w:left w:val="nil"/>
              <w:right w:val="nil"/>
            </w:tcBorders>
            <w:vAlign w:val="bottom"/>
          </w:tcPr>
          <w:p w14:paraId="711B9522" w14:textId="12BB42DF"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12.1</w:t>
            </w:r>
          </w:p>
        </w:tc>
        <w:tc>
          <w:tcPr>
            <w:tcW w:w="851" w:type="dxa"/>
            <w:tcBorders>
              <w:top w:val="nil"/>
              <w:left w:val="nil"/>
              <w:right w:val="nil"/>
            </w:tcBorders>
            <w:vAlign w:val="bottom"/>
          </w:tcPr>
          <w:p w14:paraId="4A3528B2" w14:textId="1797FB76"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19.2</w:t>
            </w:r>
          </w:p>
        </w:tc>
        <w:tc>
          <w:tcPr>
            <w:tcW w:w="850" w:type="dxa"/>
            <w:tcBorders>
              <w:top w:val="nil"/>
              <w:left w:val="nil"/>
              <w:right w:val="nil"/>
            </w:tcBorders>
            <w:vAlign w:val="bottom"/>
          </w:tcPr>
          <w:p w14:paraId="74670B81" w14:textId="77777777" w:rsidR="000F2642" w:rsidRPr="008B13C9" w:rsidRDefault="0083118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&lt;0.001</w:t>
            </w:r>
          </w:p>
        </w:tc>
        <w:tc>
          <w:tcPr>
            <w:tcW w:w="284" w:type="dxa"/>
            <w:gridSpan w:val="2"/>
            <w:tcBorders>
              <w:top w:val="nil"/>
              <w:left w:val="nil"/>
              <w:right w:val="nil"/>
            </w:tcBorders>
            <w:vAlign w:val="bottom"/>
          </w:tcPr>
          <w:p w14:paraId="303141B6"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6CB2A1AE" w14:textId="4A7B5AE6"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15.8</w:t>
            </w:r>
          </w:p>
        </w:tc>
        <w:tc>
          <w:tcPr>
            <w:tcW w:w="1223" w:type="dxa"/>
            <w:tcBorders>
              <w:top w:val="nil"/>
              <w:left w:val="nil"/>
              <w:right w:val="nil"/>
            </w:tcBorders>
            <w:vAlign w:val="bottom"/>
          </w:tcPr>
          <w:p w14:paraId="1BF183C1" w14:textId="7E6BD6CC"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14.6</w:t>
            </w:r>
          </w:p>
        </w:tc>
        <w:tc>
          <w:tcPr>
            <w:tcW w:w="851" w:type="dxa"/>
            <w:tcBorders>
              <w:top w:val="nil"/>
              <w:left w:val="nil"/>
              <w:right w:val="nil"/>
            </w:tcBorders>
            <w:vAlign w:val="bottom"/>
          </w:tcPr>
          <w:p w14:paraId="1B583A30" w14:textId="0A924B12"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23.4</w:t>
            </w:r>
          </w:p>
        </w:tc>
        <w:tc>
          <w:tcPr>
            <w:tcW w:w="881" w:type="dxa"/>
            <w:tcBorders>
              <w:top w:val="nil"/>
              <w:left w:val="nil"/>
              <w:right w:val="nil"/>
            </w:tcBorders>
            <w:vAlign w:val="bottom"/>
          </w:tcPr>
          <w:p w14:paraId="22BD0A52" w14:textId="77777777" w:rsidR="000F2642" w:rsidRPr="008B13C9" w:rsidRDefault="0083118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&lt;0.001</w:t>
            </w:r>
          </w:p>
        </w:tc>
      </w:tr>
      <w:tr w:rsidR="008B13C9" w:rsidRPr="008B13C9" w14:paraId="75EB91C4"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7A504E47"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75D802AF"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2</w:t>
            </w:r>
          </w:p>
        </w:tc>
        <w:tc>
          <w:tcPr>
            <w:tcW w:w="992" w:type="dxa"/>
            <w:tcBorders>
              <w:top w:val="nil"/>
              <w:left w:val="nil"/>
              <w:right w:val="nil"/>
            </w:tcBorders>
            <w:vAlign w:val="bottom"/>
          </w:tcPr>
          <w:p w14:paraId="7AEBEE61" w14:textId="5B6BB6D4"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16.1</w:t>
            </w:r>
          </w:p>
        </w:tc>
        <w:tc>
          <w:tcPr>
            <w:tcW w:w="1308" w:type="dxa"/>
            <w:tcBorders>
              <w:top w:val="nil"/>
              <w:left w:val="nil"/>
              <w:right w:val="nil"/>
            </w:tcBorders>
            <w:vAlign w:val="bottom"/>
          </w:tcPr>
          <w:p w14:paraId="4824F45A" w14:textId="15981A10"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18.1</w:t>
            </w:r>
          </w:p>
        </w:tc>
        <w:tc>
          <w:tcPr>
            <w:tcW w:w="851" w:type="dxa"/>
            <w:tcBorders>
              <w:top w:val="nil"/>
              <w:left w:val="nil"/>
              <w:right w:val="nil"/>
            </w:tcBorders>
            <w:vAlign w:val="bottom"/>
          </w:tcPr>
          <w:p w14:paraId="4CBEF6F0" w14:textId="4AE45DC0"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18.3</w:t>
            </w:r>
          </w:p>
        </w:tc>
        <w:tc>
          <w:tcPr>
            <w:tcW w:w="850" w:type="dxa"/>
            <w:tcBorders>
              <w:top w:val="nil"/>
              <w:left w:val="nil"/>
              <w:right w:val="nil"/>
            </w:tcBorders>
            <w:vAlign w:val="bottom"/>
          </w:tcPr>
          <w:p w14:paraId="551431A6"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02C18CB1"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563F1E8B" w14:textId="6885DE1E"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17.1</w:t>
            </w:r>
          </w:p>
        </w:tc>
        <w:tc>
          <w:tcPr>
            <w:tcW w:w="1223" w:type="dxa"/>
            <w:tcBorders>
              <w:top w:val="nil"/>
              <w:left w:val="nil"/>
              <w:right w:val="nil"/>
            </w:tcBorders>
            <w:vAlign w:val="bottom"/>
          </w:tcPr>
          <w:p w14:paraId="4E8395D6" w14:textId="49A8309E"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19.4</w:t>
            </w:r>
          </w:p>
        </w:tc>
        <w:tc>
          <w:tcPr>
            <w:tcW w:w="851" w:type="dxa"/>
            <w:tcBorders>
              <w:top w:val="nil"/>
              <w:left w:val="nil"/>
              <w:right w:val="nil"/>
            </w:tcBorders>
            <w:vAlign w:val="bottom"/>
          </w:tcPr>
          <w:p w14:paraId="29180D55" w14:textId="268FD727"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23.4</w:t>
            </w:r>
          </w:p>
        </w:tc>
        <w:tc>
          <w:tcPr>
            <w:tcW w:w="881" w:type="dxa"/>
            <w:tcBorders>
              <w:top w:val="nil"/>
              <w:left w:val="nil"/>
              <w:right w:val="nil"/>
            </w:tcBorders>
            <w:vAlign w:val="bottom"/>
          </w:tcPr>
          <w:p w14:paraId="1AC44083"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7B05B9AC"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69440489"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716EF12E" w14:textId="77777777" w:rsidR="000F2642" w:rsidRPr="008B13C9" w:rsidRDefault="000F2642" w:rsidP="005247AB">
            <w:pPr>
              <w:spacing w:after="0" w:line="240" w:lineRule="auto"/>
              <w:rPr>
                <w:rFonts w:cs="Arial"/>
                <w:sz w:val="20"/>
                <w:szCs w:val="20"/>
              </w:rPr>
            </w:pPr>
            <w:r w:rsidRPr="008B13C9">
              <w:rPr>
                <w:rFonts w:cs="Arial"/>
                <w:sz w:val="20"/>
                <w:szCs w:val="20"/>
              </w:rPr>
              <w:t>3</w:t>
            </w:r>
          </w:p>
        </w:tc>
        <w:tc>
          <w:tcPr>
            <w:tcW w:w="992" w:type="dxa"/>
            <w:tcBorders>
              <w:top w:val="nil"/>
              <w:left w:val="nil"/>
              <w:right w:val="nil"/>
            </w:tcBorders>
            <w:vAlign w:val="bottom"/>
          </w:tcPr>
          <w:p w14:paraId="482763C0" w14:textId="316C638C"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21.0</w:t>
            </w:r>
          </w:p>
        </w:tc>
        <w:tc>
          <w:tcPr>
            <w:tcW w:w="1308" w:type="dxa"/>
            <w:tcBorders>
              <w:top w:val="nil"/>
              <w:left w:val="nil"/>
              <w:right w:val="nil"/>
            </w:tcBorders>
            <w:vAlign w:val="bottom"/>
          </w:tcPr>
          <w:p w14:paraId="2A2AA846" w14:textId="1735B3E7"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20.6</w:t>
            </w:r>
          </w:p>
        </w:tc>
        <w:tc>
          <w:tcPr>
            <w:tcW w:w="851" w:type="dxa"/>
            <w:tcBorders>
              <w:top w:val="nil"/>
              <w:left w:val="nil"/>
              <w:right w:val="nil"/>
            </w:tcBorders>
            <w:vAlign w:val="bottom"/>
          </w:tcPr>
          <w:p w14:paraId="41865202" w14:textId="7F32ECD5"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24.1</w:t>
            </w:r>
          </w:p>
        </w:tc>
        <w:tc>
          <w:tcPr>
            <w:tcW w:w="850" w:type="dxa"/>
            <w:tcBorders>
              <w:top w:val="nil"/>
              <w:left w:val="nil"/>
              <w:right w:val="nil"/>
            </w:tcBorders>
            <w:vAlign w:val="bottom"/>
          </w:tcPr>
          <w:p w14:paraId="5904E2A1"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2B771467"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12568C10" w14:textId="21CCF7E0"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18.4</w:t>
            </w:r>
          </w:p>
        </w:tc>
        <w:tc>
          <w:tcPr>
            <w:tcW w:w="1223" w:type="dxa"/>
            <w:tcBorders>
              <w:top w:val="nil"/>
              <w:left w:val="nil"/>
              <w:right w:val="nil"/>
            </w:tcBorders>
            <w:vAlign w:val="bottom"/>
          </w:tcPr>
          <w:p w14:paraId="1D47F0B8" w14:textId="71304DB5"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21.7</w:t>
            </w:r>
          </w:p>
        </w:tc>
        <w:tc>
          <w:tcPr>
            <w:tcW w:w="851" w:type="dxa"/>
            <w:tcBorders>
              <w:top w:val="nil"/>
              <w:left w:val="nil"/>
              <w:right w:val="nil"/>
            </w:tcBorders>
            <w:vAlign w:val="bottom"/>
          </w:tcPr>
          <w:p w14:paraId="6BEA9171" w14:textId="58AB0B33"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24.1</w:t>
            </w:r>
          </w:p>
        </w:tc>
        <w:tc>
          <w:tcPr>
            <w:tcW w:w="881" w:type="dxa"/>
            <w:tcBorders>
              <w:top w:val="nil"/>
              <w:left w:val="nil"/>
              <w:right w:val="nil"/>
            </w:tcBorders>
            <w:vAlign w:val="bottom"/>
          </w:tcPr>
          <w:p w14:paraId="20DA8AA6"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105A3CA7"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25B1049B"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130A715F"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4</w:t>
            </w:r>
          </w:p>
        </w:tc>
        <w:tc>
          <w:tcPr>
            <w:tcW w:w="992" w:type="dxa"/>
            <w:tcBorders>
              <w:top w:val="nil"/>
              <w:left w:val="nil"/>
              <w:right w:val="nil"/>
            </w:tcBorders>
            <w:vAlign w:val="bottom"/>
          </w:tcPr>
          <w:p w14:paraId="12AC12CB" w14:textId="0E9F9380"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23.1</w:t>
            </w:r>
          </w:p>
        </w:tc>
        <w:tc>
          <w:tcPr>
            <w:tcW w:w="1308" w:type="dxa"/>
            <w:tcBorders>
              <w:top w:val="nil"/>
              <w:left w:val="nil"/>
              <w:right w:val="nil"/>
            </w:tcBorders>
            <w:vAlign w:val="bottom"/>
          </w:tcPr>
          <w:p w14:paraId="6E59C1F2" w14:textId="6106F154"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25.1</w:t>
            </w:r>
          </w:p>
        </w:tc>
        <w:tc>
          <w:tcPr>
            <w:tcW w:w="851" w:type="dxa"/>
            <w:tcBorders>
              <w:top w:val="nil"/>
              <w:left w:val="nil"/>
              <w:right w:val="nil"/>
            </w:tcBorders>
            <w:vAlign w:val="bottom"/>
          </w:tcPr>
          <w:p w14:paraId="047256B5" w14:textId="0BCAF578"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21.5</w:t>
            </w:r>
          </w:p>
        </w:tc>
        <w:tc>
          <w:tcPr>
            <w:tcW w:w="850" w:type="dxa"/>
            <w:tcBorders>
              <w:top w:val="nil"/>
              <w:left w:val="nil"/>
              <w:right w:val="nil"/>
            </w:tcBorders>
            <w:vAlign w:val="bottom"/>
          </w:tcPr>
          <w:p w14:paraId="3174FF8C"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707C74A0"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71930500" w14:textId="59FA8946"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20.2</w:t>
            </w:r>
          </w:p>
        </w:tc>
        <w:tc>
          <w:tcPr>
            <w:tcW w:w="1223" w:type="dxa"/>
            <w:tcBorders>
              <w:top w:val="nil"/>
              <w:left w:val="nil"/>
              <w:right w:val="nil"/>
            </w:tcBorders>
            <w:vAlign w:val="bottom"/>
          </w:tcPr>
          <w:p w14:paraId="3033B9FA" w14:textId="59716CCF"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23.1</w:t>
            </w:r>
          </w:p>
        </w:tc>
        <w:tc>
          <w:tcPr>
            <w:tcW w:w="851" w:type="dxa"/>
            <w:tcBorders>
              <w:top w:val="nil"/>
              <w:left w:val="nil"/>
              <w:right w:val="nil"/>
            </w:tcBorders>
            <w:vAlign w:val="bottom"/>
          </w:tcPr>
          <w:p w14:paraId="4B7271BA" w14:textId="3C1E0150"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19.0</w:t>
            </w:r>
          </w:p>
        </w:tc>
        <w:tc>
          <w:tcPr>
            <w:tcW w:w="881" w:type="dxa"/>
            <w:tcBorders>
              <w:top w:val="nil"/>
              <w:left w:val="nil"/>
              <w:right w:val="nil"/>
            </w:tcBorders>
            <w:vAlign w:val="bottom"/>
          </w:tcPr>
          <w:p w14:paraId="0081D879"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44EFEA30"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single" w:sz="4" w:space="0" w:color="auto"/>
              <w:right w:val="nil"/>
            </w:tcBorders>
          </w:tcPr>
          <w:p w14:paraId="70D589F7"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4B1AB005"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5 (richest)</w:t>
            </w:r>
          </w:p>
        </w:tc>
        <w:tc>
          <w:tcPr>
            <w:tcW w:w="992" w:type="dxa"/>
            <w:tcBorders>
              <w:top w:val="nil"/>
              <w:left w:val="nil"/>
              <w:right w:val="nil"/>
            </w:tcBorders>
            <w:vAlign w:val="bottom"/>
          </w:tcPr>
          <w:p w14:paraId="59DF859C" w14:textId="4587678B"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26.6</w:t>
            </w:r>
          </w:p>
        </w:tc>
        <w:tc>
          <w:tcPr>
            <w:tcW w:w="1308" w:type="dxa"/>
            <w:tcBorders>
              <w:top w:val="nil"/>
              <w:left w:val="nil"/>
              <w:right w:val="nil"/>
            </w:tcBorders>
            <w:vAlign w:val="bottom"/>
          </w:tcPr>
          <w:p w14:paraId="6F158AAF" w14:textId="73251033"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24.1</w:t>
            </w:r>
          </w:p>
        </w:tc>
        <w:tc>
          <w:tcPr>
            <w:tcW w:w="851" w:type="dxa"/>
            <w:tcBorders>
              <w:top w:val="nil"/>
              <w:left w:val="nil"/>
              <w:right w:val="nil"/>
            </w:tcBorders>
            <w:vAlign w:val="bottom"/>
          </w:tcPr>
          <w:p w14:paraId="287653B0" w14:textId="585722DD" w:rsidR="000F2642" w:rsidRPr="008B13C9" w:rsidRDefault="003776A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16.9</w:t>
            </w:r>
          </w:p>
        </w:tc>
        <w:tc>
          <w:tcPr>
            <w:tcW w:w="850" w:type="dxa"/>
            <w:tcBorders>
              <w:top w:val="nil"/>
              <w:left w:val="nil"/>
              <w:right w:val="nil"/>
            </w:tcBorders>
            <w:vAlign w:val="bottom"/>
          </w:tcPr>
          <w:p w14:paraId="5E754101"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534BBACC"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1B4A127B" w14:textId="1E536811"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28.5</w:t>
            </w:r>
          </w:p>
        </w:tc>
        <w:tc>
          <w:tcPr>
            <w:tcW w:w="1223" w:type="dxa"/>
            <w:tcBorders>
              <w:top w:val="nil"/>
              <w:left w:val="nil"/>
              <w:right w:val="nil"/>
            </w:tcBorders>
            <w:vAlign w:val="bottom"/>
          </w:tcPr>
          <w:p w14:paraId="03B3C185" w14:textId="4D64CCAD"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21.2</w:t>
            </w:r>
          </w:p>
        </w:tc>
        <w:tc>
          <w:tcPr>
            <w:tcW w:w="851" w:type="dxa"/>
            <w:tcBorders>
              <w:top w:val="nil"/>
              <w:left w:val="nil"/>
              <w:right w:val="nil"/>
            </w:tcBorders>
            <w:vAlign w:val="bottom"/>
          </w:tcPr>
          <w:p w14:paraId="2213ADB6" w14:textId="78FFA6E3" w:rsidR="000F2642" w:rsidRPr="008B13C9" w:rsidRDefault="00D36EC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10.1</w:t>
            </w:r>
          </w:p>
        </w:tc>
        <w:tc>
          <w:tcPr>
            <w:tcW w:w="881" w:type="dxa"/>
            <w:tcBorders>
              <w:top w:val="nil"/>
              <w:left w:val="nil"/>
              <w:right w:val="nil"/>
            </w:tcBorders>
            <w:vAlign w:val="bottom"/>
          </w:tcPr>
          <w:p w14:paraId="67FBE0E7"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5379EC83" w14:textId="77777777" w:rsidTr="0058440C">
        <w:tblPrEx>
          <w:tblBorders>
            <w:left w:val="single" w:sz="4" w:space="0" w:color="auto"/>
            <w:right w:val="single" w:sz="4" w:space="0" w:color="auto"/>
            <w:insideV w:val="single" w:sz="4" w:space="0" w:color="auto"/>
          </w:tblBorders>
        </w:tblPrEx>
        <w:tc>
          <w:tcPr>
            <w:tcW w:w="2269" w:type="dxa"/>
            <w:gridSpan w:val="2"/>
            <w:tcBorders>
              <w:top w:val="single" w:sz="4" w:space="0" w:color="auto"/>
              <w:left w:val="nil"/>
              <w:bottom w:val="nil"/>
              <w:right w:val="nil"/>
            </w:tcBorders>
          </w:tcPr>
          <w:p w14:paraId="42F81F56" w14:textId="77777777" w:rsidR="000F2642" w:rsidRPr="008B13C9" w:rsidRDefault="000F2642" w:rsidP="005247AB">
            <w:pPr>
              <w:spacing w:after="0" w:line="240" w:lineRule="auto"/>
              <w:rPr>
                <w:rFonts w:eastAsia="Times New Roman"/>
                <w:sz w:val="20"/>
                <w:shd w:val="clear" w:color="auto" w:fill="FFFFFF"/>
              </w:rPr>
            </w:pPr>
            <w:r w:rsidRPr="008B13C9">
              <w:rPr>
                <w:rFonts w:eastAsia="Times New Roman"/>
                <w:sz w:val="20"/>
                <w:shd w:val="clear" w:color="auto" w:fill="FFFFFF"/>
              </w:rPr>
              <w:t>Limiting long-standing illness</w:t>
            </w:r>
          </w:p>
        </w:tc>
        <w:tc>
          <w:tcPr>
            <w:tcW w:w="992" w:type="dxa"/>
            <w:tcBorders>
              <w:top w:val="single" w:sz="4" w:space="0" w:color="auto"/>
              <w:left w:val="nil"/>
              <w:bottom w:val="nil"/>
              <w:right w:val="nil"/>
            </w:tcBorders>
            <w:vAlign w:val="bottom"/>
          </w:tcPr>
          <w:p w14:paraId="43D6EF4C" w14:textId="77777777" w:rsidR="000F2642" w:rsidRPr="008B13C9" w:rsidRDefault="000F2642" w:rsidP="005247AB">
            <w:pPr>
              <w:spacing w:after="0" w:line="240" w:lineRule="auto"/>
              <w:jc w:val="center"/>
              <w:rPr>
                <w:rFonts w:eastAsia="Times New Roman"/>
                <w:sz w:val="20"/>
                <w:shd w:val="clear" w:color="auto" w:fill="FFFFFF"/>
              </w:rPr>
            </w:pPr>
          </w:p>
        </w:tc>
        <w:tc>
          <w:tcPr>
            <w:tcW w:w="1308" w:type="dxa"/>
            <w:tcBorders>
              <w:top w:val="single" w:sz="4" w:space="0" w:color="auto"/>
              <w:left w:val="nil"/>
              <w:bottom w:val="nil"/>
              <w:right w:val="nil"/>
            </w:tcBorders>
            <w:vAlign w:val="bottom"/>
          </w:tcPr>
          <w:p w14:paraId="27A71446"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4FC176DA" w14:textId="77777777" w:rsidR="000F2642" w:rsidRPr="008B13C9" w:rsidRDefault="000F2642" w:rsidP="005247AB">
            <w:pPr>
              <w:spacing w:after="0" w:line="240" w:lineRule="auto"/>
              <w:jc w:val="center"/>
              <w:rPr>
                <w:rFonts w:eastAsia="Times New Roman"/>
                <w:sz w:val="20"/>
                <w:shd w:val="clear" w:color="auto" w:fill="FFFFFF"/>
              </w:rPr>
            </w:pPr>
          </w:p>
        </w:tc>
        <w:tc>
          <w:tcPr>
            <w:tcW w:w="850" w:type="dxa"/>
            <w:tcBorders>
              <w:top w:val="single" w:sz="4" w:space="0" w:color="auto"/>
              <w:left w:val="nil"/>
              <w:bottom w:val="nil"/>
              <w:right w:val="nil"/>
            </w:tcBorders>
            <w:vAlign w:val="bottom"/>
          </w:tcPr>
          <w:p w14:paraId="4BF97697" w14:textId="77777777" w:rsidR="000F2642" w:rsidRPr="008B13C9" w:rsidRDefault="000F2642" w:rsidP="005247AB">
            <w:pPr>
              <w:spacing w:after="0" w:line="240" w:lineRule="auto"/>
              <w:jc w:val="center"/>
              <w:rPr>
                <w:rFonts w:eastAsia="Times New Roman"/>
                <w:sz w:val="20"/>
                <w:shd w:val="clear" w:color="auto" w:fill="FFFFFF"/>
              </w:rPr>
            </w:pPr>
          </w:p>
        </w:tc>
        <w:tc>
          <w:tcPr>
            <w:tcW w:w="284" w:type="dxa"/>
            <w:gridSpan w:val="2"/>
            <w:tcBorders>
              <w:top w:val="single" w:sz="4" w:space="0" w:color="auto"/>
              <w:left w:val="nil"/>
              <w:bottom w:val="nil"/>
              <w:right w:val="nil"/>
            </w:tcBorders>
            <w:vAlign w:val="bottom"/>
          </w:tcPr>
          <w:p w14:paraId="3C476030"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single" w:sz="4" w:space="0" w:color="auto"/>
              <w:left w:val="nil"/>
              <w:bottom w:val="nil"/>
              <w:right w:val="nil"/>
            </w:tcBorders>
            <w:vAlign w:val="bottom"/>
          </w:tcPr>
          <w:p w14:paraId="1941E968" w14:textId="77777777" w:rsidR="000F2642" w:rsidRPr="008B13C9" w:rsidRDefault="000F2642"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10A3F7B3"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7D625B5A" w14:textId="77777777" w:rsidR="000F2642" w:rsidRPr="008B13C9" w:rsidRDefault="000F2642" w:rsidP="005247AB">
            <w:pPr>
              <w:spacing w:after="0" w:line="240" w:lineRule="auto"/>
              <w:jc w:val="center"/>
              <w:rPr>
                <w:rFonts w:eastAsia="Times New Roman"/>
                <w:sz w:val="20"/>
                <w:shd w:val="clear" w:color="auto" w:fill="FFFFFF"/>
              </w:rPr>
            </w:pPr>
          </w:p>
        </w:tc>
        <w:tc>
          <w:tcPr>
            <w:tcW w:w="881" w:type="dxa"/>
            <w:tcBorders>
              <w:top w:val="single" w:sz="4" w:space="0" w:color="auto"/>
              <w:left w:val="nil"/>
              <w:bottom w:val="nil"/>
              <w:right w:val="nil"/>
            </w:tcBorders>
            <w:vAlign w:val="bottom"/>
          </w:tcPr>
          <w:p w14:paraId="415776EB" w14:textId="77777777" w:rsidR="000F2642" w:rsidRPr="008B13C9" w:rsidRDefault="000F2642" w:rsidP="005247AB">
            <w:pPr>
              <w:spacing w:after="0" w:line="240" w:lineRule="auto"/>
              <w:jc w:val="center"/>
              <w:rPr>
                <w:rFonts w:eastAsia="Times New Roman"/>
                <w:sz w:val="20"/>
                <w:shd w:val="clear" w:color="auto" w:fill="FFFFFF"/>
              </w:rPr>
            </w:pPr>
          </w:p>
        </w:tc>
      </w:tr>
      <w:tr w:rsidR="008B13C9" w:rsidRPr="008B13C9" w14:paraId="269FF4D3"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077340F3"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6B8F5835" w14:textId="77777777" w:rsidR="000F2642" w:rsidRPr="008B13C9" w:rsidRDefault="000F2642" w:rsidP="005247AB">
            <w:pPr>
              <w:spacing w:after="0" w:line="240" w:lineRule="auto"/>
              <w:rPr>
                <w:rFonts w:eastAsia="Times New Roman"/>
                <w:sz w:val="20"/>
                <w:shd w:val="clear" w:color="auto" w:fill="FFFFFF"/>
              </w:rPr>
            </w:pPr>
            <w:r w:rsidRPr="008B13C9">
              <w:rPr>
                <w:rFonts w:eastAsia="Times New Roman"/>
                <w:sz w:val="20"/>
                <w:shd w:val="clear" w:color="auto" w:fill="FFFFFF"/>
              </w:rPr>
              <w:t>No</w:t>
            </w:r>
          </w:p>
        </w:tc>
        <w:tc>
          <w:tcPr>
            <w:tcW w:w="992" w:type="dxa"/>
            <w:tcBorders>
              <w:top w:val="nil"/>
              <w:left w:val="nil"/>
              <w:right w:val="nil"/>
            </w:tcBorders>
            <w:vAlign w:val="bottom"/>
          </w:tcPr>
          <w:p w14:paraId="7537D05A" w14:textId="66A087E5"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66.3</w:t>
            </w:r>
          </w:p>
        </w:tc>
        <w:tc>
          <w:tcPr>
            <w:tcW w:w="1308" w:type="dxa"/>
            <w:tcBorders>
              <w:top w:val="nil"/>
              <w:left w:val="nil"/>
              <w:right w:val="nil"/>
            </w:tcBorders>
            <w:vAlign w:val="bottom"/>
          </w:tcPr>
          <w:p w14:paraId="79410A7F" w14:textId="3420CF79"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70.6</w:t>
            </w:r>
          </w:p>
        </w:tc>
        <w:tc>
          <w:tcPr>
            <w:tcW w:w="851" w:type="dxa"/>
            <w:tcBorders>
              <w:top w:val="nil"/>
              <w:left w:val="nil"/>
              <w:right w:val="nil"/>
            </w:tcBorders>
            <w:vAlign w:val="bottom"/>
          </w:tcPr>
          <w:p w14:paraId="4F3CA970" w14:textId="6456B7C2"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58.8</w:t>
            </w:r>
          </w:p>
        </w:tc>
        <w:tc>
          <w:tcPr>
            <w:tcW w:w="850" w:type="dxa"/>
            <w:tcBorders>
              <w:top w:val="nil"/>
              <w:left w:val="nil"/>
              <w:right w:val="nil"/>
            </w:tcBorders>
            <w:vAlign w:val="bottom"/>
          </w:tcPr>
          <w:p w14:paraId="653D1EE7" w14:textId="77777777" w:rsidR="000F2642" w:rsidRPr="008B13C9" w:rsidRDefault="00015C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&lt;0.001</w:t>
            </w:r>
          </w:p>
        </w:tc>
        <w:tc>
          <w:tcPr>
            <w:tcW w:w="284" w:type="dxa"/>
            <w:gridSpan w:val="2"/>
            <w:tcBorders>
              <w:top w:val="nil"/>
              <w:left w:val="nil"/>
              <w:right w:val="nil"/>
            </w:tcBorders>
            <w:vAlign w:val="bottom"/>
          </w:tcPr>
          <w:p w14:paraId="74D76F5D"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07D82EC3" w14:textId="66AC5CF0"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66.5</w:t>
            </w:r>
          </w:p>
        </w:tc>
        <w:tc>
          <w:tcPr>
            <w:tcW w:w="1223" w:type="dxa"/>
            <w:tcBorders>
              <w:top w:val="nil"/>
              <w:left w:val="nil"/>
              <w:right w:val="nil"/>
            </w:tcBorders>
            <w:vAlign w:val="bottom"/>
          </w:tcPr>
          <w:p w14:paraId="0B869894" w14:textId="6DAB983D"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68.7</w:t>
            </w:r>
          </w:p>
        </w:tc>
        <w:tc>
          <w:tcPr>
            <w:tcW w:w="851" w:type="dxa"/>
            <w:tcBorders>
              <w:top w:val="nil"/>
              <w:left w:val="nil"/>
              <w:right w:val="nil"/>
            </w:tcBorders>
            <w:vAlign w:val="bottom"/>
          </w:tcPr>
          <w:p w14:paraId="45981FE9" w14:textId="21F75842"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50.1</w:t>
            </w:r>
          </w:p>
        </w:tc>
        <w:tc>
          <w:tcPr>
            <w:tcW w:w="881" w:type="dxa"/>
            <w:tcBorders>
              <w:top w:val="nil"/>
              <w:left w:val="nil"/>
              <w:right w:val="nil"/>
            </w:tcBorders>
            <w:vAlign w:val="bottom"/>
          </w:tcPr>
          <w:p w14:paraId="780D05AF" w14:textId="77777777" w:rsidR="000F2642" w:rsidRPr="008B13C9" w:rsidRDefault="00015C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&lt;0.001</w:t>
            </w:r>
          </w:p>
        </w:tc>
      </w:tr>
      <w:tr w:rsidR="008B13C9" w:rsidRPr="008B13C9" w14:paraId="4C8789C3"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single" w:sz="4" w:space="0" w:color="auto"/>
              <w:right w:val="nil"/>
            </w:tcBorders>
          </w:tcPr>
          <w:p w14:paraId="61800C01"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08597BE7" w14:textId="77777777" w:rsidR="000F2642" w:rsidRPr="008B13C9" w:rsidRDefault="000F2642" w:rsidP="005247AB">
            <w:pPr>
              <w:spacing w:after="0" w:line="240" w:lineRule="auto"/>
              <w:rPr>
                <w:rFonts w:eastAsia="Times New Roman"/>
                <w:sz w:val="20"/>
                <w:shd w:val="clear" w:color="auto" w:fill="FFFFFF"/>
              </w:rPr>
            </w:pPr>
            <w:r w:rsidRPr="008B13C9">
              <w:rPr>
                <w:rFonts w:eastAsia="Times New Roman"/>
                <w:sz w:val="20"/>
                <w:shd w:val="clear" w:color="auto" w:fill="FFFFFF"/>
              </w:rPr>
              <w:t>Yes</w:t>
            </w:r>
          </w:p>
        </w:tc>
        <w:tc>
          <w:tcPr>
            <w:tcW w:w="992" w:type="dxa"/>
            <w:tcBorders>
              <w:top w:val="nil"/>
              <w:left w:val="nil"/>
              <w:right w:val="nil"/>
            </w:tcBorders>
            <w:vAlign w:val="bottom"/>
          </w:tcPr>
          <w:p w14:paraId="6BF2F1DB" w14:textId="5FA24F84"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33.7</w:t>
            </w:r>
          </w:p>
        </w:tc>
        <w:tc>
          <w:tcPr>
            <w:tcW w:w="1308" w:type="dxa"/>
            <w:tcBorders>
              <w:top w:val="nil"/>
              <w:left w:val="nil"/>
              <w:right w:val="nil"/>
            </w:tcBorders>
            <w:vAlign w:val="bottom"/>
          </w:tcPr>
          <w:p w14:paraId="62354D73" w14:textId="4D7CDEE7"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29.4</w:t>
            </w:r>
          </w:p>
        </w:tc>
        <w:tc>
          <w:tcPr>
            <w:tcW w:w="851" w:type="dxa"/>
            <w:tcBorders>
              <w:top w:val="nil"/>
              <w:left w:val="nil"/>
              <w:right w:val="nil"/>
            </w:tcBorders>
            <w:vAlign w:val="bottom"/>
          </w:tcPr>
          <w:p w14:paraId="31E92E63" w14:textId="3F521B94"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41.2</w:t>
            </w:r>
          </w:p>
        </w:tc>
        <w:tc>
          <w:tcPr>
            <w:tcW w:w="850" w:type="dxa"/>
            <w:tcBorders>
              <w:top w:val="nil"/>
              <w:left w:val="nil"/>
              <w:right w:val="nil"/>
            </w:tcBorders>
            <w:vAlign w:val="bottom"/>
          </w:tcPr>
          <w:p w14:paraId="59A55E3C"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381D0E92"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4DC4CAA9" w14:textId="7B70A3E9"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33.5</w:t>
            </w:r>
          </w:p>
        </w:tc>
        <w:tc>
          <w:tcPr>
            <w:tcW w:w="1223" w:type="dxa"/>
            <w:tcBorders>
              <w:top w:val="nil"/>
              <w:left w:val="nil"/>
              <w:right w:val="nil"/>
            </w:tcBorders>
            <w:vAlign w:val="bottom"/>
          </w:tcPr>
          <w:p w14:paraId="119F8426" w14:textId="618FB649"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31.3</w:t>
            </w:r>
          </w:p>
        </w:tc>
        <w:tc>
          <w:tcPr>
            <w:tcW w:w="851" w:type="dxa"/>
            <w:tcBorders>
              <w:top w:val="nil"/>
              <w:left w:val="nil"/>
              <w:right w:val="nil"/>
            </w:tcBorders>
            <w:vAlign w:val="bottom"/>
          </w:tcPr>
          <w:p w14:paraId="2F9D559C" w14:textId="52808117" w:rsidR="000F2642" w:rsidRPr="008B13C9" w:rsidRDefault="002921E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49.9</w:t>
            </w:r>
          </w:p>
        </w:tc>
        <w:tc>
          <w:tcPr>
            <w:tcW w:w="881" w:type="dxa"/>
            <w:tcBorders>
              <w:top w:val="nil"/>
              <w:left w:val="nil"/>
              <w:right w:val="nil"/>
            </w:tcBorders>
            <w:vAlign w:val="bottom"/>
          </w:tcPr>
          <w:p w14:paraId="41EA172A"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7898DBE3" w14:textId="77777777" w:rsidTr="0058440C">
        <w:tblPrEx>
          <w:tblBorders>
            <w:left w:val="single" w:sz="4" w:space="0" w:color="auto"/>
            <w:right w:val="single" w:sz="4" w:space="0" w:color="auto"/>
            <w:insideV w:val="single" w:sz="4" w:space="0" w:color="auto"/>
          </w:tblBorders>
        </w:tblPrEx>
        <w:tc>
          <w:tcPr>
            <w:tcW w:w="2269" w:type="dxa"/>
            <w:gridSpan w:val="2"/>
            <w:tcBorders>
              <w:top w:val="single" w:sz="4" w:space="0" w:color="auto"/>
              <w:left w:val="nil"/>
              <w:bottom w:val="nil"/>
              <w:right w:val="nil"/>
            </w:tcBorders>
          </w:tcPr>
          <w:p w14:paraId="06BCE013" w14:textId="77777777" w:rsidR="000F2642" w:rsidRPr="008B13C9" w:rsidRDefault="000F2642" w:rsidP="005247AB">
            <w:pPr>
              <w:spacing w:after="0" w:line="240" w:lineRule="auto"/>
              <w:rPr>
                <w:rFonts w:eastAsia="Times New Roman"/>
                <w:sz w:val="20"/>
                <w:shd w:val="clear" w:color="auto" w:fill="FFFFFF"/>
              </w:rPr>
            </w:pPr>
            <w:r w:rsidRPr="008B13C9">
              <w:rPr>
                <w:rFonts w:eastAsia="Times New Roman"/>
                <w:sz w:val="20"/>
                <w:shd w:val="clear" w:color="auto" w:fill="FFFFFF"/>
              </w:rPr>
              <w:t>Smoking status</w:t>
            </w:r>
          </w:p>
        </w:tc>
        <w:tc>
          <w:tcPr>
            <w:tcW w:w="992" w:type="dxa"/>
            <w:tcBorders>
              <w:top w:val="single" w:sz="4" w:space="0" w:color="auto"/>
              <w:left w:val="nil"/>
              <w:bottom w:val="nil"/>
              <w:right w:val="nil"/>
            </w:tcBorders>
            <w:vAlign w:val="bottom"/>
          </w:tcPr>
          <w:p w14:paraId="16ECF167" w14:textId="77777777" w:rsidR="000F2642" w:rsidRPr="008B13C9" w:rsidRDefault="000F2642" w:rsidP="005247AB">
            <w:pPr>
              <w:spacing w:after="0" w:line="240" w:lineRule="auto"/>
              <w:jc w:val="center"/>
              <w:rPr>
                <w:rFonts w:eastAsia="Times New Roman"/>
                <w:sz w:val="20"/>
                <w:shd w:val="clear" w:color="auto" w:fill="FFFFFF"/>
              </w:rPr>
            </w:pPr>
          </w:p>
        </w:tc>
        <w:tc>
          <w:tcPr>
            <w:tcW w:w="1308" w:type="dxa"/>
            <w:tcBorders>
              <w:top w:val="single" w:sz="4" w:space="0" w:color="auto"/>
              <w:left w:val="nil"/>
              <w:bottom w:val="nil"/>
              <w:right w:val="nil"/>
            </w:tcBorders>
            <w:vAlign w:val="bottom"/>
          </w:tcPr>
          <w:p w14:paraId="1AF5AE3F"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5E2A78B5" w14:textId="77777777" w:rsidR="000F2642" w:rsidRPr="008B13C9" w:rsidRDefault="000F2642" w:rsidP="005247AB">
            <w:pPr>
              <w:spacing w:after="0" w:line="240" w:lineRule="auto"/>
              <w:jc w:val="center"/>
              <w:rPr>
                <w:rFonts w:eastAsia="Times New Roman"/>
                <w:sz w:val="20"/>
                <w:shd w:val="clear" w:color="auto" w:fill="FFFFFF"/>
              </w:rPr>
            </w:pPr>
          </w:p>
        </w:tc>
        <w:tc>
          <w:tcPr>
            <w:tcW w:w="850" w:type="dxa"/>
            <w:tcBorders>
              <w:top w:val="single" w:sz="4" w:space="0" w:color="auto"/>
              <w:left w:val="nil"/>
              <w:bottom w:val="nil"/>
              <w:right w:val="nil"/>
            </w:tcBorders>
            <w:vAlign w:val="bottom"/>
          </w:tcPr>
          <w:p w14:paraId="1E659F15" w14:textId="77777777" w:rsidR="000F2642" w:rsidRPr="008B13C9" w:rsidRDefault="000F2642" w:rsidP="005247AB">
            <w:pPr>
              <w:spacing w:after="0" w:line="240" w:lineRule="auto"/>
              <w:jc w:val="center"/>
              <w:rPr>
                <w:rFonts w:eastAsia="Times New Roman"/>
                <w:sz w:val="20"/>
                <w:shd w:val="clear" w:color="auto" w:fill="FFFFFF"/>
              </w:rPr>
            </w:pPr>
          </w:p>
        </w:tc>
        <w:tc>
          <w:tcPr>
            <w:tcW w:w="284" w:type="dxa"/>
            <w:gridSpan w:val="2"/>
            <w:tcBorders>
              <w:top w:val="single" w:sz="4" w:space="0" w:color="auto"/>
              <w:left w:val="nil"/>
              <w:bottom w:val="nil"/>
              <w:right w:val="nil"/>
            </w:tcBorders>
            <w:vAlign w:val="bottom"/>
          </w:tcPr>
          <w:p w14:paraId="3B94AE9D"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single" w:sz="4" w:space="0" w:color="auto"/>
              <w:left w:val="nil"/>
              <w:bottom w:val="nil"/>
              <w:right w:val="nil"/>
            </w:tcBorders>
            <w:vAlign w:val="bottom"/>
          </w:tcPr>
          <w:p w14:paraId="51FB8989" w14:textId="77777777" w:rsidR="000F2642" w:rsidRPr="008B13C9" w:rsidRDefault="000F2642"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39D83811"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36EBC236" w14:textId="77777777" w:rsidR="000F2642" w:rsidRPr="008B13C9" w:rsidRDefault="000F2642" w:rsidP="005247AB">
            <w:pPr>
              <w:spacing w:after="0" w:line="240" w:lineRule="auto"/>
              <w:jc w:val="center"/>
              <w:rPr>
                <w:rFonts w:eastAsia="Times New Roman"/>
                <w:sz w:val="20"/>
                <w:shd w:val="clear" w:color="auto" w:fill="FFFFFF"/>
              </w:rPr>
            </w:pPr>
          </w:p>
        </w:tc>
        <w:tc>
          <w:tcPr>
            <w:tcW w:w="881" w:type="dxa"/>
            <w:tcBorders>
              <w:top w:val="single" w:sz="4" w:space="0" w:color="auto"/>
              <w:left w:val="nil"/>
              <w:bottom w:val="nil"/>
              <w:right w:val="nil"/>
            </w:tcBorders>
            <w:vAlign w:val="bottom"/>
          </w:tcPr>
          <w:p w14:paraId="0D8669E3" w14:textId="77777777" w:rsidR="000F2642" w:rsidRPr="008B13C9" w:rsidRDefault="000F2642" w:rsidP="005247AB">
            <w:pPr>
              <w:spacing w:after="0" w:line="240" w:lineRule="auto"/>
              <w:jc w:val="center"/>
              <w:rPr>
                <w:rFonts w:eastAsia="Times New Roman"/>
                <w:sz w:val="20"/>
                <w:shd w:val="clear" w:color="auto" w:fill="FFFFFF"/>
              </w:rPr>
            </w:pPr>
          </w:p>
        </w:tc>
      </w:tr>
      <w:tr w:rsidR="008B13C9" w:rsidRPr="008B13C9" w14:paraId="3F7920B9"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1B389D09"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65ED28A0" w14:textId="77777777" w:rsidR="000F2642" w:rsidRPr="008B13C9" w:rsidRDefault="00754632" w:rsidP="005247AB">
            <w:pPr>
              <w:spacing w:after="0" w:line="240" w:lineRule="auto"/>
              <w:rPr>
                <w:rFonts w:eastAsia="Times New Roman"/>
                <w:sz w:val="20"/>
                <w:shd w:val="clear" w:color="auto" w:fill="FFFFFF"/>
              </w:rPr>
            </w:pPr>
            <w:r w:rsidRPr="008B13C9">
              <w:rPr>
                <w:rFonts w:cs="Arial"/>
                <w:sz w:val="20"/>
                <w:szCs w:val="20"/>
              </w:rPr>
              <w:t>Non-</w:t>
            </w:r>
            <w:r w:rsidR="000F2642" w:rsidRPr="008B13C9">
              <w:rPr>
                <w:rFonts w:cs="Arial"/>
                <w:sz w:val="20"/>
                <w:szCs w:val="20"/>
              </w:rPr>
              <w:t>smoker</w:t>
            </w:r>
          </w:p>
        </w:tc>
        <w:tc>
          <w:tcPr>
            <w:tcW w:w="992" w:type="dxa"/>
            <w:tcBorders>
              <w:top w:val="nil"/>
              <w:left w:val="nil"/>
              <w:right w:val="nil"/>
            </w:tcBorders>
            <w:vAlign w:val="bottom"/>
          </w:tcPr>
          <w:p w14:paraId="563C7178" w14:textId="7FC270FE"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84.5</w:t>
            </w:r>
          </w:p>
        </w:tc>
        <w:tc>
          <w:tcPr>
            <w:tcW w:w="1308" w:type="dxa"/>
            <w:tcBorders>
              <w:top w:val="nil"/>
              <w:left w:val="nil"/>
              <w:right w:val="nil"/>
            </w:tcBorders>
            <w:vAlign w:val="bottom"/>
          </w:tcPr>
          <w:p w14:paraId="67D9DF49" w14:textId="767DEBED"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89.8</w:t>
            </w:r>
          </w:p>
        </w:tc>
        <w:tc>
          <w:tcPr>
            <w:tcW w:w="851" w:type="dxa"/>
            <w:tcBorders>
              <w:top w:val="nil"/>
              <w:left w:val="nil"/>
              <w:right w:val="nil"/>
            </w:tcBorders>
            <w:vAlign w:val="bottom"/>
          </w:tcPr>
          <w:p w14:paraId="2C57D36E" w14:textId="7AF893D5"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90.7</w:t>
            </w:r>
          </w:p>
        </w:tc>
        <w:tc>
          <w:tcPr>
            <w:tcW w:w="850" w:type="dxa"/>
            <w:tcBorders>
              <w:top w:val="nil"/>
              <w:left w:val="nil"/>
              <w:right w:val="nil"/>
            </w:tcBorders>
            <w:vAlign w:val="bottom"/>
          </w:tcPr>
          <w:p w14:paraId="4056E99E" w14:textId="77777777" w:rsidR="000F2642" w:rsidRPr="008B13C9" w:rsidRDefault="0039694D"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0.003</w:t>
            </w:r>
          </w:p>
        </w:tc>
        <w:tc>
          <w:tcPr>
            <w:tcW w:w="284" w:type="dxa"/>
            <w:gridSpan w:val="2"/>
            <w:tcBorders>
              <w:top w:val="nil"/>
              <w:left w:val="nil"/>
              <w:right w:val="nil"/>
            </w:tcBorders>
            <w:vAlign w:val="bottom"/>
          </w:tcPr>
          <w:p w14:paraId="614D3740"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6A4D7ED2" w14:textId="36E1EB5E"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85.2</w:t>
            </w:r>
          </w:p>
        </w:tc>
        <w:tc>
          <w:tcPr>
            <w:tcW w:w="1223" w:type="dxa"/>
            <w:tcBorders>
              <w:top w:val="nil"/>
              <w:left w:val="nil"/>
              <w:right w:val="nil"/>
            </w:tcBorders>
            <w:vAlign w:val="bottom"/>
          </w:tcPr>
          <w:p w14:paraId="3A071FB2" w14:textId="6B99AE96"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89.4</w:t>
            </w:r>
          </w:p>
        </w:tc>
        <w:tc>
          <w:tcPr>
            <w:tcW w:w="851" w:type="dxa"/>
            <w:tcBorders>
              <w:top w:val="nil"/>
              <w:left w:val="nil"/>
              <w:right w:val="nil"/>
            </w:tcBorders>
            <w:vAlign w:val="bottom"/>
          </w:tcPr>
          <w:p w14:paraId="3E57CE99" w14:textId="62AC29F1"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91.4</w:t>
            </w:r>
          </w:p>
        </w:tc>
        <w:tc>
          <w:tcPr>
            <w:tcW w:w="881" w:type="dxa"/>
            <w:tcBorders>
              <w:top w:val="nil"/>
              <w:left w:val="nil"/>
              <w:right w:val="nil"/>
            </w:tcBorders>
            <w:vAlign w:val="bottom"/>
          </w:tcPr>
          <w:p w14:paraId="499DA2BE" w14:textId="73C390FD" w:rsidR="000F2642" w:rsidRPr="008B13C9" w:rsidRDefault="0039694D"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0.00</w:t>
            </w:r>
            <w:r w:rsidR="00A73C4F" w:rsidRPr="008B13C9">
              <w:rPr>
                <w:rFonts w:eastAsia="Times New Roman"/>
                <w:sz w:val="20"/>
                <w:shd w:val="clear" w:color="auto" w:fill="FFFFFF"/>
              </w:rPr>
              <w:t>1</w:t>
            </w:r>
          </w:p>
        </w:tc>
      </w:tr>
      <w:tr w:rsidR="008B13C9" w:rsidRPr="008B13C9" w14:paraId="3E4E08B5"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single" w:sz="4" w:space="0" w:color="auto"/>
              <w:right w:val="nil"/>
            </w:tcBorders>
          </w:tcPr>
          <w:p w14:paraId="24E940E9"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236BED1C" w14:textId="77777777" w:rsidR="000F2642" w:rsidRPr="008B13C9" w:rsidRDefault="00754632" w:rsidP="005247AB">
            <w:pPr>
              <w:spacing w:after="0" w:line="240" w:lineRule="auto"/>
              <w:rPr>
                <w:rFonts w:eastAsia="Times New Roman"/>
                <w:sz w:val="20"/>
                <w:shd w:val="clear" w:color="auto" w:fill="FFFFFF"/>
              </w:rPr>
            </w:pPr>
            <w:r w:rsidRPr="008B13C9">
              <w:rPr>
                <w:rFonts w:cs="Arial"/>
                <w:sz w:val="20"/>
                <w:szCs w:val="20"/>
              </w:rPr>
              <w:t>S</w:t>
            </w:r>
            <w:r w:rsidR="000F2642" w:rsidRPr="008B13C9">
              <w:rPr>
                <w:rFonts w:cs="Arial"/>
                <w:sz w:val="20"/>
                <w:szCs w:val="20"/>
              </w:rPr>
              <w:t>moker</w:t>
            </w:r>
          </w:p>
        </w:tc>
        <w:tc>
          <w:tcPr>
            <w:tcW w:w="992" w:type="dxa"/>
            <w:tcBorders>
              <w:top w:val="nil"/>
              <w:left w:val="nil"/>
              <w:right w:val="nil"/>
            </w:tcBorders>
            <w:vAlign w:val="bottom"/>
          </w:tcPr>
          <w:p w14:paraId="7E740311" w14:textId="7DC3DB5E"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15.5</w:t>
            </w:r>
          </w:p>
        </w:tc>
        <w:tc>
          <w:tcPr>
            <w:tcW w:w="1308" w:type="dxa"/>
            <w:tcBorders>
              <w:top w:val="nil"/>
              <w:left w:val="nil"/>
              <w:right w:val="nil"/>
            </w:tcBorders>
            <w:vAlign w:val="bottom"/>
          </w:tcPr>
          <w:p w14:paraId="43A69059" w14:textId="480D5EB4"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10.2</w:t>
            </w:r>
          </w:p>
        </w:tc>
        <w:tc>
          <w:tcPr>
            <w:tcW w:w="851" w:type="dxa"/>
            <w:tcBorders>
              <w:top w:val="nil"/>
              <w:left w:val="nil"/>
              <w:right w:val="nil"/>
            </w:tcBorders>
            <w:vAlign w:val="bottom"/>
          </w:tcPr>
          <w:p w14:paraId="67FC72D5" w14:textId="3A2374E6"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9.3</w:t>
            </w:r>
          </w:p>
        </w:tc>
        <w:tc>
          <w:tcPr>
            <w:tcW w:w="850" w:type="dxa"/>
            <w:tcBorders>
              <w:top w:val="nil"/>
              <w:left w:val="nil"/>
              <w:right w:val="nil"/>
            </w:tcBorders>
            <w:vAlign w:val="bottom"/>
          </w:tcPr>
          <w:p w14:paraId="5ACE40AD"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35940AE2"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0B72585F" w14:textId="05E6852E"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14.8</w:t>
            </w:r>
          </w:p>
        </w:tc>
        <w:tc>
          <w:tcPr>
            <w:tcW w:w="1223" w:type="dxa"/>
            <w:tcBorders>
              <w:top w:val="nil"/>
              <w:left w:val="nil"/>
              <w:right w:val="nil"/>
            </w:tcBorders>
            <w:vAlign w:val="bottom"/>
          </w:tcPr>
          <w:p w14:paraId="3CB4E6F0" w14:textId="35F5E04B"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10.6</w:t>
            </w:r>
          </w:p>
        </w:tc>
        <w:tc>
          <w:tcPr>
            <w:tcW w:w="851" w:type="dxa"/>
            <w:tcBorders>
              <w:top w:val="nil"/>
              <w:left w:val="nil"/>
              <w:right w:val="nil"/>
            </w:tcBorders>
            <w:vAlign w:val="bottom"/>
          </w:tcPr>
          <w:p w14:paraId="030C6866" w14:textId="373A7955" w:rsidR="000F2642" w:rsidRPr="008B13C9" w:rsidRDefault="00036AD4"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8.6</w:t>
            </w:r>
          </w:p>
        </w:tc>
        <w:tc>
          <w:tcPr>
            <w:tcW w:w="881" w:type="dxa"/>
            <w:tcBorders>
              <w:top w:val="nil"/>
              <w:left w:val="nil"/>
              <w:right w:val="nil"/>
            </w:tcBorders>
            <w:vAlign w:val="bottom"/>
          </w:tcPr>
          <w:p w14:paraId="0E0DB10D"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750839AA" w14:textId="77777777" w:rsidTr="0058440C">
        <w:tblPrEx>
          <w:tblBorders>
            <w:left w:val="single" w:sz="4" w:space="0" w:color="auto"/>
            <w:right w:val="single" w:sz="4" w:space="0" w:color="auto"/>
            <w:insideV w:val="single" w:sz="4" w:space="0" w:color="auto"/>
          </w:tblBorders>
        </w:tblPrEx>
        <w:tc>
          <w:tcPr>
            <w:tcW w:w="2269" w:type="dxa"/>
            <w:gridSpan w:val="2"/>
            <w:tcBorders>
              <w:top w:val="single" w:sz="4" w:space="0" w:color="auto"/>
              <w:left w:val="nil"/>
              <w:bottom w:val="nil"/>
              <w:right w:val="nil"/>
            </w:tcBorders>
          </w:tcPr>
          <w:p w14:paraId="52B0CF16"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Alcohol intake</w:t>
            </w:r>
            <w:r w:rsidRPr="008B13C9">
              <w:rPr>
                <w:rFonts w:cstheme="minorHAnsi"/>
                <w:sz w:val="20"/>
                <w:szCs w:val="20"/>
              </w:rPr>
              <w:t>¹</w:t>
            </w:r>
          </w:p>
        </w:tc>
        <w:tc>
          <w:tcPr>
            <w:tcW w:w="992" w:type="dxa"/>
            <w:tcBorders>
              <w:top w:val="single" w:sz="4" w:space="0" w:color="auto"/>
              <w:left w:val="nil"/>
              <w:bottom w:val="nil"/>
              <w:right w:val="nil"/>
            </w:tcBorders>
            <w:vAlign w:val="bottom"/>
          </w:tcPr>
          <w:p w14:paraId="640555D5" w14:textId="77777777" w:rsidR="000F2642" w:rsidRPr="008B13C9" w:rsidRDefault="000F2642" w:rsidP="005247AB">
            <w:pPr>
              <w:spacing w:after="0" w:line="240" w:lineRule="auto"/>
              <w:jc w:val="center"/>
              <w:rPr>
                <w:rFonts w:eastAsia="Times New Roman"/>
                <w:sz w:val="20"/>
                <w:shd w:val="clear" w:color="auto" w:fill="FFFFFF"/>
              </w:rPr>
            </w:pPr>
          </w:p>
        </w:tc>
        <w:tc>
          <w:tcPr>
            <w:tcW w:w="1308" w:type="dxa"/>
            <w:tcBorders>
              <w:top w:val="single" w:sz="4" w:space="0" w:color="auto"/>
              <w:left w:val="nil"/>
              <w:bottom w:val="nil"/>
              <w:right w:val="nil"/>
            </w:tcBorders>
            <w:vAlign w:val="bottom"/>
          </w:tcPr>
          <w:p w14:paraId="3BBABA39"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0587017D" w14:textId="77777777" w:rsidR="000F2642" w:rsidRPr="008B13C9" w:rsidRDefault="000F2642" w:rsidP="005247AB">
            <w:pPr>
              <w:spacing w:after="0" w:line="240" w:lineRule="auto"/>
              <w:jc w:val="center"/>
              <w:rPr>
                <w:rFonts w:eastAsia="Times New Roman"/>
                <w:sz w:val="20"/>
                <w:shd w:val="clear" w:color="auto" w:fill="FFFFFF"/>
              </w:rPr>
            </w:pPr>
          </w:p>
        </w:tc>
        <w:tc>
          <w:tcPr>
            <w:tcW w:w="850" w:type="dxa"/>
            <w:tcBorders>
              <w:top w:val="single" w:sz="4" w:space="0" w:color="auto"/>
              <w:left w:val="nil"/>
              <w:bottom w:val="nil"/>
              <w:right w:val="nil"/>
            </w:tcBorders>
            <w:vAlign w:val="bottom"/>
          </w:tcPr>
          <w:p w14:paraId="2750D7A7" w14:textId="77777777" w:rsidR="000F2642" w:rsidRPr="008B13C9" w:rsidRDefault="000F2642" w:rsidP="005247AB">
            <w:pPr>
              <w:spacing w:after="0" w:line="240" w:lineRule="auto"/>
              <w:jc w:val="center"/>
              <w:rPr>
                <w:rFonts w:eastAsia="Times New Roman"/>
                <w:sz w:val="20"/>
                <w:shd w:val="clear" w:color="auto" w:fill="FFFFFF"/>
              </w:rPr>
            </w:pPr>
          </w:p>
        </w:tc>
        <w:tc>
          <w:tcPr>
            <w:tcW w:w="284" w:type="dxa"/>
            <w:gridSpan w:val="2"/>
            <w:tcBorders>
              <w:top w:val="single" w:sz="4" w:space="0" w:color="auto"/>
              <w:left w:val="nil"/>
              <w:bottom w:val="nil"/>
              <w:right w:val="nil"/>
            </w:tcBorders>
            <w:vAlign w:val="bottom"/>
          </w:tcPr>
          <w:p w14:paraId="636DE0D5"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single" w:sz="4" w:space="0" w:color="auto"/>
              <w:left w:val="nil"/>
              <w:bottom w:val="nil"/>
              <w:right w:val="nil"/>
            </w:tcBorders>
            <w:vAlign w:val="bottom"/>
          </w:tcPr>
          <w:p w14:paraId="095729F1" w14:textId="77777777" w:rsidR="000F2642" w:rsidRPr="008B13C9" w:rsidRDefault="000F2642"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6FF0BEDE"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01D72CF5" w14:textId="77777777" w:rsidR="000F2642" w:rsidRPr="008B13C9" w:rsidRDefault="000F2642" w:rsidP="005247AB">
            <w:pPr>
              <w:spacing w:after="0" w:line="240" w:lineRule="auto"/>
              <w:jc w:val="center"/>
              <w:rPr>
                <w:rFonts w:eastAsia="Times New Roman"/>
                <w:sz w:val="20"/>
                <w:shd w:val="clear" w:color="auto" w:fill="FFFFFF"/>
              </w:rPr>
            </w:pPr>
          </w:p>
        </w:tc>
        <w:tc>
          <w:tcPr>
            <w:tcW w:w="881" w:type="dxa"/>
            <w:tcBorders>
              <w:top w:val="single" w:sz="4" w:space="0" w:color="auto"/>
              <w:left w:val="nil"/>
              <w:bottom w:val="nil"/>
              <w:right w:val="nil"/>
            </w:tcBorders>
            <w:vAlign w:val="bottom"/>
          </w:tcPr>
          <w:p w14:paraId="36E47278" w14:textId="77777777" w:rsidR="000F2642" w:rsidRPr="008B13C9" w:rsidRDefault="000F2642" w:rsidP="005247AB">
            <w:pPr>
              <w:spacing w:after="0" w:line="240" w:lineRule="auto"/>
              <w:jc w:val="center"/>
              <w:rPr>
                <w:rFonts w:eastAsia="Times New Roman"/>
                <w:sz w:val="20"/>
                <w:shd w:val="clear" w:color="auto" w:fill="FFFFFF"/>
              </w:rPr>
            </w:pPr>
          </w:p>
        </w:tc>
      </w:tr>
      <w:tr w:rsidR="008B13C9" w:rsidRPr="008B13C9" w14:paraId="3883A8B0"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579917F5"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2738ECBE"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Never/rarely</w:t>
            </w:r>
          </w:p>
        </w:tc>
        <w:tc>
          <w:tcPr>
            <w:tcW w:w="992" w:type="dxa"/>
            <w:tcBorders>
              <w:top w:val="nil"/>
              <w:left w:val="nil"/>
              <w:right w:val="nil"/>
            </w:tcBorders>
            <w:vAlign w:val="bottom"/>
          </w:tcPr>
          <w:p w14:paraId="4DDF0D97" w14:textId="06FB16F4"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15.9</w:t>
            </w:r>
          </w:p>
        </w:tc>
        <w:tc>
          <w:tcPr>
            <w:tcW w:w="1308" w:type="dxa"/>
            <w:tcBorders>
              <w:top w:val="nil"/>
              <w:left w:val="nil"/>
              <w:right w:val="nil"/>
            </w:tcBorders>
            <w:vAlign w:val="bottom"/>
          </w:tcPr>
          <w:p w14:paraId="01192829" w14:textId="12194B67"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15.9</w:t>
            </w:r>
          </w:p>
        </w:tc>
        <w:tc>
          <w:tcPr>
            <w:tcW w:w="851" w:type="dxa"/>
            <w:tcBorders>
              <w:top w:val="nil"/>
              <w:left w:val="nil"/>
              <w:right w:val="nil"/>
            </w:tcBorders>
            <w:vAlign w:val="bottom"/>
          </w:tcPr>
          <w:p w14:paraId="3D265941" w14:textId="459855AD"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15.4</w:t>
            </w:r>
          </w:p>
        </w:tc>
        <w:tc>
          <w:tcPr>
            <w:tcW w:w="850" w:type="dxa"/>
            <w:tcBorders>
              <w:top w:val="nil"/>
              <w:left w:val="nil"/>
              <w:right w:val="nil"/>
            </w:tcBorders>
            <w:vAlign w:val="bottom"/>
          </w:tcPr>
          <w:p w14:paraId="033ADA7A" w14:textId="61242D60" w:rsidR="000F2642" w:rsidRPr="008B13C9" w:rsidRDefault="00600921"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w:t>
            </w:r>
            <w:r w:rsidR="00A80539" w:rsidRPr="008B13C9">
              <w:rPr>
                <w:rFonts w:eastAsia="Times New Roman"/>
                <w:sz w:val="20"/>
                <w:shd w:val="clear" w:color="auto" w:fill="FFFFFF"/>
              </w:rPr>
              <w:t>378</w:t>
            </w:r>
          </w:p>
        </w:tc>
        <w:tc>
          <w:tcPr>
            <w:tcW w:w="284" w:type="dxa"/>
            <w:gridSpan w:val="2"/>
            <w:tcBorders>
              <w:top w:val="nil"/>
              <w:left w:val="nil"/>
              <w:right w:val="nil"/>
            </w:tcBorders>
            <w:vAlign w:val="bottom"/>
          </w:tcPr>
          <w:p w14:paraId="03DC1A52"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2DEA5E69" w14:textId="0383707D"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28.6</w:t>
            </w:r>
          </w:p>
        </w:tc>
        <w:tc>
          <w:tcPr>
            <w:tcW w:w="1223" w:type="dxa"/>
            <w:tcBorders>
              <w:top w:val="nil"/>
              <w:left w:val="nil"/>
              <w:right w:val="nil"/>
            </w:tcBorders>
            <w:vAlign w:val="bottom"/>
          </w:tcPr>
          <w:p w14:paraId="1334A978" w14:textId="1F5A10C3"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26.1</w:t>
            </w:r>
          </w:p>
        </w:tc>
        <w:tc>
          <w:tcPr>
            <w:tcW w:w="851" w:type="dxa"/>
            <w:tcBorders>
              <w:top w:val="nil"/>
              <w:left w:val="nil"/>
              <w:right w:val="nil"/>
            </w:tcBorders>
            <w:vAlign w:val="bottom"/>
          </w:tcPr>
          <w:p w14:paraId="66562830" w14:textId="435B1322"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37.3</w:t>
            </w:r>
          </w:p>
        </w:tc>
        <w:tc>
          <w:tcPr>
            <w:tcW w:w="881" w:type="dxa"/>
            <w:tcBorders>
              <w:top w:val="nil"/>
              <w:left w:val="nil"/>
              <w:right w:val="nil"/>
            </w:tcBorders>
            <w:vAlign w:val="bottom"/>
          </w:tcPr>
          <w:p w14:paraId="1250957D" w14:textId="77777777" w:rsidR="000F2642" w:rsidRPr="008B13C9" w:rsidRDefault="005B77CA"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&lt;0.001</w:t>
            </w:r>
          </w:p>
        </w:tc>
      </w:tr>
      <w:tr w:rsidR="008B13C9" w:rsidRPr="008B13C9" w14:paraId="277607C5"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2DEB3E55"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34C306EA"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Regularly</w:t>
            </w:r>
          </w:p>
        </w:tc>
        <w:tc>
          <w:tcPr>
            <w:tcW w:w="992" w:type="dxa"/>
            <w:tcBorders>
              <w:top w:val="nil"/>
              <w:left w:val="nil"/>
              <w:right w:val="nil"/>
            </w:tcBorders>
            <w:vAlign w:val="bottom"/>
          </w:tcPr>
          <w:p w14:paraId="38ED1626" w14:textId="51839C53"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39.2</w:t>
            </w:r>
          </w:p>
        </w:tc>
        <w:tc>
          <w:tcPr>
            <w:tcW w:w="1308" w:type="dxa"/>
            <w:tcBorders>
              <w:top w:val="nil"/>
              <w:left w:val="nil"/>
              <w:right w:val="nil"/>
            </w:tcBorders>
            <w:vAlign w:val="bottom"/>
          </w:tcPr>
          <w:p w14:paraId="7A779328" w14:textId="32F5FDFF"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39.6</w:t>
            </w:r>
          </w:p>
        </w:tc>
        <w:tc>
          <w:tcPr>
            <w:tcW w:w="851" w:type="dxa"/>
            <w:tcBorders>
              <w:top w:val="nil"/>
              <w:left w:val="nil"/>
              <w:right w:val="nil"/>
            </w:tcBorders>
            <w:vAlign w:val="bottom"/>
          </w:tcPr>
          <w:p w14:paraId="58556030" w14:textId="08EF6B1E"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44.3</w:t>
            </w:r>
          </w:p>
        </w:tc>
        <w:tc>
          <w:tcPr>
            <w:tcW w:w="850" w:type="dxa"/>
            <w:tcBorders>
              <w:top w:val="nil"/>
              <w:left w:val="nil"/>
              <w:right w:val="nil"/>
            </w:tcBorders>
            <w:vAlign w:val="bottom"/>
          </w:tcPr>
          <w:p w14:paraId="5E57F89D"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6FE97D71"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6B7E5328" w14:textId="08570342"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38.7</w:t>
            </w:r>
          </w:p>
        </w:tc>
        <w:tc>
          <w:tcPr>
            <w:tcW w:w="1223" w:type="dxa"/>
            <w:tcBorders>
              <w:top w:val="nil"/>
              <w:left w:val="nil"/>
              <w:right w:val="nil"/>
            </w:tcBorders>
            <w:vAlign w:val="bottom"/>
          </w:tcPr>
          <w:p w14:paraId="68491027" w14:textId="3B1D346D"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47.2</w:t>
            </w:r>
          </w:p>
        </w:tc>
        <w:tc>
          <w:tcPr>
            <w:tcW w:w="851" w:type="dxa"/>
            <w:tcBorders>
              <w:top w:val="nil"/>
              <w:left w:val="nil"/>
              <w:right w:val="nil"/>
            </w:tcBorders>
            <w:vAlign w:val="bottom"/>
          </w:tcPr>
          <w:p w14:paraId="55FD944A" w14:textId="51A0A130"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44.4</w:t>
            </w:r>
          </w:p>
        </w:tc>
        <w:tc>
          <w:tcPr>
            <w:tcW w:w="881" w:type="dxa"/>
            <w:tcBorders>
              <w:top w:val="nil"/>
              <w:left w:val="nil"/>
              <w:right w:val="nil"/>
            </w:tcBorders>
            <w:vAlign w:val="bottom"/>
          </w:tcPr>
          <w:p w14:paraId="7C2EB8D7"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3F880503"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single" w:sz="4" w:space="0" w:color="auto"/>
              <w:right w:val="nil"/>
            </w:tcBorders>
          </w:tcPr>
          <w:p w14:paraId="7614C730"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162A663D"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Frequently</w:t>
            </w:r>
          </w:p>
        </w:tc>
        <w:tc>
          <w:tcPr>
            <w:tcW w:w="992" w:type="dxa"/>
            <w:tcBorders>
              <w:top w:val="nil"/>
              <w:left w:val="nil"/>
              <w:right w:val="nil"/>
            </w:tcBorders>
            <w:vAlign w:val="bottom"/>
          </w:tcPr>
          <w:p w14:paraId="73A0F7EA" w14:textId="53D23656"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44.9</w:t>
            </w:r>
          </w:p>
        </w:tc>
        <w:tc>
          <w:tcPr>
            <w:tcW w:w="1308" w:type="dxa"/>
            <w:tcBorders>
              <w:top w:val="nil"/>
              <w:left w:val="nil"/>
              <w:right w:val="nil"/>
            </w:tcBorders>
            <w:vAlign w:val="bottom"/>
          </w:tcPr>
          <w:p w14:paraId="0153D056" w14:textId="23A8F183"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44.6</w:t>
            </w:r>
          </w:p>
        </w:tc>
        <w:tc>
          <w:tcPr>
            <w:tcW w:w="851" w:type="dxa"/>
            <w:tcBorders>
              <w:top w:val="nil"/>
              <w:left w:val="nil"/>
              <w:right w:val="nil"/>
            </w:tcBorders>
            <w:vAlign w:val="bottom"/>
          </w:tcPr>
          <w:p w14:paraId="076C1E54" w14:textId="72517BD6"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40.2</w:t>
            </w:r>
          </w:p>
        </w:tc>
        <w:tc>
          <w:tcPr>
            <w:tcW w:w="850" w:type="dxa"/>
            <w:tcBorders>
              <w:top w:val="nil"/>
              <w:left w:val="nil"/>
              <w:right w:val="nil"/>
            </w:tcBorders>
            <w:vAlign w:val="bottom"/>
          </w:tcPr>
          <w:p w14:paraId="59D44100"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3ECE8317"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1387E2AC" w14:textId="3A28A9B6"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32.6</w:t>
            </w:r>
          </w:p>
        </w:tc>
        <w:tc>
          <w:tcPr>
            <w:tcW w:w="1223" w:type="dxa"/>
            <w:tcBorders>
              <w:top w:val="nil"/>
              <w:left w:val="nil"/>
              <w:right w:val="nil"/>
            </w:tcBorders>
            <w:vAlign w:val="bottom"/>
          </w:tcPr>
          <w:p w14:paraId="5F0FA7BD" w14:textId="1BEC6DD3"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26.6</w:t>
            </w:r>
          </w:p>
        </w:tc>
        <w:tc>
          <w:tcPr>
            <w:tcW w:w="851" w:type="dxa"/>
            <w:tcBorders>
              <w:top w:val="nil"/>
              <w:left w:val="nil"/>
              <w:right w:val="nil"/>
            </w:tcBorders>
            <w:vAlign w:val="bottom"/>
          </w:tcPr>
          <w:p w14:paraId="76A2F3E5" w14:textId="1A827D6F" w:rsidR="000F2642" w:rsidRPr="008B13C9" w:rsidRDefault="00A73C4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18.4</w:t>
            </w:r>
          </w:p>
        </w:tc>
        <w:tc>
          <w:tcPr>
            <w:tcW w:w="881" w:type="dxa"/>
            <w:tcBorders>
              <w:top w:val="nil"/>
              <w:left w:val="nil"/>
              <w:right w:val="nil"/>
            </w:tcBorders>
            <w:vAlign w:val="bottom"/>
          </w:tcPr>
          <w:p w14:paraId="64738A28"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577B83DF" w14:textId="77777777" w:rsidTr="0058440C">
        <w:tblPrEx>
          <w:tblBorders>
            <w:left w:val="single" w:sz="4" w:space="0" w:color="auto"/>
            <w:right w:val="single" w:sz="4" w:space="0" w:color="auto"/>
            <w:insideV w:val="single" w:sz="4" w:space="0" w:color="auto"/>
          </w:tblBorders>
        </w:tblPrEx>
        <w:tc>
          <w:tcPr>
            <w:tcW w:w="2269" w:type="dxa"/>
            <w:gridSpan w:val="2"/>
            <w:tcBorders>
              <w:top w:val="single" w:sz="4" w:space="0" w:color="auto"/>
              <w:left w:val="nil"/>
              <w:bottom w:val="nil"/>
              <w:right w:val="nil"/>
            </w:tcBorders>
          </w:tcPr>
          <w:p w14:paraId="60350DD1"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szCs w:val="20"/>
              </w:rPr>
              <w:t>Physical activity</w:t>
            </w:r>
          </w:p>
        </w:tc>
        <w:tc>
          <w:tcPr>
            <w:tcW w:w="992" w:type="dxa"/>
            <w:tcBorders>
              <w:top w:val="single" w:sz="4" w:space="0" w:color="auto"/>
              <w:left w:val="nil"/>
              <w:bottom w:val="nil"/>
              <w:right w:val="nil"/>
            </w:tcBorders>
            <w:vAlign w:val="bottom"/>
          </w:tcPr>
          <w:p w14:paraId="6E6000EF" w14:textId="77777777" w:rsidR="000F2642" w:rsidRPr="008B13C9" w:rsidRDefault="000F2642" w:rsidP="005247AB">
            <w:pPr>
              <w:spacing w:after="0" w:line="240" w:lineRule="auto"/>
              <w:jc w:val="center"/>
              <w:rPr>
                <w:rFonts w:eastAsia="Times New Roman"/>
                <w:sz w:val="20"/>
                <w:shd w:val="clear" w:color="auto" w:fill="FFFFFF"/>
              </w:rPr>
            </w:pPr>
          </w:p>
        </w:tc>
        <w:tc>
          <w:tcPr>
            <w:tcW w:w="1308" w:type="dxa"/>
            <w:tcBorders>
              <w:top w:val="single" w:sz="4" w:space="0" w:color="auto"/>
              <w:left w:val="nil"/>
              <w:bottom w:val="nil"/>
              <w:right w:val="nil"/>
            </w:tcBorders>
            <w:vAlign w:val="bottom"/>
          </w:tcPr>
          <w:p w14:paraId="7410D43F"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44AB65CE" w14:textId="77777777" w:rsidR="000F2642" w:rsidRPr="008B13C9" w:rsidRDefault="000F2642" w:rsidP="005247AB">
            <w:pPr>
              <w:spacing w:after="0" w:line="240" w:lineRule="auto"/>
              <w:jc w:val="center"/>
              <w:rPr>
                <w:rFonts w:eastAsia="Times New Roman"/>
                <w:sz w:val="20"/>
                <w:shd w:val="clear" w:color="auto" w:fill="FFFFFF"/>
              </w:rPr>
            </w:pPr>
          </w:p>
        </w:tc>
        <w:tc>
          <w:tcPr>
            <w:tcW w:w="850" w:type="dxa"/>
            <w:tcBorders>
              <w:top w:val="single" w:sz="4" w:space="0" w:color="auto"/>
              <w:left w:val="nil"/>
              <w:bottom w:val="nil"/>
              <w:right w:val="nil"/>
            </w:tcBorders>
            <w:vAlign w:val="bottom"/>
          </w:tcPr>
          <w:p w14:paraId="7E6D5F7B" w14:textId="77777777" w:rsidR="000F2642" w:rsidRPr="008B13C9" w:rsidRDefault="000F2642" w:rsidP="005247AB">
            <w:pPr>
              <w:spacing w:after="0" w:line="240" w:lineRule="auto"/>
              <w:jc w:val="center"/>
              <w:rPr>
                <w:rFonts w:eastAsia="Times New Roman"/>
                <w:sz w:val="20"/>
                <w:shd w:val="clear" w:color="auto" w:fill="FFFFFF"/>
              </w:rPr>
            </w:pPr>
          </w:p>
        </w:tc>
        <w:tc>
          <w:tcPr>
            <w:tcW w:w="284" w:type="dxa"/>
            <w:gridSpan w:val="2"/>
            <w:tcBorders>
              <w:top w:val="single" w:sz="4" w:space="0" w:color="auto"/>
              <w:left w:val="nil"/>
              <w:bottom w:val="nil"/>
              <w:right w:val="nil"/>
            </w:tcBorders>
            <w:vAlign w:val="bottom"/>
          </w:tcPr>
          <w:p w14:paraId="44F4F51C"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single" w:sz="4" w:space="0" w:color="auto"/>
              <w:left w:val="nil"/>
              <w:bottom w:val="nil"/>
              <w:right w:val="nil"/>
            </w:tcBorders>
            <w:vAlign w:val="bottom"/>
          </w:tcPr>
          <w:p w14:paraId="046BFDBB" w14:textId="77777777" w:rsidR="000F2642" w:rsidRPr="008B13C9" w:rsidRDefault="000F2642"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3DF19825" w14:textId="77777777" w:rsidR="000F2642" w:rsidRPr="008B13C9" w:rsidRDefault="000F2642" w:rsidP="005247AB">
            <w:pPr>
              <w:spacing w:after="0" w:line="240" w:lineRule="auto"/>
              <w:jc w:val="center"/>
              <w:rPr>
                <w:rFonts w:eastAsia="Times New Roman"/>
                <w:sz w:val="20"/>
                <w:shd w:val="clear" w:color="auto" w:fill="FFFFFF"/>
              </w:rPr>
            </w:pPr>
          </w:p>
        </w:tc>
        <w:tc>
          <w:tcPr>
            <w:tcW w:w="851" w:type="dxa"/>
            <w:tcBorders>
              <w:top w:val="single" w:sz="4" w:space="0" w:color="auto"/>
              <w:left w:val="nil"/>
              <w:bottom w:val="nil"/>
              <w:right w:val="nil"/>
            </w:tcBorders>
            <w:vAlign w:val="bottom"/>
          </w:tcPr>
          <w:p w14:paraId="78669988" w14:textId="77777777" w:rsidR="000F2642" w:rsidRPr="008B13C9" w:rsidRDefault="000F2642" w:rsidP="005247AB">
            <w:pPr>
              <w:spacing w:after="0" w:line="240" w:lineRule="auto"/>
              <w:jc w:val="center"/>
              <w:rPr>
                <w:rFonts w:eastAsia="Times New Roman"/>
                <w:sz w:val="20"/>
                <w:shd w:val="clear" w:color="auto" w:fill="FFFFFF"/>
              </w:rPr>
            </w:pPr>
          </w:p>
        </w:tc>
        <w:tc>
          <w:tcPr>
            <w:tcW w:w="881" w:type="dxa"/>
            <w:tcBorders>
              <w:top w:val="single" w:sz="4" w:space="0" w:color="auto"/>
              <w:left w:val="nil"/>
              <w:bottom w:val="nil"/>
              <w:right w:val="nil"/>
            </w:tcBorders>
            <w:vAlign w:val="bottom"/>
          </w:tcPr>
          <w:p w14:paraId="131CEB4C" w14:textId="77777777" w:rsidR="000F2642" w:rsidRPr="008B13C9" w:rsidRDefault="000F2642" w:rsidP="005247AB">
            <w:pPr>
              <w:spacing w:after="0" w:line="240" w:lineRule="auto"/>
              <w:jc w:val="center"/>
              <w:rPr>
                <w:rFonts w:eastAsia="Times New Roman"/>
                <w:sz w:val="20"/>
                <w:shd w:val="clear" w:color="auto" w:fill="FFFFFF"/>
              </w:rPr>
            </w:pPr>
          </w:p>
        </w:tc>
      </w:tr>
      <w:tr w:rsidR="008B13C9" w:rsidRPr="008B13C9" w14:paraId="3093FBE3"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387EE3DE"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76F89E07"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rPr>
              <w:t>Inactive</w:t>
            </w:r>
          </w:p>
        </w:tc>
        <w:tc>
          <w:tcPr>
            <w:tcW w:w="992" w:type="dxa"/>
            <w:tcBorders>
              <w:top w:val="nil"/>
              <w:left w:val="nil"/>
              <w:right w:val="nil"/>
            </w:tcBorders>
            <w:vAlign w:val="bottom"/>
          </w:tcPr>
          <w:p w14:paraId="3AD35F57" w14:textId="52A1E64C"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18.4</w:t>
            </w:r>
          </w:p>
        </w:tc>
        <w:tc>
          <w:tcPr>
            <w:tcW w:w="1308" w:type="dxa"/>
            <w:tcBorders>
              <w:top w:val="nil"/>
              <w:left w:val="nil"/>
              <w:right w:val="nil"/>
            </w:tcBorders>
            <w:vAlign w:val="bottom"/>
          </w:tcPr>
          <w:p w14:paraId="59FD5C8D" w14:textId="54575A89"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17.9</w:t>
            </w:r>
          </w:p>
        </w:tc>
        <w:tc>
          <w:tcPr>
            <w:tcW w:w="851" w:type="dxa"/>
            <w:tcBorders>
              <w:top w:val="nil"/>
              <w:left w:val="nil"/>
              <w:right w:val="nil"/>
            </w:tcBorders>
            <w:vAlign w:val="bottom"/>
          </w:tcPr>
          <w:p w14:paraId="67D48628" w14:textId="7A4E35BD"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24.1</w:t>
            </w:r>
          </w:p>
        </w:tc>
        <w:tc>
          <w:tcPr>
            <w:tcW w:w="850" w:type="dxa"/>
            <w:tcBorders>
              <w:top w:val="nil"/>
              <w:left w:val="nil"/>
              <w:right w:val="nil"/>
            </w:tcBorders>
            <w:vAlign w:val="bottom"/>
          </w:tcPr>
          <w:p w14:paraId="5F2B8CD0" w14:textId="77777777" w:rsidR="000F2642" w:rsidRPr="008B13C9" w:rsidRDefault="00F23608"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&lt;0.001</w:t>
            </w:r>
          </w:p>
        </w:tc>
        <w:tc>
          <w:tcPr>
            <w:tcW w:w="284" w:type="dxa"/>
            <w:gridSpan w:val="2"/>
            <w:tcBorders>
              <w:top w:val="nil"/>
              <w:left w:val="nil"/>
              <w:right w:val="nil"/>
            </w:tcBorders>
            <w:vAlign w:val="bottom"/>
          </w:tcPr>
          <w:p w14:paraId="24C5F110"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58BDC30F" w14:textId="3443D738"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24.1</w:t>
            </w:r>
          </w:p>
        </w:tc>
        <w:tc>
          <w:tcPr>
            <w:tcW w:w="1223" w:type="dxa"/>
            <w:tcBorders>
              <w:top w:val="nil"/>
              <w:left w:val="nil"/>
              <w:right w:val="nil"/>
            </w:tcBorders>
            <w:vAlign w:val="bottom"/>
          </w:tcPr>
          <w:p w14:paraId="02F104E6" w14:textId="34F9AF22"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20.3</w:t>
            </w:r>
          </w:p>
        </w:tc>
        <w:tc>
          <w:tcPr>
            <w:tcW w:w="851" w:type="dxa"/>
            <w:tcBorders>
              <w:top w:val="nil"/>
              <w:left w:val="nil"/>
              <w:right w:val="nil"/>
            </w:tcBorders>
            <w:vAlign w:val="bottom"/>
          </w:tcPr>
          <w:p w14:paraId="735594FD" w14:textId="70F97C0F"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37.1</w:t>
            </w:r>
          </w:p>
        </w:tc>
        <w:tc>
          <w:tcPr>
            <w:tcW w:w="881" w:type="dxa"/>
            <w:tcBorders>
              <w:top w:val="nil"/>
              <w:left w:val="nil"/>
              <w:right w:val="nil"/>
            </w:tcBorders>
            <w:vAlign w:val="bottom"/>
          </w:tcPr>
          <w:p w14:paraId="354198E9" w14:textId="77777777" w:rsidR="000F2642" w:rsidRPr="008B13C9" w:rsidRDefault="00F23608"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&lt;0.001</w:t>
            </w:r>
          </w:p>
        </w:tc>
      </w:tr>
      <w:tr w:rsidR="008B13C9" w:rsidRPr="008B13C9" w14:paraId="591FF84E"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nil"/>
              <w:right w:val="nil"/>
            </w:tcBorders>
          </w:tcPr>
          <w:p w14:paraId="3832F3C1"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15BE071C"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rPr>
              <w:t>Moderately active at least once a week</w:t>
            </w:r>
          </w:p>
        </w:tc>
        <w:tc>
          <w:tcPr>
            <w:tcW w:w="992" w:type="dxa"/>
            <w:tcBorders>
              <w:top w:val="nil"/>
              <w:left w:val="nil"/>
              <w:right w:val="nil"/>
            </w:tcBorders>
            <w:vAlign w:val="bottom"/>
          </w:tcPr>
          <w:p w14:paraId="36238867" w14:textId="39011D11"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42.8</w:t>
            </w:r>
          </w:p>
        </w:tc>
        <w:tc>
          <w:tcPr>
            <w:tcW w:w="1308" w:type="dxa"/>
            <w:tcBorders>
              <w:top w:val="nil"/>
              <w:left w:val="nil"/>
              <w:right w:val="nil"/>
            </w:tcBorders>
            <w:vAlign w:val="bottom"/>
          </w:tcPr>
          <w:p w14:paraId="0C3498FC" w14:textId="65B2ECA2"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44.2</w:t>
            </w:r>
          </w:p>
        </w:tc>
        <w:tc>
          <w:tcPr>
            <w:tcW w:w="851" w:type="dxa"/>
            <w:tcBorders>
              <w:top w:val="nil"/>
              <w:left w:val="nil"/>
              <w:right w:val="nil"/>
            </w:tcBorders>
            <w:vAlign w:val="bottom"/>
          </w:tcPr>
          <w:p w14:paraId="58DDAC8C" w14:textId="058FC28C"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50.3</w:t>
            </w:r>
          </w:p>
        </w:tc>
        <w:tc>
          <w:tcPr>
            <w:tcW w:w="850" w:type="dxa"/>
            <w:tcBorders>
              <w:top w:val="nil"/>
              <w:left w:val="nil"/>
              <w:right w:val="nil"/>
            </w:tcBorders>
            <w:vAlign w:val="bottom"/>
          </w:tcPr>
          <w:p w14:paraId="4B316F1E"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4280C031"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605A0006" w14:textId="5C5A6BCD"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43.7</w:t>
            </w:r>
          </w:p>
        </w:tc>
        <w:tc>
          <w:tcPr>
            <w:tcW w:w="1223" w:type="dxa"/>
            <w:tcBorders>
              <w:top w:val="nil"/>
              <w:left w:val="nil"/>
              <w:right w:val="nil"/>
            </w:tcBorders>
            <w:vAlign w:val="bottom"/>
          </w:tcPr>
          <w:p w14:paraId="77BFD96B" w14:textId="4C7D9D33"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53.4</w:t>
            </w:r>
          </w:p>
        </w:tc>
        <w:tc>
          <w:tcPr>
            <w:tcW w:w="851" w:type="dxa"/>
            <w:tcBorders>
              <w:top w:val="nil"/>
              <w:left w:val="nil"/>
              <w:right w:val="nil"/>
            </w:tcBorders>
            <w:vAlign w:val="bottom"/>
          </w:tcPr>
          <w:p w14:paraId="1604C5A6" w14:textId="163FC54B"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46.0</w:t>
            </w:r>
          </w:p>
        </w:tc>
        <w:tc>
          <w:tcPr>
            <w:tcW w:w="881" w:type="dxa"/>
            <w:tcBorders>
              <w:top w:val="nil"/>
              <w:left w:val="nil"/>
              <w:right w:val="nil"/>
            </w:tcBorders>
            <w:vAlign w:val="bottom"/>
          </w:tcPr>
          <w:p w14:paraId="501F3ACF"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2B01DCD9" w14:textId="77777777" w:rsidTr="0058440C">
        <w:tblPrEx>
          <w:tblBorders>
            <w:left w:val="single" w:sz="4" w:space="0" w:color="auto"/>
            <w:right w:val="single" w:sz="4" w:space="0" w:color="auto"/>
            <w:insideV w:val="single" w:sz="4" w:space="0" w:color="auto"/>
          </w:tblBorders>
        </w:tblPrEx>
        <w:tc>
          <w:tcPr>
            <w:tcW w:w="284" w:type="dxa"/>
            <w:tcBorders>
              <w:top w:val="nil"/>
              <w:left w:val="nil"/>
              <w:bottom w:val="single" w:sz="4" w:space="0" w:color="auto"/>
              <w:right w:val="nil"/>
            </w:tcBorders>
          </w:tcPr>
          <w:p w14:paraId="3A85B1C3" w14:textId="77777777" w:rsidR="000F2642" w:rsidRPr="008B13C9" w:rsidRDefault="000F2642" w:rsidP="005247AB">
            <w:pPr>
              <w:spacing w:after="0" w:line="240" w:lineRule="auto"/>
              <w:rPr>
                <w:rFonts w:eastAsia="Times New Roman"/>
                <w:sz w:val="20"/>
                <w:shd w:val="clear" w:color="auto" w:fill="FFFFFF"/>
              </w:rPr>
            </w:pPr>
          </w:p>
        </w:tc>
        <w:tc>
          <w:tcPr>
            <w:tcW w:w="1985" w:type="dxa"/>
            <w:tcBorders>
              <w:top w:val="nil"/>
              <w:left w:val="nil"/>
              <w:bottom w:val="single" w:sz="4" w:space="0" w:color="auto"/>
              <w:right w:val="nil"/>
            </w:tcBorders>
            <w:vAlign w:val="center"/>
          </w:tcPr>
          <w:p w14:paraId="36014F1F" w14:textId="77777777" w:rsidR="000F2642" w:rsidRPr="008B13C9" w:rsidRDefault="000F2642" w:rsidP="005247AB">
            <w:pPr>
              <w:spacing w:after="0" w:line="240" w:lineRule="auto"/>
              <w:rPr>
                <w:rFonts w:eastAsia="Times New Roman"/>
                <w:sz w:val="20"/>
                <w:shd w:val="clear" w:color="auto" w:fill="FFFFFF"/>
              </w:rPr>
            </w:pPr>
            <w:r w:rsidRPr="008B13C9">
              <w:rPr>
                <w:rFonts w:cs="Arial"/>
                <w:sz w:val="20"/>
              </w:rPr>
              <w:t>Vigorously active at least once a week</w:t>
            </w:r>
          </w:p>
        </w:tc>
        <w:tc>
          <w:tcPr>
            <w:tcW w:w="992" w:type="dxa"/>
            <w:tcBorders>
              <w:top w:val="nil"/>
              <w:left w:val="nil"/>
              <w:right w:val="nil"/>
            </w:tcBorders>
            <w:vAlign w:val="bottom"/>
          </w:tcPr>
          <w:p w14:paraId="6B452476" w14:textId="2F312481"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38.8</w:t>
            </w:r>
          </w:p>
        </w:tc>
        <w:tc>
          <w:tcPr>
            <w:tcW w:w="1308" w:type="dxa"/>
            <w:tcBorders>
              <w:top w:val="nil"/>
              <w:left w:val="nil"/>
              <w:right w:val="nil"/>
            </w:tcBorders>
            <w:vAlign w:val="bottom"/>
          </w:tcPr>
          <w:p w14:paraId="5694B8A7" w14:textId="3C5D8C97"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37.9</w:t>
            </w:r>
          </w:p>
        </w:tc>
        <w:tc>
          <w:tcPr>
            <w:tcW w:w="851" w:type="dxa"/>
            <w:tcBorders>
              <w:top w:val="nil"/>
              <w:left w:val="nil"/>
              <w:right w:val="nil"/>
            </w:tcBorders>
            <w:vAlign w:val="bottom"/>
          </w:tcPr>
          <w:p w14:paraId="227CCD30" w14:textId="13A9AE3E" w:rsidR="000F2642" w:rsidRPr="008B13C9" w:rsidRDefault="00FB463E"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25.7</w:t>
            </w:r>
          </w:p>
        </w:tc>
        <w:tc>
          <w:tcPr>
            <w:tcW w:w="850" w:type="dxa"/>
            <w:tcBorders>
              <w:top w:val="nil"/>
              <w:left w:val="nil"/>
              <w:right w:val="nil"/>
            </w:tcBorders>
            <w:vAlign w:val="bottom"/>
          </w:tcPr>
          <w:p w14:paraId="28D88135"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c>
          <w:tcPr>
            <w:tcW w:w="284" w:type="dxa"/>
            <w:gridSpan w:val="2"/>
            <w:tcBorders>
              <w:top w:val="nil"/>
              <w:left w:val="nil"/>
              <w:right w:val="nil"/>
            </w:tcBorders>
            <w:vAlign w:val="bottom"/>
          </w:tcPr>
          <w:p w14:paraId="14E18EC5" w14:textId="77777777" w:rsidR="000F2642" w:rsidRPr="008B13C9" w:rsidRDefault="000F2642" w:rsidP="005247AB">
            <w:pPr>
              <w:spacing w:after="0" w:line="240" w:lineRule="auto"/>
              <w:jc w:val="center"/>
              <w:rPr>
                <w:rFonts w:eastAsia="Times New Roman"/>
                <w:sz w:val="20"/>
                <w:shd w:val="clear" w:color="auto" w:fill="FFFFFF"/>
              </w:rPr>
            </w:pPr>
          </w:p>
        </w:tc>
        <w:tc>
          <w:tcPr>
            <w:tcW w:w="970" w:type="dxa"/>
            <w:gridSpan w:val="2"/>
            <w:tcBorders>
              <w:top w:val="nil"/>
              <w:left w:val="nil"/>
              <w:right w:val="nil"/>
            </w:tcBorders>
            <w:vAlign w:val="bottom"/>
          </w:tcPr>
          <w:p w14:paraId="2C2EDE1B" w14:textId="110D5B91"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32.2</w:t>
            </w:r>
          </w:p>
        </w:tc>
        <w:tc>
          <w:tcPr>
            <w:tcW w:w="1223" w:type="dxa"/>
            <w:tcBorders>
              <w:top w:val="nil"/>
              <w:left w:val="nil"/>
              <w:right w:val="nil"/>
            </w:tcBorders>
            <w:vAlign w:val="bottom"/>
          </w:tcPr>
          <w:p w14:paraId="1D0B70AD" w14:textId="7A8B9E06"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26.3</w:t>
            </w:r>
          </w:p>
        </w:tc>
        <w:tc>
          <w:tcPr>
            <w:tcW w:w="851" w:type="dxa"/>
            <w:tcBorders>
              <w:top w:val="nil"/>
              <w:left w:val="nil"/>
              <w:right w:val="nil"/>
            </w:tcBorders>
            <w:vAlign w:val="bottom"/>
          </w:tcPr>
          <w:p w14:paraId="5AEE5F88" w14:textId="34C6758F" w:rsidR="000F2642" w:rsidRPr="008B13C9" w:rsidRDefault="00914D19"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16.9</w:t>
            </w:r>
          </w:p>
        </w:tc>
        <w:tc>
          <w:tcPr>
            <w:tcW w:w="881" w:type="dxa"/>
            <w:tcBorders>
              <w:top w:val="nil"/>
              <w:left w:val="nil"/>
              <w:right w:val="nil"/>
            </w:tcBorders>
            <w:vAlign w:val="bottom"/>
          </w:tcPr>
          <w:p w14:paraId="05D3D793" w14:textId="77777777" w:rsidR="000F2642" w:rsidRPr="008B13C9" w:rsidRDefault="000F2642"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w:t>
            </w:r>
          </w:p>
        </w:tc>
      </w:tr>
      <w:tr w:rsidR="008B13C9" w:rsidRPr="008B13C9" w14:paraId="47B39D33" w14:textId="77777777" w:rsidTr="00800B28">
        <w:tblPrEx>
          <w:tblBorders>
            <w:left w:val="single" w:sz="4" w:space="0" w:color="auto"/>
            <w:right w:val="single" w:sz="4" w:space="0" w:color="auto"/>
            <w:insideV w:val="single" w:sz="4" w:space="0" w:color="auto"/>
          </w:tblBorders>
        </w:tblPrEx>
        <w:tc>
          <w:tcPr>
            <w:tcW w:w="2269" w:type="dxa"/>
            <w:gridSpan w:val="2"/>
            <w:tcBorders>
              <w:top w:val="nil"/>
              <w:left w:val="nil"/>
              <w:bottom w:val="single" w:sz="4" w:space="0" w:color="auto"/>
              <w:right w:val="nil"/>
            </w:tcBorders>
            <w:vAlign w:val="center"/>
          </w:tcPr>
          <w:p w14:paraId="01823E63" w14:textId="77777777" w:rsidR="00266904" w:rsidRPr="008B13C9" w:rsidRDefault="00266904" w:rsidP="005247AB">
            <w:pPr>
              <w:spacing w:after="0" w:line="240" w:lineRule="auto"/>
              <w:rPr>
                <w:rFonts w:eastAsia="Times New Roman"/>
                <w:sz w:val="20"/>
                <w:shd w:val="clear" w:color="auto" w:fill="FFFFFF"/>
              </w:rPr>
            </w:pPr>
            <w:r w:rsidRPr="008B13C9">
              <w:rPr>
                <w:rFonts w:cs="Arial"/>
                <w:sz w:val="20"/>
                <w:szCs w:val="20"/>
              </w:rPr>
              <w:t>Depressive symptoms (0-8) (mean [SD] years)</w:t>
            </w:r>
          </w:p>
        </w:tc>
        <w:tc>
          <w:tcPr>
            <w:tcW w:w="992" w:type="dxa"/>
            <w:tcBorders>
              <w:top w:val="nil"/>
              <w:left w:val="nil"/>
              <w:bottom w:val="single" w:sz="4" w:space="0" w:color="auto"/>
              <w:right w:val="nil"/>
            </w:tcBorders>
            <w:vAlign w:val="bottom"/>
          </w:tcPr>
          <w:p w14:paraId="7CA00F5D" w14:textId="46D4B9F9" w:rsidR="00266904" w:rsidRPr="008B13C9" w:rsidRDefault="003908D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1.0</w:t>
            </w:r>
            <w:r w:rsidR="004A66F5" w:rsidRPr="008B13C9">
              <w:rPr>
                <w:rFonts w:eastAsia="Times New Roman"/>
                <w:sz w:val="20"/>
                <w:shd w:val="clear" w:color="auto" w:fill="FFFFFF"/>
              </w:rPr>
              <w:t>2</w:t>
            </w:r>
            <w:r w:rsidRPr="008B13C9">
              <w:rPr>
                <w:rFonts w:eastAsia="Times New Roman"/>
                <w:sz w:val="20"/>
                <w:shd w:val="clear" w:color="auto" w:fill="FFFFFF"/>
              </w:rPr>
              <w:t xml:space="preserve"> (1.</w:t>
            </w:r>
            <w:r w:rsidR="004A66F5" w:rsidRPr="008B13C9">
              <w:rPr>
                <w:rFonts w:eastAsia="Times New Roman"/>
                <w:sz w:val="20"/>
                <w:shd w:val="clear" w:color="auto" w:fill="FFFFFF"/>
              </w:rPr>
              <w:t>66</w:t>
            </w:r>
            <w:r w:rsidRPr="008B13C9">
              <w:rPr>
                <w:rFonts w:eastAsia="Times New Roman"/>
                <w:sz w:val="20"/>
                <w:shd w:val="clear" w:color="auto" w:fill="FFFFFF"/>
              </w:rPr>
              <w:t>)</w:t>
            </w:r>
          </w:p>
        </w:tc>
        <w:tc>
          <w:tcPr>
            <w:tcW w:w="1308" w:type="dxa"/>
            <w:tcBorders>
              <w:top w:val="nil"/>
              <w:left w:val="nil"/>
              <w:bottom w:val="single" w:sz="4" w:space="0" w:color="auto"/>
              <w:right w:val="nil"/>
            </w:tcBorders>
            <w:vAlign w:val="bottom"/>
          </w:tcPr>
          <w:p w14:paraId="237A53DB" w14:textId="115C4821" w:rsidR="00266904" w:rsidRPr="008B13C9" w:rsidRDefault="003908D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w:t>
            </w:r>
            <w:r w:rsidR="004A66F5" w:rsidRPr="008B13C9">
              <w:rPr>
                <w:rFonts w:eastAsia="Times New Roman"/>
                <w:sz w:val="20"/>
                <w:shd w:val="clear" w:color="auto" w:fill="FFFFFF"/>
              </w:rPr>
              <w:t>89</w:t>
            </w:r>
            <w:r w:rsidRPr="008B13C9">
              <w:rPr>
                <w:rFonts w:eastAsia="Times New Roman"/>
                <w:sz w:val="20"/>
                <w:shd w:val="clear" w:color="auto" w:fill="FFFFFF"/>
              </w:rPr>
              <w:t xml:space="preserve"> (1.5</w:t>
            </w:r>
            <w:r w:rsidR="004A66F5" w:rsidRPr="008B13C9">
              <w:rPr>
                <w:rFonts w:eastAsia="Times New Roman"/>
                <w:sz w:val="20"/>
                <w:shd w:val="clear" w:color="auto" w:fill="FFFFFF"/>
              </w:rPr>
              <w:t>3</w:t>
            </w:r>
            <w:r w:rsidRPr="008B13C9">
              <w:rPr>
                <w:rFonts w:eastAsia="Times New Roman"/>
                <w:sz w:val="20"/>
                <w:shd w:val="clear" w:color="auto" w:fill="FFFFFF"/>
              </w:rPr>
              <w:t>)</w:t>
            </w:r>
          </w:p>
        </w:tc>
        <w:tc>
          <w:tcPr>
            <w:tcW w:w="851" w:type="dxa"/>
            <w:tcBorders>
              <w:top w:val="nil"/>
              <w:left w:val="nil"/>
              <w:bottom w:val="single" w:sz="4" w:space="0" w:color="auto"/>
              <w:right w:val="nil"/>
            </w:tcBorders>
            <w:vAlign w:val="bottom"/>
          </w:tcPr>
          <w:p w14:paraId="26EFBB52" w14:textId="4A7F8714" w:rsidR="00266904" w:rsidRPr="008B13C9" w:rsidRDefault="003908D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w:t>
            </w:r>
            <w:r w:rsidR="004A66F5" w:rsidRPr="008B13C9">
              <w:rPr>
                <w:rFonts w:eastAsia="Times New Roman"/>
                <w:sz w:val="20"/>
                <w:shd w:val="clear" w:color="auto" w:fill="FFFFFF"/>
              </w:rPr>
              <w:t>19</w:t>
            </w:r>
            <w:r w:rsidRPr="008B13C9">
              <w:rPr>
                <w:rFonts w:eastAsia="Times New Roman"/>
                <w:sz w:val="20"/>
                <w:shd w:val="clear" w:color="auto" w:fill="FFFFFF"/>
              </w:rPr>
              <w:t xml:space="preserve"> (1.</w:t>
            </w:r>
            <w:r w:rsidR="004A66F5" w:rsidRPr="008B13C9">
              <w:rPr>
                <w:rFonts w:eastAsia="Times New Roman"/>
                <w:sz w:val="20"/>
                <w:shd w:val="clear" w:color="auto" w:fill="FFFFFF"/>
              </w:rPr>
              <w:t>81</w:t>
            </w:r>
            <w:r w:rsidRPr="008B13C9">
              <w:rPr>
                <w:rFonts w:eastAsia="Times New Roman"/>
                <w:sz w:val="20"/>
                <w:shd w:val="clear" w:color="auto" w:fill="FFFFFF"/>
              </w:rPr>
              <w:t>)</w:t>
            </w:r>
          </w:p>
        </w:tc>
        <w:tc>
          <w:tcPr>
            <w:tcW w:w="850" w:type="dxa"/>
            <w:tcBorders>
              <w:top w:val="nil"/>
              <w:left w:val="nil"/>
              <w:bottom w:val="single" w:sz="4" w:space="0" w:color="auto"/>
              <w:right w:val="nil"/>
            </w:tcBorders>
            <w:vAlign w:val="bottom"/>
          </w:tcPr>
          <w:p w14:paraId="55F20C8F" w14:textId="77777777" w:rsidR="00266904" w:rsidRPr="008B13C9" w:rsidRDefault="003908D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0.002</w:t>
            </w:r>
          </w:p>
        </w:tc>
        <w:tc>
          <w:tcPr>
            <w:tcW w:w="284" w:type="dxa"/>
            <w:gridSpan w:val="2"/>
            <w:tcBorders>
              <w:top w:val="nil"/>
              <w:left w:val="nil"/>
              <w:bottom w:val="single" w:sz="4" w:space="0" w:color="auto"/>
              <w:right w:val="nil"/>
            </w:tcBorders>
            <w:vAlign w:val="bottom"/>
          </w:tcPr>
          <w:p w14:paraId="41D8A6A3" w14:textId="77777777" w:rsidR="00266904" w:rsidRPr="008B13C9" w:rsidRDefault="00266904" w:rsidP="005247AB">
            <w:pPr>
              <w:spacing w:after="0" w:line="240" w:lineRule="auto"/>
              <w:jc w:val="center"/>
              <w:rPr>
                <w:rFonts w:eastAsia="Times New Roman"/>
                <w:sz w:val="20"/>
                <w:shd w:val="clear" w:color="auto" w:fill="FFFFFF"/>
              </w:rPr>
            </w:pPr>
          </w:p>
        </w:tc>
        <w:tc>
          <w:tcPr>
            <w:tcW w:w="970" w:type="dxa"/>
            <w:gridSpan w:val="2"/>
            <w:tcBorders>
              <w:top w:val="nil"/>
              <w:left w:val="nil"/>
              <w:bottom w:val="single" w:sz="4" w:space="0" w:color="auto"/>
              <w:right w:val="nil"/>
            </w:tcBorders>
            <w:vAlign w:val="bottom"/>
          </w:tcPr>
          <w:p w14:paraId="2F7D8924" w14:textId="274C4CFD" w:rsidR="00266904" w:rsidRPr="008B13C9" w:rsidRDefault="003908D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w:t>
            </w:r>
            <w:r w:rsidR="004A66F5" w:rsidRPr="008B13C9">
              <w:rPr>
                <w:rFonts w:eastAsia="Times New Roman"/>
                <w:sz w:val="20"/>
                <w:shd w:val="clear" w:color="auto" w:fill="FFFFFF"/>
              </w:rPr>
              <w:t>34</w:t>
            </w:r>
            <w:r w:rsidRPr="008B13C9">
              <w:rPr>
                <w:rFonts w:eastAsia="Times New Roman"/>
                <w:sz w:val="20"/>
                <w:shd w:val="clear" w:color="auto" w:fill="FFFFFF"/>
              </w:rPr>
              <w:t xml:space="preserve"> (1.</w:t>
            </w:r>
            <w:r w:rsidR="004A66F5" w:rsidRPr="008B13C9">
              <w:rPr>
                <w:rFonts w:eastAsia="Times New Roman"/>
                <w:sz w:val="20"/>
                <w:shd w:val="clear" w:color="auto" w:fill="FFFFFF"/>
              </w:rPr>
              <w:t>78</w:t>
            </w:r>
            <w:r w:rsidRPr="008B13C9">
              <w:rPr>
                <w:rFonts w:eastAsia="Times New Roman"/>
                <w:sz w:val="20"/>
                <w:shd w:val="clear" w:color="auto" w:fill="FFFFFF"/>
              </w:rPr>
              <w:t>)</w:t>
            </w:r>
          </w:p>
        </w:tc>
        <w:tc>
          <w:tcPr>
            <w:tcW w:w="1223" w:type="dxa"/>
            <w:tcBorders>
              <w:top w:val="nil"/>
              <w:left w:val="nil"/>
              <w:bottom w:val="single" w:sz="4" w:space="0" w:color="auto"/>
              <w:right w:val="nil"/>
            </w:tcBorders>
            <w:vAlign w:val="bottom"/>
          </w:tcPr>
          <w:p w14:paraId="7E030051" w14:textId="71EF2369" w:rsidR="00266904" w:rsidRPr="008B13C9" w:rsidRDefault="003908D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w:t>
            </w:r>
            <w:r w:rsidR="004A66F5" w:rsidRPr="008B13C9">
              <w:rPr>
                <w:rFonts w:eastAsia="Times New Roman"/>
                <w:sz w:val="20"/>
                <w:shd w:val="clear" w:color="auto" w:fill="FFFFFF"/>
              </w:rPr>
              <w:t>31</w:t>
            </w:r>
            <w:r w:rsidRPr="008B13C9">
              <w:rPr>
                <w:rFonts w:eastAsia="Times New Roman"/>
                <w:sz w:val="20"/>
                <w:shd w:val="clear" w:color="auto" w:fill="FFFFFF"/>
              </w:rPr>
              <w:t xml:space="preserve"> (1.81)</w:t>
            </w:r>
          </w:p>
        </w:tc>
        <w:tc>
          <w:tcPr>
            <w:tcW w:w="851" w:type="dxa"/>
            <w:tcBorders>
              <w:top w:val="nil"/>
              <w:left w:val="nil"/>
              <w:bottom w:val="single" w:sz="4" w:space="0" w:color="auto"/>
              <w:right w:val="nil"/>
            </w:tcBorders>
            <w:vAlign w:val="bottom"/>
          </w:tcPr>
          <w:p w14:paraId="54302640" w14:textId="2DB7C5EB" w:rsidR="00266904" w:rsidRPr="008B13C9" w:rsidRDefault="003908D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1.7</w:t>
            </w:r>
            <w:r w:rsidR="004A66F5" w:rsidRPr="008B13C9">
              <w:rPr>
                <w:rFonts w:eastAsia="Times New Roman"/>
                <w:sz w:val="20"/>
                <w:shd w:val="clear" w:color="auto" w:fill="FFFFFF"/>
              </w:rPr>
              <w:t>5</w:t>
            </w:r>
            <w:r w:rsidRPr="008B13C9">
              <w:rPr>
                <w:rFonts w:eastAsia="Times New Roman"/>
                <w:sz w:val="20"/>
                <w:shd w:val="clear" w:color="auto" w:fill="FFFFFF"/>
              </w:rPr>
              <w:t xml:space="preserve"> (2.1</w:t>
            </w:r>
            <w:r w:rsidR="004A66F5" w:rsidRPr="008B13C9">
              <w:rPr>
                <w:rFonts w:eastAsia="Times New Roman"/>
                <w:sz w:val="20"/>
                <w:shd w:val="clear" w:color="auto" w:fill="FFFFFF"/>
              </w:rPr>
              <w:t>2</w:t>
            </w:r>
            <w:r w:rsidRPr="008B13C9">
              <w:rPr>
                <w:rFonts w:eastAsia="Times New Roman"/>
                <w:sz w:val="20"/>
                <w:shd w:val="clear" w:color="auto" w:fill="FFFFFF"/>
              </w:rPr>
              <w:t>)</w:t>
            </w:r>
          </w:p>
        </w:tc>
        <w:tc>
          <w:tcPr>
            <w:tcW w:w="881" w:type="dxa"/>
            <w:tcBorders>
              <w:top w:val="nil"/>
              <w:left w:val="nil"/>
              <w:bottom w:val="single" w:sz="4" w:space="0" w:color="auto"/>
              <w:right w:val="nil"/>
            </w:tcBorders>
            <w:vAlign w:val="bottom"/>
          </w:tcPr>
          <w:p w14:paraId="563844C8" w14:textId="77777777" w:rsidR="00266904" w:rsidRPr="008B13C9" w:rsidRDefault="003908DF"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&lt;0.001</w:t>
            </w:r>
          </w:p>
        </w:tc>
      </w:tr>
      <w:tr w:rsidR="008B13C9" w:rsidRPr="008B13C9" w14:paraId="4B2CC973" w14:textId="77777777" w:rsidTr="0058440C">
        <w:tblPrEx>
          <w:tblBorders>
            <w:left w:val="single" w:sz="4" w:space="0" w:color="auto"/>
            <w:right w:val="single" w:sz="4" w:space="0" w:color="auto"/>
            <w:insideV w:val="single" w:sz="4" w:space="0" w:color="auto"/>
          </w:tblBorders>
        </w:tblPrEx>
        <w:trPr>
          <w:trHeight w:val="556"/>
        </w:trPr>
        <w:tc>
          <w:tcPr>
            <w:tcW w:w="10479" w:type="dxa"/>
            <w:gridSpan w:val="13"/>
            <w:tcBorders>
              <w:top w:val="single" w:sz="8" w:space="0" w:color="auto"/>
              <w:left w:val="nil"/>
              <w:bottom w:val="nil"/>
              <w:right w:val="nil"/>
            </w:tcBorders>
          </w:tcPr>
          <w:p w14:paraId="50A2809F" w14:textId="77777777" w:rsidR="000F2642" w:rsidRPr="008B13C9" w:rsidRDefault="000F2642" w:rsidP="005247AB">
            <w:pPr>
              <w:spacing w:after="0" w:line="240" w:lineRule="auto"/>
              <w:rPr>
                <w:rFonts w:eastAsia="Times New Roman"/>
                <w:sz w:val="20"/>
                <w:shd w:val="clear" w:color="auto" w:fill="FFFFFF"/>
              </w:rPr>
            </w:pPr>
            <w:r w:rsidRPr="008B13C9">
              <w:rPr>
                <w:rFonts w:eastAsia="Times New Roman"/>
                <w:sz w:val="20"/>
                <w:shd w:val="clear" w:color="auto" w:fill="FFFFFF"/>
                <w:vertAlign w:val="superscript"/>
              </w:rPr>
              <w:t xml:space="preserve">1 </w:t>
            </w:r>
            <w:r w:rsidRPr="008B13C9">
              <w:rPr>
                <w:rFonts w:eastAsia="Times New Roman"/>
                <w:sz w:val="20"/>
                <w:shd w:val="clear" w:color="auto" w:fill="FFFFFF"/>
              </w:rPr>
              <w:t>Unweighted sample sizes.</w:t>
            </w:r>
          </w:p>
          <w:p w14:paraId="052D3E77" w14:textId="77777777" w:rsidR="000F2642" w:rsidRPr="008B13C9" w:rsidRDefault="000F2642" w:rsidP="005247AB">
            <w:pPr>
              <w:spacing w:after="0" w:line="240" w:lineRule="auto"/>
              <w:rPr>
                <w:rFonts w:cs="Arial"/>
                <w:sz w:val="20"/>
                <w:szCs w:val="20"/>
                <w:lang w:val="en-US"/>
              </w:rPr>
            </w:pPr>
            <w:r w:rsidRPr="008B13C9">
              <w:rPr>
                <w:rFonts w:cs="Arial"/>
                <w:sz w:val="20"/>
                <w:szCs w:val="20"/>
                <w:lang w:val="en-US"/>
              </w:rPr>
              <w:t xml:space="preserve">Values are percentages unless otherwise stated. </w:t>
            </w:r>
          </w:p>
          <w:p w14:paraId="33C20185" w14:textId="77777777" w:rsidR="000F2642" w:rsidRPr="008B13C9" w:rsidRDefault="000F2642" w:rsidP="005247AB">
            <w:pPr>
              <w:spacing w:after="0" w:line="240" w:lineRule="auto"/>
              <w:rPr>
                <w:rFonts w:cs="Arial"/>
                <w:sz w:val="20"/>
                <w:szCs w:val="20"/>
                <w:lang w:val="en-US"/>
              </w:rPr>
            </w:pPr>
            <w:r w:rsidRPr="008B13C9">
              <w:rPr>
                <w:rFonts w:cs="Arial"/>
                <w:sz w:val="20"/>
                <w:szCs w:val="20"/>
                <w:lang w:val="en-US"/>
              </w:rPr>
              <w:t>All figures are weighted for sampling probabilities and differential non-response.</w:t>
            </w:r>
          </w:p>
          <w:p w14:paraId="34C11E30" w14:textId="77777777" w:rsidR="000F2642" w:rsidRPr="008B13C9" w:rsidRDefault="000F2642" w:rsidP="005247AB">
            <w:pPr>
              <w:spacing w:after="0" w:line="240" w:lineRule="auto"/>
              <w:rPr>
                <w:rFonts w:cs="Arial"/>
                <w:sz w:val="20"/>
                <w:szCs w:val="20"/>
                <w:lang w:val="en-US"/>
              </w:rPr>
            </w:pPr>
            <w:r w:rsidRPr="008B13C9">
              <w:rPr>
                <w:rFonts w:cs="Arial"/>
                <w:sz w:val="20"/>
                <w:szCs w:val="20"/>
                <w:lang w:val="en-US"/>
              </w:rPr>
              <w:t>SD = standard deviation.</w:t>
            </w:r>
          </w:p>
          <w:p w14:paraId="6FAFED3A" w14:textId="77777777" w:rsidR="000F2642" w:rsidRPr="008B13C9" w:rsidRDefault="000F2642" w:rsidP="005247AB">
            <w:pPr>
              <w:spacing w:after="0" w:line="240" w:lineRule="auto"/>
              <w:rPr>
                <w:rFonts w:eastAsia="Times New Roman"/>
                <w:sz w:val="20"/>
                <w:shd w:val="clear" w:color="auto" w:fill="FFFFFF"/>
                <w:vertAlign w:val="superscript"/>
              </w:rPr>
            </w:pPr>
            <w:r w:rsidRPr="008B13C9">
              <w:rPr>
                <w:rFonts w:cstheme="minorHAnsi"/>
                <w:sz w:val="20"/>
                <w:szCs w:val="20"/>
                <w:vertAlign w:val="superscript"/>
                <w:lang w:val="en-US"/>
              </w:rPr>
              <w:t>2</w:t>
            </w:r>
            <w:r w:rsidRPr="008B13C9">
              <w:rPr>
                <w:rFonts w:cstheme="minorHAnsi"/>
                <w:sz w:val="20"/>
                <w:szCs w:val="20"/>
                <w:lang w:val="en-US"/>
              </w:rPr>
              <w:t xml:space="preserve"> </w:t>
            </w:r>
            <w:r w:rsidRPr="008B13C9">
              <w:rPr>
                <w:rFonts w:cs="Arial"/>
                <w:sz w:val="20"/>
                <w:szCs w:val="20"/>
                <w:lang w:val="en-US"/>
              </w:rPr>
              <w:t>Never/rarely = never – once or twice a year; regularly = once every 2 months – twice a week; frequently = 3 days a week – almost every day.</w:t>
            </w:r>
          </w:p>
        </w:tc>
      </w:tr>
    </w:tbl>
    <w:p w14:paraId="78887F09" w14:textId="77777777" w:rsidR="006F6A5C" w:rsidRPr="008B13C9" w:rsidRDefault="006F6A5C" w:rsidP="008F07A4">
      <w:pPr>
        <w:spacing w:after="160" w:line="480" w:lineRule="auto"/>
      </w:pPr>
      <w:r w:rsidRPr="008B13C9">
        <w:br w:type="page"/>
      </w:r>
    </w:p>
    <w:tbl>
      <w:tblPr>
        <w:tblStyle w:val="TableGrid"/>
        <w:tblW w:w="9836" w:type="dxa"/>
        <w:tblInd w:w="-284"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3"/>
        <w:gridCol w:w="2690"/>
        <w:gridCol w:w="1138"/>
        <w:gridCol w:w="1303"/>
        <w:gridCol w:w="966"/>
        <w:gridCol w:w="283"/>
        <w:gridCol w:w="998"/>
        <w:gridCol w:w="1223"/>
        <w:gridCol w:w="898"/>
        <w:gridCol w:w="54"/>
      </w:tblGrid>
      <w:tr w:rsidR="008B13C9" w:rsidRPr="008B13C9" w14:paraId="381E5ADD" w14:textId="77777777" w:rsidTr="00E72788">
        <w:tc>
          <w:tcPr>
            <w:tcW w:w="9835" w:type="dxa"/>
            <w:gridSpan w:val="10"/>
            <w:tcBorders>
              <w:top w:val="nil"/>
              <w:bottom w:val="single" w:sz="8" w:space="0" w:color="auto"/>
            </w:tcBorders>
          </w:tcPr>
          <w:p w14:paraId="277E6CBD" w14:textId="7C6A241A" w:rsidR="006F6A5C" w:rsidRPr="008B13C9" w:rsidRDefault="006F6A5C" w:rsidP="005247AB">
            <w:pPr>
              <w:spacing w:after="0" w:line="240" w:lineRule="auto"/>
              <w:rPr>
                <w:rFonts w:eastAsia="Times New Roman"/>
                <w:b/>
                <w:sz w:val="20"/>
              </w:rPr>
            </w:pPr>
            <w:r w:rsidRPr="008B13C9">
              <w:rPr>
                <w:rFonts w:eastAsia="Times New Roman"/>
                <w:b/>
                <w:sz w:val="20"/>
              </w:rPr>
              <w:lastRenderedPageBreak/>
              <w:t xml:space="preserve">Table </w:t>
            </w:r>
            <w:r w:rsidR="009E00E8" w:rsidRPr="008B13C9">
              <w:rPr>
                <w:rFonts w:eastAsia="Times New Roman"/>
                <w:b/>
                <w:noProof/>
                <w:sz w:val="20"/>
              </w:rPr>
              <w:t>2</w:t>
            </w:r>
            <w:r w:rsidRPr="008B13C9">
              <w:rPr>
                <w:rFonts w:eastAsia="Times New Roman"/>
                <w:sz w:val="20"/>
              </w:rPr>
              <w:t xml:space="preserve">  </w:t>
            </w:r>
            <w:r w:rsidR="004D5A29" w:rsidRPr="008B13C9">
              <w:rPr>
                <w:rFonts w:eastAsia="Times New Roman"/>
                <w:sz w:val="20"/>
              </w:rPr>
              <w:t>Prevalence and f</w:t>
            </w:r>
            <w:r w:rsidR="009E00E8" w:rsidRPr="008B13C9">
              <w:rPr>
                <w:rFonts w:eastAsia="Times New Roman"/>
                <w:sz w:val="20"/>
              </w:rPr>
              <w:t>requency of sexual activity</w:t>
            </w:r>
            <w:r w:rsidRPr="008B13C9">
              <w:rPr>
                <w:rFonts w:eastAsia="Times New Roman"/>
                <w:sz w:val="20"/>
              </w:rPr>
              <w:t xml:space="preserve"> in relation to weight status</w:t>
            </w:r>
            <w:r w:rsidR="009E00E8" w:rsidRPr="008B13C9">
              <w:rPr>
                <w:rFonts w:eastAsia="Times New Roman"/>
                <w:sz w:val="20"/>
              </w:rPr>
              <w:t xml:space="preserve"> in men and women</w:t>
            </w:r>
          </w:p>
        </w:tc>
      </w:tr>
      <w:tr w:rsidR="008B13C9" w:rsidRPr="008B13C9" w14:paraId="28C4B095" w14:textId="77777777" w:rsidTr="00E72788">
        <w:tblPrEx>
          <w:tblBorders>
            <w:left w:val="single" w:sz="4" w:space="0" w:color="auto"/>
            <w:right w:val="single" w:sz="4" w:space="0" w:color="auto"/>
            <w:insideV w:val="single" w:sz="4" w:space="0" w:color="auto"/>
          </w:tblBorders>
        </w:tblPrEx>
        <w:tc>
          <w:tcPr>
            <w:tcW w:w="283" w:type="dxa"/>
            <w:tcBorders>
              <w:top w:val="nil"/>
              <w:left w:val="nil"/>
              <w:bottom w:val="nil"/>
              <w:right w:val="nil"/>
            </w:tcBorders>
          </w:tcPr>
          <w:p w14:paraId="7F909FB5" w14:textId="77777777" w:rsidR="006F6A5C" w:rsidRPr="008B13C9" w:rsidRDefault="006F6A5C" w:rsidP="005247AB">
            <w:pPr>
              <w:spacing w:after="0" w:line="240" w:lineRule="auto"/>
              <w:rPr>
                <w:rFonts w:eastAsia="Times New Roman"/>
                <w:sz w:val="20"/>
                <w:shd w:val="clear" w:color="auto" w:fill="FFFFFF"/>
              </w:rPr>
            </w:pPr>
          </w:p>
        </w:tc>
        <w:tc>
          <w:tcPr>
            <w:tcW w:w="2690" w:type="dxa"/>
            <w:tcBorders>
              <w:top w:val="nil"/>
              <w:left w:val="nil"/>
              <w:bottom w:val="nil"/>
              <w:right w:val="nil"/>
            </w:tcBorders>
          </w:tcPr>
          <w:p w14:paraId="6A4BD145" w14:textId="77777777" w:rsidR="006F6A5C" w:rsidRPr="008B13C9" w:rsidRDefault="006F6A5C" w:rsidP="005247AB">
            <w:pPr>
              <w:spacing w:after="0" w:line="240" w:lineRule="auto"/>
              <w:rPr>
                <w:rFonts w:eastAsia="Times New Roman"/>
                <w:sz w:val="20"/>
                <w:shd w:val="clear" w:color="auto" w:fill="FFFFFF"/>
              </w:rPr>
            </w:pPr>
          </w:p>
        </w:tc>
        <w:tc>
          <w:tcPr>
            <w:tcW w:w="3407" w:type="dxa"/>
            <w:gridSpan w:val="3"/>
            <w:tcBorders>
              <w:top w:val="single" w:sz="4" w:space="0" w:color="auto"/>
              <w:left w:val="nil"/>
              <w:bottom w:val="single" w:sz="4" w:space="0" w:color="auto"/>
              <w:right w:val="nil"/>
            </w:tcBorders>
            <w:vAlign w:val="center"/>
          </w:tcPr>
          <w:p w14:paraId="79A84145" w14:textId="77777777" w:rsidR="006F6A5C" w:rsidRPr="008B13C9" w:rsidRDefault="006F6A5C" w:rsidP="005247AB">
            <w:pPr>
              <w:spacing w:after="0" w:line="240" w:lineRule="auto"/>
              <w:jc w:val="center"/>
              <w:rPr>
                <w:rFonts w:eastAsia="Times New Roman"/>
                <w:b/>
                <w:sz w:val="20"/>
                <w:shd w:val="clear" w:color="auto" w:fill="FFFFFF"/>
              </w:rPr>
            </w:pPr>
            <w:r w:rsidRPr="008B13C9">
              <w:rPr>
                <w:rFonts w:eastAsia="Times New Roman"/>
                <w:b/>
                <w:sz w:val="20"/>
                <w:shd w:val="clear" w:color="auto" w:fill="FFFFFF"/>
              </w:rPr>
              <w:t>Men</w:t>
            </w:r>
          </w:p>
        </w:tc>
        <w:tc>
          <w:tcPr>
            <w:tcW w:w="283" w:type="dxa"/>
            <w:tcBorders>
              <w:top w:val="nil"/>
              <w:left w:val="nil"/>
              <w:bottom w:val="nil"/>
              <w:right w:val="nil"/>
            </w:tcBorders>
          </w:tcPr>
          <w:p w14:paraId="46DCE1E9" w14:textId="77777777" w:rsidR="006F6A5C" w:rsidRPr="008B13C9" w:rsidRDefault="006F6A5C" w:rsidP="005247AB">
            <w:pPr>
              <w:spacing w:after="0" w:line="240" w:lineRule="auto"/>
              <w:jc w:val="center"/>
              <w:rPr>
                <w:rFonts w:eastAsia="Times New Roman"/>
                <w:b/>
                <w:i/>
                <w:sz w:val="20"/>
                <w:shd w:val="clear" w:color="auto" w:fill="FFFFFF"/>
              </w:rPr>
            </w:pPr>
          </w:p>
        </w:tc>
        <w:tc>
          <w:tcPr>
            <w:tcW w:w="3173" w:type="dxa"/>
            <w:gridSpan w:val="4"/>
            <w:tcBorders>
              <w:top w:val="nil"/>
              <w:left w:val="nil"/>
              <w:bottom w:val="single" w:sz="4" w:space="0" w:color="auto"/>
              <w:right w:val="nil"/>
            </w:tcBorders>
            <w:vAlign w:val="center"/>
          </w:tcPr>
          <w:p w14:paraId="22D38C93" w14:textId="77777777" w:rsidR="006F6A5C" w:rsidRPr="008B13C9" w:rsidRDefault="006F6A5C" w:rsidP="005247AB">
            <w:pPr>
              <w:spacing w:after="0" w:line="240" w:lineRule="auto"/>
              <w:jc w:val="center"/>
              <w:rPr>
                <w:rFonts w:eastAsia="Times New Roman"/>
                <w:b/>
                <w:sz w:val="20"/>
                <w:shd w:val="clear" w:color="auto" w:fill="FFFFFF"/>
              </w:rPr>
            </w:pPr>
            <w:r w:rsidRPr="008B13C9">
              <w:rPr>
                <w:rFonts w:eastAsia="Times New Roman"/>
                <w:b/>
                <w:sz w:val="20"/>
                <w:shd w:val="clear" w:color="auto" w:fill="FFFFFF"/>
              </w:rPr>
              <w:t>Women</w:t>
            </w:r>
          </w:p>
        </w:tc>
      </w:tr>
      <w:tr w:rsidR="008B13C9" w:rsidRPr="008B13C9" w14:paraId="6D0A61B7" w14:textId="77777777" w:rsidTr="00E72788">
        <w:tblPrEx>
          <w:tblBorders>
            <w:left w:val="single" w:sz="4" w:space="0" w:color="auto"/>
            <w:right w:val="single" w:sz="4" w:space="0" w:color="auto"/>
            <w:insideV w:val="single" w:sz="4" w:space="0" w:color="auto"/>
          </w:tblBorders>
        </w:tblPrEx>
        <w:trPr>
          <w:gridAfter w:val="1"/>
          <w:wAfter w:w="54" w:type="dxa"/>
        </w:trPr>
        <w:tc>
          <w:tcPr>
            <w:tcW w:w="283" w:type="dxa"/>
            <w:tcBorders>
              <w:top w:val="nil"/>
              <w:left w:val="nil"/>
              <w:bottom w:val="single" w:sz="4" w:space="0" w:color="auto"/>
              <w:right w:val="nil"/>
            </w:tcBorders>
            <w:vAlign w:val="center"/>
          </w:tcPr>
          <w:p w14:paraId="1CB6FB0E" w14:textId="77777777" w:rsidR="00E72788" w:rsidRPr="008B13C9" w:rsidRDefault="00E72788" w:rsidP="00E72788">
            <w:pPr>
              <w:spacing w:after="0" w:line="240" w:lineRule="auto"/>
              <w:jc w:val="center"/>
              <w:rPr>
                <w:rFonts w:eastAsia="Times New Roman"/>
                <w:sz w:val="20"/>
                <w:shd w:val="clear" w:color="auto" w:fill="FFFFFF"/>
              </w:rPr>
            </w:pPr>
          </w:p>
        </w:tc>
        <w:tc>
          <w:tcPr>
            <w:tcW w:w="2690" w:type="dxa"/>
            <w:tcBorders>
              <w:top w:val="nil"/>
              <w:left w:val="nil"/>
              <w:bottom w:val="single" w:sz="4" w:space="0" w:color="auto"/>
              <w:right w:val="nil"/>
            </w:tcBorders>
            <w:vAlign w:val="center"/>
          </w:tcPr>
          <w:p w14:paraId="32CA0108" w14:textId="77777777" w:rsidR="00E72788" w:rsidRPr="008B13C9" w:rsidRDefault="00E72788" w:rsidP="00E72788">
            <w:pPr>
              <w:spacing w:after="0" w:line="240" w:lineRule="auto"/>
              <w:jc w:val="center"/>
              <w:rPr>
                <w:rFonts w:eastAsia="Times New Roman"/>
                <w:sz w:val="20"/>
                <w:shd w:val="clear" w:color="auto" w:fill="FFFFFF"/>
              </w:rPr>
            </w:pPr>
          </w:p>
        </w:tc>
        <w:tc>
          <w:tcPr>
            <w:tcW w:w="1138" w:type="dxa"/>
            <w:tcBorders>
              <w:top w:val="single" w:sz="4" w:space="0" w:color="auto"/>
              <w:left w:val="nil"/>
              <w:bottom w:val="single" w:sz="4" w:space="0" w:color="auto"/>
              <w:right w:val="nil"/>
            </w:tcBorders>
            <w:vAlign w:val="center"/>
          </w:tcPr>
          <w:p w14:paraId="4F56487B" w14:textId="77777777"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Normal-weight</w:t>
            </w:r>
          </w:p>
          <w:p w14:paraId="0A966B8C" w14:textId="263B06DF"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w:t>
            </w:r>
            <w:r w:rsidR="00D77915" w:rsidRPr="008B13C9">
              <w:rPr>
                <w:rFonts w:eastAsia="Times New Roman"/>
                <w:b/>
                <w:sz w:val="20"/>
                <w:shd w:val="clear" w:color="auto" w:fill="FFFFFF"/>
              </w:rPr>
              <w:t>544</w:t>
            </w:r>
            <w:r w:rsidRPr="008B13C9">
              <w:rPr>
                <w:rFonts w:eastAsia="Times New Roman"/>
                <w:b/>
                <w:sz w:val="20"/>
                <w:shd w:val="clear" w:color="auto" w:fill="FFFFFF"/>
              </w:rPr>
              <w:t>)</w:t>
            </w:r>
            <w:r w:rsidRPr="008B13C9">
              <w:rPr>
                <w:rFonts w:eastAsia="Times New Roman"/>
                <w:sz w:val="20"/>
                <w:shd w:val="clear" w:color="auto" w:fill="FFFFFF"/>
                <w:vertAlign w:val="superscript"/>
              </w:rPr>
              <w:t>1</w:t>
            </w:r>
          </w:p>
        </w:tc>
        <w:tc>
          <w:tcPr>
            <w:tcW w:w="1303" w:type="dxa"/>
            <w:tcBorders>
              <w:top w:val="single" w:sz="4" w:space="0" w:color="auto"/>
              <w:left w:val="nil"/>
              <w:bottom w:val="single" w:sz="4" w:space="0" w:color="auto"/>
              <w:right w:val="nil"/>
            </w:tcBorders>
            <w:vAlign w:val="center"/>
          </w:tcPr>
          <w:p w14:paraId="56603252" w14:textId="77777777"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Overweight</w:t>
            </w:r>
          </w:p>
          <w:p w14:paraId="47A892F4" w14:textId="31C6C7B0"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w:t>
            </w:r>
            <w:r w:rsidR="00D77915" w:rsidRPr="008B13C9">
              <w:rPr>
                <w:rFonts w:eastAsia="Times New Roman"/>
                <w:b/>
                <w:sz w:val="20"/>
                <w:shd w:val="clear" w:color="auto" w:fill="FFFFFF"/>
              </w:rPr>
              <w:t>1043</w:t>
            </w:r>
            <w:r w:rsidRPr="008B13C9">
              <w:rPr>
                <w:rFonts w:eastAsia="Times New Roman"/>
                <w:b/>
                <w:sz w:val="20"/>
                <w:shd w:val="clear" w:color="auto" w:fill="FFFFFF"/>
              </w:rPr>
              <w:t>)</w:t>
            </w:r>
          </w:p>
        </w:tc>
        <w:tc>
          <w:tcPr>
            <w:tcW w:w="966" w:type="dxa"/>
            <w:tcBorders>
              <w:top w:val="single" w:sz="4" w:space="0" w:color="auto"/>
              <w:left w:val="nil"/>
              <w:bottom w:val="single" w:sz="4" w:space="0" w:color="auto"/>
              <w:right w:val="nil"/>
            </w:tcBorders>
            <w:vAlign w:val="center"/>
          </w:tcPr>
          <w:p w14:paraId="19F2176B" w14:textId="77777777"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Obese</w:t>
            </w:r>
          </w:p>
          <w:p w14:paraId="291A8437" w14:textId="66420AAC"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w:t>
            </w:r>
            <w:r w:rsidR="00D77915" w:rsidRPr="008B13C9">
              <w:rPr>
                <w:rFonts w:eastAsia="Times New Roman"/>
                <w:b/>
                <w:sz w:val="20"/>
                <w:shd w:val="clear" w:color="auto" w:fill="FFFFFF"/>
              </w:rPr>
              <w:t>613</w:t>
            </w:r>
            <w:r w:rsidRPr="008B13C9">
              <w:rPr>
                <w:rFonts w:eastAsia="Times New Roman"/>
                <w:b/>
                <w:sz w:val="20"/>
                <w:shd w:val="clear" w:color="auto" w:fill="FFFFFF"/>
              </w:rPr>
              <w:t>)</w:t>
            </w:r>
          </w:p>
        </w:tc>
        <w:tc>
          <w:tcPr>
            <w:tcW w:w="283" w:type="dxa"/>
            <w:tcBorders>
              <w:top w:val="nil"/>
              <w:left w:val="nil"/>
              <w:bottom w:val="single" w:sz="4" w:space="0" w:color="auto"/>
              <w:right w:val="nil"/>
            </w:tcBorders>
            <w:vAlign w:val="center"/>
          </w:tcPr>
          <w:p w14:paraId="6820AD7C" w14:textId="77777777" w:rsidR="00E72788" w:rsidRPr="008B13C9" w:rsidRDefault="00E72788" w:rsidP="00E72788">
            <w:pPr>
              <w:spacing w:after="0" w:line="240" w:lineRule="auto"/>
              <w:jc w:val="center"/>
              <w:rPr>
                <w:rFonts w:eastAsia="Times New Roman"/>
                <w:b/>
                <w:i/>
                <w:sz w:val="20"/>
                <w:shd w:val="clear" w:color="auto" w:fill="FFFFFF"/>
              </w:rPr>
            </w:pPr>
          </w:p>
        </w:tc>
        <w:tc>
          <w:tcPr>
            <w:tcW w:w="998" w:type="dxa"/>
            <w:tcBorders>
              <w:top w:val="nil"/>
              <w:left w:val="nil"/>
              <w:bottom w:val="single" w:sz="4" w:space="0" w:color="auto"/>
              <w:right w:val="nil"/>
            </w:tcBorders>
            <w:vAlign w:val="center"/>
          </w:tcPr>
          <w:p w14:paraId="6264FA0D" w14:textId="77777777"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Normal-weight</w:t>
            </w:r>
          </w:p>
          <w:p w14:paraId="48AC64A8" w14:textId="7A28C709" w:rsidR="00E72788" w:rsidRPr="008B13C9" w:rsidRDefault="00E72788" w:rsidP="00E72788">
            <w:pPr>
              <w:spacing w:after="0" w:line="240" w:lineRule="auto"/>
              <w:jc w:val="center"/>
              <w:rPr>
                <w:rFonts w:eastAsia="Times New Roman"/>
                <w:b/>
                <w:i/>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w:t>
            </w:r>
            <w:r w:rsidR="00D77915" w:rsidRPr="008B13C9">
              <w:rPr>
                <w:rFonts w:eastAsia="Times New Roman"/>
                <w:b/>
                <w:sz w:val="20"/>
                <w:shd w:val="clear" w:color="auto" w:fill="FFFFFF"/>
              </w:rPr>
              <w:t>894</w:t>
            </w:r>
            <w:r w:rsidRPr="008B13C9">
              <w:rPr>
                <w:rFonts w:eastAsia="Times New Roman"/>
                <w:b/>
                <w:sz w:val="20"/>
                <w:shd w:val="clear" w:color="auto" w:fill="FFFFFF"/>
              </w:rPr>
              <w:t>)</w:t>
            </w:r>
          </w:p>
        </w:tc>
        <w:tc>
          <w:tcPr>
            <w:tcW w:w="1223" w:type="dxa"/>
            <w:tcBorders>
              <w:top w:val="nil"/>
              <w:left w:val="nil"/>
              <w:bottom w:val="single" w:sz="4" w:space="0" w:color="auto"/>
              <w:right w:val="nil"/>
            </w:tcBorders>
            <w:vAlign w:val="center"/>
          </w:tcPr>
          <w:p w14:paraId="4FABEDEF" w14:textId="77777777"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Overweight</w:t>
            </w:r>
          </w:p>
          <w:p w14:paraId="189E6F7A" w14:textId="03AD7DBD" w:rsidR="00E72788" w:rsidRPr="008B13C9" w:rsidRDefault="00E72788" w:rsidP="00E72788">
            <w:pPr>
              <w:spacing w:after="0" w:line="240" w:lineRule="auto"/>
              <w:jc w:val="center"/>
              <w:rPr>
                <w:rFonts w:eastAsia="Times New Roman"/>
                <w:b/>
                <w:i/>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w:t>
            </w:r>
            <w:r w:rsidR="00D77915" w:rsidRPr="008B13C9">
              <w:rPr>
                <w:rFonts w:eastAsia="Times New Roman"/>
                <w:b/>
                <w:sz w:val="20"/>
                <w:shd w:val="clear" w:color="auto" w:fill="FFFFFF"/>
              </w:rPr>
              <w:t>956</w:t>
            </w:r>
            <w:r w:rsidRPr="008B13C9">
              <w:rPr>
                <w:rFonts w:eastAsia="Times New Roman"/>
                <w:b/>
                <w:sz w:val="20"/>
                <w:shd w:val="clear" w:color="auto" w:fill="FFFFFF"/>
              </w:rPr>
              <w:t>)</w:t>
            </w:r>
          </w:p>
        </w:tc>
        <w:tc>
          <w:tcPr>
            <w:tcW w:w="898" w:type="dxa"/>
            <w:tcBorders>
              <w:top w:val="nil"/>
              <w:left w:val="nil"/>
              <w:bottom w:val="single" w:sz="4" w:space="0" w:color="auto"/>
              <w:right w:val="nil"/>
            </w:tcBorders>
            <w:vAlign w:val="center"/>
          </w:tcPr>
          <w:p w14:paraId="2534319D" w14:textId="77777777" w:rsidR="00E72788" w:rsidRPr="008B13C9" w:rsidRDefault="00E72788" w:rsidP="00E72788">
            <w:pPr>
              <w:spacing w:after="0" w:line="240" w:lineRule="auto"/>
              <w:jc w:val="center"/>
              <w:rPr>
                <w:rFonts w:eastAsia="Times New Roman"/>
                <w:b/>
                <w:sz w:val="20"/>
                <w:shd w:val="clear" w:color="auto" w:fill="FFFFFF"/>
              </w:rPr>
            </w:pPr>
            <w:r w:rsidRPr="008B13C9">
              <w:rPr>
                <w:rFonts w:eastAsia="Times New Roman"/>
                <w:b/>
                <w:sz w:val="20"/>
                <w:shd w:val="clear" w:color="auto" w:fill="FFFFFF"/>
              </w:rPr>
              <w:t>Obese</w:t>
            </w:r>
          </w:p>
          <w:p w14:paraId="11276B1F" w14:textId="6358C4F1" w:rsidR="00E72788" w:rsidRPr="008B13C9" w:rsidRDefault="00E72788" w:rsidP="00E72788">
            <w:pPr>
              <w:spacing w:after="0" w:line="240" w:lineRule="auto"/>
              <w:jc w:val="center"/>
              <w:rPr>
                <w:rFonts w:eastAsia="Times New Roman"/>
                <w:b/>
                <w:i/>
                <w:sz w:val="20"/>
                <w:shd w:val="clear" w:color="auto" w:fill="FFFFFF"/>
              </w:rPr>
            </w:pPr>
            <w:r w:rsidRPr="008B13C9">
              <w:rPr>
                <w:rFonts w:eastAsia="Times New Roman"/>
                <w:b/>
                <w:sz w:val="20"/>
                <w:shd w:val="clear" w:color="auto" w:fill="FFFFFF"/>
              </w:rPr>
              <w:t>(</w:t>
            </w:r>
            <w:r w:rsidRPr="008B13C9">
              <w:rPr>
                <w:rFonts w:eastAsia="Times New Roman"/>
                <w:b/>
                <w:i/>
                <w:sz w:val="20"/>
                <w:shd w:val="clear" w:color="auto" w:fill="FFFFFF"/>
              </w:rPr>
              <w:t>n</w:t>
            </w:r>
            <w:r w:rsidRPr="008B13C9">
              <w:rPr>
                <w:rFonts w:eastAsia="Times New Roman"/>
                <w:b/>
                <w:sz w:val="20"/>
                <w:shd w:val="clear" w:color="auto" w:fill="FFFFFF"/>
              </w:rPr>
              <w:t>=</w:t>
            </w:r>
            <w:r w:rsidR="00D77915" w:rsidRPr="008B13C9">
              <w:rPr>
                <w:rFonts w:eastAsia="Times New Roman"/>
                <w:b/>
                <w:sz w:val="20"/>
                <w:shd w:val="clear" w:color="auto" w:fill="FFFFFF"/>
              </w:rPr>
              <w:t>887</w:t>
            </w:r>
            <w:r w:rsidRPr="008B13C9">
              <w:rPr>
                <w:rFonts w:eastAsia="Times New Roman"/>
                <w:b/>
                <w:sz w:val="20"/>
                <w:shd w:val="clear" w:color="auto" w:fill="FFFFFF"/>
              </w:rPr>
              <w:t>)</w:t>
            </w:r>
          </w:p>
        </w:tc>
      </w:tr>
      <w:tr w:rsidR="008B13C9" w:rsidRPr="008B13C9" w14:paraId="15F20FEB" w14:textId="77777777" w:rsidTr="00E72788">
        <w:tblPrEx>
          <w:tblBorders>
            <w:left w:val="single" w:sz="4" w:space="0" w:color="auto"/>
            <w:right w:val="single" w:sz="4" w:space="0" w:color="auto"/>
            <w:insideV w:val="single" w:sz="4" w:space="0" w:color="auto"/>
          </w:tblBorders>
        </w:tblPrEx>
        <w:trPr>
          <w:gridAfter w:val="1"/>
          <w:wAfter w:w="54" w:type="dxa"/>
        </w:trPr>
        <w:tc>
          <w:tcPr>
            <w:tcW w:w="2973" w:type="dxa"/>
            <w:gridSpan w:val="2"/>
            <w:tcBorders>
              <w:top w:val="single" w:sz="4" w:space="0" w:color="auto"/>
              <w:left w:val="nil"/>
              <w:bottom w:val="nil"/>
              <w:right w:val="nil"/>
            </w:tcBorders>
          </w:tcPr>
          <w:p w14:paraId="4253923B" w14:textId="77777777" w:rsidR="005247AB" w:rsidRPr="008B13C9" w:rsidRDefault="005247AB" w:rsidP="005247AB">
            <w:pPr>
              <w:spacing w:after="0" w:line="240" w:lineRule="auto"/>
              <w:rPr>
                <w:rFonts w:eastAsia="Times New Roman"/>
                <w:sz w:val="20"/>
                <w:shd w:val="clear" w:color="auto" w:fill="FFFFFF"/>
              </w:rPr>
            </w:pPr>
            <w:r w:rsidRPr="008B13C9">
              <w:rPr>
                <w:sz w:val="20"/>
                <w:szCs w:val="20"/>
              </w:rPr>
              <w:t>Any sexual activity in the last year</w:t>
            </w:r>
          </w:p>
        </w:tc>
        <w:tc>
          <w:tcPr>
            <w:tcW w:w="1138" w:type="dxa"/>
            <w:tcBorders>
              <w:top w:val="single" w:sz="4" w:space="0" w:color="auto"/>
              <w:left w:val="nil"/>
              <w:bottom w:val="nil"/>
              <w:right w:val="nil"/>
            </w:tcBorders>
            <w:vAlign w:val="bottom"/>
          </w:tcPr>
          <w:p w14:paraId="1B1DB8E1" w14:textId="77777777" w:rsidR="005247AB" w:rsidRPr="008B13C9" w:rsidRDefault="005247AB" w:rsidP="005247AB">
            <w:pPr>
              <w:spacing w:after="0" w:line="240" w:lineRule="auto"/>
              <w:jc w:val="center"/>
              <w:rPr>
                <w:rFonts w:eastAsia="Times New Roman"/>
                <w:sz w:val="20"/>
                <w:shd w:val="clear" w:color="auto" w:fill="FFFFFF"/>
              </w:rPr>
            </w:pPr>
          </w:p>
        </w:tc>
        <w:tc>
          <w:tcPr>
            <w:tcW w:w="1303" w:type="dxa"/>
            <w:tcBorders>
              <w:top w:val="single" w:sz="4" w:space="0" w:color="auto"/>
              <w:left w:val="nil"/>
              <w:bottom w:val="nil"/>
              <w:right w:val="nil"/>
            </w:tcBorders>
            <w:vAlign w:val="bottom"/>
          </w:tcPr>
          <w:p w14:paraId="5E4A423D" w14:textId="77777777" w:rsidR="005247AB" w:rsidRPr="008B13C9" w:rsidRDefault="005247AB" w:rsidP="005247AB">
            <w:pPr>
              <w:spacing w:after="0" w:line="240" w:lineRule="auto"/>
              <w:jc w:val="center"/>
              <w:rPr>
                <w:rFonts w:eastAsia="Times New Roman"/>
                <w:sz w:val="20"/>
                <w:shd w:val="clear" w:color="auto" w:fill="FFFFFF"/>
              </w:rPr>
            </w:pPr>
          </w:p>
        </w:tc>
        <w:tc>
          <w:tcPr>
            <w:tcW w:w="966" w:type="dxa"/>
            <w:tcBorders>
              <w:top w:val="single" w:sz="4" w:space="0" w:color="auto"/>
              <w:left w:val="nil"/>
              <w:bottom w:val="nil"/>
              <w:right w:val="nil"/>
            </w:tcBorders>
            <w:vAlign w:val="bottom"/>
          </w:tcPr>
          <w:p w14:paraId="61DC0855" w14:textId="77777777" w:rsidR="005247AB" w:rsidRPr="008B13C9" w:rsidRDefault="005247AB" w:rsidP="005247AB">
            <w:pPr>
              <w:spacing w:after="0" w:line="240" w:lineRule="auto"/>
              <w:jc w:val="center"/>
              <w:rPr>
                <w:rFonts w:eastAsia="Times New Roman"/>
                <w:sz w:val="20"/>
                <w:shd w:val="clear" w:color="auto" w:fill="FFFFFF"/>
              </w:rPr>
            </w:pPr>
          </w:p>
        </w:tc>
        <w:tc>
          <w:tcPr>
            <w:tcW w:w="283" w:type="dxa"/>
            <w:tcBorders>
              <w:top w:val="single" w:sz="4" w:space="0" w:color="auto"/>
              <w:left w:val="nil"/>
              <w:bottom w:val="nil"/>
              <w:right w:val="nil"/>
            </w:tcBorders>
            <w:vAlign w:val="bottom"/>
          </w:tcPr>
          <w:p w14:paraId="0198710B" w14:textId="77777777" w:rsidR="005247AB" w:rsidRPr="008B13C9" w:rsidRDefault="005247AB" w:rsidP="005247AB">
            <w:pPr>
              <w:spacing w:after="0" w:line="240" w:lineRule="auto"/>
              <w:jc w:val="center"/>
              <w:rPr>
                <w:rFonts w:eastAsia="Times New Roman"/>
                <w:sz w:val="20"/>
                <w:shd w:val="clear" w:color="auto" w:fill="FFFFFF"/>
              </w:rPr>
            </w:pPr>
          </w:p>
        </w:tc>
        <w:tc>
          <w:tcPr>
            <w:tcW w:w="998" w:type="dxa"/>
            <w:tcBorders>
              <w:top w:val="single" w:sz="4" w:space="0" w:color="auto"/>
              <w:left w:val="nil"/>
              <w:bottom w:val="nil"/>
              <w:right w:val="nil"/>
            </w:tcBorders>
            <w:vAlign w:val="bottom"/>
          </w:tcPr>
          <w:p w14:paraId="50355FCD" w14:textId="77777777" w:rsidR="005247AB" w:rsidRPr="008B13C9" w:rsidRDefault="005247AB"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2AA92D24" w14:textId="77777777" w:rsidR="005247AB" w:rsidRPr="008B13C9" w:rsidRDefault="005247AB" w:rsidP="005247AB">
            <w:pPr>
              <w:spacing w:after="0" w:line="240" w:lineRule="auto"/>
              <w:jc w:val="center"/>
              <w:rPr>
                <w:rFonts w:eastAsia="Times New Roman"/>
                <w:sz w:val="20"/>
                <w:shd w:val="clear" w:color="auto" w:fill="FFFFFF"/>
              </w:rPr>
            </w:pPr>
          </w:p>
        </w:tc>
        <w:tc>
          <w:tcPr>
            <w:tcW w:w="898" w:type="dxa"/>
            <w:tcBorders>
              <w:top w:val="single" w:sz="4" w:space="0" w:color="auto"/>
              <w:left w:val="nil"/>
              <w:bottom w:val="nil"/>
              <w:right w:val="nil"/>
            </w:tcBorders>
            <w:vAlign w:val="bottom"/>
          </w:tcPr>
          <w:p w14:paraId="37359213" w14:textId="77777777" w:rsidR="005247AB" w:rsidRPr="008B13C9" w:rsidRDefault="005247AB" w:rsidP="005247AB">
            <w:pPr>
              <w:spacing w:after="0" w:line="240" w:lineRule="auto"/>
              <w:jc w:val="center"/>
              <w:rPr>
                <w:rFonts w:eastAsia="Times New Roman"/>
                <w:sz w:val="20"/>
                <w:shd w:val="clear" w:color="auto" w:fill="FFFFFF"/>
              </w:rPr>
            </w:pPr>
          </w:p>
        </w:tc>
      </w:tr>
      <w:tr w:rsidR="008B13C9" w:rsidRPr="008B13C9" w14:paraId="5ED99E8C" w14:textId="77777777" w:rsidTr="00E72788">
        <w:tblPrEx>
          <w:tblBorders>
            <w:left w:val="single" w:sz="4" w:space="0" w:color="auto"/>
            <w:right w:val="single" w:sz="4" w:space="0" w:color="auto"/>
            <w:insideV w:val="single" w:sz="4" w:space="0" w:color="auto"/>
          </w:tblBorders>
        </w:tblPrEx>
        <w:trPr>
          <w:gridAfter w:val="1"/>
          <w:wAfter w:w="54" w:type="dxa"/>
        </w:trPr>
        <w:tc>
          <w:tcPr>
            <w:tcW w:w="283" w:type="dxa"/>
            <w:tcBorders>
              <w:top w:val="nil"/>
              <w:left w:val="nil"/>
              <w:bottom w:val="nil"/>
              <w:right w:val="nil"/>
            </w:tcBorders>
          </w:tcPr>
          <w:p w14:paraId="02595B61" w14:textId="77777777" w:rsidR="005247AB" w:rsidRPr="008B13C9" w:rsidRDefault="005247AB" w:rsidP="005247AB">
            <w:pPr>
              <w:spacing w:after="0" w:line="240" w:lineRule="auto"/>
              <w:rPr>
                <w:rFonts w:eastAsia="Times New Roman"/>
                <w:sz w:val="20"/>
                <w:shd w:val="clear" w:color="auto" w:fill="FFFFFF"/>
              </w:rPr>
            </w:pPr>
          </w:p>
        </w:tc>
        <w:tc>
          <w:tcPr>
            <w:tcW w:w="2690" w:type="dxa"/>
            <w:tcBorders>
              <w:top w:val="nil"/>
              <w:left w:val="nil"/>
              <w:bottom w:val="single" w:sz="4" w:space="0" w:color="auto"/>
              <w:right w:val="nil"/>
            </w:tcBorders>
            <w:vAlign w:val="center"/>
          </w:tcPr>
          <w:p w14:paraId="391343C6" w14:textId="77777777" w:rsidR="005247AB" w:rsidRPr="008B13C9" w:rsidRDefault="005247AB" w:rsidP="005247AB">
            <w:pPr>
              <w:spacing w:after="0" w:line="240" w:lineRule="auto"/>
              <w:rPr>
                <w:rFonts w:eastAsia="Times New Roman"/>
                <w:sz w:val="20"/>
                <w:shd w:val="clear" w:color="auto" w:fill="FFFFFF"/>
              </w:rPr>
            </w:pPr>
            <w:r w:rsidRPr="008B13C9">
              <w:rPr>
                <w:rFonts w:eastAsia="Times New Roman"/>
                <w:sz w:val="20"/>
                <w:shd w:val="clear" w:color="auto" w:fill="FFFFFF"/>
              </w:rPr>
              <w:t>No</w:t>
            </w:r>
          </w:p>
        </w:tc>
        <w:tc>
          <w:tcPr>
            <w:tcW w:w="1138" w:type="dxa"/>
            <w:tcBorders>
              <w:top w:val="nil"/>
              <w:left w:val="nil"/>
              <w:right w:val="nil"/>
            </w:tcBorders>
            <w:vAlign w:val="bottom"/>
          </w:tcPr>
          <w:p w14:paraId="331BCADD" w14:textId="071F9123"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28.7</w:t>
            </w:r>
          </w:p>
        </w:tc>
        <w:tc>
          <w:tcPr>
            <w:tcW w:w="1303" w:type="dxa"/>
            <w:tcBorders>
              <w:top w:val="nil"/>
              <w:left w:val="nil"/>
              <w:right w:val="nil"/>
            </w:tcBorders>
            <w:vAlign w:val="bottom"/>
          </w:tcPr>
          <w:p w14:paraId="4C425926" w14:textId="7FD988D8"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25.6</w:t>
            </w:r>
          </w:p>
        </w:tc>
        <w:tc>
          <w:tcPr>
            <w:tcW w:w="966" w:type="dxa"/>
            <w:tcBorders>
              <w:top w:val="nil"/>
              <w:left w:val="nil"/>
              <w:right w:val="nil"/>
            </w:tcBorders>
            <w:vAlign w:val="bottom"/>
          </w:tcPr>
          <w:p w14:paraId="2862F0FB" w14:textId="2B431DEE"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26.9</w:t>
            </w:r>
          </w:p>
        </w:tc>
        <w:tc>
          <w:tcPr>
            <w:tcW w:w="283" w:type="dxa"/>
            <w:tcBorders>
              <w:top w:val="nil"/>
              <w:left w:val="nil"/>
              <w:right w:val="nil"/>
            </w:tcBorders>
            <w:vAlign w:val="bottom"/>
          </w:tcPr>
          <w:p w14:paraId="4761EB97" w14:textId="77777777" w:rsidR="005247AB" w:rsidRPr="008B13C9" w:rsidRDefault="005247AB" w:rsidP="005247AB">
            <w:pPr>
              <w:spacing w:after="0" w:line="240" w:lineRule="auto"/>
              <w:jc w:val="center"/>
              <w:rPr>
                <w:rFonts w:eastAsia="Times New Roman"/>
                <w:sz w:val="20"/>
                <w:shd w:val="clear" w:color="auto" w:fill="FFFFFF"/>
              </w:rPr>
            </w:pPr>
          </w:p>
        </w:tc>
        <w:tc>
          <w:tcPr>
            <w:tcW w:w="998" w:type="dxa"/>
            <w:tcBorders>
              <w:top w:val="nil"/>
              <w:left w:val="nil"/>
              <w:right w:val="nil"/>
            </w:tcBorders>
            <w:vAlign w:val="bottom"/>
          </w:tcPr>
          <w:p w14:paraId="1297D31B" w14:textId="10EAFAEF"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48.6</w:t>
            </w:r>
          </w:p>
        </w:tc>
        <w:tc>
          <w:tcPr>
            <w:tcW w:w="1223" w:type="dxa"/>
            <w:tcBorders>
              <w:top w:val="nil"/>
              <w:left w:val="nil"/>
              <w:right w:val="nil"/>
            </w:tcBorders>
            <w:vAlign w:val="bottom"/>
          </w:tcPr>
          <w:p w14:paraId="658A5EB7" w14:textId="1BC92C62"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49.4</w:t>
            </w:r>
          </w:p>
        </w:tc>
        <w:tc>
          <w:tcPr>
            <w:tcW w:w="898" w:type="dxa"/>
            <w:tcBorders>
              <w:top w:val="nil"/>
              <w:left w:val="nil"/>
              <w:right w:val="nil"/>
            </w:tcBorders>
            <w:vAlign w:val="bottom"/>
          </w:tcPr>
          <w:p w14:paraId="08607D42" w14:textId="18F91901"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51.9</w:t>
            </w:r>
          </w:p>
        </w:tc>
      </w:tr>
      <w:tr w:rsidR="008B13C9" w:rsidRPr="008B13C9" w14:paraId="462F0ECA" w14:textId="77777777" w:rsidTr="00E72788">
        <w:tblPrEx>
          <w:tblBorders>
            <w:left w:val="single" w:sz="4" w:space="0" w:color="auto"/>
            <w:right w:val="single" w:sz="4" w:space="0" w:color="auto"/>
            <w:insideV w:val="single" w:sz="4" w:space="0" w:color="auto"/>
          </w:tblBorders>
        </w:tblPrEx>
        <w:trPr>
          <w:gridAfter w:val="1"/>
          <w:wAfter w:w="54" w:type="dxa"/>
        </w:trPr>
        <w:tc>
          <w:tcPr>
            <w:tcW w:w="283" w:type="dxa"/>
            <w:tcBorders>
              <w:top w:val="nil"/>
              <w:left w:val="nil"/>
              <w:bottom w:val="single" w:sz="4" w:space="0" w:color="auto"/>
              <w:right w:val="nil"/>
            </w:tcBorders>
          </w:tcPr>
          <w:p w14:paraId="5DA4371A" w14:textId="77777777" w:rsidR="005247AB" w:rsidRPr="008B13C9" w:rsidRDefault="005247AB" w:rsidP="005247AB">
            <w:pPr>
              <w:spacing w:after="0" w:line="240" w:lineRule="auto"/>
              <w:rPr>
                <w:rFonts w:eastAsia="Times New Roman"/>
                <w:sz w:val="20"/>
                <w:shd w:val="clear" w:color="auto" w:fill="FFFFFF"/>
              </w:rPr>
            </w:pPr>
          </w:p>
        </w:tc>
        <w:tc>
          <w:tcPr>
            <w:tcW w:w="2690" w:type="dxa"/>
            <w:tcBorders>
              <w:top w:val="nil"/>
              <w:left w:val="nil"/>
              <w:bottom w:val="single" w:sz="4" w:space="0" w:color="auto"/>
              <w:right w:val="nil"/>
            </w:tcBorders>
            <w:vAlign w:val="center"/>
          </w:tcPr>
          <w:p w14:paraId="7FE2BCE7" w14:textId="77777777" w:rsidR="005247AB" w:rsidRPr="008B13C9" w:rsidRDefault="005247AB" w:rsidP="005247AB">
            <w:pPr>
              <w:spacing w:after="0" w:line="240" w:lineRule="auto"/>
              <w:rPr>
                <w:rFonts w:eastAsia="Times New Roman"/>
                <w:sz w:val="20"/>
                <w:shd w:val="clear" w:color="auto" w:fill="FFFFFF"/>
              </w:rPr>
            </w:pPr>
            <w:r w:rsidRPr="008B13C9">
              <w:rPr>
                <w:rFonts w:eastAsia="Times New Roman"/>
                <w:sz w:val="20"/>
                <w:shd w:val="clear" w:color="auto" w:fill="FFFFFF"/>
              </w:rPr>
              <w:t>Yes</w:t>
            </w:r>
          </w:p>
        </w:tc>
        <w:tc>
          <w:tcPr>
            <w:tcW w:w="1138" w:type="dxa"/>
            <w:tcBorders>
              <w:top w:val="nil"/>
              <w:left w:val="nil"/>
              <w:right w:val="nil"/>
            </w:tcBorders>
            <w:vAlign w:val="bottom"/>
          </w:tcPr>
          <w:p w14:paraId="3875EFAA" w14:textId="45D1950E"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71.3</w:t>
            </w:r>
          </w:p>
        </w:tc>
        <w:tc>
          <w:tcPr>
            <w:tcW w:w="1303" w:type="dxa"/>
            <w:tcBorders>
              <w:top w:val="nil"/>
              <w:left w:val="nil"/>
              <w:right w:val="nil"/>
            </w:tcBorders>
            <w:vAlign w:val="bottom"/>
          </w:tcPr>
          <w:p w14:paraId="1F782F71" w14:textId="28F0ED42"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74.4</w:t>
            </w:r>
          </w:p>
        </w:tc>
        <w:tc>
          <w:tcPr>
            <w:tcW w:w="966" w:type="dxa"/>
            <w:tcBorders>
              <w:top w:val="nil"/>
              <w:left w:val="nil"/>
              <w:right w:val="nil"/>
            </w:tcBorders>
            <w:vAlign w:val="bottom"/>
          </w:tcPr>
          <w:p w14:paraId="60C0BDFE" w14:textId="747B1FC3"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73.1</w:t>
            </w:r>
          </w:p>
        </w:tc>
        <w:tc>
          <w:tcPr>
            <w:tcW w:w="283" w:type="dxa"/>
            <w:tcBorders>
              <w:top w:val="nil"/>
              <w:left w:val="nil"/>
              <w:right w:val="nil"/>
            </w:tcBorders>
            <w:vAlign w:val="bottom"/>
          </w:tcPr>
          <w:p w14:paraId="52F57C84" w14:textId="77777777" w:rsidR="005247AB" w:rsidRPr="008B13C9" w:rsidRDefault="005247AB" w:rsidP="005247AB">
            <w:pPr>
              <w:spacing w:after="0" w:line="240" w:lineRule="auto"/>
              <w:jc w:val="center"/>
              <w:rPr>
                <w:rFonts w:eastAsia="Times New Roman"/>
                <w:sz w:val="20"/>
                <w:shd w:val="clear" w:color="auto" w:fill="FFFFFF"/>
              </w:rPr>
            </w:pPr>
          </w:p>
        </w:tc>
        <w:tc>
          <w:tcPr>
            <w:tcW w:w="998" w:type="dxa"/>
            <w:tcBorders>
              <w:top w:val="nil"/>
              <w:left w:val="nil"/>
              <w:right w:val="nil"/>
            </w:tcBorders>
            <w:vAlign w:val="bottom"/>
          </w:tcPr>
          <w:p w14:paraId="2EB6A627" w14:textId="0C2D8A5B"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51.4</w:t>
            </w:r>
          </w:p>
        </w:tc>
        <w:tc>
          <w:tcPr>
            <w:tcW w:w="1223" w:type="dxa"/>
            <w:tcBorders>
              <w:top w:val="nil"/>
              <w:left w:val="nil"/>
              <w:right w:val="nil"/>
            </w:tcBorders>
            <w:vAlign w:val="bottom"/>
          </w:tcPr>
          <w:p w14:paraId="3010E39C" w14:textId="34B12969"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50.6</w:t>
            </w:r>
          </w:p>
        </w:tc>
        <w:tc>
          <w:tcPr>
            <w:tcW w:w="898" w:type="dxa"/>
            <w:tcBorders>
              <w:top w:val="nil"/>
              <w:left w:val="nil"/>
              <w:right w:val="nil"/>
            </w:tcBorders>
            <w:vAlign w:val="bottom"/>
          </w:tcPr>
          <w:p w14:paraId="12F8AF6A" w14:textId="658A8854" w:rsidR="005247AB" w:rsidRPr="008B13C9" w:rsidRDefault="00EB0356"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48.1</w:t>
            </w:r>
          </w:p>
        </w:tc>
      </w:tr>
      <w:tr w:rsidR="008B13C9" w:rsidRPr="008B13C9" w14:paraId="614BAC8C" w14:textId="77777777" w:rsidTr="00E72788">
        <w:tblPrEx>
          <w:tblBorders>
            <w:left w:val="single" w:sz="4" w:space="0" w:color="auto"/>
            <w:right w:val="single" w:sz="4" w:space="0" w:color="auto"/>
            <w:insideV w:val="single" w:sz="4" w:space="0" w:color="auto"/>
          </w:tblBorders>
        </w:tblPrEx>
        <w:trPr>
          <w:gridAfter w:val="1"/>
          <w:wAfter w:w="54" w:type="dxa"/>
        </w:trPr>
        <w:tc>
          <w:tcPr>
            <w:tcW w:w="2973" w:type="dxa"/>
            <w:gridSpan w:val="2"/>
            <w:tcBorders>
              <w:top w:val="single" w:sz="4" w:space="0" w:color="auto"/>
              <w:left w:val="nil"/>
              <w:bottom w:val="nil"/>
              <w:right w:val="nil"/>
            </w:tcBorders>
          </w:tcPr>
          <w:p w14:paraId="1657457C" w14:textId="434EA08B" w:rsidR="005247AB" w:rsidRPr="008B13C9" w:rsidRDefault="005247AB" w:rsidP="005247AB">
            <w:pPr>
              <w:spacing w:after="0" w:line="240" w:lineRule="auto"/>
              <w:rPr>
                <w:rFonts w:eastAsia="Times New Roman"/>
                <w:sz w:val="20"/>
                <w:shd w:val="clear" w:color="auto" w:fill="FFFFFF"/>
              </w:rPr>
            </w:pPr>
            <w:r w:rsidRPr="008B13C9">
              <w:rPr>
                <w:sz w:val="20"/>
                <w:szCs w:val="20"/>
              </w:rPr>
              <w:t>Frequency of sexual activity in the last month</w:t>
            </w:r>
            <w:r w:rsidR="00E72788" w:rsidRPr="008B13C9">
              <w:rPr>
                <w:sz w:val="20"/>
                <w:szCs w:val="20"/>
                <w:vertAlign w:val="superscript"/>
              </w:rPr>
              <w:t>2</w:t>
            </w:r>
          </w:p>
        </w:tc>
        <w:tc>
          <w:tcPr>
            <w:tcW w:w="1138" w:type="dxa"/>
            <w:tcBorders>
              <w:top w:val="single" w:sz="4" w:space="0" w:color="auto"/>
              <w:left w:val="nil"/>
              <w:bottom w:val="nil"/>
              <w:right w:val="nil"/>
            </w:tcBorders>
            <w:vAlign w:val="bottom"/>
          </w:tcPr>
          <w:p w14:paraId="2D116151" w14:textId="77777777" w:rsidR="005247AB" w:rsidRPr="008B13C9" w:rsidRDefault="005247AB" w:rsidP="005247AB">
            <w:pPr>
              <w:spacing w:after="0" w:line="240" w:lineRule="auto"/>
              <w:jc w:val="center"/>
              <w:rPr>
                <w:rFonts w:eastAsia="Times New Roman"/>
                <w:sz w:val="20"/>
                <w:shd w:val="clear" w:color="auto" w:fill="FFFFFF"/>
              </w:rPr>
            </w:pPr>
          </w:p>
        </w:tc>
        <w:tc>
          <w:tcPr>
            <w:tcW w:w="1303" w:type="dxa"/>
            <w:tcBorders>
              <w:top w:val="single" w:sz="4" w:space="0" w:color="auto"/>
              <w:left w:val="nil"/>
              <w:bottom w:val="nil"/>
              <w:right w:val="nil"/>
            </w:tcBorders>
            <w:vAlign w:val="bottom"/>
          </w:tcPr>
          <w:p w14:paraId="0ECF2DE8" w14:textId="77777777" w:rsidR="005247AB" w:rsidRPr="008B13C9" w:rsidRDefault="005247AB" w:rsidP="005247AB">
            <w:pPr>
              <w:spacing w:after="0" w:line="240" w:lineRule="auto"/>
              <w:jc w:val="center"/>
              <w:rPr>
                <w:rFonts w:eastAsia="Times New Roman"/>
                <w:sz w:val="20"/>
                <w:shd w:val="clear" w:color="auto" w:fill="FFFFFF"/>
              </w:rPr>
            </w:pPr>
          </w:p>
        </w:tc>
        <w:tc>
          <w:tcPr>
            <w:tcW w:w="966" w:type="dxa"/>
            <w:tcBorders>
              <w:top w:val="single" w:sz="4" w:space="0" w:color="auto"/>
              <w:left w:val="nil"/>
              <w:bottom w:val="nil"/>
              <w:right w:val="nil"/>
            </w:tcBorders>
            <w:vAlign w:val="bottom"/>
          </w:tcPr>
          <w:p w14:paraId="3D20C9B7" w14:textId="77777777" w:rsidR="005247AB" w:rsidRPr="008B13C9" w:rsidRDefault="005247AB" w:rsidP="005247AB">
            <w:pPr>
              <w:spacing w:after="0" w:line="240" w:lineRule="auto"/>
              <w:jc w:val="center"/>
              <w:rPr>
                <w:rFonts w:eastAsia="Times New Roman"/>
                <w:sz w:val="20"/>
                <w:shd w:val="clear" w:color="auto" w:fill="FFFFFF"/>
              </w:rPr>
            </w:pPr>
          </w:p>
        </w:tc>
        <w:tc>
          <w:tcPr>
            <w:tcW w:w="283" w:type="dxa"/>
            <w:tcBorders>
              <w:top w:val="single" w:sz="4" w:space="0" w:color="auto"/>
              <w:left w:val="nil"/>
              <w:bottom w:val="nil"/>
              <w:right w:val="nil"/>
            </w:tcBorders>
            <w:vAlign w:val="bottom"/>
          </w:tcPr>
          <w:p w14:paraId="1B9ACD79" w14:textId="77777777" w:rsidR="005247AB" w:rsidRPr="008B13C9" w:rsidRDefault="005247AB" w:rsidP="005247AB">
            <w:pPr>
              <w:spacing w:after="0" w:line="240" w:lineRule="auto"/>
              <w:jc w:val="center"/>
              <w:rPr>
                <w:rFonts w:eastAsia="Times New Roman"/>
                <w:sz w:val="20"/>
                <w:shd w:val="clear" w:color="auto" w:fill="FFFFFF"/>
              </w:rPr>
            </w:pPr>
          </w:p>
        </w:tc>
        <w:tc>
          <w:tcPr>
            <w:tcW w:w="998" w:type="dxa"/>
            <w:tcBorders>
              <w:top w:val="single" w:sz="4" w:space="0" w:color="auto"/>
              <w:left w:val="nil"/>
              <w:bottom w:val="nil"/>
              <w:right w:val="nil"/>
            </w:tcBorders>
            <w:vAlign w:val="bottom"/>
          </w:tcPr>
          <w:p w14:paraId="1CC96C55" w14:textId="77777777" w:rsidR="005247AB" w:rsidRPr="008B13C9" w:rsidRDefault="005247AB" w:rsidP="005247AB">
            <w:pPr>
              <w:spacing w:after="0" w:line="240" w:lineRule="auto"/>
              <w:jc w:val="center"/>
              <w:rPr>
                <w:rFonts w:eastAsia="Times New Roman"/>
                <w:sz w:val="20"/>
                <w:shd w:val="clear" w:color="auto" w:fill="FFFFFF"/>
              </w:rPr>
            </w:pPr>
          </w:p>
        </w:tc>
        <w:tc>
          <w:tcPr>
            <w:tcW w:w="1223" w:type="dxa"/>
            <w:tcBorders>
              <w:top w:val="single" w:sz="4" w:space="0" w:color="auto"/>
              <w:left w:val="nil"/>
              <w:bottom w:val="nil"/>
              <w:right w:val="nil"/>
            </w:tcBorders>
            <w:vAlign w:val="bottom"/>
          </w:tcPr>
          <w:p w14:paraId="764DB664" w14:textId="77777777" w:rsidR="005247AB" w:rsidRPr="008B13C9" w:rsidRDefault="005247AB" w:rsidP="005247AB">
            <w:pPr>
              <w:spacing w:after="0" w:line="240" w:lineRule="auto"/>
              <w:jc w:val="center"/>
              <w:rPr>
                <w:rFonts w:eastAsia="Times New Roman"/>
                <w:sz w:val="20"/>
                <w:shd w:val="clear" w:color="auto" w:fill="FFFFFF"/>
              </w:rPr>
            </w:pPr>
          </w:p>
        </w:tc>
        <w:tc>
          <w:tcPr>
            <w:tcW w:w="898" w:type="dxa"/>
            <w:tcBorders>
              <w:top w:val="single" w:sz="4" w:space="0" w:color="auto"/>
              <w:left w:val="nil"/>
              <w:bottom w:val="nil"/>
              <w:right w:val="nil"/>
            </w:tcBorders>
            <w:vAlign w:val="bottom"/>
          </w:tcPr>
          <w:p w14:paraId="1E5B1F67" w14:textId="77777777" w:rsidR="005247AB" w:rsidRPr="008B13C9" w:rsidRDefault="005247AB" w:rsidP="005247AB">
            <w:pPr>
              <w:spacing w:after="0" w:line="240" w:lineRule="auto"/>
              <w:jc w:val="center"/>
              <w:rPr>
                <w:rFonts w:eastAsia="Times New Roman"/>
                <w:sz w:val="20"/>
                <w:shd w:val="clear" w:color="auto" w:fill="FFFFFF"/>
              </w:rPr>
            </w:pPr>
          </w:p>
        </w:tc>
      </w:tr>
      <w:tr w:rsidR="008B13C9" w:rsidRPr="008B13C9" w14:paraId="5FB41628" w14:textId="77777777" w:rsidTr="00E72788">
        <w:tblPrEx>
          <w:tblBorders>
            <w:left w:val="single" w:sz="4" w:space="0" w:color="auto"/>
            <w:right w:val="single" w:sz="4" w:space="0" w:color="auto"/>
            <w:insideV w:val="single" w:sz="4" w:space="0" w:color="auto"/>
          </w:tblBorders>
        </w:tblPrEx>
        <w:trPr>
          <w:gridAfter w:val="1"/>
          <w:wAfter w:w="54" w:type="dxa"/>
        </w:trPr>
        <w:tc>
          <w:tcPr>
            <w:tcW w:w="283" w:type="dxa"/>
            <w:tcBorders>
              <w:top w:val="nil"/>
              <w:left w:val="nil"/>
              <w:bottom w:val="nil"/>
              <w:right w:val="nil"/>
            </w:tcBorders>
          </w:tcPr>
          <w:p w14:paraId="2F275D70" w14:textId="77777777" w:rsidR="005247AB" w:rsidRPr="008B13C9" w:rsidRDefault="005247AB" w:rsidP="005247AB">
            <w:pPr>
              <w:spacing w:after="0" w:line="240" w:lineRule="auto"/>
              <w:rPr>
                <w:rFonts w:eastAsia="Times New Roman"/>
                <w:sz w:val="20"/>
                <w:shd w:val="clear" w:color="auto" w:fill="FFFFFF"/>
              </w:rPr>
            </w:pPr>
          </w:p>
        </w:tc>
        <w:tc>
          <w:tcPr>
            <w:tcW w:w="2690" w:type="dxa"/>
            <w:tcBorders>
              <w:top w:val="nil"/>
              <w:left w:val="nil"/>
              <w:bottom w:val="single" w:sz="4" w:space="0" w:color="auto"/>
              <w:right w:val="nil"/>
            </w:tcBorders>
            <w:vAlign w:val="center"/>
          </w:tcPr>
          <w:p w14:paraId="14385EB7" w14:textId="77777777" w:rsidR="005247AB" w:rsidRPr="008B13C9" w:rsidRDefault="005247AB" w:rsidP="005247AB">
            <w:pPr>
              <w:spacing w:after="0" w:line="240" w:lineRule="auto"/>
              <w:rPr>
                <w:rFonts w:eastAsia="Times New Roman"/>
                <w:sz w:val="20"/>
                <w:shd w:val="clear" w:color="auto" w:fill="FFFFFF"/>
              </w:rPr>
            </w:pPr>
            <w:r w:rsidRPr="008B13C9">
              <w:rPr>
                <w:rFonts w:eastAsia="Times New Roman"/>
                <w:sz w:val="20"/>
                <w:shd w:val="clear" w:color="auto" w:fill="FFFFFF"/>
              </w:rPr>
              <w:t>Not at all</w:t>
            </w:r>
          </w:p>
        </w:tc>
        <w:tc>
          <w:tcPr>
            <w:tcW w:w="1138" w:type="dxa"/>
            <w:tcBorders>
              <w:top w:val="nil"/>
              <w:left w:val="nil"/>
              <w:right w:val="nil"/>
            </w:tcBorders>
            <w:vAlign w:val="bottom"/>
          </w:tcPr>
          <w:p w14:paraId="519661D4" w14:textId="5EE9C5C9"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45.</w:t>
            </w:r>
            <w:r w:rsidR="000B37B5" w:rsidRPr="008B13C9">
              <w:rPr>
                <w:rFonts w:eastAsia="Times New Roman"/>
                <w:sz w:val="20"/>
                <w:shd w:val="clear" w:color="auto" w:fill="FFFFFF"/>
              </w:rPr>
              <w:t>0</w:t>
            </w:r>
          </w:p>
        </w:tc>
        <w:tc>
          <w:tcPr>
            <w:tcW w:w="1303" w:type="dxa"/>
            <w:tcBorders>
              <w:top w:val="nil"/>
              <w:left w:val="nil"/>
              <w:right w:val="nil"/>
            </w:tcBorders>
            <w:vAlign w:val="bottom"/>
          </w:tcPr>
          <w:p w14:paraId="1133E992" w14:textId="6169055D"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36.</w:t>
            </w:r>
            <w:r w:rsidR="000B37B5" w:rsidRPr="008B13C9">
              <w:rPr>
                <w:rFonts w:eastAsia="Times New Roman"/>
                <w:sz w:val="20"/>
                <w:shd w:val="clear" w:color="auto" w:fill="FFFFFF"/>
              </w:rPr>
              <w:t>4</w:t>
            </w:r>
          </w:p>
        </w:tc>
        <w:tc>
          <w:tcPr>
            <w:tcW w:w="966" w:type="dxa"/>
            <w:tcBorders>
              <w:top w:val="nil"/>
              <w:left w:val="nil"/>
              <w:right w:val="nil"/>
            </w:tcBorders>
            <w:vAlign w:val="bottom"/>
          </w:tcPr>
          <w:p w14:paraId="0F943A91" w14:textId="6CF0981B"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w:t>
            </w:r>
            <w:r w:rsidR="000B37B5" w:rsidRPr="008B13C9">
              <w:rPr>
                <w:rFonts w:eastAsia="Times New Roman"/>
                <w:sz w:val="20"/>
                <w:shd w:val="clear" w:color="auto" w:fill="FFFFFF"/>
              </w:rPr>
              <w:t>8.9</w:t>
            </w:r>
          </w:p>
        </w:tc>
        <w:tc>
          <w:tcPr>
            <w:tcW w:w="283" w:type="dxa"/>
            <w:tcBorders>
              <w:top w:val="nil"/>
              <w:left w:val="nil"/>
              <w:right w:val="nil"/>
            </w:tcBorders>
            <w:vAlign w:val="bottom"/>
          </w:tcPr>
          <w:p w14:paraId="0501F3FD" w14:textId="77777777" w:rsidR="005247AB" w:rsidRPr="008B13C9" w:rsidRDefault="005247AB" w:rsidP="005247AB">
            <w:pPr>
              <w:spacing w:after="0" w:line="240" w:lineRule="auto"/>
              <w:jc w:val="center"/>
              <w:rPr>
                <w:rFonts w:eastAsia="Times New Roman"/>
                <w:sz w:val="20"/>
                <w:shd w:val="clear" w:color="auto" w:fill="FFFFFF"/>
              </w:rPr>
            </w:pPr>
          </w:p>
        </w:tc>
        <w:tc>
          <w:tcPr>
            <w:tcW w:w="998" w:type="dxa"/>
            <w:tcBorders>
              <w:top w:val="nil"/>
              <w:left w:val="nil"/>
              <w:right w:val="nil"/>
            </w:tcBorders>
            <w:vAlign w:val="bottom"/>
          </w:tcPr>
          <w:p w14:paraId="36F9DE05" w14:textId="722BAA3E"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w:t>
            </w:r>
            <w:r w:rsidR="00451144" w:rsidRPr="008B13C9">
              <w:rPr>
                <w:rFonts w:eastAsia="Times New Roman"/>
                <w:sz w:val="20"/>
                <w:shd w:val="clear" w:color="auto" w:fill="FFFFFF"/>
              </w:rPr>
              <w:t>8.0</w:t>
            </w:r>
          </w:p>
        </w:tc>
        <w:tc>
          <w:tcPr>
            <w:tcW w:w="1223" w:type="dxa"/>
            <w:tcBorders>
              <w:top w:val="nil"/>
              <w:left w:val="nil"/>
              <w:right w:val="nil"/>
            </w:tcBorders>
            <w:vAlign w:val="bottom"/>
          </w:tcPr>
          <w:p w14:paraId="2AC726A2" w14:textId="0F01ED82"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w:t>
            </w:r>
            <w:r w:rsidR="00451144" w:rsidRPr="008B13C9">
              <w:rPr>
                <w:rFonts w:eastAsia="Times New Roman"/>
                <w:sz w:val="20"/>
                <w:shd w:val="clear" w:color="auto" w:fill="FFFFFF"/>
              </w:rPr>
              <w:t>8.5</w:t>
            </w:r>
          </w:p>
        </w:tc>
        <w:tc>
          <w:tcPr>
            <w:tcW w:w="898" w:type="dxa"/>
            <w:tcBorders>
              <w:top w:val="nil"/>
              <w:left w:val="nil"/>
              <w:right w:val="nil"/>
            </w:tcBorders>
            <w:vAlign w:val="bottom"/>
          </w:tcPr>
          <w:p w14:paraId="3521CCE6" w14:textId="77777777"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36.5</w:t>
            </w:r>
          </w:p>
        </w:tc>
      </w:tr>
      <w:tr w:rsidR="008B13C9" w:rsidRPr="008B13C9" w14:paraId="31C3344F" w14:textId="77777777" w:rsidTr="00E72788">
        <w:tblPrEx>
          <w:tblBorders>
            <w:left w:val="single" w:sz="4" w:space="0" w:color="auto"/>
            <w:right w:val="single" w:sz="4" w:space="0" w:color="auto"/>
            <w:insideV w:val="single" w:sz="4" w:space="0" w:color="auto"/>
          </w:tblBorders>
        </w:tblPrEx>
        <w:trPr>
          <w:gridAfter w:val="1"/>
          <w:wAfter w:w="54" w:type="dxa"/>
        </w:trPr>
        <w:tc>
          <w:tcPr>
            <w:tcW w:w="283" w:type="dxa"/>
            <w:tcBorders>
              <w:top w:val="nil"/>
              <w:left w:val="nil"/>
              <w:bottom w:val="nil"/>
              <w:right w:val="nil"/>
            </w:tcBorders>
          </w:tcPr>
          <w:p w14:paraId="1AC2E1C3" w14:textId="77777777" w:rsidR="005247AB" w:rsidRPr="008B13C9" w:rsidRDefault="005247AB" w:rsidP="005247AB">
            <w:pPr>
              <w:spacing w:after="0" w:line="240" w:lineRule="auto"/>
              <w:rPr>
                <w:rFonts w:eastAsia="Times New Roman"/>
                <w:sz w:val="20"/>
                <w:shd w:val="clear" w:color="auto" w:fill="FFFFFF"/>
              </w:rPr>
            </w:pPr>
          </w:p>
        </w:tc>
        <w:tc>
          <w:tcPr>
            <w:tcW w:w="2690" w:type="dxa"/>
            <w:tcBorders>
              <w:top w:val="nil"/>
              <w:left w:val="nil"/>
              <w:bottom w:val="single" w:sz="4" w:space="0" w:color="auto"/>
              <w:right w:val="nil"/>
            </w:tcBorders>
            <w:vAlign w:val="center"/>
          </w:tcPr>
          <w:p w14:paraId="415BB887" w14:textId="77777777" w:rsidR="005247AB" w:rsidRPr="008B13C9" w:rsidRDefault="005247AB" w:rsidP="005247AB">
            <w:pPr>
              <w:spacing w:after="0" w:line="240" w:lineRule="auto"/>
              <w:rPr>
                <w:rFonts w:eastAsia="Times New Roman"/>
                <w:sz w:val="20"/>
                <w:shd w:val="clear" w:color="auto" w:fill="FFFFFF"/>
              </w:rPr>
            </w:pPr>
            <w:r w:rsidRPr="008B13C9">
              <w:rPr>
                <w:rFonts w:eastAsia="Times New Roman"/>
                <w:sz w:val="20"/>
                <w:shd w:val="clear" w:color="auto" w:fill="FFFFFF"/>
              </w:rPr>
              <w:t>Once in the past month</w:t>
            </w:r>
          </w:p>
        </w:tc>
        <w:tc>
          <w:tcPr>
            <w:tcW w:w="1138" w:type="dxa"/>
            <w:tcBorders>
              <w:top w:val="nil"/>
              <w:left w:val="nil"/>
              <w:right w:val="nil"/>
            </w:tcBorders>
            <w:vAlign w:val="bottom"/>
          </w:tcPr>
          <w:p w14:paraId="76C2DFD7" w14:textId="7251662F"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19.</w:t>
            </w:r>
            <w:r w:rsidR="000B37B5" w:rsidRPr="008B13C9">
              <w:rPr>
                <w:rFonts w:eastAsia="Times New Roman"/>
                <w:sz w:val="20"/>
                <w:shd w:val="clear" w:color="auto" w:fill="FFFFFF"/>
              </w:rPr>
              <w:t>2</w:t>
            </w:r>
          </w:p>
        </w:tc>
        <w:tc>
          <w:tcPr>
            <w:tcW w:w="1303" w:type="dxa"/>
            <w:tcBorders>
              <w:top w:val="nil"/>
              <w:left w:val="nil"/>
              <w:right w:val="nil"/>
            </w:tcBorders>
            <w:vAlign w:val="bottom"/>
          </w:tcPr>
          <w:p w14:paraId="2D124247" w14:textId="3089C2E8"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w:t>
            </w:r>
            <w:r w:rsidR="000B37B5" w:rsidRPr="008B13C9">
              <w:rPr>
                <w:rFonts w:eastAsia="Times New Roman"/>
                <w:sz w:val="20"/>
                <w:shd w:val="clear" w:color="auto" w:fill="FFFFFF"/>
              </w:rPr>
              <w:t>8.0</w:t>
            </w:r>
          </w:p>
        </w:tc>
        <w:tc>
          <w:tcPr>
            <w:tcW w:w="966" w:type="dxa"/>
            <w:tcBorders>
              <w:top w:val="nil"/>
              <w:left w:val="nil"/>
              <w:right w:val="nil"/>
            </w:tcBorders>
            <w:vAlign w:val="bottom"/>
          </w:tcPr>
          <w:p w14:paraId="30856B58" w14:textId="77777777"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19.3</w:t>
            </w:r>
          </w:p>
        </w:tc>
        <w:tc>
          <w:tcPr>
            <w:tcW w:w="283" w:type="dxa"/>
            <w:tcBorders>
              <w:top w:val="nil"/>
              <w:left w:val="nil"/>
              <w:right w:val="nil"/>
            </w:tcBorders>
            <w:vAlign w:val="bottom"/>
          </w:tcPr>
          <w:p w14:paraId="3EB43F00" w14:textId="77777777" w:rsidR="005247AB" w:rsidRPr="008B13C9" w:rsidRDefault="005247AB" w:rsidP="005247AB">
            <w:pPr>
              <w:spacing w:after="0" w:line="240" w:lineRule="auto"/>
              <w:jc w:val="center"/>
              <w:rPr>
                <w:rFonts w:eastAsia="Times New Roman"/>
                <w:sz w:val="20"/>
                <w:shd w:val="clear" w:color="auto" w:fill="FFFFFF"/>
              </w:rPr>
            </w:pPr>
          </w:p>
        </w:tc>
        <w:tc>
          <w:tcPr>
            <w:tcW w:w="998" w:type="dxa"/>
            <w:tcBorders>
              <w:top w:val="nil"/>
              <w:left w:val="nil"/>
              <w:right w:val="nil"/>
            </w:tcBorders>
            <w:vAlign w:val="bottom"/>
          </w:tcPr>
          <w:p w14:paraId="23E1C083" w14:textId="0F0ED870"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w:t>
            </w:r>
            <w:r w:rsidR="00451144" w:rsidRPr="008B13C9">
              <w:rPr>
                <w:rFonts w:eastAsia="Times New Roman"/>
                <w:sz w:val="20"/>
                <w:shd w:val="clear" w:color="auto" w:fill="FFFFFF"/>
              </w:rPr>
              <w:t>9.0</w:t>
            </w:r>
          </w:p>
        </w:tc>
        <w:tc>
          <w:tcPr>
            <w:tcW w:w="1223" w:type="dxa"/>
            <w:tcBorders>
              <w:top w:val="nil"/>
              <w:left w:val="nil"/>
              <w:right w:val="nil"/>
            </w:tcBorders>
            <w:vAlign w:val="bottom"/>
          </w:tcPr>
          <w:p w14:paraId="26A32F71" w14:textId="43737E36"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20.</w:t>
            </w:r>
            <w:r w:rsidR="00451144" w:rsidRPr="008B13C9">
              <w:rPr>
                <w:rFonts w:eastAsia="Times New Roman"/>
                <w:sz w:val="20"/>
                <w:shd w:val="clear" w:color="auto" w:fill="FFFFFF"/>
              </w:rPr>
              <w:t>9</w:t>
            </w:r>
          </w:p>
        </w:tc>
        <w:tc>
          <w:tcPr>
            <w:tcW w:w="898" w:type="dxa"/>
            <w:tcBorders>
              <w:top w:val="nil"/>
              <w:left w:val="nil"/>
              <w:right w:val="nil"/>
            </w:tcBorders>
            <w:vAlign w:val="bottom"/>
          </w:tcPr>
          <w:p w14:paraId="5D5FD153" w14:textId="090C4D51"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w:t>
            </w:r>
            <w:r w:rsidR="00451144" w:rsidRPr="008B13C9">
              <w:rPr>
                <w:rFonts w:eastAsia="Times New Roman"/>
                <w:sz w:val="20"/>
                <w:shd w:val="clear" w:color="auto" w:fill="FFFFFF"/>
              </w:rPr>
              <w:t>0.7</w:t>
            </w:r>
          </w:p>
        </w:tc>
      </w:tr>
      <w:tr w:rsidR="008B13C9" w:rsidRPr="008B13C9" w14:paraId="18F25EE4" w14:textId="77777777" w:rsidTr="00E72788">
        <w:tblPrEx>
          <w:tblBorders>
            <w:left w:val="single" w:sz="4" w:space="0" w:color="auto"/>
            <w:right w:val="single" w:sz="4" w:space="0" w:color="auto"/>
            <w:insideV w:val="single" w:sz="4" w:space="0" w:color="auto"/>
          </w:tblBorders>
        </w:tblPrEx>
        <w:trPr>
          <w:gridAfter w:val="1"/>
          <w:wAfter w:w="54" w:type="dxa"/>
        </w:trPr>
        <w:tc>
          <w:tcPr>
            <w:tcW w:w="283" w:type="dxa"/>
            <w:tcBorders>
              <w:top w:val="nil"/>
              <w:left w:val="nil"/>
              <w:bottom w:val="nil"/>
              <w:right w:val="nil"/>
            </w:tcBorders>
          </w:tcPr>
          <w:p w14:paraId="28BA7A77" w14:textId="77777777" w:rsidR="005247AB" w:rsidRPr="008B13C9" w:rsidRDefault="005247AB" w:rsidP="005247AB">
            <w:pPr>
              <w:spacing w:after="0" w:line="240" w:lineRule="auto"/>
              <w:rPr>
                <w:rFonts w:eastAsia="Times New Roman"/>
                <w:sz w:val="20"/>
                <w:shd w:val="clear" w:color="auto" w:fill="FFFFFF"/>
              </w:rPr>
            </w:pPr>
          </w:p>
        </w:tc>
        <w:tc>
          <w:tcPr>
            <w:tcW w:w="2690" w:type="dxa"/>
            <w:tcBorders>
              <w:top w:val="nil"/>
              <w:left w:val="nil"/>
              <w:bottom w:val="single" w:sz="4" w:space="0" w:color="auto"/>
              <w:right w:val="nil"/>
            </w:tcBorders>
            <w:vAlign w:val="center"/>
          </w:tcPr>
          <w:p w14:paraId="14F8F0D0" w14:textId="77777777" w:rsidR="005247AB" w:rsidRPr="008B13C9" w:rsidRDefault="005247AB" w:rsidP="005247AB">
            <w:pPr>
              <w:spacing w:after="0" w:line="240" w:lineRule="auto"/>
              <w:rPr>
                <w:rFonts w:eastAsia="Times New Roman"/>
                <w:sz w:val="20"/>
                <w:shd w:val="clear" w:color="auto" w:fill="FFFFFF"/>
              </w:rPr>
            </w:pPr>
            <w:r w:rsidRPr="008B13C9">
              <w:rPr>
                <w:rFonts w:eastAsia="Times New Roman"/>
                <w:sz w:val="20"/>
                <w:shd w:val="clear" w:color="auto" w:fill="FFFFFF"/>
              </w:rPr>
              <w:t>2-3 times in the past month</w:t>
            </w:r>
          </w:p>
        </w:tc>
        <w:tc>
          <w:tcPr>
            <w:tcW w:w="1138" w:type="dxa"/>
            <w:tcBorders>
              <w:top w:val="nil"/>
              <w:left w:val="nil"/>
              <w:right w:val="nil"/>
            </w:tcBorders>
            <w:vAlign w:val="bottom"/>
          </w:tcPr>
          <w:p w14:paraId="2D3B1D47" w14:textId="5F412A3A"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18.</w:t>
            </w:r>
            <w:r w:rsidR="000B37B5" w:rsidRPr="008B13C9">
              <w:rPr>
                <w:rFonts w:eastAsia="Times New Roman"/>
                <w:sz w:val="20"/>
                <w:shd w:val="clear" w:color="auto" w:fill="FFFFFF"/>
              </w:rPr>
              <w:t>9</w:t>
            </w:r>
          </w:p>
        </w:tc>
        <w:tc>
          <w:tcPr>
            <w:tcW w:w="1303" w:type="dxa"/>
            <w:tcBorders>
              <w:top w:val="nil"/>
              <w:left w:val="nil"/>
              <w:right w:val="nil"/>
            </w:tcBorders>
            <w:vAlign w:val="bottom"/>
          </w:tcPr>
          <w:p w14:paraId="4FDEEBBB" w14:textId="16F69FD2"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23.</w:t>
            </w:r>
            <w:r w:rsidR="000B37B5" w:rsidRPr="008B13C9">
              <w:rPr>
                <w:rFonts w:eastAsia="Times New Roman"/>
                <w:sz w:val="20"/>
                <w:shd w:val="clear" w:color="auto" w:fill="FFFFFF"/>
              </w:rPr>
              <w:t>5</w:t>
            </w:r>
          </w:p>
        </w:tc>
        <w:tc>
          <w:tcPr>
            <w:tcW w:w="966" w:type="dxa"/>
            <w:tcBorders>
              <w:top w:val="nil"/>
              <w:left w:val="nil"/>
              <w:right w:val="nil"/>
            </w:tcBorders>
            <w:vAlign w:val="bottom"/>
          </w:tcPr>
          <w:p w14:paraId="360654F4" w14:textId="522AF7DA"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w:t>
            </w:r>
            <w:r w:rsidR="000B37B5" w:rsidRPr="008B13C9">
              <w:rPr>
                <w:rFonts w:eastAsia="Times New Roman"/>
                <w:sz w:val="20"/>
                <w:shd w:val="clear" w:color="auto" w:fill="FFFFFF"/>
              </w:rPr>
              <w:t>1.0</w:t>
            </w:r>
          </w:p>
        </w:tc>
        <w:tc>
          <w:tcPr>
            <w:tcW w:w="283" w:type="dxa"/>
            <w:tcBorders>
              <w:top w:val="nil"/>
              <w:left w:val="nil"/>
              <w:right w:val="nil"/>
            </w:tcBorders>
            <w:vAlign w:val="bottom"/>
          </w:tcPr>
          <w:p w14:paraId="123873F9" w14:textId="77777777" w:rsidR="005247AB" w:rsidRPr="008B13C9" w:rsidRDefault="005247AB" w:rsidP="005247AB">
            <w:pPr>
              <w:spacing w:after="0" w:line="240" w:lineRule="auto"/>
              <w:jc w:val="center"/>
              <w:rPr>
                <w:rFonts w:eastAsia="Times New Roman"/>
                <w:sz w:val="20"/>
                <w:shd w:val="clear" w:color="auto" w:fill="FFFFFF"/>
              </w:rPr>
            </w:pPr>
          </w:p>
        </w:tc>
        <w:tc>
          <w:tcPr>
            <w:tcW w:w="998" w:type="dxa"/>
            <w:tcBorders>
              <w:top w:val="nil"/>
              <w:left w:val="nil"/>
              <w:right w:val="nil"/>
            </w:tcBorders>
            <w:vAlign w:val="bottom"/>
          </w:tcPr>
          <w:p w14:paraId="1AC5E17D" w14:textId="455680AC"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22.</w:t>
            </w:r>
            <w:r w:rsidR="00451144" w:rsidRPr="008B13C9">
              <w:rPr>
                <w:rFonts w:eastAsia="Times New Roman"/>
                <w:sz w:val="20"/>
                <w:shd w:val="clear" w:color="auto" w:fill="FFFFFF"/>
              </w:rPr>
              <w:t>3</w:t>
            </w:r>
          </w:p>
        </w:tc>
        <w:tc>
          <w:tcPr>
            <w:tcW w:w="1223" w:type="dxa"/>
            <w:tcBorders>
              <w:top w:val="nil"/>
              <w:left w:val="nil"/>
              <w:right w:val="nil"/>
            </w:tcBorders>
            <w:vAlign w:val="bottom"/>
          </w:tcPr>
          <w:p w14:paraId="34683D92" w14:textId="47CC8557"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26.</w:t>
            </w:r>
            <w:r w:rsidR="00451144" w:rsidRPr="008B13C9">
              <w:rPr>
                <w:rFonts w:eastAsia="Times New Roman"/>
                <w:sz w:val="20"/>
                <w:shd w:val="clear" w:color="auto" w:fill="FFFFFF"/>
              </w:rPr>
              <w:t>6</w:t>
            </w:r>
          </w:p>
        </w:tc>
        <w:tc>
          <w:tcPr>
            <w:tcW w:w="898" w:type="dxa"/>
            <w:tcBorders>
              <w:top w:val="nil"/>
              <w:left w:val="nil"/>
              <w:right w:val="nil"/>
            </w:tcBorders>
            <w:vAlign w:val="bottom"/>
          </w:tcPr>
          <w:p w14:paraId="1E0ED69E" w14:textId="613A85B9"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w:t>
            </w:r>
            <w:r w:rsidR="00451144" w:rsidRPr="008B13C9">
              <w:rPr>
                <w:rFonts w:eastAsia="Times New Roman"/>
                <w:sz w:val="20"/>
                <w:shd w:val="clear" w:color="auto" w:fill="FFFFFF"/>
              </w:rPr>
              <w:t>3.0</w:t>
            </w:r>
          </w:p>
        </w:tc>
      </w:tr>
      <w:tr w:rsidR="008B13C9" w:rsidRPr="008B13C9" w14:paraId="4182CD5C" w14:textId="77777777" w:rsidTr="00E72788">
        <w:tblPrEx>
          <w:tblBorders>
            <w:left w:val="single" w:sz="4" w:space="0" w:color="auto"/>
            <w:right w:val="single" w:sz="4" w:space="0" w:color="auto"/>
            <w:insideV w:val="single" w:sz="4" w:space="0" w:color="auto"/>
          </w:tblBorders>
        </w:tblPrEx>
        <w:trPr>
          <w:gridAfter w:val="1"/>
          <w:wAfter w:w="54" w:type="dxa"/>
        </w:trPr>
        <w:tc>
          <w:tcPr>
            <w:tcW w:w="283" w:type="dxa"/>
            <w:tcBorders>
              <w:top w:val="nil"/>
              <w:left w:val="nil"/>
              <w:bottom w:val="nil"/>
              <w:right w:val="nil"/>
            </w:tcBorders>
          </w:tcPr>
          <w:p w14:paraId="252F031B" w14:textId="77777777" w:rsidR="005247AB" w:rsidRPr="008B13C9" w:rsidRDefault="005247AB" w:rsidP="005247AB">
            <w:pPr>
              <w:spacing w:after="0" w:line="240" w:lineRule="auto"/>
              <w:rPr>
                <w:rFonts w:eastAsia="Times New Roman"/>
                <w:sz w:val="20"/>
                <w:shd w:val="clear" w:color="auto" w:fill="FFFFFF"/>
              </w:rPr>
            </w:pPr>
          </w:p>
        </w:tc>
        <w:tc>
          <w:tcPr>
            <w:tcW w:w="2690" w:type="dxa"/>
            <w:tcBorders>
              <w:top w:val="nil"/>
              <w:left w:val="nil"/>
              <w:bottom w:val="single" w:sz="4" w:space="0" w:color="auto"/>
              <w:right w:val="nil"/>
            </w:tcBorders>
            <w:vAlign w:val="center"/>
          </w:tcPr>
          <w:p w14:paraId="1796F814" w14:textId="77777777" w:rsidR="005247AB" w:rsidRPr="008B13C9" w:rsidRDefault="005247AB" w:rsidP="005247AB">
            <w:pPr>
              <w:spacing w:after="0" w:line="240" w:lineRule="auto"/>
              <w:rPr>
                <w:rFonts w:eastAsia="Times New Roman"/>
                <w:sz w:val="20"/>
                <w:shd w:val="clear" w:color="auto" w:fill="FFFFFF"/>
              </w:rPr>
            </w:pPr>
            <w:r w:rsidRPr="008B13C9">
              <w:rPr>
                <w:rFonts w:eastAsia="Times New Roman"/>
                <w:sz w:val="20"/>
                <w:shd w:val="clear" w:color="auto" w:fill="FFFFFF"/>
              </w:rPr>
              <w:t>Once a week or more</w:t>
            </w:r>
          </w:p>
        </w:tc>
        <w:tc>
          <w:tcPr>
            <w:tcW w:w="1138" w:type="dxa"/>
            <w:tcBorders>
              <w:top w:val="nil"/>
              <w:left w:val="nil"/>
              <w:right w:val="nil"/>
            </w:tcBorders>
            <w:vAlign w:val="bottom"/>
          </w:tcPr>
          <w:p w14:paraId="15B7E5DE" w14:textId="2529B04F"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w:t>
            </w:r>
            <w:r w:rsidR="000B37B5" w:rsidRPr="008B13C9">
              <w:rPr>
                <w:rFonts w:eastAsia="Times New Roman"/>
                <w:sz w:val="20"/>
                <w:shd w:val="clear" w:color="auto" w:fill="FFFFFF"/>
              </w:rPr>
              <w:t>6.8</w:t>
            </w:r>
          </w:p>
        </w:tc>
        <w:tc>
          <w:tcPr>
            <w:tcW w:w="1303" w:type="dxa"/>
            <w:tcBorders>
              <w:top w:val="nil"/>
              <w:left w:val="nil"/>
              <w:right w:val="nil"/>
            </w:tcBorders>
            <w:vAlign w:val="bottom"/>
          </w:tcPr>
          <w:p w14:paraId="4AFA3DE1" w14:textId="48077F8F"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22.</w:t>
            </w:r>
            <w:r w:rsidR="000B37B5" w:rsidRPr="008B13C9">
              <w:rPr>
                <w:rFonts w:eastAsia="Times New Roman"/>
                <w:sz w:val="20"/>
                <w:shd w:val="clear" w:color="auto" w:fill="FFFFFF"/>
              </w:rPr>
              <w:t>1</w:t>
            </w:r>
          </w:p>
        </w:tc>
        <w:tc>
          <w:tcPr>
            <w:tcW w:w="966" w:type="dxa"/>
            <w:tcBorders>
              <w:top w:val="nil"/>
              <w:left w:val="nil"/>
              <w:right w:val="nil"/>
            </w:tcBorders>
            <w:vAlign w:val="bottom"/>
          </w:tcPr>
          <w:p w14:paraId="7D24BE78" w14:textId="40051B1C"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20.</w:t>
            </w:r>
            <w:r w:rsidR="000B37B5" w:rsidRPr="008B13C9">
              <w:rPr>
                <w:rFonts w:eastAsia="Times New Roman"/>
                <w:sz w:val="20"/>
                <w:shd w:val="clear" w:color="auto" w:fill="FFFFFF"/>
              </w:rPr>
              <w:t>8</w:t>
            </w:r>
          </w:p>
        </w:tc>
        <w:tc>
          <w:tcPr>
            <w:tcW w:w="283" w:type="dxa"/>
            <w:tcBorders>
              <w:top w:val="nil"/>
              <w:left w:val="nil"/>
              <w:right w:val="nil"/>
            </w:tcBorders>
            <w:vAlign w:val="bottom"/>
          </w:tcPr>
          <w:p w14:paraId="3423D18B" w14:textId="77777777" w:rsidR="005247AB" w:rsidRPr="008B13C9" w:rsidRDefault="005247AB" w:rsidP="005247AB">
            <w:pPr>
              <w:spacing w:after="0" w:line="240" w:lineRule="auto"/>
              <w:jc w:val="center"/>
              <w:rPr>
                <w:rFonts w:eastAsia="Times New Roman"/>
                <w:sz w:val="20"/>
                <w:shd w:val="clear" w:color="auto" w:fill="FFFFFF"/>
              </w:rPr>
            </w:pPr>
          </w:p>
        </w:tc>
        <w:tc>
          <w:tcPr>
            <w:tcW w:w="998" w:type="dxa"/>
            <w:tcBorders>
              <w:top w:val="nil"/>
              <w:left w:val="nil"/>
              <w:right w:val="nil"/>
            </w:tcBorders>
            <w:vAlign w:val="bottom"/>
          </w:tcPr>
          <w:p w14:paraId="5D2A8AC6" w14:textId="7FFE70D3"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20.</w:t>
            </w:r>
            <w:r w:rsidR="00451144" w:rsidRPr="008B13C9">
              <w:rPr>
                <w:rFonts w:eastAsia="Times New Roman"/>
                <w:sz w:val="20"/>
                <w:shd w:val="clear" w:color="auto" w:fill="FFFFFF"/>
              </w:rPr>
              <w:t>7</w:t>
            </w:r>
          </w:p>
        </w:tc>
        <w:tc>
          <w:tcPr>
            <w:tcW w:w="1223" w:type="dxa"/>
            <w:tcBorders>
              <w:top w:val="nil"/>
              <w:left w:val="nil"/>
              <w:right w:val="nil"/>
            </w:tcBorders>
            <w:vAlign w:val="bottom"/>
          </w:tcPr>
          <w:p w14:paraId="441AC07F" w14:textId="05F5E59F"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2</w:t>
            </w:r>
            <w:r w:rsidR="00451144" w:rsidRPr="008B13C9">
              <w:rPr>
                <w:rFonts w:eastAsia="Times New Roman"/>
                <w:sz w:val="20"/>
                <w:shd w:val="clear" w:color="auto" w:fill="FFFFFF"/>
              </w:rPr>
              <w:t>4.0</w:t>
            </w:r>
          </w:p>
        </w:tc>
        <w:tc>
          <w:tcPr>
            <w:tcW w:w="898" w:type="dxa"/>
            <w:tcBorders>
              <w:top w:val="nil"/>
              <w:left w:val="nil"/>
              <w:right w:val="nil"/>
            </w:tcBorders>
            <w:vAlign w:val="bottom"/>
          </w:tcPr>
          <w:p w14:paraId="5157978F" w14:textId="77777777" w:rsidR="005247AB" w:rsidRPr="008B13C9" w:rsidRDefault="005247AB" w:rsidP="005247AB">
            <w:pPr>
              <w:spacing w:after="0" w:line="240" w:lineRule="auto"/>
              <w:jc w:val="center"/>
              <w:rPr>
                <w:rFonts w:eastAsia="Times New Roman"/>
                <w:sz w:val="20"/>
                <w:shd w:val="clear" w:color="auto" w:fill="FFFFFF"/>
              </w:rPr>
            </w:pPr>
            <w:r w:rsidRPr="008B13C9">
              <w:rPr>
                <w:rFonts w:eastAsia="Times New Roman"/>
                <w:sz w:val="20"/>
                <w:shd w:val="clear" w:color="auto" w:fill="FFFFFF"/>
              </w:rPr>
              <w:t>19.8</w:t>
            </w:r>
          </w:p>
        </w:tc>
      </w:tr>
      <w:tr w:rsidR="008B13C9" w:rsidRPr="008B13C9" w14:paraId="624BCCC0" w14:textId="77777777" w:rsidTr="00E72788">
        <w:tblPrEx>
          <w:tblBorders>
            <w:left w:val="single" w:sz="4" w:space="0" w:color="auto"/>
            <w:right w:val="single" w:sz="4" w:space="0" w:color="auto"/>
            <w:insideV w:val="single" w:sz="4" w:space="0" w:color="auto"/>
          </w:tblBorders>
        </w:tblPrEx>
        <w:trPr>
          <w:trHeight w:val="556"/>
        </w:trPr>
        <w:tc>
          <w:tcPr>
            <w:tcW w:w="9835" w:type="dxa"/>
            <w:gridSpan w:val="10"/>
            <w:tcBorders>
              <w:top w:val="single" w:sz="8" w:space="0" w:color="auto"/>
              <w:left w:val="nil"/>
              <w:bottom w:val="nil"/>
              <w:right w:val="nil"/>
            </w:tcBorders>
          </w:tcPr>
          <w:p w14:paraId="3280DE0A" w14:textId="7E9F6B1E" w:rsidR="00E72788" w:rsidRPr="008B13C9" w:rsidRDefault="00E72788" w:rsidP="00E72788">
            <w:pPr>
              <w:spacing w:after="0" w:line="240" w:lineRule="auto"/>
              <w:rPr>
                <w:rFonts w:eastAsia="Times New Roman"/>
                <w:sz w:val="20"/>
                <w:shd w:val="clear" w:color="auto" w:fill="FFFFFF"/>
              </w:rPr>
            </w:pPr>
            <w:r w:rsidRPr="008B13C9">
              <w:rPr>
                <w:rFonts w:eastAsia="Times New Roman"/>
                <w:sz w:val="20"/>
                <w:shd w:val="clear" w:color="auto" w:fill="FFFFFF"/>
                <w:vertAlign w:val="superscript"/>
              </w:rPr>
              <w:t xml:space="preserve">1 </w:t>
            </w:r>
            <w:r w:rsidRPr="008B13C9">
              <w:rPr>
                <w:rFonts w:eastAsia="Times New Roman"/>
                <w:sz w:val="20"/>
                <w:shd w:val="clear" w:color="auto" w:fill="FFFFFF"/>
              </w:rPr>
              <w:t>Unweighted sample sizes.</w:t>
            </w:r>
          </w:p>
          <w:p w14:paraId="520D294C" w14:textId="387068A9" w:rsidR="001C64BA" w:rsidRPr="008B13C9" w:rsidRDefault="00E72788" w:rsidP="005247AB">
            <w:pPr>
              <w:spacing w:after="0" w:line="240" w:lineRule="auto"/>
              <w:rPr>
                <w:rFonts w:eastAsia="Times New Roman"/>
                <w:sz w:val="20"/>
                <w:shd w:val="clear" w:color="auto" w:fill="FFFFFF"/>
              </w:rPr>
            </w:pPr>
            <w:r w:rsidRPr="008B13C9">
              <w:rPr>
                <w:rFonts w:eastAsia="Times New Roman"/>
                <w:sz w:val="20"/>
                <w:shd w:val="clear" w:color="auto" w:fill="FFFFFF"/>
                <w:vertAlign w:val="superscript"/>
              </w:rPr>
              <w:t>2</w:t>
            </w:r>
            <w:r w:rsidR="001C64BA" w:rsidRPr="008B13C9">
              <w:rPr>
                <w:rFonts w:eastAsia="Times New Roman"/>
                <w:sz w:val="20"/>
                <w:shd w:val="clear" w:color="auto" w:fill="FFFFFF"/>
                <w:vertAlign w:val="superscript"/>
              </w:rPr>
              <w:t xml:space="preserve"> </w:t>
            </w:r>
            <w:r w:rsidR="001C64BA" w:rsidRPr="008B13C9">
              <w:rPr>
                <w:rFonts w:eastAsia="Times New Roman"/>
                <w:sz w:val="20"/>
                <w:shd w:val="clear" w:color="auto" w:fill="FFFFFF"/>
              </w:rPr>
              <w:t>Among participants who reported being sexually active.</w:t>
            </w:r>
          </w:p>
          <w:p w14:paraId="5DF63182" w14:textId="77777777" w:rsidR="001C64BA" w:rsidRPr="008B13C9" w:rsidRDefault="001C64BA" w:rsidP="005247AB">
            <w:pPr>
              <w:spacing w:after="0" w:line="240" w:lineRule="auto"/>
              <w:rPr>
                <w:rFonts w:cs="Arial"/>
                <w:sz w:val="20"/>
                <w:szCs w:val="20"/>
                <w:lang w:val="en-US"/>
              </w:rPr>
            </w:pPr>
            <w:r w:rsidRPr="008B13C9">
              <w:rPr>
                <w:rFonts w:cs="Arial"/>
                <w:sz w:val="20"/>
                <w:szCs w:val="20"/>
                <w:lang w:val="en-US"/>
              </w:rPr>
              <w:t xml:space="preserve">Values are percentages. </w:t>
            </w:r>
          </w:p>
          <w:p w14:paraId="48D62D74" w14:textId="77777777" w:rsidR="001C64BA" w:rsidRPr="008B13C9" w:rsidRDefault="001C64BA" w:rsidP="005247AB">
            <w:pPr>
              <w:spacing w:after="0" w:line="240" w:lineRule="auto"/>
              <w:rPr>
                <w:rFonts w:cs="Arial"/>
                <w:sz w:val="20"/>
                <w:szCs w:val="20"/>
                <w:lang w:val="en-US"/>
              </w:rPr>
            </w:pPr>
            <w:r w:rsidRPr="008B13C9">
              <w:rPr>
                <w:rFonts w:cs="Arial"/>
                <w:sz w:val="20"/>
                <w:szCs w:val="20"/>
                <w:lang w:val="en-US"/>
              </w:rPr>
              <w:t>All figures are weighted for sampling probabilities and differential non-response.</w:t>
            </w:r>
          </w:p>
          <w:p w14:paraId="5B9AA430" w14:textId="77777777" w:rsidR="001C64BA" w:rsidRPr="008B13C9" w:rsidRDefault="001C64BA" w:rsidP="005247AB">
            <w:pPr>
              <w:spacing w:after="0" w:line="240" w:lineRule="auto"/>
              <w:rPr>
                <w:rFonts w:cs="Arial"/>
                <w:sz w:val="20"/>
                <w:szCs w:val="20"/>
                <w:lang w:val="en-US"/>
              </w:rPr>
            </w:pPr>
            <w:r w:rsidRPr="008B13C9">
              <w:rPr>
                <w:rFonts w:cs="Arial"/>
                <w:sz w:val="20"/>
                <w:szCs w:val="20"/>
                <w:lang w:val="en-US"/>
              </w:rPr>
              <w:t>SD = standard deviation.</w:t>
            </w:r>
          </w:p>
          <w:p w14:paraId="5699B89A" w14:textId="77777777" w:rsidR="001C64BA" w:rsidRPr="008B13C9" w:rsidRDefault="001C64BA" w:rsidP="005247AB">
            <w:pPr>
              <w:spacing w:after="0" w:line="240" w:lineRule="auto"/>
              <w:rPr>
                <w:rFonts w:eastAsia="Times New Roman"/>
                <w:sz w:val="20"/>
                <w:shd w:val="clear" w:color="auto" w:fill="FFFFFF"/>
                <w:vertAlign w:val="superscript"/>
              </w:rPr>
            </w:pPr>
          </w:p>
        </w:tc>
      </w:tr>
    </w:tbl>
    <w:p w14:paraId="10FAD5AB" w14:textId="77777777" w:rsidR="00A40AE5" w:rsidRPr="008B13C9" w:rsidRDefault="00A40AE5" w:rsidP="008F07A4">
      <w:pPr>
        <w:spacing w:after="0" w:line="480" w:lineRule="auto"/>
        <w:sectPr w:rsidR="00A40AE5" w:rsidRPr="008B13C9" w:rsidSect="008F07A4">
          <w:pgSz w:w="11906" w:h="16838"/>
          <w:pgMar w:top="1440" w:right="1440" w:bottom="1440" w:left="1440" w:header="708" w:footer="708" w:gutter="0"/>
          <w:lnNumType w:countBy="1" w:restart="continuous"/>
          <w:cols w:space="708"/>
          <w:docGrid w:linePitch="360"/>
        </w:sectPr>
      </w:pPr>
    </w:p>
    <w:tbl>
      <w:tblPr>
        <w:tblStyle w:val="TableGrid"/>
        <w:tblW w:w="13651" w:type="dxa"/>
        <w:tblInd w:w="-567"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77"/>
        <w:gridCol w:w="3686"/>
        <w:gridCol w:w="1560"/>
        <w:gridCol w:w="853"/>
        <w:gridCol w:w="1560"/>
        <w:gridCol w:w="711"/>
        <w:gridCol w:w="283"/>
        <w:gridCol w:w="1559"/>
        <w:gridCol w:w="741"/>
        <w:gridCol w:w="1559"/>
        <w:gridCol w:w="851"/>
        <w:gridCol w:w="11"/>
      </w:tblGrid>
      <w:tr w:rsidR="008B13C9" w:rsidRPr="008B13C9" w14:paraId="29E79DB0" w14:textId="77777777" w:rsidTr="005D007C">
        <w:tc>
          <w:tcPr>
            <w:tcW w:w="13651" w:type="dxa"/>
            <w:gridSpan w:val="12"/>
            <w:tcBorders>
              <w:top w:val="nil"/>
            </w:tcBorders>
          </w:tcPr>
          <w:p w14:paraId="3C15C306" w14:textId="77777777" w:rsidR="009D67C5" w:rsidRPr="008B13C9" w:rsidRDefault="009D67C5" w:rsidP="007E7A99">
            <w:pPr>
              <w:spacing w:after="0" w:line="240" w:lineRule="auto"/>
              <w:rPr>
                <w:sz w:val="20"/>
                <w:szCs w:val="20"/>
              </w:rPr>
            </w:pPr>
            <w:r w:rsidRPr="008B13C9">
              <w:lastRenderedPageBreak/>
              <w:br w:type="page"/>
            </w:r>
            <w:r w:rsidRPr="008B13C9">
              <w:rPr>
                <w:rFonts w:eastAsia="Times New Roman"/>
                <w:b/>
                <w:sz w:val="20"/>
              </w:rPr>
              <w:t xml:space="preserve">Table </w:t>
            </w:r>
            <w:r w:rsidRPr="008B13C9">
              <w:rPr>
                <w:rFonts w:eastAsia="Times New Roman"/>
                <w:b/>
                <w:noProof/>
                <w:sz w:val="20"/>
              </w:rPr>
              <w:t>3</w:t>
            </w:r>
            <w:r w:rsidRPr="008B13C9">
              <w:rPr>
                <w:rFonts w:eastAsia="Times New Roman"/>
                <w:sz w:val="20"/>
              </w:rPr>
              <w:t xml:space="preserve">  </w:t>
            </w:r>
            <w:r w:rsidRPr="008B13C9">
              <w:rPr>
                <w:rFonts w:eastAsia="Times New Roman"/>
                <w:sz w:val="20"/>
                <w:shd w:val="clear" w:color="auto" w:fill="FFFFFF"/>
              </w:rPr>
              <w:t>Age- and multivariable-adjusted associations between weight status and sexual activity in men and women</w:t>
            </w:r>
          </w:p>
        </w:tc>
      </w:tr>
      <w:tr w:rsidR="008B13C9" w:rsidRPr="008B13C9" w14:paraId="29F4A57B" w14:textId="77777777" w:rsidTr="005D007C">
        <w:tc>
          <w:tcPr>
            <w:tcW w:w="277" w:type="dxa"/>
            <w:tcBorders>
              <w:bottom w:val="nil"/>
            </w:tcBorders>
          </w:tcPr>
          <w:p w14:paraId="359940FB" w14:textId="77777777" w:rsidR="009D67C5" w:rsidRPr="008B13C9" w:rsidRDefault="009D67C5" w:rsidP="007E7A99">
            <w:pPr>
              <w:spacing w:after="0" w:line="240" w:lineRule="auto"/>
              <w:jc w:val="center"/>
              <w:rPr>
                <w:b/>
                <w:sz w:val="20"/>
                <w:szCs w:val="20"/>
              </w:rPr>
            </w:pPr>
          </w:p>
        </w:tc>
        <w:tc>
          <w:tcPr>
            <w:tcW w:w="3686" w:type="dxa"/>
            <w:tcBorders>
              <w:bottom w:val="nil"/>
            </w:tcBorders>
          </w:tcPr>
          <w:p w14:paraId="535EA111" w14:textId="77777777" w:rsidR="009D67C5" w:rsidRPr="008B13C9" w:rsidRDefault="009D67C5" w:rsidP="007E7A99">
            <w:pPr>
              <w:spacing w:after="0" w:line="240" w:lineRule="auto"/>
              <w:jc w:val="center"/>
              <w:rPr>
                <w:b/>
                <w:sz w:val="20"/>
                <w:szCs w:val="20"/>
              </w:rPr>
            </w:pPr>
          </w:p>
        </w:tc>
        <w:tc>
          <w:tcPr>
            <w:tcW w:w="4684" w:type="dxa"/>
            <w:gridSpan w:val="4"/>
          </w:tcPr>
          <w:p w14:paraId="7055F8BE" w14:textId="7CEB5DFD" w:rsidR="009D67C5" w:rsidRPr="008B13C9" w:rsidRDefault="009D67C5" w:rsidP="007E7A99">
            <w:pPr>
              <w:spacing w:after="0" w:line="240" w:lineRule="auto"/>
              <w:jc w:val="center"/>
              <w:rPr>
                <w:b/>
                <w:sz w:val="20"/>
                <w:szCs w:val="20"/>
                <w:vertAlign w:val="superscript"/>
              </w:rPr>
            </w:pPr>
            <w:r w:rsidRPr="008B13C9">
              <w:rPr>
                <w:b/>
                <w:sz w:val="20"/>
                <w:szCs w:val="20"/>
              </w:rPr>
              <w:t>Men</w:t>
            </w:r>
            <w:r w:rsidR="00305EC9" w:rsidRPr="008B13C9">
              <w:rPr>
                <w:b/>
                <w:sz w:val="20"/>
                <w:szCs w:val="20"/>
              </w:rPr>
              <w:t xml:space="preserve"> (</w:t>
            </w:r>
            <w:r w:rsidR="00305EC9" w:rsidRPr="008B13C9">
              <w:rPr>
                <w:b/>
                <w:i/>
                <w:iCs/>
                <w:sz w:val="20"/>
                <w:szCs w:val="20"/>
              </w:rPr>
              <w:t>n</w:t>
            </w:r>
            <w:r w:rsidR="00305EC9" w:rsidRPr="008B13C9">
              <w:rPr>
                <w:b/>
                <w:sz w:val="20"/>
                <w:szCs w:val="20"/>
              </w:rPr>
              <w:t>=2,</w:t>
            </w:r>
            <w:r w:rsidR="00D77915" w:rsidRPr="008B13C9">
              <w:rPr>
                <w:b/>
                <w:sz w:val="20"/>
                <w:szCs w:val="20"/>
              </w:rPr>
              <w:t>200</w:t>
            </w:r>
            <w:r w:rsidR="00305EC9" w:rsidRPr="008B13C9">
              <w:rPr>
                <w:b/>
                <w:sz w:val="20"/>
                <w:szCs w:val="20"/>
              </w:rPr>
              <w:t>)</w:t>
            </w:r>
            <w:r w:rsidR="002D5509" w:rsidRPr="008B13C9">
              <w:rPr>
                <w:b/>
                <w:sz w:val="20"/>
                <w:szCs w:val="20"/>
                <w:vertAlign w:val="superscript"/>
              </w:rPr>
              <w:t>1</w:t>
            </w:r>
          </w:p>
        </w:tc>
        <w:tc>
          <w:tcPr>
            <w:tcW w:w="283" w:type="dxa"/>
            <w:tcBorders>
              <w:top w:val="nil"/>
              <w:bottom w:val="nil"/>
            </w:tcBorders>
          </w:tcPr>
          <w:p w14:paraId="2D347C9F" w14:textId="77777777" w:rsidR="009D67C5" w:rsidRPr="008B13C9" w:rsidRDefault="009D67C5" w:rsidP="007E7A99">
            <w:pPr>
              <w:spacing w:after="0" w:line="240" w:lineRule="auto"/>
              <w:jc w:val="center"/>
              <w:rPr>
                <w:b/>
                <w:sz w:val="20"/>
                <w:szCs w:val="20"/>
              </w:rPr>
            </w:pPr>
          </w:p>
        </w:tc>
        <w:tc>
          <w:tcPr>
            <w:tcW w:w="4720" w:type="dxa"/>
            <w:gridSpan w:val="5"/>
          </w:tcPr>
          <w:p w14:paraId="519DB34E" w14:textId="59F85C29" w:rsidR="009D67C5" w:rsidRPr="008B13C9" w:rsidRDefault="009D67C5" w:rsidP="007E7A99">
            <w:pPr>
              <w:spacing w:after="0" w:line="240" w:lineRule="auto"/>
              <w:jc w:val="center"/>
              <w:rPr>
                <w:b/>
                <w:sz w:val="20"/>
                <w:szCs w:val="20"/>
              </w:rPr>
            </w:pPr>
            <w:r w:rsidRPr="008B13C9">
              <w:rPr>
                <w:b/>
                <w:sz w:val="20"/>
                <w:szCs w:val="20"/>
              </w:rPr>
              <w:t>Women</w:t>
            </w:r>
            <w:r w:rsidR="00305EC9" w:rsidRPr="008B13C9">
              <w:rPr>
                <w:b/>
                <w:sz w:val="20"/>
                <w:szCs w:val="20"/>
              </w:rPr>
              <w:t xml:space="preserve"> (</w:t>
            </w:r>
            <w:r w:rsidR="00305EC9" w:rsidRPr="008B13C9">
              <w:rPr>
                <w:b/>
                <w:i/>
                <w:iCs/>
                <w:sz w:val="20"/>
                <w:szCs w:val="20"/>
              </w:rPr>
              <w:t>n</w:t>
            </w:r>
            <w:r w:rsidR="00305EC9" w:rsidRPr="008B13C9">
              <w:rPr>
                <w:b/>
                <w:sz w:val="20"/>
                <w:szCs w:val="20"/>
              </w:rPr>
              <w:t>=2,</w:t>
            </w:r>
            <w:r w:rsidR="00D77915" w:rsidRPr="008B13C9">
              <w:rPr>
                <w:b/>
                <w:sz w:val="20"/>
                <w:szCs w:val="20"/>
              </w:rPr>
              <w:t>737</w:t>
            </w:r>
            <w:r w:rsidR="00305EC9" w:rsidRPr="008B13C9">
              <w:rPr>
                <w:b/>
                <w:sz w:val="20"/>
                <w:szCs w:val="20"/>
              </w:rPr>
              <w:t>)</w:t>
            </w:r>
          </w:p>
        </w:tc>
      </w:tr>
      <w:tr w:rsidR="008B13C9" w:rsidRPr="008B13C9" w14:paraId="1CBD7778" w14:textId="77777777" w:rsidTr="005D007C">
        <w:trPr>
          <w:gridAfter w:val="1"/>
          <w:wAfter w:w="11" w:type="dxa"/>
        </w:trPr>
        <w:tc>
          <w:tcPr>
            <w:tcW w:w="277" w:type="dxa"/>
            <w:tcBorders>
              <w:top w:val="nil"/>
            </w:tcBorders>
          </w:tcPr>
          <w:p w14:paraId="297D39F9" w14:textId="77777777" w:rsidR="009D67C5" w:rsidRPr="008B13C9" w:rsidRDefault="009D67C5" w:rsidP="007E7A99">
            <w:pPr>
              <w:spacing w:after="0" w:line="240" w:lineRule="auto"/>
              <w:jc w:val="center"/>
              <w:rPr>
                <w:b/>
                <w:sz w:val="20"/>
                <w:szCs w:val="20"/>
              </w:rPr>
            </w:pPr>
          </w:p>
        </w:tc>
        <w:tc>
          <w:tcPr>
            <w:tcW w:w="3686" w:type="dxa"/>
            <w:tcBorders>
              <w:top w:val="nil"/>
            </w:tcBorders>
          </w:tcPr>
          <w:p w14:paraId="4425DA93" w14:textId="77777777" w:rsidR="009D67C5" w:rsidRPr="008B13C9" w:rsidRDefault="009D67C5" w:rsidP="007E7A99">
            <w:pPr>
              <w:spacing w:after="0" w:line="240" w:lineRule="auto"/>
              <w:jc w:val="center"/>
              <w:rPr>
                <w:b/>
                <w:sz w:val="20"/>
                <w:szCs w:val="20"/>
              </w:rPr>
            </w:pPr>
          </w:p>
        </w:tc>
        <w:tc>
          <w:tcPr>
            <w:tcW w:w="1560" w:type="dxa"/>
            <w:tcBorders>
              <w:top w:val="nil"/>
            </w:tcBorders>
          </w:tcPr>
          <w:p w14:paraId="7B3F206D" w14:textId="77777777" w:rsidR="009D67C5" w:rsidRPr="008B13C9" w:rsidRDefault="009D67C5" w:rsidP="007E7A99">
            <w:pPr>
              <w:spacing w:after="0" w:line="240" w:lineRule="auto"/>
              <w:jc w:val="center"/>
              <w:rPr>
                <w:b/>
                <w:sz w:val="20"/>
                <w:szCs w:val="20"/>
              </w:rPr>
            </w:pPr>
            <w:r w:rsidRPr="008B13C9">
              <w:rPr>
                <w:b/>
                <w:sz w:val="20"/>
                <w:szCs w:val="20"/>
              </w:rPr>
              <w:t>Age-adjusted OR [95% CI]</w:t>
            </w:r>
          </w:p>
        </w:tc>
        <w:tc>
          <w:tcPr>
            <w:tcW w:w="853" w:type="dxa"/>
            <w:tcBorders>
              <w:top w:val="nil"/>
            </w:tcBorders>
          </w:tcPr>
          <w:p w14:paraId="3FCBEC6F" w14:textId="77777777" w:rsidR="009D67C5" w:rsidRPr="008B13C9" w:rsidRDefault="009D67C5" w:rsidP="007E7A99">
            <w:pPr>
              <w:spacing w:after="0" w:line="240" w:lineRule="auto"/>
              <w:jc w:val="center"/>
              <w:rPr>
                <w:b/>
                <w:i/>
                <w:iCs/>
                <w:sz w:val="20"/>
                <w:szCs w:val="20"/>
              </w:rPr>
            </w:pPr>
            <w:r w:rsidRPr="008B13C9">
              <w:rPr>
                <w:b/>
                <w:i/>
                <w:iCs/>
                <w:sz w:val="20"/>
                <w:szCs w:val="20"/>
              </w:rPr>
              <w:t>p</w:t>
            </w:r>
          </w:p>
        </w:tc>
        <w:tc>
          <w:tcPr>
            <w:tcW w:w="1560" w:type="dxa"/>
            <w:tcBorders>
              <w:top w:val="nil"/>
            </w:tcBorders>
          </w:tcPr>
          <w:p w14:paraId="0D3A3B77" w14:textId="538B5CD6" w:rsidR="009D67C5" w:rsidRPr="008B13C9" w:rsidRDefault="009D67C5" w:rsidP="007E7A99">
            <w:pPr>
              <w:spacing w:after="0" w:line="240" w:lineRule="auto"/>
              <w:jc w:val="center"/>
              <w:rPr>
                <w:b/>
                <w:sz w:val="20"/>
                <w:szCs w:val="20"/>
              </w:rPr>
            </w:pPr>
            <w:r w:rsidRPr="008B13C9">
              <w:rPr>
                <w:b/>
                <w:sz w:val="20"/>
                <w:szCs w:val="20"/>
              </w:rPr>
              <w:t>Fully adjusted</w:t>
            </w:r>
            <w:r w:rsidR="002D5509" w:rsidRPr="008B13C9">
              <w:rPr>
                <w:b/>
                <w:sz w:val="20"/>
                <w:szCs w:val="20"/>
                <w:vertAlign w:val="superscript"/>
              </w:rPr>
              <w:t>2</w:t>
            </w:r>
            <w:r w:rsidRPr="008B13C9">
              <w:rPr>
                <w:b/>
                <w:sz w:val="20"/>
                <w:szCs w:val="20"/>
              </w:rPr>
              <w:t xml:space="preserve"> OR [95% CI]</w:t>
            </w:r>
          </w:p>
        </w:tc>
        <w:tc>
          <w:tcPr>
            <w:tcW w:w="711" w:type="dxa"/>
            <w:tcBorders>
              <w:top w:val="nil"/>
            </w:tcBorders>
          </w:tcPr>
          <w:p w14:paraId="0E07EF3E" w14:textId="77777777" w:rsidR="009D67C5" w:rsidRPr="008B13C9" w:rsidRDefault="009D67C5" w:rsidP="007E7A99">
            <w:pPr>
              <w:spacing w:after="0" w:line="240" w:lineRule="auto"/>
              <w:jc w:val="center"/>
              <w:rPr>
                <w:b/>
                <w:i/>
                <w:sz w:val="20"/>
                <w:szCs w:val="20"/>
              </w:rPr>
            </w:pPr>
            <w:r w:rsidRPr="008B13C9">
              <w:rPr>
                <w:b/>
                <w:i/>
                <w:sz w:val="20"/>
                <w:szCs w:val="20"/>
              </w:rPr>
              <w:t>p</w:t>
            </w:r>
          </w:p>
        </w:tc>
        <w:tc>
          <w:tcPr>
            <w:tcW w:w="283" w:type="dxa"/>
            <w:tcBorders>
              <w:top w:val="nil"/>
            </w:tcBorders>
          </w:tcPr>
          <w:p w14:paraId="6171DB0A" w14:textId="77777777" w:rsidR="009D67C5" w:rsidRPr="008B13C9" w:rsidRDefault="009D67C5" w:rsidP="007E7A99">
            <w:pPr>
              <w:spacing w:after="0" w:line="240" w:lineRule="auto"/>
              <w:jc w:val="center"/>
              <w:rPr>
                <w:b/>
                <w:sz w:val="20"/>
                <w:szCs w:val="20"/>
              </w:rPr>
            </w:pPr>
          </w:p>
        </w:tc>
        <w:tc>
          <w:tcPr>
            <w:tcW w:w="1559" w:type="dxa"/>
          </w:tcPr>
          <w:p w14:paraId="67ECED57" w14:textId="77777777" w:rsidR="009D67C5" w:rsidRPr="008B13C9" w:rsidRDefault="009D67C5" w:rsidP="007E7A99">
            <w:pPr>
              <w:spacing w:after="0" w:line="240" w:lineRule="auto"/>
              <w:jc w:val="center"/>
              <w:rPr>
                <w:b/>
                <w:sz w:val="20"/>
                <w:szCs w:val="20"/>
              </w:rPr>
            </w:pPr>
            <w:r w:rsidRPr="008B13C9">
              <w:rPr>
                <w:b/>
                <w:sz w:val="20"/>
                <w:szCs w:val="20"/>
              </w:rPr>
              <w:t>Age-adjusted OR [95% CI]</w:t>
            </w:r>
          </w:p>
        </w:tc>
        <w:tc>
          <w:tcPr>
            <w:tcW w:w="741" w:type="dxa"/>
          </w:tcPr>
          <w:p w14:paraId="075A133A" w14:textId="77777777" w:rsidR="009D67C5" w:rsidRPr="008B13C9" w:rsidRDefault="009D67C5" w:rsidP="007E7A99">
            <w:pPr>
              <w:spacing w:after="0" w:line="240" w:lineRule="auto"/>
              <w:jc w:val="center"/>
              <w:rPr>
                <w:b/>
                <w:sz w:val="20"/>
                <w:szCs w:val="20"/>
              </w:rPr>
            </w:pPr>
            <w:r w:rsidRPr="008B13C9">
              <w:rPr>
                <w:b/>
                <w:i/>
                <w:iCs/>
                <w:sz w:val="20"/>
                <w:szCs w:val="20"/>
              </w:rPr>
              <w:t>p</w:t>
            </w:r>
          </w:p>
        </w:tc>
        <w:tc>
          <w:tcPr>
            <w:tcW w:w="1559" w:type="dxa"/>
          </w:tcPr>
          <w:p w14:paraId="25A04BC6" w14:textId="46E9C711" w:rsidR="009D67C5" w:rsidRPr="008B13C9" w:rsidRDefault="009D67C5" w:rsidP="007E7A99">
            <w:pPr>
              <w:spacing w:after="0" w:line="240" w:lineRule="auto"/>
              <w:jc w:val="center"/>
              <w:rPr>
                <w:b/>
                <w:sz w:val="20"/>
                <w:szCs w:val="20"/>
              </w:rPr>
            </w:pPr>
            <w:r w:rsidRPr="008B13C9">
              <w:rPr>
                <w:b/>
                <w:sz w:val="20"/>
                <w:szCs w:val="20"/>
              </w:rPr>
              <w:t>Fully adjusted</w:t>
            </w:r>
            <w:r w:rsidR="002D5509" w:rsidRPr="008B13C9">
              <w:rPr>
                <w:b/>
                <w:sz w:val="20"/>
                <w:szCs w:val="20"/>
                <w:vertAlign w:val="superscript"/>
              </w:rPr>
              <w:t>2</w:t>
            </w:r>
            <w:r w:rsidRPr="008B13C9">
              <w:rPr>
                <w:b/>
                <w:sz w:val="20"/>
                <w:szCs w:val="20"/>
              </w:rPr>
              <w:t xml:space="preserve"> OR [95% CI]</w:t>
            </w:r>
          </w:p>
        </w:tc>
        <w:tc>
          <w:tcPr>
            <w:tcW w:w="851" w:type="dxa"/>
          </w:tcPr>
          <w:p w14:paraId="1187AB25" w14:textId="77777777" w:rsidR="009D67C5" w:rsidRPr="008B13C9" w:rsidRDefault="009D67C5" w:rsidP="007E7A99">
            <w:pPr>
              <w:spacing w:after="0" w:line="240" w:lineRule="auto"/>
              <w:jc w:val="center"/>
              <w:rPr>
                <w:b/>
                <w:sz w:val="20"/>
                <w:szCs w:val="20"/>
              </w:rPr>
            </w:pPr>
            <w:r w:rsidRPr="008B13C9">
              <w:rPr>
                <w:b/>
                <w:i/>
                <w:sz w:val="20"/>
                <w:szCs w:val="20"/>
              </w:rPr>
              <w:t>p</w:t>
            </w:r>
          </w:p>
        </w:tc>
      </w:tr>
      <w:tr w:rsidR="008B13C9" w:rsidRPr="008B13C9" w14:paraId="0EBD673F" w14:textId="77777777" w:rsidTr="005D007C">
        <w:trPr>
          <w:gridAfter w:val="1"/>
          <w:wAfter w:w="11" w:type="dxa"/>
        </w:trPr>
        <w:tc>
          <w:tcPr>
            <w:tcW w:w="3963" w:type="dxa"/>
            <w:gridSpan w:val="2"/>
            <w:tcBorders>
              <w:bottom w:val="nil"/>
            </w:tcBorders>
          </w:tcPr>
          <w:p w14:paraId="2B9D05F2" w14:textId="77777777" w:rsidR="009D67C5" w:rsidRPr="008B13C9" w:rsidRDefault="009D67C5" w:rsidP="007E7A99">
            <w:pPr>
              <w:spacing w:after="0" w:line="240" w:lineRule="auto"/>
              <w:rPr>
                <w:sz w:val="20"/>
                <w:szCs w:val="20"/>
              </w:rPr>
            </w:pPr>
            <w:r w:rsidRPr="008B13C9">
              <w:rPr>
                <w:sz w:val="20"/>
                <w:szCs w:val="20"/>
              </w:rPr>
              <w:t>Any sexual activity in the last year</w:t>
            </w:r>
          </w:p>
        </w:tc>
        <w:tc>
          <w:tcPr>
            <w:tcW w:w="1560" w:type="dxa"/>
            <w:tcBorders>
              <w:bottom w:val="nil"/>
            </w:tcBorders>
          </w:tcPr>
          <w:p w14:paraId="41F9D61A" w14:textId="77777777" w:rsidR="009D67C5" w:rsidRPr="008B13C9" w:rsidRDefault="009D67C5" w:rsidP="007E7A99">
            <w:pPr>
              <w:spacing w:after="0" w:line="240" w:lineRule="auto"/>
              <w:jc w:val="center"/>
              <w:rPr>
                <w:sz w:val="20"/>
                <w:szCs w:val="20"/>
              </w:rPr>
            </w:pPr>
          </w:p>
        </w:tc>
        <w:tc>
          <w:tcPr>
            <w:tcW w:w="853" w:type="dxa"/>
            <w:tcBorders>
              <w:bottom w:val="nil"/>
            </w:tcBorders>
          </w:tcPr>
          <w:p w14:paraId="28977E56" w14:textId="77777777" w:rsidR="009D67C5" w:rsidRPr="008B13C9" w:rsidRDefault="009D67C5" w:rsidP="007E7A99">
            <w:pPr>
              <w:spacing w:after="0" w:line="240" w:lineRule="auto"/>
              <w:jc w:val="center"/>
              <w:rPr>
                <w:sz w:val="20"/>
                <w:szCs w:val="20"/>
              </w:rPr>
            </w:pPr>
          </w:p>
        </w:tc>
        <w:tc>
          <w:tcPr>
            <w:tcW w:w="1560" w:type="dxa"/>
            <w:tcBorders>
              <w:bottom w:val="nil"/>
            </w:tcBorders>
          </w:tcPr>
          <w:p w14:paraId="56D66961" w14:textId="77777777" w:rsidR="009D67C5" w:rsidRPr="008B13C9" w:rsidRDefault="009D67C5" w:rsidP="007E7A99">
            <w:pPr>
              <w:spacing w:after="0" w:line="240" w:lineRule="auto"/>
              <w:jc w:val="center"/>
              <w:rPr>
                <w:sz w:val="20"/>
                <w:szCs w:val="20"/>
              </w:rPr>
            </w:pPr>
          </w:p>
        </w:tc>
        <w:tc>
          <w:tcPr>
            <w:tcW w:w="711" w:type="dxa"/>
            <w:tcBorders>
              <w:bottom w:val="nil"/>
            </w:tcBorders>
          </w:tcPr>
          <w:p w14:paraId="7A959AA8" w14:textId="77777777" w:rsidR="009D67C5" w:rsidRPr="008B13C9" w:rsidRDefault="009D67C5" w:rsidP="007E7A99">
            <w:pPr>
              <w:spacing w:after="0" w:line="240" w:lineRule="auto"/>
              <w:jc w:val="center"/>
              <w:rPr>
                <w:sz w:val="20"/>
                <w:szCs w:val="20"/>
              </w:rPr>
            </w:pPr>
          </w:p>
        </w:tc>
        <w:tc>
          <w:tcPr>
            <w:tcW w:w="283" w:type="dxa"/>
            <w:tcBorders>
              <w:bottom w:val="nil"/>
            </w:tcBorders>
          </w:tcPr>
          <w:p w14:paraId="585B18DD" w14:textId="77777777" w:rsidR="009D67C5" w:rsidRPr="008B13C9" w:rsidRDefault="009D67C5" w:rsidP="007E7A99">
            <w:pPr>
              <w:spacing w:after="0" w:line="240" w:lineRule="auto"/>
              <w:jc w:val="center"/>
              <w:rPr>
                <w:sz w:val="20"/>
                <w:szCs w:val="20"/>
              </w:rPr>
            </w:pPr>
          </w:p>
        </w:tc>
        <w:tc>
          <w:tcPr>
            <w:tcW w:w="1559" w:type="dxa"/>
            <w:tcBorders>
              <w:bottom w:val="nil"/>
            </w:tcBorders>
          </w:tcPr>
          <w:p w14:paraId="39D5BD9D" w14:textId="77777777" w:rsidR="009D67C5" w:rsidRPr="008B13C9" w:rsidRDefault="009D67C5" w:rsidP="007E7A99">
            <w:pPr>
              <w:spacing w:after="0" w:line="240" w:lineRule="auto"/>
              <w:jc w:val="center"/>
              <w:rPr>
                <w:sz w:val="20"/>
                <w:szCs w:val="20"/>
              </w:rPr>
            </w:pPr>
          </w:p>
        </w:tc>
        <w:tc>
          <w:tcPr>
            <w:tcW w:w="741" w:type="dxa"/>
            <w:tcBorders>
              <w:bottom w:val="nil"/>
            </w:tcBorders>
          </w:tcPr>
          <w:p w14:paraId="57D7F604" w14:textId="77777777" w:rsidR="009D67C5" w:rsidRPr="008B13C9" w:rsidRDefault="009D67C5" w:rsidP="007E7A99">
            <w:pPr>
              <w:spacing w:after="0" w:line="240" w:lineRule="auto"/>
              <w:jc w:val="center"/>
              <w:rPr>
                <w:sz w:val="20"/>
                <w:szCs w:val="20"/>
              </w:rPr>
            </w:pPr>
          </w:p>
        </w:tc>
        <w:tc>
          <w:tcPr>
            <w:tcW w:w="1559" w:type="dxa"/>
            <w:tcBorders>
              <w:bottom w:val="nil"/>
            </w:tcBorders>
          </w:tcPr>
          <w:p w14:paraId="1305EA52" w14:textId="77777777" w:rsidR="009D67C5" w:rsidRPr="008B13C9" w:rsidRDefault="009D67C5" w:rsidP="007E7A99">
            <w:pPr>
              <w:spacing w:after="0" w:line="240" w:lineRule="auto"/>
              <w:jc w:val="center"/>
              <w:rPr>
                <w:sz w:val="20"/>
                <w:szCs w:val="20"/>
              </w:rPr>
            </w:pPr>
          </w:p>
        </w:tc>
        <w:tc>
          <w:tcPr>
            <w:tcW w:w="851" w:type="dxa"/>
            <w:tcBorders>
              <w:bottom w:val="nil"/>
            </w:tcBorders>
          </w:tcPr>
          <w:p w14:paraId="64FB10B9" w14:textId="77777777" w:rsidR="009D67C5" w:rsidRPr="008B13C9" w:rsidRDefault="009D67C5" w:rsidP="007E7A99">
            <w:pPr>
              <w:spacing w:after="0" w:line="240" w:lineRule="auto"/>
              <w:jc w:val="center"/>
              <w:rPr>
                <w:sz w:val="20"/>
                <w:szCs w:val="20"/>
              </w:rPr>
            </w:pPr>
          </w:p>
        </w:tc>
      </w:tr>
      <w:tr w:rsidR="008B13C9" w:rsidRPr="008B13C9" w14:paraId="05686622" w14:textId="77777777" w:rsidTr="005D007C">
        <w:trPr>
          <w:gridAfter w:val="1"/>
          <w:wAfter w:w="11" w:type="dxa"/>
        </w:trPr>
        <w:tc>
          <w:tcPr>
            <w:tcW w:w="277" w:type="dxa"/>
            <w:tcBorders>
              <w:top w:val="nil"/>
              <w:bottom w:val="nil"/>
            </w:tcBorders>
          </w:tcPr>
          <w:p w14:paraId="132E8DCB" w14:textId="77777777" w:rsidR="00903139" w:rsidRPr="008B13C9" w:rsidRDefault="00903139" w:rsidP="00903139">
            <w:pPr>
              <w:spacing w:after="0" w:line="240" w:lineRule="auto"/>
              <w:rPr>
                <w:sz w:val="20"/>
                <w:szCs w:val="20"/>
              </w:rPr>
            </w:pPr>
          </w:p>
        </w:tc>
        <w:tc>
          <w:tcPr>
            <w:tcW w:w="3686" w:type="dxa"/>
            <w:tcBorders>
              <w:top w:val="nil"/>
            </w:tcBorders>
            <w:vAlign w:val="center"/>
          </w:tcPr>
          <w:p w14:paraId="7C02572B" w14:textId="77777777" w:rsidR="00903139" w:rsidRPr="008B13C9" w:rsidRDefault="00903139" w:rsidP="00903139">
            <w:pPr>
              <w:spacing w:after="0" w:line="240" w:lineRule="auto"/>
              <w:rPr>
                <w:sz w:val="20"/>
                <w:szCs w:val="20"/>
              </w:rPr>
            </w:pPr>
            <w:r w:rsidRPr="008B13C9">
              <w:rPr>
                <w:sz w:val="20"/>
                <w:szCs w:val="20"/>
              </w:rPr>
              <w:t>Normal-weight</w:t>
            </w:r>
          </w:p>
        </w:tc>
        <w:tc>
          <w:tcPr>
            <w:tcW w:w="1560" w:type="dxa"/>
            <w:tcBorders>
              <w:top w:val="nil"/>
            </w:tcBorders>
          </w:tcPr>
          <w:p w14:paraId="00D71632" w14:textId="7C27D38F" w:rsidR="00903139" w:rsidRPr="008B13C9" w:rsidRDefault="00903139" w:rsidP="00903139">
            <w:pPr>
              <w:spacing w:after="0" w:line="240" w:lineRule="auto"/>
              <w:jc w:val="center"/>
              <w:rPr>
                <w:sz w:val="20"/>
                <w:szCs w:val="20"/>
              </w:rPr>
            </w:pPr>
            <w:r w:rsidRPr="008B13C9">
              <w:rPr>
                <w:sz w:val="20"/>
                <w:szCs w:val="20"/>
              </w:rPr>
              <w:t>1.00</w:t>
            </w:r>
          </w:p>
        </w:tc>
        <w:tc>
          <w:tcPr>
            <w:tcW w:w="853" w:type="dxa"/>
            <w:tcBorders>
              <w:top w:val="nil"/>
            </w:tcBorders>
          </w:tcPr>
          <w:p w14:paraId="567B1C28" w14:textId="1EEC13A8" w:rsidR="00903139" w:rsidRPr="008B13C9" w:rsidRDefault="00903139" w:rsidP="00903139">
            <w:pPr>
              <w:spacing w:after="0" w:line="240" w:lineRule="auto"/>
              <w:jc w:val="center"/>
              <w:rPr>
                <w:sz w:val="20"/>
                <w:szCs w:val="20"/>
              </w:rPr>
            </w:pPr>
            <w:r w:rsidRPr="008B13C9">
              <w:rPr>
                <w:sz w:val="20"/>
                <w:szCs w:val="20"/>
              </w:rPr>
              <w:t>-</w:t>
            </w:r>
          </w:p>
        </w:tc>
        <w:tc>
          <w:tcPr>
            <w:tcW w:w="1560" w:type="dxa"/>
            <w:tcBorders>
              <w:top w:val="nil"/>
            </w:tcBorders>
          </w:tcPr>
          <w:p w14:paraId="4BF419E0" w14:textId="77777777" w:rsidR="00903139" w:rsidRPr="008B13C9" w:rsidRDefault="00903139" w:rsidP="00903139">
            <w:pPr>
              <w:spacing w:after="0" w:line="240" w:lineRule="auto"/>
              <w:jc w:val="center"/>
              <w:rPr>
                <w:sz w:val="20"/>
                <w:szCs w:val="20"/>
              </w:rPr>
            </w:pPr>
            <w:r w:rsidRPr="008B13C9">
              <w:rPr>
                <w:sz w:val="20"/>
                <w:szCs w:val="20"/>
              </w:rPr>
              <w:t>1.00</w:t>
            </w:r>
          </w:p>
        </w:tc>
        <w:tc>
          <w:tcPr>
            <w:tcW w:w="711" w:type="dxa"/>
            <w:tcBorders>
              <w:top w:val="nil"/>
            </w:tcBorders>
          </w:tcPr>
          <w:p w14:paraId="6E918887" w14:textId="77777777" w:rsidR="00903139" w:rsidRPr="008B13C9" w:rsidRDefault="00903139" w:rsidP="00903139">
            <w:pPr>
              <w:spacing w:after="0" w:line="240" w:lineRule="auto"/>
              <w:jc w:val="center"/>
              <w:rPr>
                <w:sz w:val="20"/>
                <w:szCs w:val="20"/>
              </w:rPr>
            </w:pPr>
            <w:r w:rsidRPr="008B13C9">
              <w:rPr>
                <w:sz w:val="20"/>
                <w:szCs w:val="20"/>
              </w:rPr>
              <w:t>-</w:t>
            </w:r>
          </w:p>
        </w:tc>
        <w:tc>
          <w:tcPr>
            <w:tcW w:w="283" w:type="dxa"/>
            <w:tcBorders>
              <w:top w:val="nil"/>
            </w:tcBorders>
          </w:tcPr>
          <w:p w14:paraId="602FA14C" w14:textId="77777777" w:rsidR="00903139" w:rsidRPr="008B13C9" w:rsidRDefault="00903139" w:rsidP="00903139">
            <w:pPr>
              <w:spacing w:after="0" w:line="240" w:lineRule="auto"/>
              <w:jc w:val="center"/>
              <w:rPr>
                <w:sz w:val="20"/>
                <w:szCs w:val="20"/>
              </w:rPr>
            </w:pPr>
          </w:p>
        </w:tc>
        <w:tc>
          <w:tcPr>
            <w:tcW w:w="1559" w:type="dxa"/>
            <w:tcBorders>
              <w:top w:val="nil"/>
            </w:tcBorders>
          </w:tcPr>
          <w:p w14:paraId="1E4BBD00" w14:textId="60DB55A6" w:rsidR="00903139" w:rsidRPr="008B13C9" w:rsidRDefault="00903139" w:rsidP="00903139">
            <w:pPr>
              <w:spacing w:after="0" w:line="240" w:lineRule="auto"/>
              <w:jc w:val="center"/>
              <w:rPr>
                <w:sz w:val="20"/>
                <w:szCs w:val="20"/>
              </w:rPr>
            </w:pPr>
            <w:r w:rsidRPr="008B13C9">
              <w:rPr>
                <w:sz w:val="20"/>
                <w:szCs w:val="20"/>
              </w:rPr>
              <w:t>1.00</w:t>
            </w:r>
          </w:p>
        </w:tc>
        <w:tc>
          <w:tcPr>
            <w:tcW w:w="741" w:type="dxa"/>
            <w:tcBorders>
              <w:top w:val="nil"/>
            </w:tcBorders>
          </w:tcPr>
          <w:p w14:paraId="5A9E5B0D" w14:textId="59719885" w:rsidR="00903139" w:rsidRPr="008B13C9" w:rsidRDefault="00903139" w:rsidP="00903139">
            <w:pPr>
              <w:spacing w:after="0" w:line="240" w:lineRule="auto"/>
              <w:jc w:val="center"/>
              <w:rPr>
                <w:sz w:val="20"/>
                <w:szCs w:val="20"/>
              </w:rPr>
            </w:pPr>
            <w:r w:rsidRPr="008B13C9">
              <w:rPr>
                <w:sz w:val="20"/>
                <w:szCs w:val="20"/>
              </w:rPr>
              <w:t>-</w:t>
            </w:r>
          </w:p>
        </w:tc>
        <w:tc>
          <w:tcPr>
            <w:tcW w:w="1559" w:type="dxa"/>
            <w:tcBorders>
              <w:top w:val="nil"/>
            </w:tcBorders>
          </w:tcPr>
          <w:p w14:paraId="0817E874" w14:textId="77777777" w:rsidR="00903139" w:rsidRPr="008B13C9" w:rsidRDefault="00903139" w:rsidP="00903139">
            <w:pPr>
              <w:spacing w:after="0" w:line="240" w:lineRule="auto"/>
              <w:jc w:val="center"/>
              <w:rPr>
                <w:sz w:val="20"/>
                <w:szCs w:val="20"/>
              </w:rPr>
            </w:pPr>
            <w:r w:rsidRPr="008B13C9">
              <w:rPr>
                <w:sz w:val="20"/>
                <w:szCs w:val="20"/>
              </w:rPr>
              <w:t>1.00</w:t>
            </w:r>
          </w:p>
        </w:tc>
        <w:tc>
          <w:tcPr>
            <w:tcW w:w="851" w:type="dxa"/>
            <w:tcBorders>
              <w:top w:val="nil"/>
            </w:tcBorders>
          </w:tcPr>
          <w:p w14:paraId="183D5EBE" w14:textId="77777777" w:rsidR="00903139" w:rsidRPr="008B13C9" w:rsidRDefault="00903139" w:rsidP="00903139">
            <w:pPr>
              <w:spacing w:after="0" w:line="240" w:lineRule="auto"/>
              <w:jc w:val="center"/>
              <w:rPr>
                <w:sz w:val="20"/>
                <w:szCs w:val="20"/>
              </w:rPr>
            </w:pPr>
            <w:r w:rsidRPr="008B13C9">
              <w:rPr>
                <w:sz w:val="20"/>
                <w:szCs w:val="20"/>
              </w:rPr>
              <w:t>-</w:t>
            </w:r>
          </w:p>
        </w:tc>
      </w:tr>
      <w:tr w:rsidR="008B13C9" w:rsidRPr="008B13C9" w14:paraId="44972282" w14:textId="77777777" w:rsidTr="005D007C">
        <w:trPr>
          <w:gridAfter w:val="1"/>
          <w:wAfter w:w="11" w:type="dxa"/>
        </w:trPr>
        <w:tc>
          <w:tcPr>
            <w:tcW w:w="277" w:type="dxa"/>
            <w:tcBorders>
              <w:top w:val="nil"/>
              <w:bottom w:val="nil"/>
            </w:tcBorders>
          </w:tcPr>
          <w:p w14:paraId="1122E84B" w14:textId="77777777" w:rsidR="00903139" w:rsidRPr="008B13C9" w:rsidRDefault="00903139" w:rsidP="00903139">
            <w:pPr>
              <w:spacing w:after="0" w:line="240" w:lineRule="auto"/>
              <w:rPr>
                <w:sz w:val="20"/>
                <w:szCs w:val="20"/>
              </w:rPr>
            </w:pPr>
          </w:p>
        </w:tc>
        <w:tc>
          <w:tcPr>
            <w:tcW w:w="3686" w:type="dxa"/>
            <w:vAlign w:val="center"/>
          </w:tcPr>
          <w:p w14:paraId="033632BB" w14:textId="7403F885" w:rsidR="00903139" w:rsidRPr="008B13C9" w:rsidRDefault="00903139" w:rsidP="00903139">
            <w:pPr>
              <w:spacing w:after="0" w:line="240" w:lineRule="auto"/>
              <w:rPr>
                <w:sz w:val="20"/>
                <w:szCs w:val="20"/>
              </w:rPr>
            </w:pPr>
            <w:r w:rsidRPr="008B13C9">
              <w:rPr>
                <w:sz w:val="20"/>
                <w:szCs w:val="20"/>
              </w:rPr>
              <w:t>Overweight</w:t>
            </w:r>
          </w:p>
        </w:tc>
        <w:tc>
          <w:tcPr>
            <w:tcW w:w="1560" w:type="dxa"/>
          </w:tcPr>
          <w:p w14:paraId="5144ED39" w14:textId="00D6F8E6" w:rsidR="00903139" w:rsidRPr="008B13C9" w:rsidRDefault="00A45755" w:rsidP="00903139">
            <w:pPr>
              <w:spacing w:after="0" w:line="240" w:lineRule="auto"/>
              <w:jc w:val="center"/>
              <w:rPr>
                <w:sz w:val="20"/>
                <w:szCs w:val="20"/>
              </w:rPr>
            </w:pPr>
            <w:r w:rsidRPr="008B13C9">
              <w:rPr>
                <w:sz w:val="20"/>
                <w:szCs w:val="20"/>
              </w:rPr>
              <w:t>1.1</w:t>
            </w:r>
            <w:r w:rsidR="00B2643C" w:rsidRPr="008B13C9">
              <w:rPr>
                <w:sz w:val="20"/>
                <w:szCs w:val="20"/>
              </w:rPr>
              <w:t>2</w:t>
            </w:r>
            <w:r w:rsidRPr="008B13C9">
              <w:rPr>
                <w:sz w:val="20"/>
                <w:szCs w:val="20"/>
              </w:rPr>
              <w:t xml:space="preserve"> [0.8</w:t>
            </w:r>
            <w:r w:rsidR="00B2643C" w:rsidRPr="008B13C9">
              <w:rPr>
                <w:sz w:val="20"/>
                <w:szCs w:val="20"/>
              </w:rPr>
              <w:t>4</w:t>
            </w:r>
            <w:r w:rsidRPr="008B13C9">
              <w:rPr>
                <w:sz w:val="20"/>
                <w:szCs w:val="20"/>
              </w:rPr>
              <w:t>-1.</w:t>
            </w:r>
            <w:r w:rsidR="00B2643C" w:rsidRPr="008B13C9">
              <w:rPr>
                <w:sz w:val="20"/>
                <w:szCs w:val="20"/>
              </w:rPr>
              <w:t>48</w:t>
            </w:r>
            <w:r w:rsidRPr="008B13C9">
              <w:rPr>
                <w:sz w:val="20"/>
                <w:szCs w:val="20"/>
              </w:rPr>
              <w:t>]</w:t>
            </w:r>
          </w:p>
        </w:tc>
        <w:tc>
          <w:tcPr>
            <w:tcW w:w="853" w:type="dxa"/>
          </w:tcPr>
          <w:p w14:paraId="5C4D93E0" w14:textId="1B73CD39" w:rsidR="00903139" w:rsidRPr="008B13C9" w:rsidRDefault="00A45755" w:rsidP="00903139">
            <w:pPr>
              <w:spacing w:after="0" w:line="240" w:lineRule="auto"/>
              <w:jc w:val="center"/>
              <w:rPr>
                <w:sz w:val="20"/>
                <w:szCs w:val="20"/>
              </w:rPr>
            </w:pPr>
            <w:r w:rsidRPr="008B13C9">
              <w:rPr>
                <w:sz w:val="20"/>
                <w:szCs w:val="20"/>
              </w:rPr>
              <w:t>0.</w:t>
            </w:r>
            <w:r w:rsidR="00B2643C" w:rsidRPr="008B13C9">
              <w:rPr>
                <w:sz w:val="20"/>
                <w:szCs w:val="20"/>
              </w:rPr>
              <w:t>440</w:t>
            </w:r>
          </w:p>
        </w:tc>
        <w:tc>
          <w:tcPr>
            <w:tcW w:w="1560" w:type="dxa"/>
          </w:tcPr>
          <w:p w14:paraId="272EE5FF" w14:textId="77777777" w:rsidR="00903139" w:rsidRPr="008B13C9" w:rsidRDefault="00903139" w:rsidP="00903139">
            <w:pPr>
              <w:spacing w:after="0" w:line="240" w:lineRule="auto"/>
              <w:jc w:val="center"/>
              <w:rPr>
                <w:sz w:val="20"/>
                <w:szCs w:val="20"/>
              </w:rPr>
            </w:pPr>
            <w:r w:rsidRPr="008B13C9">
              <w:rPr>
                <w:sz w:val="20"/>
                <w:szCs w:val="20"/>
              </w:rPr>
              <w:t>1.09 [0.81-1.46]</w:t>
            </w:r>
          </w:p>
        </w:tc>
        <w:tc>
          <w:tcPr>
            <w:tcW w:w="711" w:type="dxa"/>
          </w:tcPr>
          <w:p w14:paraId="4D3A3783" w14:textId="77777777" w:rsidR="00903139" w:rsidRPr="008B13C9" w:rsidRDefault="00903139" w:rsidP="00903139">
            <w:pPr>
              <w:spacing w:after="0" w:line="240" w:lineRule="auto"/>
              <w:jc w:val="center"/>
              <w:rPr>
                <w:sz w:val="20"/>
                <w:szCs w:val="20"/>
              </w:rPr>
            </w:pPr>
            <w:r w:rsidRPr="008B13C9">
              <w:rPr>
                <w:sz w:val="20"/>
                <w:szCs w:val="20"/>
              </w:rPr>
              <w:t>0.588</w:t>
            </w:r>
          </w:p>
        </w:tc>
        <w:tc>
          <w:tcPr>
            <w:tcW w:w="283" w:type="dxa"/>
          </w:tcPr>
          <w:p w14:paraId="4D706831" w14:textId="77777777" w:rsidR="00903139" w:rsidRPr="008B13C9" w:rsidRDefault="00903139" w:rsidP="00903139">
            <w:pPr>
              <w:spacing w:after="0" w:line="240" w:lineRule="auto"/>
              <w:jc w:val="center"/>
              <w:rPr>
                <w:sz w:val="20"/>
                <w:szCs w:val="20"/>
              </w:rPr>
            </w:pPr>
          </w:p>
        </w:tc>
        <w:tc>
          <w:tcPr>
            <w:tcW w:w="1559" w:type="dxa"/>
          </w:tcPr>
          <w:p w14:paraId="6C5A0434" w14:textId="2C185B95" w:rsidR="00903139" w:rsidRPr="008B13C9" w:rsidRDefault="000410DF" w:rsidP="00903139">
            <w:pPr>
              <w:spacing w:after="0" w:line="240" w:lineRule="auto"/>
              <w:jc w:val="center"/>
              <w:rPr>
                <w:sz w:val="20"/>
                <w:szCs w:val="20"/>
              </w:rPr>
            </w:pPr>
            <w:r w:rsidRPr="008B13C9">
              <w:rPr>
                <w:sz w:val="20"/>
                <w:szCs w:val="20"/>
              </w:rPr>
              <w:t>1.05 [0.8</w:t>
            </w:r>
            <w:r w:rsidR="00B2643C" w:rsidRPr="008B13C9">
              <w:rPr>
                <w:sz w:val="20"/>
                <w:szCs w:val="20"/>
              </w:rPr>
              <w:t>4</w:t>
            </w:r>
            <w:r w:rsidRPr="008B13C9">
              <w:rPr>
                <w:sz w:val="20"/>
                <w:szCs w:val="20"/>
              </w:rPr>
              <w:t>-1.3</w:t>
            </w:r>
            <w:r w:rsidR="00B2643C" w:rsidRPr="008B13C9">
              <w:rPr>
                <w:sz w:val="20"/>
                <w:szCs w:val="20"/>
              </w:rPr>
              <w:t>2</w:t>
            </w:r>
            <w:r w:rsidRPr="008B13C9">
              <w:rPr>
                <w:sz w:val="20"/>
                <w:szCs w:val="20"/>
              </w:rPr>
              <w:t>]</w:t>
            </w:r>
          </w:p>
        </w:tc>
        <w:tc>
          <w:tcPr>
            <w:tcW w:w="741" w:type="dxa"/>
          </w:tcPr>
          <w:p w14:paraId="54602804" w14:textId="5308817A" w:rsidR="00903139" w:rsidRPr="008B13C9" w:rsidRDefault="000410DF" w:rsidP="00903139">
            <w:pPr>
              <w:spacing w:after="0" w:line="240" w:lineRule="auto"/>
              <w:jc w:val="center"/>
              <w:rPr>
                <w:sz w:val="20"/>
                <w:szCs w:val="20"/>
              </w:rPr>
            </w:pPr>
            <w:r w:rsidRPr="008B13C9">
              <w:rPr>
                <w:sz w:val="20"/>
                <w:szCs w:val="20"/>
              </w:rPr>
              <w:t>0.</w:t>
            </w:r>
            <w:r w:rsidR="00B2643C" w:rsidRPr="008B13C9">
              <w:rPr>
                <w:sz w:val="20"/>
                <w:szCs w:val="20"/>
              </w:rPr>
              <w:t>665</w:t>
            </w:r>
          </w:p>
        </w:tc>
        <w:tc>
          <w:tcPr>
            <w:tcW w:w="1559" w:type="dxa"/>
          </w:tcPr>
          <w:p w14:paraId="07EBF54D" w14:textId="77777777" w:rsidR="00903139" w:rsidRPr="008B13C9" w:rsidRDefault="00903139" w:rsidP="00903139">
            <w:pPr>
              <w:spacing w:after="0" w:line="240" w:lineRule="auto"/>
              <w:jc w:val="center"/>
              <w:rPr>
                <w:sz w:val="20"/>
                <w:szCs w:val="20"/>
              </w:rPr>
            </w:pPr>
            <w:r w:rsidRPr="008B13C9">
              <w:rPr>
                <w:sz w:val="20"/>
                <w:szCs w:val="20"/>
              </w:rPr>
              <w:t>0.97 [0.76-1.25]</w:t>
            </w:r>
          </w:p>
        </w:tc>
        <w:tc>
          <w:tcPr>
            <w:tcW w:w="851" w:type="dxa"/>
          </w:tcPr>
          <w:p w14:paraId="022E4845" w14:textId="77777777" w:rsidR="00903139" w:rsidRPr="008B13C9" w:rsidRDefault="00903139" w:rsidP="00903139">
            <w:pPr>
              <w:spacing w:after="0" w:line="240" w:lineRule="auto"/>
              <w:jc w:val="center"/>
              <w:rPr>
                <w:sz w:val="20"/>
                <w:szCs w:val="20"/>
              </w:rPr>
            </w:pPr>
            <w:r w:rsidRPr="008B13C9">
              <w:rPr>
                <w:sz w:val="20"/>
                <w:szCs w:val="20"/>
              </w:rPr>
              <w:t>0.826</w:t>
            </w:r>
          </w:p>
        </w:tc>
      </w:tr>
      <w:tr w:rsidR="008B13C9" w:rsidRPr="008B13C9" w14:paraId="57464113" w14:textId="77777777" w:rsidTr="005D007C">
        <w:trPr>
          <w:gridAfter w:val="1"/>
          <w:wAfter w:w="11" w:type="dxa"/>
        </w:trPr>
        <w:tc>
          <w:tcPr>
            <w:tcW w:w="277" w:type="dxa"/>
            <w:tcBorders>
              <w:top w:val="nil"/>
            </w:tcBorders>
          </w:tcPr>
          <w:p w14:paraId="7513ABD8" w14:textId="77777777" w:rsidR="00903139" w:rsidRPr="008B13C9" w:rsidRDefault="00903139" w:rsidP="00903139">
            <w:pPr>
              <w:spacing w:after="0" w:line="240" w:lineRule="auto"/>
              <w:rPr>
                <w:sz w:val="20"/>
                <w:szCs w:val="20"/>
              </w:rPr>
            </w:pPr>
          </w:p>
        </w:tc>
        <w:tc>
          <w:tcPr>
            <w:tcW w:w="3686" w:type="dxa"/>
            <w:vAlign w:val="center"/>
          </w:tcPr>
          <w:p w14:paraId="0EB46D6A" w14:textId="77777777" w:rsidR="00903139" w:rsidRPr="008B13C9" w:rsidRDefault="00903139" w:rsidP="00903139">
            <w:pPr>
              <w:spacing w:after="0" w:line="240" w:lineRule="auto"/>
              <w:rPr>
                <w:sz w:val="20"/>
                <w:szCs w:val="20"/>
              </w:rPr>
            </w:pPr>
            <w:r w:rsidRPr="008B13C9">
              <w:rPr>
                <w:sz w:val="20"/>
                <w:szCs w:val="20"/>
              </w:rPr>
              <w:t xml:space="preserve">Obese </w:t>
            </w:r>
          </w:p>
        </w:tc>
        <w:tc>
          <w:tcPr>
            <w:tcW w:w="1560" w:type="dxa"/>
          </w:tcPr>
          <w:p w14:paraId="3AD63D5F" w14:textId="60C7D28A" w:rsidR="00903139" w:rsidRPr="008B13C9" w:rsidRDefault="00A45755" w:rsidP="00903139">
            <w:pPr>
              <w:spacing w:after="0" w:line="240" w:lineRule="auto"/>
              <w:jc w:val="center"/>
              <w:rPr>
                <w:sz w:val="20"/>
                <w:szCs w:val="20"/>
              </w:rPr>
            </w:pPr>
            <w:r w:rsidRPr="008B13C9">
              <w:rPr>
                <w:sz w:val="20"/>
                <w:szCs w:val="20"/>
              </w:rPr>
              <w:t>0.91 [0.6</w:t>
            </w:r>
            <w:r w:rsidR="00B2643C" w:rsidRPr="008B13C9">
              <w:rPr>
                <w:sz w:val="20"/>
                <w:szCs w:val="20"/>
              </w:rPr>
              <w:t>7</w:t>
            </w:r>
            <w:r w:rsidRPr="008B13C9">
              <w:rPr>
                <w:sz w:val="20"/>
                <w:szCs w:val="20"/>
              </w:rPr>
              <w:t>-1.2</w:t>
            </w:r>
            <w:r w:rsidR="00B2643C" w:rsidRPr="008B13C9">
              <w:rPr>
                <w:sz w:val="20"/>
                <w:szCs w:val="20"/>
              </w:rPr>
              <w:t>5</w:t>
            </w:r>
            <w:r w:rsidRPr="008B13C9">
              <w:rPr>
                <w:sz w:val="20"/>
                <w:szCs w:val="20"/>
              </w:rPr>
              <w:t>]</w:t>
            </w:r>
          </w:p>
        </w:tc>
        <w:tc>
          <w:tcPr>
            <w:tcW w:w="853" w:type="dxa"/>
          </w:tcPr>
          <w:p w14:paraId="47FD3263" w14:textId="1E77F8EC" w:rsidR="00903139" w:rsidRPr="008B13C9" w:rsidRDefault="00A45755" w:rsidP="00903139">
            <w:pPr>
              <w:spacing w:after="0" w:line="240" w:lineRule="auto"/>
              <w:jc w:val="center"/>
              <w:rPr>
                <w:sz w:val="20"/>
                <w:szCs w:val="20"/>
              </w:rPr>
            </w:pPr>
            <w:r w:rsidRPr="008B13C9">
              <w:rPr>
                <w:sz w:val="20"/>
                <w:szCs w:val="20"/>
              </w:rPr>
              <w:t>0.</w:t>
            </w:r>
            <w:r w:rsidR="00B2643C" w:rsidRPr="008B13C9">
              <w:rPr>
                <w:sz w:val="20"/>
                <w:szCs w:val="20"/>
              </w:rPr>
              <w:t>565</w:t>
            </w:r>
          </w:p>
        </w:tc>
        <w:tc>
          <w:tcPr>
            <w:tcW w:w="1560" w:type="dxa"/>
          </w:tcPr>
          <w:p w14:paraId="5782E7BD" w14:textId="77777777" w:rsidR="00903139" w:rsidRPr="008B13C9" w:rsidRDefault="00903139" w:rsidP="00903139">
            <w:pPr>
              <w:spacing w:after="0" w:line="240" w:lineRule="auto"/>
              <w:jc w:val="center"/>
              <w:rPr>
                <w:sz w:val="20"/>
                <w:szCs w:val="20"/>
              </w:rPr>
            </w:pPr>
            <w:r w:rsidRPr="008B13C9">
              <w:rPr>
                <w:sz w:val="20"/>
                <w:szCs w:val="20"/>
              </w:rPr>
              <w:t>1.02 [0.73-1.42]</w:t>
            </w:r>
          </w:p>
        </w:tc>
        <w:tc>
          <w:tcPr>
            <w:tcW w:w="711" w:type="dxa"/>
          </w:tcPr>
          <w:p w14:paraId="54012D74" w14:textId="77777777" w:rsidR="00903139" w:rsidRPr="008B13C9" w:rsidRDefault="00903139" w:rsidP="00903139">
            <w:pPr>
              <w:spacing w:after="0" w:line="240" w:lineRule="auto"/>
              <w:jc w:val="center"/>
              <w:rPr>
                <w:sz w:val="20"/>
                <w:szCs w:val="20"/>
              </w:rPr>
            </w:pPr>
            <w:r w:rsidRPr="008B13C9">
              <w:rPr>
                <w:sz w:val="20"/>
                <w:szCs w:val="20"/>
              </w:rPr>
              <w:t>0.918</w:t>
            </w:r>
          </w:p>
        </w:tc>
        <w:tc>
          <w:tcPr>
            <w:tcW w:w="283" w:type="dxa"/>
          </w:tcPr>
          <w:p w14:paraId="4C399547" w14:textId="77777777" w:rsidR="00903139" w:rsidRPr="008B13C9" w:rsidRDefault="00903139" w:rsidP="00903139">
            <w:pPr>
              <w:spacing w:after="0" w:line="240" w:lineRule="auto"/>
              <w:jc w:val="center"/>
              <w:rPr>
                <w:sz w:val="20"/>
                <w:szCs w:val="20"/>
              </w:rPr>
            </w:pPr>
          </w:p>
        </w:tc>
        <w:tc>
          <w:tcPr>
            <w:tcW w:w="1559" w:type="dxa"/>
          </w:tcPr>
          <w:p w14:paraId="5820B256" w14:textId="52C40BFF" w:rsidR="00903139" w:rsidRPr="008B13C9" w:rsidRDefault="000410DF" w:rsidP="00903139">
            <w:pPr>
              <w:spacing w:after="0" w:line="240" w:lineRule="auto"/>
              <w:jc w:val="center"/>
              <w:rPr>
                <w:sz w:val="20"/>
                <w:szCs w:val="20"/>
              </w:rPr>
            </w:pPr>
            <w:r w:rsidRPr="008B13C9">
              <w:rPr>
                <w:sz w:val="20"/>
                <w:szCs w:val="20"/>
              </w:rPr>
              <w:t>0.8</w:t>
            </w:r>
            <w:r w:rsidR="00B2643C" w:rsidRPr="008B13C9">
              <w:rPr>
                <w:sz w:val="20"/>
                <w:szCs w:val="20"/>
              </w:rPr>
              <w:t>2</w:t>
            </w:r>
            <w:r w:rsidRPr="008B13C9">
              <w:rPr>
                <w:sz w:val="20"/>
                <w:szCs w:val="20"/>
              </w:rPr>
              <w:t xml:space="preserve"> [0.6</w:t>
            </w:r>
            <w:r w:rsidR="00B2643C" w:rsidRPr="008B13C9">
              <w:rPr>
                <w:sz w:val="20"/>
                <w:szCs w:val="20"/>
              </w:rPr>
              <w:t>5</w:t>
            </w:r>
            <w:r w:rsidRPr="008B13C9">
              <w:rPr>
                <w:sz w:val="20"/>
                <w:szCs w:val="20"/>
              </w:rPr>
              <w:t>-1.0</w:t>
            </w:r>
            <w:r w:rsidR="00B2643C" w:rsidRPr="008B13C9">
              <w:rPr>
                <w:sz w:val="20"/>
                <w:szCs w:val="20"/>
              </w:rPr>
              <w:t>2</w:t>
            </w:r>
            <w:r w:rsidRPr="008B13C9">
              <w:rPr>
                <w:sz w:val="20"/>
                <w:szCs w:val="20"/>
              </w:rPr>
              <w:t>]</w:t>
            </w:r>
          </w:p>
        </w:tc>
        <w:tc>
          <w:tcPr>
            <w:tcW w:w="741" w:type="dxa"/>
          </w:tcPr>
          <w:p w14:paraId="79667C82" w14:textId="0EF6DEFB" w:rsidR="00903139" w:rsidRPr="008B13C9" w:rsidRDefault="000410DF" w:rsidP="00903139">
            <w:pPr>
              <w:spacing w:after="0" w:line="240" w:lineRule="auto"/>
              <w:jc w:val="center"/>
              <w:rPr>
                <w:sz w:val="20"/>
                <w:szCs w:val="20"/>
              </w:rPr>
            </w:pPr>
            <w:r w:rsidRPr="008B13C9">
              <w:rPr>
                <w:sz w:val="20"/>
                <w:szCs w:val="20"/>
              </w:rPr>
              <w:t>0.</w:t>
            </w:r>
            <w:r w:rsidR="00B2643C" w:rsidRPr="008B13C9">
              <w:rPr>
                <w:sz w:val="20"/>
                <w:szCs w:val="20"/>
              </w:rPr>
              <w:t>076</w:t>
            </w:r>
          </w:p>
        </w:tc>
        <w:tc>
          <w:tcPr>
            <w:tcW w:w="1559" w:type="dxa"/>
          </w:tcPr>
          <w:p w14:paraId="6BC37D50" w14:textId="77777777" w:rsidR="00903139" w:rsidRPr="008B13C9" w:rsidRDefault="00903139" w:rsidP="00903139">
            <w:pPr>
              <w:spacing w:after="0" w:line="240" w:lineRule="auto"/>
              <w:jc w:val="center"/>
              <w:rPr>
                <w:sz w:val="20"/>
                <w:szCs w:val="20"/>
              </w:rPr>
            </w:pPr>
            <w:r w:rsidRPr="008B13C9">
              <w:rPr>
                <w:sz w:val="20"/>
                <w:szCs w:val="20"/>
              </w:rPr>
              <w:t>0.98 [0.76-1.27]</w:t>
            </w:r>
          </w:p>
        </w:tc>
        <w:tc>
          <w:tcPr>
            <w:tcW w:w="851" w:type="dxa"/>
          </w:tcPr>
          <w:p w14:paraId="45AB4A17" w14:textId="77777777" w:rsidR="00903139" w:rsidRPr="008B13C9" w:rsidRDefault="00903139" w:rsidP="00903139">
            <w:pPr>
              <w:spacing w:after="0" w:line="240" w:lineRule="auto"/>
              <w:jc w:val="center"/>
              <w:rPr>
                <w:sz w:val="20"/>
                <w:szCs w:val="20"/>
              </w:rPr>
            </w:pPr>
            <w:r w:rsidRPr="008B13C9">
              <w:rPr>
                <w:sz w:val="20"/>
                <w:szCs w:val="20"/>
              </w:rPr>
              <w:t>0.879</w:t>
            </w:r>
          </w:p>
        </w:tc>
      </w:tr>
      <w:tr w:rsidR="008B13C9" w:rsidRPr="008B13C9" w14:paraId="64092287" w14:textId="77777777" w:rsidTr="005D007C">
        <w:trPr>
          <w:gridAfter w:val="1"/>
          <w:wAfter w:w="11" w:type="dxa"/>
        </w:trPr>
        <w:tc>
          <w:tcPr>
            <w:tcW w:w="3963" w:type="dxa"/>
            <w:gridSpan w:val="2"/>
            <w:tcBorders>
              <w:bottom w:val="nil"/>
            </w:tcBorders>
          </w:tcPr>
          <w:p w14:paraId="3D3B653F" w14:textId="7505B1DC" w:rsidR="00903139" w:rsidRPr="008B13C9" w:rsidRDefault="00903139" w:rsidP="00903139">
            <w:pPr>
              <w:spacing w:after="0" w:line="240" w:lineRule="auto"/>
              <w:rPr>
                <w:sz w:val="20"/>
                <w:szCs w:val="20"/>
              </w:rPr>
            </w:pPr>
            <w:r w:rsidRPr="008B13C9">
              <w:rPr>
                <w:sz w:val="20"/>
                <w:szCs w:val="20"/>
              </w:rPr>
              <w:t>Frequency of sexual activity in the last month</w:t>
            </w:r>
            <w:r w:rsidR="002D5509" w:rsidRPr="008B13C9">
              <w:rPr>
                <w:sz w:val="20"/>
                <w:szCs w:val="20"/>
                <w:vertAlign w:val="superscript"/>
              </w:rPr>
              <w:t>3</w:t>
            </w:r>
          </w:p>
        </w:tc>
        <w:tc>
          <w:tcPr>
            <w:tcW w:w="1560" w:type="dxa"/>
            <w:tcBorders>
              <w:bottom w:val="nil"/>
            </w:tcBorders>
          </w:tcPr>
          <w:p w14:paraId="2AA7F895" w14:textId="77777777" w:rsidR="00903139" w:rsidRPr="008B13C9" w:rsidRDefault="00903139" w:rsidP="00903139">
            <w:pPr>
              <w:spacing w:after="0" w:line="240" w:lineRule="auto"/>
              <w:jc w:val="center"/>
              <w:rPr>
                <w:sz w:val="20"/>
                <w:szCs w:val="20"/>
              </w:rPr>
            </w:pPr>
          </w:p>
        </w:tc>
        <w:tc>
          <w:tcPr>
            <w:tcW w:w="853" w:type="dxa"/>
            <w:tcBorders>
              <w:bottom w:val="nil"/>
            </w:tcBorders>
          </w:tcPr>
          <w:p w14:paraId="08F825AD" w14:textId="77777777" w:rsidR="00903139" w:rsidRPr="008B13C9" w:rsidRDefault="00903139" w:rsidP="00903139">
            <w:pPr>
              <w:spacing w:after="0" w:line="240" w:lineRule="auto"/>
              <w:jc w:val="center"/>
              <w:rPr>
                <w:sz w:val="20"/>
                <w:szCs w:val="20"/>
              </w:rPr>
            </w:pPr>
          </w:p>
        </w:tc>
        <w:tc>
          <w:tcPr>
            <w:tcW w:w="1560" w:type="dxa"/>
            <w:tcBorders>
              <w:bottom w:val="nil"/>
            </w:tcBorders>
          </w:tcPr>
          <w:p w14:paraId="32CA2482" w14:textId="77777777" w:rsidR="00903139" w:rsidRPr="008B13C9" w:rsidRDefault="00903139" w:rsidP="00903139">
            <w:pPr>
              <w:spacing w:after="0" w:line="240" w:lineRule="auto"/>
              <w:jc w:val="center"/>
              <w:rPr>
                <w:sz w:val="20"/>
                <w:szCs w:val="20"/>
              </w:rPr>
            </w:pPr>
          </w:p>
        </w:tc>
        <w:tc>
          <w:tcPr>
            <w:tcW w:w="711" w:type="dxa"/>
            <w:tcBorders>
              <w:bottom w:val="nil"/>
            </w:tcBorders>
          </w:tcPr>
          <w:p w14:paraId="0FE74DB8" w14:textId="77777777" w:rsidR="00903139" w:rsidRPr="008B13C9" w:rsidRDefault="00903139" w:rsidP="00903139">
            <w:pPr>
              <w:spacing w:after="0" w:line="240" w:lineRule="auto"/>
              <w:jc w:val="center"/>
              <w:rPr>
                <w:sz w:val="20"/>
                <w:szCs w:val="20"/>
              </w:rPr>
            </w:pPr>
          </w:p>
        </w:tc>
        <w:tc>
          <w:tcPr>
            <w:tcW w:w="283" w:type="dxa"/>
            <w:tcBorders>
              <w:bottom w:val="nil"/>
            </w:tcBorders>
          </w:tcPr>
          <w:p w14:paraId="379D520D" w14:textId="77777777" w:rsidR="00903139" w:rsidRPr="008B13C9" w:rsidRDefault="00903139" w:rsidP="00903139">
            <w:pPr>
              <w:spacing w:after="0" w:line="240" w:lineRule="auto"/>
              <w:jc w:val="center"/>
              <w:rPr>
                <w:sz w:val="20"/>
                <w:szCs w:val="20"/>
              </w:rPr>
            </w:pPr>
          </w:p>
        </w:tc>
        <w:tc>
          <w:tcPr>
            <w:tcW w:w="1559" w:type="dxa"/>
            <w:tcBorders>
              <w:bottom w:val="nil"/>
            </w:tcBorders>
          </w:tcPr>
          <w:p w14:paraId="29619E22" w14:textId="77777777" w:rsidR="00903139" w:rsidRPr="008B13C9" w:rsidRDefault="00903139" w:rsidP="00903139">
            <w:pPr>
              <w:spacing w:after="0" w:line="240" w:lineRule="auto"/>
              <w:jc w:val="center"/>
              <w:rPr>
                <w:sz w:val="20"/>
                <w:szCs w:val="20"/>
              </w:rPr>
            </w:pPr>
          </w:p>
        </w:tc>
        <w:tc>
          <w:tcPr>
            <w:tcW w:w="741" w:type="dxa"/>
            <w:tcBorders>
              <w:bottom w:val="nil"/>
            </w:tcBorders>
          </w:tcPr>
          <w:p w14:paraId="20FC36ED" w14:textId="77777777" w:rsidR="00903139" w:rsidRPr="008B13C9" w:rsidRDefault="00903139" w:rsidP="00903139">
            <w:pPr>
              <w:spacing w:after="0" w:line="240" w:lineRule="auto"/>
              <w:jc w:val="center"/>
              <w:rPr>
                <w:sz w:val="20"/>
                <w:szCs w:val="20"/>
              </w:rPr>
            </w:pPr>
          </w:p>
        </w:tc>
        <w:tc>
          <w:tcPr>
            <w:tcW w:w="1559" w:type="dxa"/>
            <w:tcBorders>
              <w:bottom w:val="nil"/>
            </w:tcBorders>
          </w:tcPr>
          <w:p w14:paraId="06D3DAE6" w14:textId="77777777" w:rsidR="00903139" w:rsidRPr="008B13C9" w:rsidRDefault="00903139" w:rsidP="00903139">
            <w:pPr>
              <w:spacing w:after="0" w:line="240" w:lineRule="auto"/>
              <w:jc w:val="center"/>
              <w:rPr>
                <w:sz w:val="20"/>
                <w:szCs w:val="20"/>
              </w:rPr>
            </w:pPr>
          </w:p>
        </w:tc>
        <w:tc>
          <w:tcPr>
            <w:tcW w:w="851" w:type="dxa"/>
            <w:tcBorders>
              <w:bottom w:val="nil"/>
            </w:tcBorders>
          </w:tcPr>
          <w:p w14:paraId="088150E5" w14:textId="77777777" w:rsidR="00903139" w:rsidRPr="008B13C9" w:rsidRDefault="00903139" w:rsidP="00903139">
            <w:pPr>
              <w:spacing w:after="0" w:line="240" w:lineRule="auto"/>
              <w:jc w:val="center"/>
              <w:rPr>
                <w:sz w:val="20"/>
                <w:szCs w:val="20"/>
              </w:rPr>
            </w:pPr>
          </w:p>
        </w:tc>
      </w:tr>
      <w:tr w:rsidR="008B13C9" w:rsidRPr="008B13C9" w14:paraId="72D0C977" w14:textId="77777777" w:rsidTr="005D007C">
        <w:trPr>
          <w:gridAfter w:val="1"/>
          <w:wAfter w:w="11" w:type="dxa"/>
        </w:trPr>
        <w:tc>
          <w:tcPr>
            <w:tcW w:w="277" w:type="dxa"/>
            <w:tcBorders>
              <w:top w:val="nil"/>
              <w:bottom w:val="nil"/>
            </w:tcBorders>
          </w:tcPr>
          <w:p w14:paraId="4D7E7DDE" w14:textId="77777777" w:rsidR="00903139" w:rsidRPr="008B13C9" w:rsidRDefault="00903139" w:rsidP="00903139">
            <w:pPr>
              <w:spacing w:after="0" w:line="240" w:lineRule="auto"/>
              <w:rPr>
                <w:sz w:val="20"/>
                <w:szCs w:val="20"/>
              </w:rPr>
            </w:pPr>
          </w:p>
        </w:tc>
        <w:tc>
          <w:tcPr>
            <w:tcW w:w="3686" w:type="dxa"/>
            <w:tcBorders>
              <w:top w:val="nil"/>
            </w:tcBorders>
            <w:vAlign w:val="center"/>
          </w:tcPr>
          <w:p w14:paraId="08AF8BE9" w14:textId="77777777" w:rsidR="00903139" w:rsidRPr="008B13C9" w:rsidRDefault="00903139" w:rsidP="00903139">
            <w:pPr>
              <w:spacing w:after="0" w:line="240" w:lineRule="auto"/>
              <w:rPr>
                <w:sz w:val="20"/>
                <w:szCs w:val="20"/>
              </w:rPr>
            </w:pPr>
            <w:r w:rsidRPr="008B13C9">
              <w:rPr>
                <w:sz w:val="20"/>
                <w:szCs w:val="20"/>
              </w:rPr>
              <w:t>Normal-weight</w:t>
            </w:r>
          </w:p>
        </w:tc>
        <w:tc>
          <w:tcPr>
            <w:tcW w:w="1560" w:type="dxa"/>
            <w:tcBorders>
              <w:top w:val="nil"/>
            </w:tcBorders>
          </w:tcPr>
          <w:p w14:paraId="51973073" w14:textId="0399CB5B" w:rsidR="00903139" w:rsidRPr="008B13C9" w:rsidRDefault="00903139" w:rsidP="00903139">
            <w:pPr>
              <w:spacing w:after="0" w:line="240" w:lineRule="auto"/>
              <w:jc w:val="center"/>
              <w:rPr>
                <w:sz w:val="20"/>
                <w:szCs w:val="20"/>
              </w:rPr>
            </w:pPr>
            <w:r w:rsidRPr="008B13C9">
              <w:rPr>
                <w:sz w:val="20"/>
                <w:szCs w:val="20"/>
              </w:rPr>
              <w:t>1.00</w:t>
            </w:r>
          </w:p>
        </w:tc>
        <w:tc>
          <w:tcPr>
            <w:tcW w:w="853" w:type="dxa"/>
            <w:tcBorders>
              <w:top w:val="nil"/>
            </w:tcBorders>
          </w:tcPr>
          <w:p w14:paraId="302A9E92" w14:textId="3E1B08DF" w:rsidR="00903139" w:rsidRPr="008B13C9" w:rsidRDefault="00903139" w:rsidP="00903139">
            <w:pPr>
              <w:spacing w:after="0" w:line="240" w:lineRule="auto"/>
              <w:jc w:val="center"/>
              <w:rPr>
                <w:sz w:val="20"/>
                <w:szCs w:val="20"/>
              </w:rPr>
            </w:pPr>
            <w:r w:rsidRPr="008B13C9">
              <w:rPr>
                <w:sz w:val="20"/>
                <w:szCs w:val="20"/>
              </w:rPr>
              <w:t>-</w:t>
            </w:r>
          </w:p>
        </w:tc>
        <w:tc>
          <w:tcPr>
            <w:tcW w:w="1560" w:type="dxa"/>
            <w:tcBorders>
              <w:top w:val="nil"/>
            </w:tcBorders>
          </w:tcPr>
          <w:p w14:paraId="6E120501" w14:textId="77777777" w:rsidR="00903139" w:rsidRPr="008B13C9" w:rsidRDefault="00903139" w:rsidP="00903139">
            <w:pPr>
              <w:spacing w:after="0" w:line="240" w:lineRule="auto"/>
              <w:jc w:val="center"/>
              <w:rPr>
                <w:sz w:val="20"/>
                <w:szCs w:val="20"/>
              </w:rPr>
            </w:pPr>
            <w:r w:rsidRPr="008B13C9">
              <w:rPr>
                <w:sz w:val="20"/>
                <w:szCs w:val="20"/>
              </w:rPr>
              <w:t>1.00</w:t>
            </w:r>
          </w:p>
        </w:tc>
        <w:tc>
          <w:tcPr>
            <w:tcW w:w="711" w:type="dxa"/>
            <w:tcBorders>
              <w:top w:val="nil"/>
            </w:tcBorders>
          </w:tcPr>
          <w:p w14:paraId="4456D985" w14:textId="77777777" w:rsidR="00903139" w:rsidRPr="008B13C9" w:rsidRDefault="00903139" w:rsidP="00903139">
            <w:pPr>
              <w:spacing w:after="0" w:line="240" w:lineRule="auto"/>
              <w:jc w:val="center"/>
              <w:rPr>
                <w:sz w:val="20"/>
                <w:szCs w:val="20"/>
              </w:rPr>
            </w:pPr>
            <w:r w:rsidRPr="008B13C9">
              <w:rPr>
                <w:sz w:val="20"/>
                <w:szCs w:val="20"/>
              </w:rPr>
              <w:t>-</w:t>
            </w:r>
          </w:p>
        </w:tc>
        <w:tc>
          <w:tcPr>
            <w:tcW w:w="283" w:type="dxa"/>
            <w:tcBorders>
              <w:top w:val="nil"/>
            </w:tcBorders>
          </w:tcPr>
          <w:p w14:paraId="52E39B5B" w14:textId="77777777" w:rsidR="00903139" w:rsidRPr="008B13C9" w:rsidRDefault="00903139" w:rsidP="00903139">
            <w:pPr>
              <w:spacing w:after="0" w:line="240" w:lineRule="auto"/>
              <w:jc w:val="center"/>
              <w:rPr>
                <w:sz w:val="20"/>
                <w:szCs w:val="20"/>
              </w:rPr>
            </w:pPr>
          </w:p>
        </w:tc>
        <w:tc>
          <w:tcPr>
            <w:tcW w:w="1559" w:type="dxa"/>
            <w:tcBorders>
              <w:top w:val="nil"/>
            </w:tcBorders>
          </w:tcPr>
          <w:p w14:paraId="00CBDC50" w14:textId="682F7076" w:rsidR="00903139" w:rsidRPr="008B13C9" w:rsidRDefault="00903139" w:rsidP="00903139">
            <w:pPr>
              <w:spacing w:after="0" w:line="240" w:lineRule="auto"/>
              <w:jc w:val="center"/>
              <w:rPr>
                <w:sz w:val="20"/>
                <w:szCs w:val="20"/>
              </w:rPr>
            </w:pPr>
            <w:r w:rsidRPr="008B13C9">
              <w:rPr>
                <w:sz w:val="20"/>
                <w:szCs w:val="20"/>
              </w:rPr>
              <w:t>1.00</w:t>
            </w:r>
          </w:p>
        </w:tc>
        <w:tc>
          <w:tcPr>
            <w:tcW w:w="741" w:type="dxa"/>
            <w:tcBorders>
              <w:top w:val="nil"/>
            </w:tcBorders>
          </w:tcPr>
          <w:p w14:paraId="27CF8BE8" w14:textId="7EFA5999" w:rsidR="00903139" w:rsidRPr="008B13C9" w:rsidRDefault="00903139" w:rsidP="00903139">
            <w:pPr>
              <w:spacing w:after="0" w:line="240" w:lineRule="auto"/>
              <w:jc w:val="center"/>
              <w:rPr>
                <w:sz w:val="20"/>
                <w:szCs w:val="20"/>
              </w:rPr>
            </w:pPr>
            <w:r w:rsidRPr="008B13C9">
              <w:rPr>
                <w:sz w:val="20"/>
                <w:szCs w:val="20"/>
              </w:rPr>
              <w:t>-</w:t>
            </w:r>
          </w:p>
        </w:tc>
        <w:tc>
          <w:tcPr>
            <w:tcW w:w="1559" w:type="dxa"/>
            <w:tcBorders>
              <w:top w:val="nil"/>
            </w:tcBorders>
          </w:tcPr>
          <w:p w14:paraId="60370884" w14:textId="77777777" w:rsidR="00903139" w:rsidRPr="008B13C9" w:rsidRDefault="00903139" w:rsidP="00903139">
            <w:pPr>
              <w:spacing w:after="0" w:line="240" w:lineRule="auto"/>
              <w:jc w:val="center"/>
              <w:rPr>
                <w:sz w:val="20"/>
                <w:szCs w:val="20"/>
              </w:rPr>
            </w:pPr>
            <w:r w:rsidRPr="008B13C9">
              <w:rPr>
                <w:sz w:val="20"/>
                <w:szCs w:val="20"/>
              </w:rPr>
              <w:t>1.00</w:t>
            </w:r>
          </w:p>
        </w:tc>
        <w:tc>
          <w:tcPr>
            <w:tcW w:w="851" w:type="dxa"/>
            <w:tcBorders>
              <w:top w:val="nil"/>
            </w:tcBorders>
          </w:tcPr>
          <w:p w14:paraId="3A4E8F00" w14:textId="77777777" w:rsidR="00903139" w:rsidRPr="008B13C9" w:rsidRDefault="00903139" w:rsidP="00903139">
            <w:pPr>
              <w:spacing w:after="0" w:line="240" w:lineRule="auto"/>
              <w:jc w:val="center"/>
              <w:rPr>
                <w:sz w:val="20"/>
                <w:szCs w:val="20"/>
              </w:rPr>
            </w:pPr>
            <w:r w:rsidRPr="008B13C9">
              <w:rPr>
                <w:sz w:val="20"/>
                <w:szCs w:val="20"/>
              </w:rPr>
              <w:t>-</w:t>
            </w:r>
          </w:p>
        </w:tc>
      </w:tr>
      <w:tr w:rsidR="008B13C9" w:rsidRPr="008B13C9" w14:paraId="3BCDBD96" w14:textId="77777777" w:rsidTr="005D007C">
        <w:trPr>
          <w:gridAfter w:val="1"/>
          <w:wAfter w:w="11" w:type="dxa"/>
        </w:trPr>
        <w:tc>
          <w:tcPr>
            <w:tcW w:w="277" w:type="dxa"/>
            <w:tcBorders>
              <w:top w:val="nil"/>
              <w:bottom w:val="nil"/>
            </w:tcBorders>
          </w:tcPr>
          <w:p w14:paraId="4ECDCB99" w14:textId="77777777" w:rsidR="00903139" w:rsidRPr="008B13C9" w:rsidRDefault="00903139" w:rsidP="00903139">
            <w:pPr>
              <w:spacing w:after="0" w:line="240" w:lineRule="auto"/>
              <w:rPr>
                <w:sz w:val="20"/>
                <w:szCs w:val="20"/>
              </w:rPr>
            </w:pPr>
          </w:p>
        </w:tc>
        <w:tc>
          <w:tcPr>
            <w:tcW w:w="3686" w:type="dxa"/>
            <w:vAlign w:val="center"/>
          </w:tcPr>
          <w:p w14:paraId="48087FAD" w14:textId="77777777" w:rsidR="00903139" w:rsidRPr="008B13C9" w:rsidRDefault="00903139" w:rsidP="00903139">
            <w:pPr>
              <w:spacing w:after="0" w:line="240" w:lineRule="auto"/>
              <w:rPr>
                <w:sz w:val="20"/>
                <w:szCs w:val="20"/>
              </w:rPr>
            </w:pPr>
            <w:r w:rsidRPr="008B13C9">
              <w:rPr>
                <w:sz w:val="20"/>
                <w:szCs w:val="20"/>
              </w:rPr>
              <w:t>Overweight</w:t>
            </w:r>
          </w:p>
        </w:tc>
        <w:tc>
          <w:tcPr>
            <w:tcW w:w="1560" w:type="dxa"/>
          </w:tcPr>
          <w:p w14:paraId="0916FA8D" w14:textId="7CBEA911" w:rsidR="00903139" w:rsidRPr="008B13C9" w:rsidRDefault="003720CA" w:rsidP="00903139">
            <w:pPr>
              <w:spacing w:after="0" w:line="240" w:lineRule="auto"/>
              <w:jc w:val="center"/>
              <w:rPr>
                <w:sz w:val="20"/>
                <w:szCs w:val="20"/>
              </w:rPr>
            </w:pPr>
            <w:r w:rsidRPr="008B13C9">
              <w:rPr>
                <w:sz w:val="20"/>
                <w:szCs w:val="20"/>
              </w:rPr>
              <w:t>1.5</w:t>
            </w:r>
            <w:r w:rsidR="00AB272A" w:rsidRPr="008B13C9">
              <w:rPr>
                <w:sz w:val="20"/>
                <w:szCs w:val="20"/>
              </w:rPr>
              <w:t>4</w:t>
            </w:r>
            <w:r w:rsidRPr="008B13C9">
              <w:rPr>
                <w:sz w:val="20"/>
                <w:szCs w:val="20"/>
              </w:rPr>
              <w:t xml:space="preserve"> [1.</w:t>
            </w:r>
            <w:r w:rsidR="00AB272A" w:rsidRPr="008B13C9">
              <w:rPr>
                <w:sz w:val="20"/>
                <w:szCs w:val="20"/>
              </w:rPr>
              <w:t>23</w:t>
            </w:r>
            <w:r w:rsidRPr="008B13C9">
              <w:rPr>
                <w:sz w:val="20"/>
                <w:szCs w:val="20"/>
              </w:rPr>
              <w:t>-1.</w:t>
            </w:r>
            <w:r w:rsidR="00AB272A" w:rsidRPr="008B13C9">
              <w:rPr>
                <w:sz w:val="20"/>
                <w:szCs w:val="20"/>
              </w:rPr>
              <w:t>93</w:t>
            </w:r>
            <w:r w:rsidRPr="008B13C9">
              <w:rPr>
                <w:sz w:val="20"/>
                <w:szCs w:val="20"/>
              </w:rPr>
              <w:t>]</w:t>
            </w:r>
          </w:p>
        </w:tc>
        <w:tc>
          <w:tcPr>
            <w:tcW w:w="853" w:type="dxa"/>
          </w:tcPr>
          <w:p w14:paraId="51969983" w14:textId="4066BD64" w:rsidR="00903139" w:rsidRPr="008B13C9" w:rsidRDefault="003720CA" w:rsidP="00903139">
            <w:pPr>
              <w:spacing w:after="0" w:line="240" w:lineRule="auto"/>
              <w:jc w:val="center"/>
              <w:rPr>
                <w:sz w:val="20"/>
                <w:szCs w:val="20"/>
              </w:rPr>
            </w:pPr>
            <w:r w:rsidRPr="008B13C9">
              <w:rPr>
                <w:sz w:val="20"/>
                <w:szCs w:val="20"/>
              </w:rPr>
              <w:t>&lt;0.001</w:t>
            </w:r>
          </w:p>
        </w:tc>
        <w:tc>
          <w:tcPr>
            <w:tcW w:w="1560" w:type="dxa"/>
            <w:vAlign w:val="center"/>
          </w:tcPr>
          <w:p w14:paraId="198C0977" w14:textId="77777777" w:rsidR="00903139" w:rsidRPr="008B13C9" w:rsidRDefault="00903139" w:rsidP="00903139">
            <w:pPr>
              <w:spacing w:after="0" w:line="240" w:lineRule="auto"/>
              <w:jc w:val="center"/>
              <w:rPr>
                <w:sz w:val="20"/>
                <w:szCs w:val="20"/>
              </w:rPr>
            </w:pPr>
            <w:r w:rsidRPr="008B13C9">
              <w:rPr>
                <w:sz w:val="20"/>
                <w:szCs w:val="20"/>
              </w:rPr>
              <w:t>1.45 [1.15-1.81]</w:t>
            </w:r>
          </w:p>
        </w:tc>
        <w:tc>
          <w:tcPr>
            <w:tcW w:w="711" w:type="dxa"/>
            <w:vAlign w:val="center"/>
          </w:tcPr>
          <w:p w14:paraId="2C53C9A9" w14:textId="77777777" w:rsidR="00903139" w:rsidRPr="008B13C9" w:rsidRDefault="00903139" w:rsidP="00903139">
            <w:pPr>
              <w:spacing w:after="0" w:line="240" w:lineRule="auto"/>
              <w:jc w:val="center"/>
              <w:rPr>
                <w:sz w:val="20"/>
                <w:szCs w:val="20"/>
              </w:rPr>
            </w:pPr>
            <w:r w:rsidRPr="008B13C9">
              <w:rPr>
                <w:sz w:val="20"/>
                <w:szCs w:val="20"/>
              </w:rPr>
              <w:t>0.002</w:t>
            </w:r>
          </w:p>
        </w:tc>
        <w:tc>
          <w:tcPr>
            <w:tcW w:w="283" w:type="dxa"/>
            <w:vAlign w:val="center"/>
          </w:tcPr>
          <w:p w14:paraId="256C3169" w14:textId="77777777" w:rsidR="00903139" w:rsidRPr="008B13C9" w:rsidRDefault="00903139" w:rsidP="00903139">
            <w:pPr>
              <w:spacing w:after="0" w:line="240" w:lineRule="auto"/>
              <w:jc w:val="center"/>
              <w:rPr>
                <w:sz w:val="20"/>
                <w:szCs w:val="20"/>
              </w:rPr>
            </w:pPr>
          </w:p>
        </w:tc>
        <w:tc>
          <w:tcPr>
            <w:tcW w:w="1559" w:type="dxa"/>
          </w:tcPr>
          <w:p w14:paraId="42B05AE4" w14:textId="7A369478" w:rsidR="00903139" w:rsidRPr="008B13C9" w:rsidRDefault="00801EC3" w:rsidP="00903139">
            <w:pPr>
              <w:spacing w:after="0" w:line="240" w:lineRule="auto"/>
              <w:jc w:val="center"/>
              <w:rPr>
                <w:sz w:val="20"/>
                <w:szCs w:val="20"/>
              </w:rPr>
            </w:pPr>
            <w:r w:rsidRPr="008B13C9">
              <w:rPr>
                <w:sz w:val="20"/>
                <w:szCs w:val="20"/>
              </w:rPr>
              <w:t>1.</w:t>
            </w:r>
            <w:r w:rsidR="001D253A" w:rsidRPr="008B13C9">
              <w:rPr>
                <w:sz w:val="20"/>
                <w:szCs w:val="20"/>
              </w:rPr>
              <w:t>40</w:t>
            </w:r>
            <w:r w:rsidRPr="008B13C9">
              <w:rPr>
                <w:sz w:val="20"/>
                <w:szCs w:val="20"/>
              </w:rPr>
              <w:t xml:space="preserve"> [1.</w:t>
            </w:r>
            <w:r w:rsidR="001D253A" w:rsidRPr="008B13C9">
              <w:rPr>
                <w:sz w:val="20"/>
                <w:szCs w:val="20"/>
              </w:rPr>
              <w:t>11</w:t>
            </w:r>
            <w:r w:rsidRPr="008B13C9">
              <w:rPr>
                <w:sz w:val="20"/>
                <w:szCs w:val="20"/>
              </w:rPr>
              <w:t>-1.</w:t>
            </w:r>
            <w:r w:rsidR="001D253A" w:rsidRPr="008B13C9">
              <w:rPr>
                <w:sz w:val="20"/>
                <w:szCs w:val="20"/>
              </w:rPr>
              <w:t>77</w:t>
            </w:r>
            <w:r w:rsidRPr="008B13C9">
              <w:rPr>
                <w:sz w:val="20"/>
                <w:szCs w:val="20"/>
              </w:rPr>
              <w:t>]</w:t>
            </w:r>
          </w:p>
        </w:tc>
        <w:tc>
          <w:tcPr>
            <w:tcW w:w="741" w:type="dxa"/>
          </w:tcPr>
          <w:p w14:paraId="029BBD31" w14:textId="26C32A7C" w:rsidR="00903139" w:rsidRPr="008B13C9" w:rsidRDefault="00801EC3" w:rsidP="00903139">
            <w:pPr>
              <w:spacing w:after="0" w:line="240" w:lineRule="auto"/>
              <w:jc w:val="center"/>
              <w:rPr>
                <w:sz w:val="20"/>
                <w:szCs w:val="20"/>
              </w:rPr>
            </w:pPr>
            <w:r w:rsidRPr="008B13C9">
              <w:rPr>
                <w:sz w:val="20"/>
                <w:szCs w:val="20"/>
              </w:rPr>
              <w:t>0.</w:t>
            </w:r>
            <w:r w:rsidR="001D253A" w:rsidRPr="008B13C9">
              <w:rPr>
                <w:sz w:val="20"/>
                <w:szCs w:val="20"/>
              </w:rPr>
              <w:t>005</w:t>
            </w:r>
          </w:p>
        </w:tc>
        <w:tc>
          <w:tcPr>
            <w:tcW w:w="1559" w:type="dxa"/>
            <w:vAlign w:val="center"/>
          </w:tcPr>
          <w:p w14:paraId="2BB5A48B" w14:textId="77777777" w:rsidR="00903139" w:rsidRPr="008B13C9" w:rsidRDefault="00903139" w:rsidP="00903139">
            <w:pPr>
              <w:spacing w:after="0" w:line="240" w:lineRule="auto"/>
              <w:jc w:val="center"/>
              <w:rPr>
                <w:sz w:val="20"/>
                <w:szCs w:val="20"/>
              </w:rPr>
            </w:pPr>
            <w:r w:rsidRPr="008B13C9">
              <w:rPr>
                <w:sz w:val="20"/>
                <w:szCs w:val="20"/>
              </w:rPr>
              <w:t>1.34 [1.05-1.71]</w:t>
            </w:r>
          </w:p>
        </w:tc>
        <w:tc>
          <w:tcPr>
            <w:tcW w:w="851" w:type="dxa"/>
            <w:vAlign w:val="center"/>
          </w:tcPr>
          <w:p w14:paraId="7276349F" w14:textId="77777777" w:rsidR="00903139" w:rsidRPr="008B13C9" w:rsidRDefault="00903139" w:rsidP="00903139">
            <w:pPr>
              <w:spacing w:after="0" w:line="240" w:lineRule="auto"/>
              <w:jc w:val="center"/>
              <w:rPr>
                <w:sz w:val="20"/>
                <w:szCs w:val="20"/>
              </w:rPr>
            </w:pPr>
            <w:r w:rsidRPr="008B13C9">
              <w:rPr>
                <w:sz w:val="20"/>
                <w:szCs w:val="20"/>
              </w:rPr>
              <w:t>0.017</w:t>
            </w:r>
          </w:p>
        </w:tc>
      </w:tr>
      <w:tr w:rsidR="008B13C9" w:rsidRPr="008B13C9" w14:paraId="34712475" w14:textId="77777777" w:rsidTr="005D007C">
        <w:trPr>
          <w:gridAfter w:val="1"/>
          <w:wAfter w:w="11" w:type="dxa"/>
        </w:trPr>
        <w:tc>
          <w:tcPr>
            <w:tcW w:w="277" w:type="dxa"/>
            <w:tcBorders>
              <w:top w:val="nil"/>
            </w:tcBorders>
          </w:tcPr>
          <w:p w14:paraId="5EEEE6DA" w14:textId="77777777" w:rsidR="00903139" w:rsidRPr="008B13C9" w:rsidRDefault="00903139" w:rsidP="00903139">
            <w:pPr>
              <w:spacing w:after="0" w:line="240" w:lineRule="auto"/>
              <w:rPr>
                <w:sz w:val="20"/>
                <w:szCs w:val="20"/>
              </w:rPr>
            </w:pPr>
          </w:p>
        </w:tc>
        <w:tc>
          <w:tcPr>
            <w:tcW w:w="3686" w:type="dxa"/>
            <w:vAlign w:val="center"/>
          </w:tcPr>
          <w:p w14:paraId="0E1B1E5A" w14:textId="77777777" w:rsidR="00903139" w:rsidRPr="008B13C9" w:rsidRDefault="00903139" w:rsidP="00903139">
            <w:pPr>
              <w:spacing w:after="0" w:line="240" w:lineRule="auto"/>
              <w:rPr>
                <w:sz w:val="20"/>
                <w:szCs w:val="20"/>
              </w:rPr>
            </w:pPr>
            <w:r w:rsidRPr="008B13C9">
              <w:rPr>
                <w:sz w:val="20"/>
                <w:szCs w:val="20"/>
              </w:rPr>
              <w:t xml:space="preserve">Obese </w:t>
            </w:r>
          </w:p>
        </w:tc>
        <w:tc>
          <w:tcPr>
            <w:tcW w:w="1560" w:type="dxa"/>
          </w:tcPr>
          <w:p w14:paraId="41681E6A" w14:textId="5D4E62ED" w:rsidR="00903139" w:rsidRPr="008B13C9" w:rsidRDefault="003720CA" w:rsidP="00903139">
            <w:pPr>
              <w:spacing w:after="0" w:line="240" w:lineRule="auto"/>
              <w:jc w:val="center"/>
              <w:rPr>
                <w:sz w:val="20"/>
                <w:szCs w:val="20"/>
              </w:rPr>
            </w:pPr>
            <w:r w:rsidRPr="008B13C9">
              <w:rPr>
                <w:sz w:val="20"/>
                <w:szCs w:val="20"/>
              </w:rPr>
              <w:t>1.3</w:t>
            </w:r>
            <w:r w:rsidR="00AB272A" w:rsidRPr="008B13C9">
              <w:rPr>
                <w:sz w:val="20"/>
                <w:szCs w:val="20"/>
              </w:rPr>
              <w:t>5</w:t>
            </w:r>
            <w:r w:rsidRPr="008B13C9">
              <w:rPr>
                <w:sz w:val="20"/>
                <w:szCs w:val="20"/>
              </w:rPr>
              <w:t xml:space="preserve"> [1.</w:t>
            </w:r>
            <w:r w:rsidR="00AB272A" w:rsidRPr="008B13C9">
              <w:rPr>
                <w:sz w:val="20"/>
                <w:szCs w:val="20"/>
              </w:rPr>
              <w:t>06</w:t>
            </w:r>
            <w:r w:rsidRPr="008B13C9">
              <w:rPr>
                <w:sz w:val="20"/>
                <w:szCs w:val="20"/>
              </w:rPr>
              <w:t>-1.</w:t>
            </w:r>
            <w:r w:rsidR="00AB272A" w:rsidRPr="008B13C9">
              <w:rPr>
                <w:sz w:val="20"/>
                <w:szCs w:val="20"/>
              </w:rPr>
              <w:t>73</w:t>
            </w:r>
            <w:r w:rsidRPr="008B13C9">
              <w:rPr>
                <w:sz w:val="20"/>
                <w:szCs w:val="20"/>
              </w:rPr>
              <w:t>]</w:t>
            </w:r>
          </w:p>
        </w:tc>
        <w:tc>
          <w:tcPr>
            <w:tcW w:w="853" w:type="dxa"/>
          </w:tcPr>
          <w:p w14:paraId="5263996E" w14:textId="164AF265" w:rsidR="00903139" w:rsidRPr="008B13C9" w:rsidRDefault="003720CA" w:rsidP="00903139">
            <w:pPr>
              <w:spacing w:after="0" w:line="240" w:lineRule="auto"/>
              <w:jc w:val="center"/>
              <w:rPr>
                <w:sz w:val="20"/>
                <w:szCs w:val="20"/>
              </w:rPr>
            </w:pPr>
            <w:r w:rsidRPr="008B13C9">
              <w:rPr>
                <w:sz w:val="20"/>
                <w:szCs w:val="20"/>
              </w:rPr>
              <w:t>0.</w:t>
            </w:r>
            <w:r w:rsidR="00AB272A" w:rsidRPr="008B13C9">
              <w:rPr>
                <w:sz w:val="20"/>
                <w:szCs w:val="20"/>
              </w:rPr>
              <w:t>017</w:t>
            </w:r>
          </w:p>
        </w:tc>
        <w:tc>
          <w:tcPr>
            <w:tcW w:w="1560" w:type="dxa"/>
            <w:vAlign w:val="center"/>
          </w:tcPr>
          <w:p w14:paraId="5201F165" w14:textId="77777777" w:rsidR="00903139" w:rsidRPr="008B13C9" w:rsidRDefault="00903139" w:rsidP="00903139">
            <w:pPr>
              <w:spacing w:after="0" w:line="240" w:lineRule="auto"/>
              <w:jc w:val="center"/>
              <w:rPr>
                <w:sz w:val="20"/>
                <w:szCs w:val="20"/>
              </w:rPr>
            </w:pPr>
            <w:r w:rsidRPr="008B13C9">
              <w:rPr>
                <w:sz w:val="20"/>
                <w:szCs w:val="20"/>
              </w:rPr>
              <w:t>1.38 [1.07-1.77]</w:t>
            </w:r>
          </w:p>
        </w:tc>
        <w:tc>
          <w:tcPr>
            <w:tcW w:w="711" w:type="dxa"/>
            <w:vAlign w:val="center"/>
          </w:tcPr>
          <w:p w14:paraId="2F9680C4" w14:textId="77777777" w:rsidR="00903139" w:rsidRPr="008B13C9" w:rsidRDefault="00903139" w:rsidP="00903139">
            <w:pPr>
              <w:spacing w:after="0" w:line="240" w:lineRule="auto"/>
              <w:jc w:val="center"/>
              <w:rPr>
                <w:sz w:val="20"/>
                <w:szCs w:val="20"/>
              </w:rPr>
            </w:pPr>
            <w:r w:rsidRPr="008B13C9">
              <w:rPr>
                <w:sz w:val="20"/>
                <w:szCs w:val="20"/>
              </w:rPr>
              <w:t>0.015</w:t>
            </w:r>
          </w:p>
        </w:tc>
        <w:tc>
          <w:tcPr>
            <w:tcW w:w="283" w:type="dxa"/>
            <w:vAlign w:val="center"/>
          </w:tcPr>
          <w:p w14:paraId="3BD6A736" w14:textId="77777777" w:rsidR="00903139" w:rsidRPr="008B13C9" w:rsidRDefault="00903139" w:rsidP="00903139">
            <w:pPr>
              <w:spacing w:after="0" w:line="240" w:lineRule="auto"/>
              <w:jc w:val="center"/>
              <w:rPr>
                <w:sz w:val="20"/>
                <w:szCs w:val="20"/>
              </w:rPr>
            </w:pPr>
          </w:p>
        </w:tc>
        <w:tc>
          <w:tcPr>
            <w:tcW w:w="1559" w:type="dxa"/>
          </w:tcPr>
          <w:p w14:paraId="34D98B73" w14:textId="39B82652" w:rsidR="00903139" w:rsidRPr="008B13C9" w:rsidRDefault="00801EC3" w:rsidP="00903139">
            <w:pPr>
              <w:spacing w:after="0" w:line="240" w:lineRule="auto"/>
              <w:jc w:val="center"/>
              <w:rPr>
                <w:sz w:val="20"/>
                <w:szCs w:val="20"/>
              </w:rPr>
            </w:pPr>
            <w:r w:rsidRPr="008B13C9">
              <w:rPr>
                <w:sz w:val="20"/>
                <w:szCs w:val="20"/>
              </w:rPr>
              <w:t>0.9</w:t>
            </w:r>
            <w:r w:rsidR="001D253A" w:rsidRPr="008B13C9">
              <w:rPr>
                <w:sz w:val="20"/>
                <w:szCs w:val="20"/>
              </w:rPr>
              <w:t>8</w:t>
            </w:r>
            <w:r w:rsidRPr="008B13C9">
              <w:rPr>
                <w:sz w:val="20"/>
                <w:szCs w:val="20"/>
              </w:rPr>
              <w:t xml:space="preserve"> [0.7</w:t>
            </w:r>
            <w:r w:rsidR="001D253A" w:rsidRPr="008B13C9">
              <w:rPr>
                <w:sz w:val="20"/>
                <w:szCs w:val="20"/>
              </w:rPr>
              <w:t>7</w:t>
            </w:r>
            <w:r w:rsidRPr="008B13C9">
              <w:rPr>
                <w:sz w:val="20"/>
                <w:szCs w:val="20"/>
              </w:rPr>
              <w:t>-1.2</w:t>
            </w:r>
            <w:r w:rsidR="001D253A" w:rsidRPr="008B13C9">
              <w:rPr>
                <w:sz w:val="20"/>
                <w:szCs w:val="20"/>
              </w:rPr>
              <w:t>5</w:t>
            </w:r>
            <w:r w:rsidRPr="008B13C9">
              <w:rPr>
                <w:sz w:val="20"/>
                <w:szCs w:val="20"/>
              </w:rPr>
              <w:t>]</w:t>
            </w:r>
          </w:p>
        </w:tc>
        <w:tc>
          <w:tcPr>
            <w:tcW w:w="741" w:type="dxa"/>
          </w:tcPr>
          <w:p w14:paraId="18C78389" w14:textId="31F36D4A" w:rsidR="00903139" w:rsidRPr="008B13C9" w:rsidRDefault="00801EC3" w:rsidP="00903139">
            <w:pPr>
              <w:spacing w:after="0" w:line="240" w:lineRule="auto"/>
              <w:jc w:val="center"/>
              <w:rPr>
                <w:sz w:val="20"/>
                <w:szCs w:val="20"/>
              </w:rPr>
            </w:pPr>
            <w:r w:rsidRPr="008B13C9">
              <w:rPr>
                <w:sz w:val="20"/>
                <w:szCs w:val="20"/>
              </w:rPr>
              <w:t>0.</w:t>
            </w:r>
            <w:r w:rsidR="001D253A" w:rsidRPr="008B13C9">
              <w:rPr>
                <w:sz w:val="20"/>
                <w:szCs w:val="20"/>
              </w:rPr>
              <w:t>877</w:t>
            </w:r>
          </w:p>
        </w:tc>
        <w:tc>
          <w:tcPr>
            <w:tcW w:w="1559" w:type="dxa"/>
            <w:vAlign w:val="center"/>
          </w:tcPr>
          <w:p w14:paraId="390DE08F" w14:textId="77777777" w:rsidR="00903139" w:rsidRPr="008B13C9" w:rsidRDefault="00903139" w:rsidP="00903139">
            <w:pPr>
              <w:spacing w:after="0" w:line="240" w:lineRule="auto"/>
              <w:jc w:val="center"/>
              <w:rPr>
                <w:sz w:val="20"/>
                <w:szCs w:val="20"/>
              </w:rPr>
            </w:pPr>
            <w:r w:rsidRPr="008B13C9">
              <w:rPr>
                <w:sz w:val="20"/>
                <w:szCs w:val="20"/>
              </w:rPr>
              <w:t>0.99 [0.77-1.29]</w:t>
            </w:r>
          </w:p>
        </w:tc>
        <w:tc>
          <w:tcPr>
            <w:tcW w:w="851" w:type="dxa"/>
            <w:vAlign w:val="center"/>
          </w:tcPr>
          <w:p w14:paraId="646C93DB" w14:textId="77777777" w:rsidR="00903139" w:rsidRPr="008B13C9" w:rsidRDefault="00903139" w:rsidP="00903139">
            <w:pPr>
              <w:spacing w:after="0" w:line="240" w:lineRule="auto"/>
              <w:jc w:val="center"/>
              <w:rPr>
                <w:sz w:val="20"/>
                <w:szCs w:val="20"/>
              </w:rPr>
            </w:pPr>
            <w:r w:rsidRPr="008B13C9">
              <w:rPr>
                <w:sz w:val="20"/>
                <w:szCs w:val="20"/>
              </w:rPr>
              <w:t>0.959</w:t>
            </w:r>
          </w:p>
        </w:tc>
      </w:tr>
    </w:tbl>
    <w:p w14:paraId="7390658E" w14:textId="77777777" w:rsidR="009D67C5" w:rsidRPr="008B13C9" w:rsidRDefault="009D67C5" w:rsidP="009D67C5">
      <w:pPr>
        <w:spacing w:after="0" w:line="276" w:lineRule="auto"/>
        <w:rPr>
          <w:rFonts w:cs="Arial"/>
          <w:sz w:val="20"/>
          <w:szCs w:val="20"/>
          <w:lang w:val="en-US"/>
        </w:rPr>
      </w:pPr>
      <w:r w:rsidRPr="008B13C9">
        <w:rPr>
          <w:rFonts w:cs="Arial"/>
          <w:sz w:val="20"/>
          <w:szCs w:val="20"/>
          <w:lang w:val="en-US"/>
        </w:rPr>
        <w:t>OR = odds ratio; CI = confidence interval.</w:t>
      </w:r>
    </w:p>
    <w:p w14:paraId="0594FC9D" w14:textId="77777777" w:rsidR="009D67C5" w:rsidRPr="008B13C9" w:rsidRDefault="009D67C5" w:rsidP="009D67C5">
      <w:pPr>
        <w:spacing w:after="0" w:line="276" w:lineRule="auto"/>
        <w:rPr>
          <w:rFonts w:eastAsia="Times New Roman"/>
          <w:sz w:val="20"/>
          <w:shd w:val="clear" w:color="auto" w:fill="FFFFFF"/>
          <w:vertAlign w:val="superscript"/>
        </w:rPr>
      </w:pPr>
      <w:r w:rsidRPr="008B13C9">
        <w:rPr>
          <w:rFonts w:cs="Arial"/>
          <w:sz w:val="20"/>
          <w:szCs w:val="20"/>
          <w:lang w:val="en-US"/>
        </w:rPr>
        <w:t>All figures are weighted for sampling probabilities and differential non-response.</w:t>
      </w:r>
    </w:p>
    <w:p w14:paraId="7C01C459" w14:textId="0801716F" w:rsidR="002D5509" w:rsidRPr="008B13C9" w:rsidRDefault="009D67C5" w:rsidP="009D67C5">
      <w:pPr>
        <w:spacing w:after="0" w:line="276" w:lineRule="auto"/>
        <w:rPr>
          <w:rFonts w:eastAsia="Times New Roman"/>
          <w:sz w:val="20"/>
          <w:shd w:val="clear" w:color="auto" w:fill="FFFFFF"/>
        </w:rPr>
      </w:pPr>
      <w:r w:rsidRPr="008B13C9">
        <w:rPr>
          <w:rFonts w:eastAsia="Times New Roman"/>
          <w:sz w:val="20"/>
          <w:shd w:val="clear" w:color="auto" w:fill="FFFFFF"/>
          <w:vertAlign w:val="superscript"/>
        </w:rPr>
        <w:t>1</w:t>
      </w:r>
      <w:r w:rsidR="002D5509" w:rsidRPr="008B13C9">
        <w:rPr>
          <w:rFonts w:eastAsia="Times New Roman"/>
          <w:sz w:val="20"/>
          <w:shd w:val="clear" w:color="auto" w:fill="FFFFFF"/>
        </w:rPr>
        <w:t xml:space="preserve"> Unweighted sample size</w:t>
      </w:r>
      <w:r w:rsidR="00333281" w:rsidRPr="008B13C9">
        <w:rPr>
          <w:rFonts w:eastAsia="Times New Roman"/>
          <w:sz w:val="20"/>
          <w:shd w:val="clear" w:color="auto" w:fill="FFFFFF"/>
        </w:rPr>
        <w:t>s</w:t>
      </w:r>
      <w:r w:rsidR="002D5509" w:rsidRPr="008B13C9">
        <w:rPr>
          <w:rFonts w:eastAsia="Times New Roman"/>
          <w:sz w:val="20"/>
          <w:shd w:val="clear" w:color="auto" w:fill="FFFFFF"/>
        </w:rPr>
        <w:t>.</w:t>
      </w:r>
    </w:p>
    <w:p w14:paraId="3FABC89C" w14:textId="6E13787A" w:rsidR="009D67C5" w:rsidRPr="008B13C9" w:rsidRDefault="002D5509" w:rsidP="009D67C5">
      <w:pPr>
        <w:spacing w:after="0" w:line="276" w:lineRule="auto"/>
        <w:rPr>
          <w:rFonts w:eastAsia="Times New Roman"/>
          <w:sz w:val="20"/>
          <w:shd w:val="clear" w:color="auto" w:fill="FFFFFF"/>
        </w:rPr>
      </w:pPr>
      <w:r w:rsidRPr="008B13C9">
        <w:rPr>
          <w:rFonts w:eastAsia="Times New Roman"/>
          <w:sz w:val="20"/>
          <w:shd w:val="clear" w:color="auto" w:fill="FFFFFF"/>
          <w:vertAlign w:val="superscript"/>
        </w:rPr>
        <w:t>2</w:t>
      </w:r>
      <w:r w:rsidR="009D67C5" w:rsidRPr="008B13C9">
        <w:rPr>
          <w:rFonts w:eastAsia="Times New Roman"/>
          <w:sz w:val="20"/>
          <w:shd w:val="clear" w:color="auto" w:fill="FFFFFF"/>
        </w:rPr>
        <w:t xml:space="preserve"> A</w:t>
      </w:r>
      <w:proofErr w:type="spellStart"/>
      <w:r w:rsidR="009D67C5" w:rsidRPr="008B13C9">
        <w:rPr>
          <w:rFonts w:cs="Arial"/>
          <w:sz w:val="20"/>
          <w:szCs w:val="20"/>
          <w:lang w:val="en-US"/>
        </w:rPr>
        <w:t>djusted</w:t>
      </w:r>
      <w:proofErr w:type="spellEnd"/>
      <w:r w:rsidR="009D67C5" w:rsidRPr="008B13C9">
        <w:rPr>
          <w:rFonts w:cs="Arial"/>
          <w:sz w:val="20"/>
          <w:szCs w:val="20"/>
          <w:lang w:val="en-US"/>
        </w:rPr>
        <w:t xml:space="preserve"> for age, partner status, ethnicity, wealth, limiting long-standing illness, smoking status, alcohol intake, physical activity and depressive symptoms.</w:t>
      </w:r>
    </w:p>
    <w:p w14:paraId="3C3BDDA4" w14:textId="074BD32D" w:rsidR="009D67C5" w:rsidRPr="008B13C9" w:rsidRDefault="002D5509" w:rsidP="009D67C5">
      <w:pPr>
        <w:spacing w:after="0" w:line="276" w:lineRule="auto"/>
        <w:rPr>
          <w:rFonts w:eastAsia="Times New Roman"/>
          <w:sz w:val="20"/>
          <w:shd w:val="clear" w:color="auto" w:fill="FFFFFF"/>
        </w:rPr>
      </w:pPr>
      <w:r w:rsidRPr="008B13C9">
        <w:rPr>
          <w:rFonts w:eastAsia="Times New Roman"/>
          <w:sz w:val="20"/>
          <w:shd w:val="clear" w:color="auto" w:fill="FFFFFF"/>
          <w:vertAlign w:val="superscript"/>
        </w:rPr>
        <w:t>3</w:t>
      </w:r>
      <w:r w:rsidR="009D67C5" w:rsidRPr="008B13C9">
        <w:rPr>
          <w:rFonts w:eastAsia="Times New Roman"/>
          <w:sz w:val="20"/>
          <w:shd w:val="clear" w:color="auto" w:fill="FFFFFF"/>
          <w:vertAlign w:val="superscript"/>
        </w:rPr>
        <w:t xml:space="preserve"> </w:t>
      </w:r>
      <w:r w:rsidR="009D67C5" w:rsidRPr="008B13C9">
        <w:rPr>
          <w:rFonts w:eastAsia="Times New Roman"/>
          <w:sz w:val="20"/>
          <w:shd w:val="clear" w:color="auto" w:fill="FFFFFF"/>
        </w:rPr>
        <w:t>Among participants who reported being sexually active.</w:t>
      </w:r>
      <w:r w:rsidR="00D95CDE" w:rsidRPr="008B13C9">
        <w:rPr>
          <w:rFonts w:eastAsia="Times New Roman"/>
          <w:sz w:val="20"/>
          <w:shd w:val="clear" w:color="auto" w:fill="FFFFFF"/>
        </w:rPr>
        <w:t xml:space="preserve"> </w:t>
      </w:r>
      <w:r w:rsidR="002B3D41" w:rsidRPr="008B13C9">
        <w:rPr>
          <w:rFonts w:eastAsia="Times New Roman"/>
          <w:sz w:val="20"/>
          <w:shd w:val="clear" w:color="auto" w:fill="FFFFFF"/>
        </w:rPr>
        <w:t>Odds ratios reflect the odds of participants with overweight/obesity reporting more frequent sexual activity in the last month relative to normal-weight participants.</w:t>
      </w:r>
    </w:p>
    <w:p w14:paraId="525A4E10" w14:textId="23814297" w:rsidR="00241F0C" w:rsidRPr="008B13C9" w:rsidRDefault="00241F0C" w:rsidP="005247AB">
      <w:pPr>
        <w:spacing w:after="0" w:line="276" w:lineRule="auto"/>
        <w:rPr>
          <w:rFonts w:eastAsia="Times New Roman"/>
          <w:sz w:val="20"/>
          <w:shd w:val="clear" w:color="auto" w:fill="FFFFFF"/>
        </w:rPr>
      </w:pPr>
    </w:p>
    <w:sectPr w:rsidR="00241F0C" w:rsidRPr="008B13C9" w:rsidSect="009D67C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721A40"/>
    <w:multiLevelType w:val="hybridMultilevel"/>
    <w:tmpl w:val="750E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EC6635"/>
    <w:multiLevelType w:val="hybridMultilevel"/>
    <w:tmpl w:val="9926D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6C188F"/>
    <w:multiLevelType w:val="hybridMultilevel"/>
    <w:tmpl w:val="A5703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ntl J Obesit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sdsd5zzqf2veied00pv59pws0tfrsazx0x2&quot;&gt;sex&lt;record-ids&gt;&lt;item&gt;6&lt;/item&gt;&lt;item&gt;9&lt;/item&gt;&lt;item&gt;14&lt;/item&gt;&lt;item&gt;19&lt;/item&gt;&lt;item&gt;20&lt;/item&gt;&lt;item&gt;21&lt;/item&gt;&lt;item&gt;22&lt;/item&gt;&lt;item&gt;43&lt;/item&gt;&lt;item&gt;56&lt;/item&gt;&lt;item&gt;68&lt;/item&gt;&lt;item&gt;69&lt;/item&gt;&lt;item&gt;71&lt;/item&gt;&lt;item&gt;90&lt;/item&gt;&lt;item&gt;91&lt;/item&gt;&lt;item&gt;92&lt;/item&gt;&lt;item&gt;94&lt;/item&gt;&lt;item&gt;95&lt;/item&gt;&lt;item&gt;96&lt;/item&gt;&lt;item&gt;97&lt;/item&gt;&lt;item&gt;98&lt;/item&gt;&lt;item&gt;99&lt;/item&gt;&lt;item&gt;100&lt;/item&gt;&lt;item&gt;101&lt;/item&gt;&lt;item&gt;102&lt;/item&gt;&lt;item&gt;103&lt;/item&gt;&lt;/record-ids&gt;&lt;/item&gt;&lt;/Libraries&gt;"/>
  </w:docVars>
  <w:rsids>
    <w:rsidRoot w:val="00480AFB"/>
    <w:rsid w:val="0000191D"/>
    <w:rsid w:val="000024CF"/>
    <w:rsid w:val="000032F1"/>
    <w:rsid w:val="00005619"/>
    <w:rsid w:val="000066D1"/>
    <w:rsid w:val="00006B22"/>
    <w:rsid w:val="00012A1C"/>
    <w:rsid w:val="00012C36"/>
    <w:rsid w:val="0001372C"/>
    <w:rsid w:val="00014D1D"/>
    <w:rsid w:val="00015CAB"/>
    <w:rsid w:val="00015D73"/>
    <w:rsid w:val="0002056B"/>
    <w:rsid w:val="00020C41"/>
    <w:rsid w:val="00021816"/>
    <w:rsid w:val="0002215E"/>
    <w:rsid w:val="000238AC"/>
    <w:rsid w:val="000238DA"/>
    <w:rsid w:val="00025AFB"/>
    <w:rsid w:val="00031081"/>
    <w:rsid w:val="00031893"/>
    <w:rsid w:val="0003271D"/>
    <w:rsid w:val="00033B7F"/>
    <w:rsid w:val="0003422B"/>
    <w:rsid w:val="00034C24"/>
    <w:rsid w:val="00036AD4"/>
    <w:rsid w:val="000371E8"/>
    <w:rsid w:val="00040144"/>
    <w:rsid w:val="0004049D"/>
    <w:rsid w:val="000410DF"/>
    <w:rsid w:val="0004218C"/>
    <w:rsid w:val="0004331D"/>
    <w:rsid w:val="00043B52"/>
    <w:rsid w:val="00043B6E"/>
    <w:rsid w:val="0004572B"/>
    <w:rsid w:val="000513C0"/>
    <w:rsid w:val="00051BFC"/>
    <w:rsid w:val="00053581"/>
    <w:rsid w:val="00053763"/>
    <w:rsid w:val="00053A69"/>
    <w:rsid w:val="00054961"/>
    <w:rsid w:val="00054B6F"/>
    <w:rsid w:val="00056878"/>
    <w:rsid w:val="0006008F"/>
    <w:rsid w:val="000618A4"/>
    <w:rsid w:val="000641D3"/>
    <w:rsid w:val="000668B0"/>
    <w:rsid w:val="00071787"/>
    <w:rsid w:val="00071898"/>
    <w:rsid w:val="00071AA4"/>
    <w:rsid w:val="00074C84"/>
    <w:rsid w:val="000772C0"/>
    <w:rsid w:val="00082032"/>
    <w:rsid w:val="000820DD"/>
    <w:rsid w:val="0008321A"/>
    <w:rsid w:val="00083C84"/>
    <w:rsid w:val="00084C60"/>
    <w:rsid w:val="00085B25"/>
    <w:rsid w:val="00085EA4"/>
    <w:rsid w:val="00090E6F"/>
    <w:rsid w:val="000915C1"/>
    <w:rsid w:val="0009358E"/>
    <w:rsid w:val="000940D5"/>
    <w:rsid w:val="00094EEC"/>
    <w:rsid w:val="0009594B"/>
    <w:rsid w:val="00096992"/>
    <w:rsid w:val="000A428A"/>
    <w:rsid w:val="000B28C5"/>
    <w:rsid w:val="000B37B5"/>
    <w:rsid w:val="000B69E1"/>
    <w:rsid w:val="000C04C8"/>
    <w:rsid w:val="000C0B1B"/>
    <w:rsid w:val="000C5EFE"/>
    <w:rsid w:val="000C6DD8"/>
    <w:rsid w:val="000C7983"/>
    <w:rsid w:val="000D0F24"/>
    <w:rsid w:val="000D1AC2"/>
    <w:rsid w:val="000D3B6A"/>
    <w:rsid w:val="000D55F8"/>
    <w:rsid w:val="000E0C55"/>
    <w:rsid w:val="000E1930"/>
    <w:rsid w:val="000E1C5F"/>
    <w:rsid w:val="000E3578"/>
    <w:rsid w:val="000E7937"/>
    <w:rsid w:val="000E7F7E"/>
    <w:rsid w:val="000F07BE"/>
    <w:rsid w:val="000F22E1"/>
    <w:rsid w:val="000F2642"/>
    <w:rsid w:val="000F2D34"/>
    <w:rsid w:val="000F4A6B"/>
    <w:rsid w:val="000F4A6C"/>
    <w:rsid w:val="000F4E4C"/>
    <w:rsid w:val="000F62F1"/>
    <w:rsid w:val="00100C35"/>
    <w:rsid w:val="00101123"/>
    <w:rsid w:val="0010116F"/>
    <w:rsid w:val="00101C81"/>
    <w:rsid w:val="0010261A"/>
    <w:rsid w:val="001071AE"/>
    <w:rsid w:val="001109D6"/>
    <w:rsid w:val="00111C68"/>
    <w:rsid w:val="00111CC9"/>
    <w:rsid w:val="00112430"/>
    <w:rsid w:val="0011293C"/>
    <w:rsid w:val="00114DBC"/>
    <w:rsid w:val="00115A58"/>
    <w:rsid w:val="00115C80"/>
    <w:rsid w:val="001167CC"/>
    <w:rsid w:val="00117825"/>
    <w:rsid w:val="0012109F"/>
    <w:rsid w:val="001234D2"/>
    <w:rsid w:val="00124A82"/>
    <w:rsid w:val="0012511B"/>
    <w:rsid w:val="0012557B"/>
    <w:rsid w:val="00127B7F"/>
    <w:rsid w:val="0013307A"/>
    <w:rsid w:val="001356D7"/>
    <w:rsid w:val="0013766A"/>
    <w:rsid w:val="0014162B"/>
    <w:rsid w:val="001424AD"/>
    <w:rsid w:val="00142E50"/>
    <w:rsid w:val="001430AD"/>
    <w:rsid w:val="00144F04"/>
    <w:rsid w:val="001462ED"/>
    <w:rsid w:val="001464F5"/>
    <w:rsid w:val="00151811"/>
    <w:rsid w:val="00153271"/>
    <w:rsid w:val="001544C8"/>
    <w:rsid w:val="001544F5"/>
    <w:rsid w:val="001554C6"/>
    <w:rsid w:val="00156778"/>
    <w:rsid w:val="001601B1"/>
    <w:rsid w:val="00160D3A"/>
    <w:rsid w:val="00164E48"/>
    <w:rsid w:val="00165061"/>
    <w:rsid w:val="00165386"/>
    <w:rsid w:val="00165A61"/>
    <w:rsid w:val="00166D8C"/>
    <w:rsid w:val="00170935"/>
    <w:rsid w:val="001712DC"/>
    <w:rsid w:val="001714BD"/>
    <w:rsid w:val="00172794"/>
    <w:rsid w:val="0017312B"/>
    <w:rsid w:val="00173E5E"/>
    <w:rsid w:val="00176F6C"/>
    <w:rsid w:val="00180989"/>
    <w:rsid w:val="001817D4"/>
    <w:rsid w:val="001848A3"/>
    <w:rsid w:val="00184E41"/>
    <w:rsid w:val="001859AB"/>
    <w:rsid w:val="00186653"/>
    <w:rsid w:val="00187BA0"/>
    <w:rsid w:val="00192E15"/>
    <w:rsid w:val="00194104"/>
    <w:rsid w:val="00195845"/>
    <w:rsid w:val="001A0E80"/>
    <w:rsid w:val="001A31EB"/>
    <w:rsid w:val="001A5C02"/>
    <w:rsid w:val="001A5D17"/>
    <w:rsid w:val="001A797A"/>
    <w:rsid w:val="001A7BA4"/>
    <w:rsid w:val="001B38A7"/>
    <w:rsid w:val="001B5F87"/>
    <w:rsid w:val="001B6397"/>
    <w:rsid w:val="001B69F2"/>
    <w:rsid w:val="001C0B69"/>
    <w:rsid w:val="001C1722"/>
    <w:rsid w:val="001C2D55"/>
    <w:rsid w:val="001C41D4"/>
    <w:rsid w:val="001C4278"/>
    <w:rsid w:val="001C64BA"/>
    <w:rsid w:val="001C6719"/>
    <w:rsid w:val="001C68D8"/>
    <w:rsid w:val="001C74C3"/>
    <w:rsid w:val="001C7938"/>
    <w:rsid w:val="001D15A1"/>
    <w:rsid w:val="001D253A"/>
    <w:rsid w:val="001D2C12"/>
    <w:rsid w:val="001D4087"/>
    <w:rsid w:val="001D5154"/>
    <w:rsid w:val="001E023E"/>
    <w:rsid w:val="001E1885"/>
    <w:rsid w:val="001E20DC"/>
    <w:rsid w:val="001E2F7F"/>
    <w:rsid w:val="001E361B"/>
    <w:rsid w:val="001E3CA6"/>
    <w:rsid w:val="001F02A9"/>
    <w:rsid w:val="001F03CE"/>
    <w:rsid w:val="001F09E0"/>
    <w:rsid w:val="001F102D"/>
    <w:rsid w:val="001F4A97"/>
    <w:rsid w:val="001F4AA8"/>
    <w:rsid w:val="001F5D53"/>
    <w:rsid w:val="001F5D6C"/>
    <w:rsid w:val="001F614E"/>
    <w:rsid w:val="001F71FF"/>
    <w:rsid w:val="001F758C"/>
    <w:rsid w:val="00200594"/>
    <w:rsid w:val="00202992"/>
    <w:rsid w:val="00203FDF"/>
    <w:rsid w:val="00205612"/>
    <w:rsid w:val="00207B39"/>
    <w:rsid w:val="002126DD"/>
    <w:rsid w:val="00214565"/>
    <w:rsid w:val="0021511C"/>
    <w:rsid w:val="00215993"/>
    <w:rsid w:val="00215D6D"/>
    <w:rsid w:val="00221738"/>
    <w:rsid w:val="0022722B"/>
    <w:rsid w:val="00230887"/>
    <w:rsid w:val="00230BC9"/>
    <w:rsid w:val="0023219F"/>
    <w:rsid w:val="00236F60"/>
    <w:rsid w:val="00237FDD"/>
    <w:rsid w:val="00240F38"/>
    <w:rsid w:val="00241DC8"/>
    <w:rsid w:val="00241F0C"/>
    <w:rsid w:val="00243755"/>
    <w:rsid w:val="00243B8E"/>
    <w:rsid w:val="00244766"/>
    <w:rsid w:val="00244C8D"/>
    <w:rsid w:val="0024610C"/>
    <w:rsid w:val="00246CCE"/>
    <w:rsid w:val="00250590"/>
    <w:rsid w:val="0025151F"/>
    <w:rsid w:val="0025476D"/>
    <w:rsid w:val="002550A8"/>
    <w:rsid w:val="0025547B"/>
    <w:rsid w:val="00255957"/>
    <w:rsid w:val="002571B9"/>
    <w:rsid w:val="0026019B"/>
    <w:rsid w:val="00261ABF"/>
    <w:rsid w:val="002622A3"/>
    <w:rsid w:val="00265D3B"/>
    <w:rsid w:val="00266904"/>
    <w:rsid w:val="00266D57"/>
    <w:rsid w:val="002701D1"/>
    <w:rsid w:val="002772B7"/>
    <w:rsid w:val="0028714C"/>
    <w:rsid w:val="00290723"/>
    <w:rsid w:val="00290A4E"/>
    <w:rsid w:val="002912EE"/>
    <w:rsid w:val="0029212C"/>
    <w:rsid w:val="002921E1"/>
    <w:rsid w:val="00295E8F"/>
    <w:rsid w:val="002A046D"/>
    <w:rsid w:val="002A2825"/>
    <w:rsid w:val="002A3A0F"/>
    <w:rsid w:val="002A54BF"/>
    <w:rsid w:val="002A6D59"/>
    <w:rsid w:val="002A7D2C"/>
    <w:rsid w:val="002B1D79"/>
    <w:rsid w:val="002B3D41"/>
    <w:rsid w:val="002B6B04"/>
    <w:rsid w:val="002B6C95"/>
    <w:rsid w:val="002C021C"/>
    <w:rsid w:val="002C1F67"/>
    <w:rsid w:val="002C3BEE"/>
    <w:rsid w:val="002C4131"/>
    <w:rsid w:val="002C6229"/>
    <w:rsid w:val="002C62A7"/>
    <w:rsid w:val="002D145C"/>
    <w:rsid w:val="002D396A"/>
    <w:rsid w:val="002D3A80"/>
    <w:rsid w:val="002D5509"/>
    <w:rsid w:val="002D5AF1"/>
    <w:rsid w:val="002D5F19"/>
    <w:rsid w:val="002D6EC0"/>
    <w:rsid w:val="002E1E0A"/>
    <w:rsid w:val="002E20DF"/>
    <w:rsid w:val="002E2C0E"/>
    <w:rsid w:val="002E4AD7"/>
    <w:rsid w:val="002E6B3E"/>
    <w:rsid w:val="002F179D"/>
    <w:rsid w:val="002F1CA2"/>
    <w:rsid w:val="002F30A3"/>
    <w:rsid w:val="002F3455"/>
    <w:rsid w:val="002F467A"/>
    <w:rsid w:val="002F4DD1"/>
    <w:rsid w:val="002F6990"/>
    <w:rsid w:val="002F77D7"/>
    <w:rsid w:val="002F789B"/>
    <w:rsid w:val="002F7FB4"/>
    <w:rsid w:val="00300146"/>
    <w:rsid w:val="00304074"/>
    <w:rsid w:val="00304502"/>
    <w:rsid w:val="003049B3"/>
    <w:rsid w:val="00305EC9"/>
    <w:rsid w:val="003069F4"/>
    <w:rsid w:val="00306E94"/>
    <w:rsid w:val="00313C8F"/>
    <w:rsid w:val="00314CD7"/>
    <w:rsid w:val="003154F6"/>
    <w:rsid w:val="003172A6"/>
    <w:rsid w:val="00320A1F"/>
    <w:rsid w:val="00321F18"/>
    <w:rsid w:val="00322F81"/>
    <w:rsid w:val="00323FDD"/>
    <w:rsid w:val="00326A99"/>
    <w:rsid w:val="003305CA"/>
    <w:rsid w:val="00330E10"/>
    <w:rsid w:val="003315ED"/>
    <w:rsid w:val="003320A4"/>
    <w:rsid w:val="00332E8E"/>
    <w:rsid w:val="00333281"/>
    <w:rsid w:val="00333AEC"/>
    <w:rsid w:val="00334E70"/>
    <w:rsid w:val="00335FF9"/>
    <w:rsid w:val="00342282"/>
    <w:rsid w:val="00342907"/>
    <w:rsid w:val="003432B0"/>
    <w:rsid w:val="003503BC"/>
    <w:rsid w:val="0035241F"/>
    <w:rsid w:val="00352431"/>
    <w:rsid w:val="00354861"/>
    <w:rsid w:val="00354A56"/>
    <w:rsid w:val="003560A5"/>
    <w:rsid w:val="0035619D"/>
    <w:rsid w:val="003619E1"/>
    <w:rsid w:val="00362EEE"/>
    <w:rsid w:val="003644D0"/>
    <w:rsid w:val="00364D50"/>
    <w:rsid w:val="00364DBD"/>
    <w:rsid w:val="00365EE1"/>
    <w:rsid w:val="00365F95"/>
    <w:rsid w:val="003677FD"/>
    <w:rsid w:val="003702CF"/>
    <w:rsid w:val="00371457"/>
    <w:rsid w:val="003720CA"/>
    <w:rsid w:val="00372B34"/>
    <w:rsid w:val="003768B9"/>
    <w:rsid w:val="00377178"/>
    <w:rsid w:val="003776A6"/>
    <w:rsid w:val="00381D43"/>
    <w:rsid w:val="00382099"/>
    <w:rsid w:val="003821EF"/>
    <w:rsid w:val="003825C1"/>
    <w:rsid w:val="0038321E"/>
    <w:rsid w:val="00386188"/>
    <w:rsid w:val="003864D3"/>
    <w:rsid w:val="003867FE"/>
    <w:rsid w:val="003872CE"/>
    <w:rsid w:val="0038749E"/>
    <w:rsid w:val="00387A71"/>
    <w:rsid w:val="00390242"/>
    <w:rsid w:val="003908DF"/>
    <w:rsid w:val="003912CB"/>
    <w:rsid w:val="00393B09"/>
    <w:rsid w:val="00394793"/>
    <w:rsid w:val="003948CE"/>
    <w:rsid w:val="0039694D"/>
    <w:rsid w:val="003971DE"/>
    <w:rsid w:val="003A0322"/>
    <w:rsid w:val="003A1B03"/>
    <w:rsid w:val="003A210A"/>
    <w:rsid w:val="003A2EDD"/>
    <w:rsid w:val="003A35FE"/>
    <w:rsid w:val="003A3602"/>
    <w:rsid w:val="003A4FF2"/>
    <w:rsid w:val="003A61C0"/>
    <w:rsid w:val="003B16DC"/>
    <w:rsid w:val="003B1723"/>
    <w:rsid w:val="003B182E"/>
    <w:rsid w:val="003B1A74"/>
    <w:rsid w:val="003B1F47"/>
    <w:rsid w:val="003B2FC9"/>
    <w:rsid w:val="003B37AD"/>
    <w:rsid w:val="003B677F"/>
    <w:rsid w:val="003B6FD2"/>
    <w:rsid w:val="003C0604"/>
    <w:rsid w:val="003C13B1"/>
    <w:rsid w:val="003C232D"/>
    <w:rsid w:val="003C242E"/>
    <w:rsid w:val="003C43EC"/>
    <w:rsid w:val="003C4F82"/>
    <w:rsid w:val="003C5993"/>
    <w:rsid w:val="003C6649"/>
    <w:rsid w:val="003C6CB1"/>
    <w:rsid w:val="003C71F9"/>
    <w:rsid w:val="003D3EB1"/>
    <w:rsid w:val="003D5207"/>
    <w:rsid w:val="003D6BCC"/>
    <w:rsid w:val="003E4BD6"/>
    <w:rsid w:val="003F346D"/>
    <w:rsid w:val="003F433A"/>
    <w:rsid w:val="003F49DA"/>
    <w:rsid w:val="003F5FC2"/>
    <w:rsid w:val="003F66A3"/>
    <w:rsid w:val="003F75D2"/>
    <w:rsid w:val="003F7817"/>
    <w:rsid w:val="00403F0E"/>
    <w:rsid w:val="00404588"/>
    <w:rsid w:val="00405D51"/>
    <w:rsid w:val="00406701"/>
    <w:rsid w:val="004068E3"/>
    <w:rsid w:val="00407670"/>
    <w:rsid w:val="004122DE"/>
    <w:rsid w:val="00413394"/>
    <w:rsid w:val="004149F4"/>
    <w:rsid w:val="00414FA4"/>
    <w:rsid w:val="00416C3A"/>
    <w:rsid w:val="0042016E"/>
    <w:rsid w:val="004213B1"/>
    <w:rsid w:val="00424FC9"/>
    <w:rsid w:val="00425BB1"/>
    <w:rsid w:val="00425D74"/>
    <w:rsid w:val="00427E6F"/>
    <w:rsid w:val="00432B98"/>
    <w:rsid w:val="004337AA"/>
    <w:rsid w:val="00434500"/>
    <w:rsid w:val="00435028"/>
    <w:rsid w:val="00435F13"/>
    <w:rsid w:val="004410A0"/>
    <w:rsid w:val="0044124D"/>
    <w:rsid w:val="00442FED"/>
    <w:rsid w:val="004444BF"/>
    <w:rsid w:val="0044585F"/>
    <w:rsid w:val="004459C4"/>
    <w:rsid w:val="00445B56"/>
    <w:rsid w:val="00450EB8"/>
    <w:rsid w:val="00451144"/>
    <w:rsid w:val="004526B5"/>
    <w:rsid w:val="00452935"/>
    <w:rsid w:val="00455478"/>
    <w:rsid w:val="00455F9A"/>
    <w:rsid w:val="004568BB"/>
    <w:rsid w:val="004572CC"/>
    <w:rsid w:val="0046112F"/>
    <w:rsid w:val="004615FE"/>
    <w:rsid w:val="00461BCE"/>
    <w:rsid w:val="004628D5"/>
    <w:rsid w:val="004633CB"/>
    <w:rsid w:val="00464BBA"/>
    <w:rsid w:val="00466F3B"/>
    <w:rsid w:val="00467452"/>
    <w:rsid w:val="00470F2A"/>
    <w:rsid w:val="0047244B"/>
    <w:rsid w:val="00474183"/>
    <w:rsid w:val="0047580C"/>
    <w:rsid w:val="00480AFB"/>
    <w:rsid w:val="00481CB0"/>
    <w:rsid w:val="0048209E"/>
    <w:rsid w:val="004825E9"/>
    <w:rsid w:val="00487537"/>
    <w:rsid w:val="004917A2"/>
    <w:rsid w:val="00491F4E"/>
    <w:rsid w:val="004939F4"/>
    <w:rsid w:val="004A3C2A"/>
    <w:rsid w:val="004A66F5"/>
    <w:rsid w:val="004A7D32"/>
    <w:rsid w:val="004B0CB2"/>
    <w:rsid w:val="004B14BB"/>
    <w:rsid w:val="004B1629"/>
    <w:rsid w:val="004B27C3"/>
    <w:rsid w:val="004B5D61"/>
    <w:rsid w:val="004C21A0"/>
    <w:rsid w:val="004C51E1"/>
    <w:rsid w:val="004C5EE9"/>
    <w:rsid w:val="004C63CA"/>
    <w:rsid w:val="004D195E"/>
    <w:rsid w:val="004D1E31"/>
    <w:rsid w:val="004D23EA"/>
    <w:rsid w:val="004D5A29"/>
    <w:rsid w:val="004E0147"/>
    <w:rsid w:val="004E17BE"/>
    <w:rsid w:val="004E356D"/>
    <w:rsid w:val="004E3654"/>
    <w:rsid w:val="004E45E6"/>
    <w:rsid w:val="004E4855"/>
    <w:rsid w:val="004E4EE3"/>
    <w:rsid w:val="004E7598"/>
    <w:rsid w:val="004E766A"/>
    <w:rsid w:val="004E79E4"/>
    <w:rsid w:val="004F14DB"/>
    <w:rsid w:val="004F1EB6"/>
    <w:rsid w:val="004F332C"/>
    <w:rsid w:val="004F556F"/>
    <w:rsid w:val="004F5591"/>
    <w:rsid w:val="004F6C06"/>
    <w:rsid w:val="004F7002"/>
    <w:rsid w:val="005005E2"/>
    <w:rsid w:val="00507861"/>
    <w:rsid w:val="00510E82"/>
    <w:rsid w:val="00512285"/>
    <w:rsid w:val="005166C6"/>
    <w:rsid w:val="00516751"/>
    <w:rsid w:val="00517041"/>
    <w:rsid w:val="00517930"/>
    <w:rsid w:val="00517D09"/>
    <w:rsid w:val="0052042A"/>
    <w:rsid w:val="00520AC1"/>
    <w:rsid w:val="0052153B"/>
    <w:rsid w:val="00521A40"/>
    <w:rsid w:val="005226B9"/>
    <w:rsid w:val="00523391"/>
    <w:rsid w:val="005234BF"/>
    <w:rsid w:val="005235BD"/>
    <w:rsid w:val="00523754"/>
    <w:rsid w:val="005247AB"/>
    <w:rsid w:val="00524808"/>
    <w:rsid w:val="00524C66"/>
    <w:rsid w:val="00527D38"/>
    <w:rsid w:val="00530862"/>
    <w:rsid w:val="00531707"/>
    <w:rsid w:val="00532828"/>
    <w:rsid w:val="005342C6"/>
    <w:rsid w:val="00535044"/>
    <w:rsid w:val="00536387"/>
    <w:rsid w:val="00536C68"/>
    <w:rsid w:val="00536D80"/>
    <w:rsid w:val="00537342"/>
    <w:rsid w:val="00540B6F"/>
    <w:rsid w:val="00540DF3"/>
    <w:rsid w:val="005410B5"/>
    <w:rsid w:val="00542754"/>
    <w:rsid w:val="005434ED"/>
    <w:rsid w:val="00544017"/>
    <w:rsid w:val="005466AB"/>
    <w:rsid w:val="005466EA"/>
    <w:rsid w:val="00547F2C"/>
    <w:rsid w:val="00553665"/>
    <w:rsid w:val="00553B31"/>
    <w:rsid w:val="005551E5"/>
    <w:rsid w:val="00556F9A"/>
    <w:rsid w:val="005621DE"/>
    <w:rsid w:val="00562EE7"/>
    <w:rsid w:val="00564309"/>
    <w:rsid w:val="0056507D"/>
    <w:rsid w:val="005663A8"/>
    <w:rsid w:val="005674C4"/>
    <w:rsid w:val="005732E5"/>
    <w:rsid w:val="00575436"/>
    <w:rsid w:val="00576BD8"/>
    <w:rsid w:val="0058069F"/>
    <w:rsid w:val="00581CA0"/>
    <w:rsid w:val="00582E07"/>
    <w:rsid w:val="005836D4"/>
    <w:rsid w:val="0058440C"/>
    <w:rsid w:val="00585B57"/>
    <w:rsid w:val="00591764"/>
    <w:rsid w:val="00595BA0"/>
    <w:rsid w:val="00596070"/>
    <w:rsid w:val="005961E9"/>
    <w:rsid w:val="00596B90"/>
    <w:rsid w:val="005A0717"/>
    <w:rsid w:val="005A0EF2"/>
    <w:rsid w:val="005A1520"/>
    <w:rsid w:val="005A1981"/>
    <w:rsid w:val="005A1D8C"/>
    <w:rsid w:val="005A245F"/>
    <w:rsid w:val="005A27BD"/>
    <w:rsid w:val="005A4079"/>
    <w:rsid w:val="005A4292"/>
    <w:rsid w:val="005A4387"/>
    <w:rsid w:val="005A445B"/>
    <w:rsid w:val="005A4DCE"/>
    <w:rsid w:val="005A7182"/>
    <w:rsid w:val="005A74EE"/>
    <w:rsid w:val="005B1429"/>
    <w:rsid w:val="005B142F"/>
    <w:rsid w:val="005B19C9"/>
    <w:rsid w:val="005B1D57"/>
    <w:rsid w:val="005B26C5"/>
    <w:rsid w:val="005B34E7"/>
    <w:rsid w:val="005B6123"/>
    <w:rsid w:val="005B6413"/>
    <w:rsid w:val="005B7323"/>
    <w:rsid w:val="005B7498"/>
    <w:rsid w:val="005B77CA"/>
    <w:rsid w:val="005C0C95"/>
    <w:rsid w:val="005C3422"/>
    <w:rsid w:val="005C5571"/>
    <w:rsid w:val="005C7640"/>
    <w:rsid w:val="005D007C"/>
    <w:rsid w:val="005D47BD"/>
    <w:rsid w:val="005E0674"/>
    <w:rsid w:val="005E27C7"/>
    <w:rsid w:val="005E43B6"/>
    <w:rsid w:val="005E576A"/>
    <w:rsid w:val="005E5D5C"/>
    <w:rsid w:val="005E61F5"/>
    <w:rsid w:val="005F4BD9"/>
    <w:rsid w:val="005F5723"/>
    <w:rsid w:val="005F7018"/>
    <w:rsid w:val="00600438"/>
    <w:rsid w:val="006006C2"/>
    <w:rsid w:val="00600921"/>
    <w:rsid w:val="006017C6"/>
    <w:rsid w:val="00605224"/>
    <w:rsid w:val="00606955"/>
    <w:rsid w:val="00607C5C"/>
    <w:rsid w:val="00611346"/>
    <w:rsid w:val="006141E1"/>
    <w:rsid w:val="006175E6"/>
    <w:rsid w:val="0062052F"/>
    <w:rsid w:val="006213F4"/>
    <w:rsid w:val="006219D4"/>
    <w:rsid w:val="006223CB"/>
    <w:rsid w:val="00623F7E"/>
    <w:rsid w:val="00624110"/>
    <w:rsid w:val="00624483"/>
    <w:rsid w:val="0062685C"/>
    <w:rsid w:val="00627FBA"/>
    <w:rsid w:val="006303E0"/>
    <w:rsid w:val="006312E4"/>
    <w:rsid w:val="00633DDD"/>
    <w:rsid w:val="00634E39"/>
    <w:rsid w:val="00635C27"/>
    <w:rsid w:val="00636E17"/>
    <w:rsid w:val="006412B4"/>
    <w:rsid w:val="006418E3"/>
    <w:rsid w:val="006429C4"/>
    <w:rsid w:val="006462FB"/>
    <w:rsid w:val="00646805"/>
    <w:rsid w:val="00646EBA"/>
    <w:rsid w:val="006474A4"/>
    <w:rsid w:val="0065220B"/>
    <w:rsid w:val="00653387"/>
    <w:rsid w:val="00653E4A"/>
    <w:rsid w:val="0065471A"/>
    <w:rsid w:val="0065711F"/>
    <w:rsid w:val="00660877"/>
    <w:rsid w:val="00664532"/>
    <w:rsid w:val="00664A79"/>
    <w:rsid w:val="00670515"/>
    <w:rsid w:val="00670640"/>
    <w:rsid w:val="00670886"/>
    <w:rsid w:val="006741C3"/>
    <w:rsid w:val="0067480E"/>
    <w:rsid w:val="006748E1"/>
    <w:rsid w:val="006774A9"/>
    <w:rsid w:val="0067763B"/>
    <w:rsid w:val="00677A44"/>
    <w:rsid w:val="00680C03"/>
    <w:rsid w:val="00680DF3"/>
    <w:rsid w:val="006818D2"/>
    <w:rsid w:val="006821D3"/>
    <w:rsid w:val="0068289E"/>
    <w:rsid w:val="00682AFA"/>
    <w:rsid w:val="0068315C"/>
    <w:rsid w:val="006854FE"/>
    <w:rsid w:val="00687516"/>
    <w:rsid w:val="0068774E"/>
    <w:rsid w:val="00690AED"/>
    <w:rsid w:val="00692080"/>
    <w:rsid w:val="00692DD7"/>
    <w:rsid w:val="00693169"/>
    <w:rsid w:val="00693435"/>
    <w:rsid w:val="00696366"/>
    <w:rsid w:val="006A0B2F"/>
    <w:rsid w:val="006A4702"/>
    <w:rsid w:val="006A5E92"/>
    <w:rsid w:val="006A652C"/>
    <w:rsid w:val="006A727A"/>
    <w:rsid w:val="006B0E10"/>
    <w:rsid w:val="006B1BB1"/>
    <w:rsid w:val="006B2B38"/>
    <w:rsid w:val="006B2D87"/>
    <w:rsid w:val="006B4BB2"/>
    <w:rsid w:val="006B7FC2"/>
    <w:rsid w:val="006C00AC"/>
    <w:rsid w:val="006C20E8"/>
    <w:rsid w:val="006C25F5"/>
    <w:rsid w:val="006C2D14"/>
    <w:rsid w:val="006C37E7"/>
    <w:rsid w:val="006C39AA"/>
    <w:rsid w:val="006C55DD"/>
    <w:rsid w:val="006C5730"/>
    <w:rsid w:val="006D008A"/>
    <w:rsid w:val="006D07D4"/>
    <w:rsid w:val="006D3133"/>
    <w:rsid w:val="006D5C19"/>
    <w:rsid w:val="006D69CB"/>
    <w:rsid w:val="006D6BFF"/>
    <w:rsid w:val="006D6C1F"/>
    <w:rsid w:val="006E13FE"/>
    <w:rsid w:val="006E2340"/>
    <w:rsid w:val="006E40D9"/>
    <w:rsid w:val="006E4635"/>
    <w:rsid w:val="006E4CE8"/>
    <w:rsid w:val="006E4F17"/>
    <w:rsid w:val="006E63CC"/>
    <w:rsid w:val="006E63E7"/>
    <w:rsid w:val="006E7988"/>
    <w:rsid w:val="006E7AB4"/>
    <w:rsid w:val="006E7C77"/>
    <w:rsid w:val="006F0018"/>
    <w:rsid w:val="006F1F59"/>
    <w:rsid w:val="006F3C02"/>
    <w:rsid w:val="006F6A5C"/>
    <w:rsid w:val="0070181C"/>
    <w:rsid w:val="00702683"/>
    <w:rsid w:val="007036B9"/>
    <w:rsid w:val="00703CB0"/>
    <w:rsid w:val="00704CA0"/>
    <w:rsid w:val="0070719E"/>
    <w:rsid w:val="007116CB"/>
    <w:rsid w:val="00711A46"/>
    <w:rsid w:val="0071245D"/>
    <w:rsid w:val="00713710"/>
    <w:rsid w:val="007151E6"/>
    <w:rsid w:val="00715BE3"/>
    <w:rsid w:val="00716531"/>
    <w:rsid w:val="00716C59"/>
    <w:rsid w:val="00720999"/>
    <w:rsid w:val="00720FC0"/>
    <w:rsid w:val="00724360"/>
    <w:rsid w:val="00725B91"/>
    <w:rsid w:val="007260B0"/>
    <w:rsid w:val="00730E55"/>
    <w:rsid w:val="00731A21"/>
    <w:rsid w:val="00733BDF"/>
    <w:rsid w:val="00735D59"/>
    <w:rsid w:val="007363E1"/>
    <w:rsid w:val="00743252"/>
    <w:rsid w:val="00744334"/>
    <w:rsid w:val="007447A4"/>
    <w:rsid w:val="00745394"/>
    <w:rsid w:val="0074568C"/>
    <w:rsid w:val="0075322F"/>
    <w:rsid w:val="007532D7"/>
    <w:rsid w:val="00754632"/>
    <w:rsid w:val="00755E4A"/>
    <w:rsid w:val="0075689C"/>
    <w:rsid w:val="00756A75"/>
    <w:rsid w:val="00756AC8"/>
    <w:rsid w:val="007624ED"/>
    <w:rsid w:val="00763E39"/>
    <w:rsid w:val="007656A9"/>
    <w:rsid w:val="007700A0"/>
    <w:rsid w:val="00770681"/>
    <w:rsid w:val="007706FC"/>
    <w:rsid w:val="00771658"/>
    <w:rsid w:val="00777A92"/>
    <w:rsid w:val="00777D68"/>
    <w:rsid w:val="00780762"/>
    <w:rsid w:val="00780DBE"/>
    <w:rsid w:val="007828BA"/>
    <w:rsid w:val="00787F6B"/>
    <w:rsid w:val="00790B70"/>
    <w:rsid w:val="00792479"/>
    <w:rsid w:val="007926C2"/>
    <w:rsid w:val="00792DA0"/>
    <w:rsid w:val="00793EC6"/>
    <w:rsid w:val="00796052"/>
    <w:rsid w:val="00796743"/>
    <w:rsid w:val="00796792"/>
    <w:rsid w:val="0079796D"/>
    <w:rsid w:val="007A140D"/>
    <w:rsid w:val="007A1BEC"/>
    <w:rsid w:val="007A375E"/>
    <w:rsid w:val="007A4B56"/>
    <w:rsid w:val="007A4C4A"/>
    <w:rsid w:val="007A5BE1"/>
    <w:rsid w:val="007A6839"/>
    <w:rsid w:val="007A691D"/>
    <w:rsid w:val="007A6EBC"/>
    <w:rsid w:val="007A7390"/>
    <w:rsid w:val="007A74B9"/>
    <w:rsid w:val="007B1DA4"/>
    <w:rsid w:val="007B355F"/>
    <w:rsid w:val="007B4CFE"/>
    <w:rsid w:val="007B7ACE"/>
    <w:rsid w:val="007C0FBD"/>
    <w:rsid w:val="007C3FBB"/>
    <w:rsid w:val="007C5918"/>
    <w:rsid w:val="007D079F"/>
    <w:rsid w:val="007D0C14"/>
    <w:rsid w:val="007D3736"/>
    <w:rsid w:val="007D5885"/>
    <w:rsid w:val="007D5DF5"/>
    <w:rsid w:val="007E0044"/>
    <w:rsid w:val="007E38AC"/>
    <w:rsid w:val="007E7A99"/>
    <w:rsid w:val="007F03FD"/>
    <w:rsid w:val="007F0DA1"/>
    <w:rsid w:val="007F3014"/>
    <w:rsid w:val="007F32F8"/>
    <w:rsid w:val="007F4CB8"/>
    <w:rsid w:val="007F7526"/>
    <w:rsid w:val="00800B28"/>
    <w:rsid w:val="008019AA"/>
    <w:rsid w:val="00801EC3"/>
    <w:rsid w:val="00805DB5"/>
    <w:rsid w:val="008110DD"/>
    <w:rsid w:val="0081126E"/>
    <w:rsid w:val="008126E1"/>
    <w:rsid w:val="00813147"/>
    <w:rsid w:val="00815116"/>
    <w:rsid w:val="00815AE7"/>
    <w:rsid w:val="00820A48"/>
    <w:rsid w:val="00821169"/>
    <w:rsid w:val="00821903"/>
    <w:rsid w:val="008229AD"/>
    <w:rsid w:val="00823345"/>
    <w:rsid w:val="00825B67"/>
    <w:rsid w:val="00826288"/>
    <w:rsid w:val="00831189"/>
    <w:rsid w:val="008319C6"/>
    <w:rsid w:val="008337AE"/>
    <w:rsid w:val="0083456F"/>
    <w:rsid w:val="00835275"/>
    <w:rsid w:val="00837E4E"/>
    <w:rsid w:val="00840BA3"/>
    <w:rsid w:val="00841088"/>
    <w:rsid w:val="008413B6"/>
    <w:rsid w:val="008417AD"/>
    <w:rsid w:val="0084428A"/>
    <w:rsid w:val="0084559B"/>
    <w:rsid w:val="00845995"/>
    <w:rsid w:val="00847176"/>
    <w:rsid w:val="00850326"/>
    <w:rsid w:val="0085209B"/>
    <w:rsid w:val="00852F97"/>
    <w:rsid w:val="00853694"/>
    <w:rsid w:val="00854085"/>
    <w:rsid w:val="00854121"/>
    <w:rsid w:val="008545E7"/>
    <w:rsid w:val="0085484A"/>
    <w:rsid w:val="00855648"/>
    <w:rsid w:val="0085744D"/>
    <w:rsid w:val="00860E57"/>
    <w:rsid w:val="008629EE"/>
    <w:rsid w:val="00865EF1"/>
    <w:rsid w:val="0087219B"/>
    <w:rsid w:val="008729CE"/>
    <w:rsid w:val="00873C0D"/>
    <w:rsid w:val="00874865"/>
    <w:rsid w:val="00880D76"/>
    <w:rsid w:val="008818D5"/>
    <w:rsid w:val="008843B0"/>
    <w:rsid w:val="0088485A"/>
    <w:rsid w:val="0088636C"/>
    <w:rsid w:val="008877B8"/>
    <w:rsid w:val="0088794F"/>
    <w:rsid w:val="00891C40"/>
    <w:rsid w:val="00894CA3"/>
    <w:rsid w:val="008960A0"/>
    <w:rsid w:val="0089649E"/>
    <w:rsid w:val="008971D6"/>
    <w:rsid w:val="008A28D9"/>
    <w:rsid w:val="008A3275"/>
    <w:rsid w:val="008A4AE4"/>
    <w:rsid w:val="008A4CEC"/>
    <w:rsid w:val="008B01BC"/>
    <w:rsid w:val="008B13AE"/>
    <w:rsid w:val="008B13C9"/>
    <w:rsid w:val="008B2BC3"/>
    <w:rsid w:val="008B40A0"/>
    <w:rsid w:val="008B55B0"/>
    <w:rsid w:val="008B5971"/>
    <w:rsid w:val="008B66F4"/>
    <w:rsid w:val="008B6B41"/>
    <w:rsid w:val="008B718B"/>
    <w:rsid w:val="008B72D3"/>
    <w:rsid w:val="008B79AE"/>
    <w:rsid w:val="008C26DE"/>
    <w:rsid w:val="008C318D"/>
    <w:rsid w:val="008C5B9C"/>
    <w:rsid w:val="008C5F55"/>
    <w:rsid w:val="008C73A4"/>
    <w:rsid w:val="008D09D6"/>
    <w:rsid w:val="008D1BC8"/>
    <w:rsid w:val="008D1DF9"/>
    <w:rsid w:val="008D1ED0"/>
    <w:rsid w:val="008D536A"/>
    <w:rsid w:val="008D5474"/>
    <w:rsid w:val="008D59B0"/>
    <w:rsid w:val="008D7C58"/>
    <w:rsid w:val="008E1DBF"/>
    <w:rsid w:val="008E22F8"/>
    <w:rsid w:val="008E42CB"/>
    <w:rsid w:val="008E565F"/>
    <w:rsid w:val="008E5FE5"/>
    <w:rsid w:val="008E6F52"/>
    <w:rsid w:val="008E74EC"/>
    <w:rsid w:val="008E785C"/>
    <w:rsid w:val="008E7D09"/>
    <w:rsid w:val="008F07A4"/>
    <w:rsid w:val="008F1904"/>
    <w:rsid w:val="008F34FA"/>
    <w:rsid w:val="008F6406"/>
    <w:rsid w:val="008F74AA"/>
    <w:rsid w:val="00901469"/>
    <w:rsid w:val="00901B87"/>
    <w:rsid w:val="00902FEC"/>
    <w:rsid w:val="00903139"/>
    <w:rsid w:val="009048E8"/>
    <w:rsid w:val="009068E7"/>
    <w:rsid w:val="0091064B"/>
    <w:rsid w:val="00911CA7"/>
    <w:rsid w:val="009128B6"/>
    <w:rsid w:val="00912D4A"/>
    <w:rsid w:val="00914D19"/>
    <w:rsid w:val="00917238"/>
    <w:rsid w:val="00921C61"/>
    <w:rsid w:val="009225C1"/>
    <w:rsid w:val="00925E74"/>
    <w:rsid w:val="0092727D"/>
    <w:rsid w:val="0093155C"/>
    <w:rsid w:val="00933701"/>
    <w:rsid w:val="00933CC7"/>
    <w:rsid w:val="009341D7"/>
    <w:rsid w:val="00934266"/>
    <w:rsid w:val="009344AC"/>
    <w:rsid w:val="009353BB"/>
    <w:rsid w:val="0093659C"/>
    <w:rsid w:val="00937B04"/>
    <w:rsid w:val="009419D5"/>
    <w:rsid w:val="0094291F"/>
    <w:rsid w:val="00952ABC"/>
    <w:rsid w:val="00953513"/>
    <w:rsid w:val="00953DC5"/>
    <w:rsid w:val="00954202"/>
    <w:rsid w:val="009542C6"/>
    <w:rsid w:val="0095594C"/>
    <w:rsid w:val="00955994"/>
    <w:rsid w:val="00956797"/>
    <w:rsid w:val="00957439"/>
    <w:rsid w:val="0096264E"/>
    <w:rsid w:val="00962AB8"/>
    <w:rsid w:val="00962DE9"/>
    <w:rsid w:val="0096448E"/>
    <w:rsid w:val="00964ECD"/>
    <w:rsid w:val="00965928"/>
    <w:rsid w:val="009662D3"/>
    <w:rsid w:val="00966FDB"/>
    <w:rsid w:val="00972BF0"/>
    <w:rsid w:val="00976ADF"/>
    <w:rsid w:val="00976B5C"/>
    <w:rsid w:val="00985440"/>
    <w:rsid w:val="009902A0"/>
    <w:rsid w:val="009906B5"/>
    <w:rsid w:val="00991897"/>
    <w:rsid w:val="00992D9F"/>
    <w:rsid w:val="009A14AE"/>
    <w:rsid w:val="009A1BEC"/>
    <w:rsid w:val="009A2C85"/>
    <w:rsid w:val="009A3B5C"/>
    <w:rsid w:val="009A7AF7"/>
    <w:rsid w:val="009B4ECF"/>
    <w:rsid w:val="009B4EFE"/>
    <w:rsid w:val="009B6D72"/>
    <w:rsid w:val="009B74BD"/>
    <w:rsid w:val="009B7C52"/>
    <w:rsid w:val="009C24BE"/>
    <w:rsid w:val="009C3E3F"/>
    <w:rsid w:val="009D23B4"/>
    <w:rsid w:val="009D284B"/>
    <w:rsid w:val="009D587A"/>
    <w:rsid w:val="009D67C5"/>
    <w:rsid w:val="009D7DB3"/>
    <w:rsid w:val="009E00E8"/>
    <w:rsid w:val="009E0FBB"/>
    <w:rsid w:val="009E279E"/>
    <w:rsid w:val="009E3D08"/>
    <w:rsid w:val="009E6BE6"/>
    <w:rsid w:val="009F39E5"/>
    <w:rsid w:val="009F3D37"/>
    <w:rsid w:val="009F5459"/>
    <w:rsid w:val="009F7D85"/>
    <w:rsid w:val="009F7FB5"/>
    <w:rsid w:val="00A01F07"/>
    <w:rsid w:val="00A02DC1"/>
    <w:rsid w:val="00A03500"/>
    <w:rsid w:val="00A0438E"/>
    <w:rsid w:val="00A04A56"/>
    <w:rsid w:val="00A04E46"/>
    <w:rsid w:val="00A058EC"/>
    <w:rsid w:val="00A062B2"/>
    <w:rsid w:val="00A11D01"/>
    <w:rsid w:val="00A11EC6"/>
    <w:rsid w:val="00A134F8"/>
    <w:rsid w:val="00A162C4"/>
    <w:rsid w:val="00A168A9"/>
    <w:rsid w:val="00A2178C"/>
    <w:rsid w:val="00A21CAE"/>
    <w:rsid w:val="00A248B1"/>
    <w:rsid w:val="00A26B90"/>
    <w:rsid w:val="00A30BE0"/>
    <w:rsid w:val="00A310BE"/>
    <w:rsid w:val="00A31790"/>
    <w:rsid w:val="00A32CC7"/>
    <w:rsid w:val="00A34317"/>
    <w:rsid w:val="00A360B6"/>
    <w:rsid w:val="00A37580"/>
    <w:rsid w:val="00A37F2E"/>
    <w:rsid w:val="00A402FD"/>
    <w:rsid w:val="00A40AE5"/>
    <w:rsid w:val="00A41381"/>
    <w:rsid w:val="00A449F6"/>
    <w:rsid w:val="00A45755"/>
    <w:rsid w:val="00A45EE5"/>
    <w:rsid w:val="00A45FD5"/>
    <w:rsid w:val="00A467A6"/>
    <w:rsid w:val="00A46DAE"/>
    <w:rsid w:val="00A51A86"/>
    <w:rsid w:val="00A52B64"/>
    <w:rsid w:val="00A54315"/>
    <w:rsid w:val="00A55B5D"/>
    <w:rsid w:val="00A57031"/>
    <w:rsid w:val="00A576AC"/>
    <w:rsid w:val="00A60F62"/>
    <w:rsid w:val="00A615E2"/>
    <w:rsid w:val="00A61AB2"/>
    <w:rsid w:val="00A62CF6"/>
    <w:rsid w:val="00A630CA"/>
    <w:rsid w:val="00A63574"/>
    <w:rsid w:val="00A66C36"/>
    <w:rsid w:val="00A70020"/>
    <w:rsid w:val="00A723D9"/>
    <w:rsid w:val="00A73471"/>
    <w:rsid w:val="00A73C4F"/>
    <w:rsid w:val="00A74CC0"/>
    <w:rsid w:val="00A769E5"/>
    <w:rsid w:val="00A80539"/>
    <w:rsid w:val="00A8066D"/>
    <w:rsid w:val="00A80B70"/>
    <w:rsid w:val="00A80C7C"/>
    <w:rsid w:val="00A810C5"/>
    <w:rsid w:val="00A81172"/>
    <w:rsid w:val="00A81C21"/>
    <w:rsid w:val="00A828D4"/>
    <w:rsid w:val="00A83CB2"/>
    <w:rsid w:val="00A84ECC"/>
    <w:rsid w:val="00A86155"/>
    <w:rsid w:val="00A86ABD"/>
    <w:rsid w:val="00A87DBD"/>
    <w:rsid w:val="00A9161C"/>
    <w:rsid w:val="00A91A38"/>
    <w:rsid w:val="00A93D79"/>
    <w:rsid w:val="00A94DDF"/>
    <w:rsid w:val="00A976B3"/>
    <w:rsid w:val="00AA0EDF"/>
    <w:rsid w:val="00AA14F7"/>
    <w:rsid w:val="00AA16C3"/>
    <w:rsid w:val="00AA2A17"/>
    <w:rsid w:val="00AA2FA8"/>
    <w:rsid w:val="00AA346D"/>
    <w:rsid w:val="00AA423C"/>
    <w:rsid w:val="00AA62FC"/>
    <w:rsid w:val="00AA6407"/>
    <w:rsid w:val="00AB0351"/>
    <w:rsid w:val="00AB0551"/>
    <w:rsid w:val="00AB1C26"/>
    <w:rsid w:val="00AB20FA"/>
    <w:rsid w:val="00AB219B"/>
    <w:rsid w:val="00AB272A"/>
    <w:rsid w:val="00AB65BE"/>
    <w:rsid w:val="00AC0F90"/>
    <w:rsid w:val="00AC2654"/>
    <w:rsid w:val="00AC69AF"/>
    <w:rsid w:val="00AC77AA"/>
    <w:rsid w:val="00AD12FE"/>
    <w:rsid w:val="00AD1340"/>
    <w:rsid w:val="00AD2544"/>
    <w:rsid w:val="00AD2D84"/>
    <w:rsid w:val="00AE2D71"/>
    <w:rsid w:val="00AE3644"/>
    <w:rsid w:val="00AE409D"/>
    <w:rsid w:val="00AF5820"/>
    <w:rsid w:val="00AF6061"/>
    <w:rsid w:val="00B0009A"/>
    <w:rsid w:val="00B00FF1"/>
    <w:rsid w:val="00B03C8C"/>
    <w:rsid w:val="00B046D5"/>
    <w:rsid w:val="00B1121D"/>
    <w:rsid w:val="00B11593"/>
    <w:rsid w:val="00B1403F"/>
    <w:rsid w:val="00B14A4A"/>
    <w:rsid w:val="00B15F60"/>
    <w:rsid w:val="00B217EE"/>
    <w:rsid w:val="00B21E00"/>
    <w:rsid w:val="00B21E4B"/>
    <w:rsid w:val="00B23667"/>
    <w:rsid w:val="00B24300"/>
    <w:rsid w:val="00B24D9A"/>
    <w:rsid w:val="00B24FD0"/>
    <w:rsid w:val="00B25863"/>
    <w:rsid w:val="00B2643C"/>
    <w:rsid w:val="00B26770"/>
    <w:rsid w:val="00B26FD4"/>
    <w:rsid w:val="00B274BA"/>
    <w:rsid w:val="00B30502"/>
    <w:rsid w:val="00B3413C"/>
    <w:rsid w:val="00B35AA6"/>
    <w:rsid w:val="00B35B5B"/>
    <w:rsid w:val="00B35BF8"/>
    <w:rsid w:val="00B3644A"/>
    <w:rsid w:val="00B36EF0"/>
    <w:rsid w:val="00B37346"/>
    <w:rsid w:val="00B41E2C"/>
    <w:rsid w:val="00B431DB"/>
    <w:rsid w:val="00B44E7E"/>
    <w:rsid w:val="00B45342"/>
    <w:rsid w:val="00B47099"/>
    <w:rsid w:val="00B50570"/>
    <w:rsid w:val="00B5185D"/>
    <w:rsid w:val="00B550A1"/>
    <w:rsid w:val="00B55832"/>
    <w:rsid w:val="00B566C5"/>
    <w:rsid w:val="00B572EF"/>
    <w:rsid w:val="00B602DA"/>
    <w:rsid w:val="00B606CB"/>
    <w:rsid w:val="00B61219"/>
    <w:rsid w:val="00B6286A"/>
    <w:rsid w:val="00B6365C"/>
    <w:rsid w:val="00B637CD"/>
    <w:rsid w:val="00B64301"/>
    <w:rsid w:val="00B721F2"/>
    <w:rsid w:val="00B7447E"/>
    <w:rsid w:val="00B76A96"/>
    <w:rsid w:val="00B808C3"/>
    <w:rsid w:val="00B80EC8"/>
    <w:rsid w:val="00B848D9"/>
    <w:rsid w:val="00B84E34"/>
    <w:rsid w:val="00B84EA9"/>
    <w:rsid w:val="00B86183"/>
    <w:rsid w:val="00B918EF"/>
    <w:rsid w:val="00B9309D"/>
    <w:rsid w:val="00B94565"/>
    <w:rsid w:val="00B9472A"/>
    <w:rsid w:val="00B96F25"/>
    <w:rsid w:val="00BA1D21"/>
    <w:rsid w:val="00BA2645"/>
    <w:rsid w:val="00BB000D"/>
    <w:rsid w:val="00BB00ED"/>
    <w:rsid w:val="00BB03D5"/>
    <w:rsid w:val="00BB0B73"/>
    <w:rsid w:val="00BB2C5B"/>
    <w:rsid w:val="00BB50AF"/>
    <w:rsid w:val="00BC147E"/>
    <w:rsid w:val="00BC2665"/>
    <w:rsid w:val="00BC2A13"/>
    <w:rsid w:val="00BC46B8"/>
    <w:rsid w:val="00BC6B9E"/>
    <w:rsid w:val="00BC778E"/>
    <w:rsid w:val="00BD4B70"/>
    <w:rsid w:val="00BD50ED"/>
    <w:rsid w:val="00BD6C74"/>
    <w:rsid w:val="00BD76D4"/>
    <w:rsid w:val="00BE01E1"/>
    <w:rsid w:val="00BE2430"/>
    <w:rsid w:val="00BE44D3"/>
    <w:rsid w:val="00BE5A2C"/>
    <w:rsid w:val="00BE68AE"/>
    <w:rsid w:val="00BE6C0F"/>
    <w:rsid w:val="00BE76DE"/>
    <w:rsid w:val="00BE7BC3"/>
    <w:rsid w:val="00BF5099"/>
    <w:rsid w:val="00BF5827"/>
    <w:rsid w:val="00BF6819"/>
    <w:rsid w:val="00C01564"/>
    <w:rsid w:val="00C10D91"/>
    <w:rsid w:val="00C23091"/>
    <w:rsid w:val="00C2585A"/>
    <w:rsid w:val="00C26BC4"/>
    <w:rsid w:val="00C274B8"/>
    <w:rsid w:val="00C31422"/>
    <w:rsid w:val="00C3185E"/>
    <w:rsid w:val="00C36F7F"/>
    <w:rsid w:val="00C4217F"/>
    <w:rsid w:val="00C43CA3"/>
    <w:rsid w:val="00C44B0F"/>
    <w:rsid w:val="00C46151"/>
    <w:rsid w:val="00C46780"/>
    <w:rsid w:val="00C47E60"/>
    <w:rsid w:val="00C47FBD"/>
    <w:rsid w:val="00C520E0"/>
    <w:rsid w:val="00C527D7"/>
    <w:rsid w:val="00C5306F"/>
    <w:rsid w:val="00C53B2D"/>
    <w:rsid w:val="00C5409B"/>
    <w:rsid w:val="00C55B87"/>
    <w:rsid w:val="00C5622D"/>
    <w:rsid w:val="00C5626D"/>
    <w:rsid w:val="00C6021C"/>
    <w:rsid w:val="00C6285B"/>
    <w:rsid w:val="00C628AC"/>
    <w:rsid w:val="00C63B25"/>
    <w:rsid w:val="00C64461"/>
    <w:rsid w:val="00C702E5"/>
    <w:rsid w:val="00C70425"/>
    <w:rsid w:val="00C7081F"/>
    <w:rsid w:val="00C72667"/>
    <w:rsid w:val="00C72E41"/>
    <w:rsid w:val="00C7360E"/>
    <w:rsid w:val="00C74711"/>
    <w:rsid w:val="00C74C73"/>
    <w:rsid w:val="00C76763"/>
    <w:rsid w:val="00C80BE3"/>
    <w:rsid w:val="00C838D6"/>
    <w:rsid w:val="00C83CCC"/>
    <w:rsid w:val="00C86833"/>
    <w:rsid w:val="00C927BA"/>
    <w:rsid w:val="00C93274"/>
    <w:rsid w:val="00C944E8"/>
    <w:rsid w:val="00C947A8"/>
    <w:rsid w:val="00CA1FE2"/>
    <w:rsid w:val="00CA3D5A"/>
    <w:rsid w:val="00CA48B4"/>
    <w:rsid w:val="00CA491B"/>
    <w:rsid w:val="00CB014B"/>
    <w:rsid w:val="00CB08A5"/>
    <w:rsid w:val="00CB1D20"/>
    <w:rsid w:val="00CB241E"/>
    <w:rsid w:val="00CB4AF2"/>
    <w:rsid w:val="00CB512D"/>
    <w:rsid w:val="00CB5B7B"/>
    <w:rsid w:val="00CB5EF4"/>
    <w:rsid w:val="00CB69A1"/>
    <w:rsid w:val="00CC2A3B"/>
    <w:rsid w:val="00CC2D80"/>
    <w:rsid w:val="00CC316E"/>
    <w:rsid w:val="00CC52E0"/>
    <w:rsid w:val="00CC5300"/>
    <w:rsid w:val="00CC5FB8"/>
    <w:rsid w:val="00CD131E"/>
    <w:rsid w:val="00CD1640"/>
    <w:rsid w:val="00CD1998"/>
    <w:rsid w:val="00CD2378"/>
    <w:rsid w:val="00CD37FC"/>
    <w:rsid w:val="00CD53CF"/>
    <w:rsid w:val="00CE217F"/>
    <w:rsid w:val="00CE6696"/>
    <w:rsid w:val="00CE66FB"/>
    <w:rsid w:val="00CE7155"/>
    <w:rsid w:val="00CF00EC"/>
    <w:rsid w:val="00CF02B7"/>
    <w:rsid w:val="00CF0CDB"/>
    <w:rsid w:val="00CF11FB"/>
    <w:rsid w:val="00CF2FC8"/>
    <w:rsid w:val="00CF5765"/>
    <w:rsid w:val="00CF68F7"/>
    <w:rsid w:val="00CF6E92"/>
    <w:rsid w:val="00CF7C96"/>
    <w:rsid w:val="00D00F09"/>
    <w:rsid w:val="00D01868"/>
    <w:rsid w:val="00D041AF"/>
    <w:rsid w:val="00D05366"/>
    <w:rsid w:val="00D05719"/>
    <w:rsid w:val="00D06153"/>
    <w:rsid w:val="00D06EA8"/>
    <w:rsid w:val="00D07B21"/>
    <w:rsid w:val="00D10B1A"/>
    <w:rsid w:val="00D11262"/>
    <w:rsid w:val="00D115CB"/>
    <w:rsid w:val="00D11F1A"/>
    <w:rsid w:val="00D13071"/>
    <w:rsid w:val="00D13105"/>
    <w:rsid w:val="00D136AC"/>
    <w:rsid w:val="00D1427F"/>
    <w:rsid w:val="00D15029"/>
    <w:rsid w:val="00D16C40"/>
    <w:rsid w:val="00D16FC5"/>
    <w:rsid w:val="00D2155A"/>
    <w:rsid w:val="00D25679"/>
    <w:rsid w:val="00D27131"/>
    <w:rsid w:val="00D27ACC"/>
    <w:rsid w:val="00D309D1"/>
    <w:rsid w:val="00D311AE"/>
    <w:rsid w:val="00D340F2"/>
    <w:rsid w:val="00D34ACE"/>
    <w:rsid w:val="00D351C1"/>
    <w:rsid w:val="00D3561F"/>
    <w:rsid w:val="00D3647A"/>
    <w:rsid w:val="00D3696F"/>
    <w:rsid w:val="00D36EC1"/>
    <w:rsid w:val="00D44B84"/>
    <w:rsid w:val="00D5062D"/>
    <w:rsid w:val="00D50D20"/>
    <w:rsid w:val="00D51F86"/>
    <w:rsid w:val="00D52922"/>
    <w:rsid w:val="00D52C11"/>
    <w:rsid w:val="00D54A9B"/>
    <w:rsid w:val="00D5670E"/>
    <w:rsid w:val="00D57174"/>
    <w:rsid w:val="00D602A1"/>
    <w:rsid w:val="00D6062D"/>
    <w:rsid w:val="00D608A2"/>
    <w:rsid w:val="00D60B7C"/>
    <w:rsid w:val="00D64506"/>
    <w:rsid w:val="00D64DA6"/>
    <w:rsid w:val="00D67E53"/>
    <w:rsid w:val="00D70CA6"/>
    <w:rsid w:val="00D73188"/>
    <w:rsid w:val="00D73379"/>
    <w:rsid w:val="00D739A7"/>
    <w:rsid w:val="00D740C8"/>
    <w:rsid w:val="00D747F7"/>
    <w:rsid w:val="00D756E1"/>
    <w:rsid w:val="00D758F1"/>
    <w:rsid w:val="00D75A1F"/>
    <w:rsid w:val="00D76DFA"/>
    <w:rsid w:val="00D77484"/>
    <w:rsid w:val="00D778DC"/>
    <w:rsid w:val="00D77915"/>
    <w:rsid w:val="00D802A0"/>
    <w:rsid w:val="00D808CD"/>
    <w:rsid w:val="00D81109"/>
    <w:rsid w:val="00D81332"/>
    <w:rsid w:val="00D814E3"/>
    <w:rsid w:val="00D821FD"/>
    <w:rsid w:val="00D84A8E"/>
    <w:rsid w:val="00D85063"/>
    <w:rsid w:val="00D90EE5"/>
    <w:rsid w:val="00D91D42"/>
    <w:rsid w:val="00D94157"/>
    <w:rsid w:val="00D95CDE"/>
    <w:rsid w:val="00DA0A6C"/>
    <w:rsid w:val="00DA1852"/>
    <w:rsid w:val="00DA1FDC"/>
    <w:rsid w:val="00DA49EE"/>
    <w:rsid w:val="00DA5FBB"/>
    <w:rsid w:val="00DA63BF"/>
    <w:rsid w:val="00DA6744"/>
    <w:rsid w:val="00DA6E58"/>
    <w:rsid w:val="00DA7223"/>
    <w:rsid w:val="00DB0979"/>
    <w:rsid w:val="00DB31F0"/>
    <w:rsid w:val="00DB3212"/>
    <w:rsid w:val="00DB3219"/>
    <w:rsid w:val="00DB4F1B"/>
    <w:rsid w:val="00DB5D7B"/>
    <w:rsid w:val="00DC0286"/>
    <w:rsid w:val="00DC09E5"/>
    <w:rsid w:val="00DC4757"/>
    <w:rsid w:val="00DC61FC"/>
    <w:rsid w:val="00DD168C"/>
    <w:rsid w:val="00DD194B"/>
    <w:rsid w:val="00DD67B9"/>
    <w:rsid w:val="00DD70BB"/>
    <w:rsid w:val="00DD7663"/>
    <w:rsid w:val="00DE1227"/>
    <w:rsid w:val="00DE13A6"/>
    <w:rsid w:val="00DE2497"/>
    <w:rsid w:val="00DE299A"/>
    <w:rsid w:val="00DE3A1F"/>
    <w:rsid w:val="00DE6282"/>
    <w:rsid w:val="00DE7090"/>
    <w:rsid w:val="00DE76CE"/>
    <w:rsid w:val="00DF2766"/>
    <w:rsid w:val="00DF4665"/>
    <w:rsid w:val="00DF55D6"/>
    <w:rsid w:val="00DF59F4"/>
    <w:rsid w:val="00E01B87"/>
    <w:rsid w:val="00E0268F"/>
    <w:rsid w:val="00E03038"/>
    <w:rsid w:val="00E03373"/>
    <w:rsid w:val="00E03F3C"/>
    <w:rsid w:val="00E04472"/>
    <w:rsid w:val="00E04BF0"/>
    <w:rsid w:val="00E05D88"/>
    <w:rsid w:val="00E078F9"/>
    <w:rsid w:val="00E10802"/>
    <w:rsid w:val="00E129D1"/>
    <w:rsid w:val="00E21612"/>
    <w:rsid w:val="00E22AA0"/>
    <w:rsid w:val="00E26942"/>
    <w:rsid w:val="00E31187"/>
    <w:rsid w:val="00E314E5"/>
    <w:rsid w:val="00E32004"/>
    <w:rsid w:val="00E326DE"/>
    <w:rsid w:val="00E327C4"/>
    <w:rsid w:val="00E3457C"/>
    <w:rsid w:val="00E37249"/>
    <w:rsid w:val="00E402B5"/>
    <w:rsid w:val="00E40359"/>
    <w:rsid w:val="00E468E4"/>
    <w:rsid w:val="00E50097"/>
    <w:rsid w:val="00E50AEE"/>
    <w:rsid w:val="00E50B2D"/>
    <w:rsid w:val="00E51B59"/>
    <w:rsid w:val="00E526C9"/>
    <w:rsid w:val="00E53620"/>
    <w:rsid w:val="00E56591"/>
    <w:rsid w:val="00E626EB"/>
    <w:rsid w:val="00E64620"/>
    <w:rsid w:val="00E6520B"/>
    <w:rsid w:val="00E65E0B"/>
    <w:rsid w:val="00E67081"/>
    <w:rsid w:val="00E70850"/>
    <w:rsid w:val="00E71D3C"/>
    <w:rsid w:val="00E7214E"/>
    <w:rsid w:val="00E72788"/>
    <w:rsid w:val="00E73FAC"/>
    <w:rsid w:val="00E76662"/>
    <w:rsid w:val="00E77372"/>
    <w:rsid w:val="00E803CB"/>
    <w:rsid w:val="00E81C44"/>
    <w:rsid w:val="00E85502"/>
    <w:rsid w:val="00E858D7"/>
    <w:rsid w:val="00E86C1C"/>
    <w:rsid w:val="00E952BF"/>
    <w:rsid w:val="00E9687F"/>
    <w:rsid w:val="00EA079E"/>
    <w:rsid w:val="00EA22BB"/>
    <w:rsid w:val="00EA2A05"/>
    <w:rsid w:val="00EA2A07"/>
    <w:rsid w:val="00EA474C"/>
    <w:rsid w:val="00EA6B55"/>
    <w:rsid w:val="00EA6F45"/>
    <w:rsid w:val="00EB0356"/>
    <w:rsid w:val="00EB0A72"/>
    <w:rsid w:val="00EB0C7E"/>
    <w:rsid w:val="00EB0E8E"/>
    <w:rsid w:val="00EB1013"/>
    <w:rsid w:val="00EB1120"/>
    <w:rsid w:val="00EB1F15"/>
    <w:rsid w:val="00EB2D7E"/>
    <w:rsid w:val="00EB69B4"/>
    <w:rsid w:val="00EB7EF2"/>
    <w:rsid w:val="00EC090D"/>
    <w:rsid w:val="00EC0C9B"/>
    <w:rsid w:val="00EC1068"/>
    <w:rsid w:val="00EC35A6"/>
    <w:rsid w:val="00EC46E2"/>
    <w:rsid w:val="00EC4BF6"/>
    <w:rsid w:val="00EC5CD0"/>
    <w:rsid w:val="00EC5D39"/>
    <w:rsid w:val="00EC6F75"/>
    <w:rsid w:val="00EC7591"/>
    <w:rsid w:val="00ED0A46"/>
    <w:rsid w:val="00ED0C2F"/>
    <w:rsid w:val="00ED12DC"/>
    <w:rsid w:val="00ED1A18"/>
    <w:rsid w:val="00ED2863"/>
    <w:rsid w:val="00ED3271"/>
    <w:rsid w:val="00ED6893"/>
    <w:rsid w:val="00ED717D"/>
    <w:rsid w:val="00ED774D"/>
    <w:rsid w:val="00EE0ABD"/>
    <w:rsid w:val="00EE20B0"/>
    <w:rsid w:val="00EE53F8"/>
    <w:rsid w:val="00EF0580"/>
    <w:rsid w:val="00EF2443"/>
    <w:rsid w:val="00EF4F29"/>
    <w:rsid w:val="00EF69F1"/>
    <w:rsid w:val="00F01357"/>
    <w:rsid w:val="00F029AE"/>
    <w:rsid w:val="00F029EF"/>
    <w:rsid w:val="00F041A9"/>
    <w:rsid w:val="00F074EC"/>
    <w:rsid w:val="00F1409E"/>
    <w:rsid w:val="00F14B46"/>
    <w:rsid w:val="00F16699"/>
    <w:rsid w:val="00F16B9A"/>
    <w:rsid w:val="00F17CCD"/>
    <w:rsid w:val="00F20122"/>
    <w:rsid w:val="00F23222"/>
    <w:rsid w:val="00F23608"/>
    <w:rsid w:val="00F23D73"/>
    <w:rsid w:val="00F254B8"/>
    <w:rsid w:val="00F318DD"/>
    <w:rsid w:val="00F34430"/>
    <w:rsid w:val="00F42327"/>
    <w:rsid w:val="00F42498"/>
    <w:rsid w:val="00F4525B"/>
    <w:rsid w:val="00F52698"/>
    <w:rsid w:val="00F52B2C"/>
    <w:rsid w:val="00F52FA2"/>
    <w:rsid w:val="00F55544"/>
    <w:rsid w:val="00F560BA"/>
    <w:rsid w:val="00F567CF"/>
    <w:rsid w:val="00F63B4A"/>
    <w:rsid w:val="00F66CFE"/>
    <w:rsid w:val="00F70F08"/>
    <w:rsid w:val="00F7493E"/>
    <w:rsid w:val="00F7649B"/>
    <w:rsid w:val="00F7665A"/>
    <w:rsid w:val="00F76F62"/>
    <w:rsid w:val="00F77CFE"/>
    <w:rsid w:val="00F800D1"/>
    <w:rsid w:val="00F80943"/>
    <w:rsid w:val="00F8252E"/>
    <w:rsid w:val="00F83440"/>
    <w:rsid w:val="00F856B2"/>
    <w:rsid w:val="00F874B3"/>
    <w:rsid w:val="00F874D1"/>
    <w:rsid w:val="00F87518"/>
    <w:rsid w:val="00F9165B"/>
    <w:rsid w:val="00F9276D"/>
    <w:rsid w:val="00F92842"/>
    <w:rsid w:val="00F9314E"/>
    <w:rsid w:val="00F93AF3"/>
    <w:rsid w:val="00F951C4"/>
    <w:rsid w:val="00F95947"/>
    <w:rsid w:val="00F95C3D"/>
    <w:rsid w:val="00FA1176"/>
    <w:rsid w:val="00FA3A35"/>
    <w:rsid w:val="00FA4EBA"/>
    <w:rsid w:val="00FA5270"/>
    <w:rsid w:val="00FA610C"/>
    <w:rsid w:val="00FA6E24"/>
    <w:rsid w:val="00FB2537"/>
    <w:rsid w:val="00FB37E8"/>
    <w:rsid w:val="00FB426A"/>
    <w:rsid w:val="00FB463E"/>
    <w:rsid w:val="00FB4B3F"/>
    <w:rsid w:val="00FB5083"/>
    <w:rsid w:val="00FB7685"/>
    <w:rsid w:val="00FC0064"/>
    <w:rsid w:val="00FC054F"/>
    <w:rsid w:val="00FC0F8C"/>
    <w:rsid w:val="00FC41A3"/>
    <w:rsid w:val="00FC4C2C"/>
    <w:rsid w:val="00FC51EB"/>
    <w:rsid w:val="00FC66B4"/>
    <w:rsid w:val="00FD19B7"/>
    <w:rsid w:val="00FD29AB"/>
    <w:rsid w:val="00FD349F"/>
    <w:rsid w:val="00FD46A5"/>
    <w:rsid w:val="00FD6871"/>
    <w:rsid w:val="00FD6E2F"/>
    <w:rsid w:val="00FD76EA"/>
    <w:rsid w:val="00FE3173"/>
    <w:rsid w:val="00FE3B53"/>
    <w:rsid w:val="00FE3D0F"/>
    <w:rsid w:val="00FE4F77"/>
    <w:rsid w:val="00FE53B8"/>
    <w:rsid w:val="00FE69D7"/>
    <w:rsid w:val="00FE6A82"/>
    <w:rsid w:val="00FE701C"/>
    <w:rsid w:val="00FF4802"/>
    <w:rsid w:val="00FF5D5F"/>
    <w:rsid w:val="00FF5F35"/>
    <w:rsid w:val="00FF68D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1479"/>
  <w15:docId w15:val="{412A7AA6-6959-4462-AAB6-BD43E854A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0AFB"/>
    <w:pPr>
      <w:spacing w:after="240" w:line="360" w:lineRule="auto"/>
    </w:pPr>
    <w:rPr>
      <w:rFonts w:eastAsiaTheme="minorEastAsia"/>
    </w:rPr>
  </w:style>
  <w:style w:type="paragraph" w:styleId="Heading1">
    <w:name w:val="heading 1"/>
    <w:basedOn w:val="Normal"/>
    <w:next w:val="Normal"/>
    <w:link w:val="Heading1Char"/>
    <w:uiPriority w:val="9"/>
    <w:qFormat/>
    <w:rsid w:val="001F71FF"/>
    <w:pPr>
      <w:outlineLvl w:val="0"/>
    </w:pPr>
    <w:rPr>
      <w:b/>
      <w:sz w:val="26"/>
      <w:szCs w:val="26"/>
    </w:rPr>
  </w:style>
  <w:style w:type="paragraph" w:styleId="Heading2">
    <w:name w:val="heading 2"/>
    <w:basedOn w:val="Heading1"/>
    <w:next w:val="Normal"/>
    <w:link w:val="Heading2Char"/>
    <w:uiPriority w:val="9"/>
    <w:unhideWhenUsed/>
    <w:qFormat/>
    <w:rsid w:val="001F71FF"/>
    <w:pPr>
      <w:outlineLvl w:val="1"/>
    </w:pPr>
    <w:rPr>
      <w:sz w:val="24"/>
      <w:szCs w:val="24"/>
    </w:rPr>
  </w:style>
  <w:style w:type="paragraph" w:styleId="Heading3">
    <w:name w:val="heading 3"/>
    <w:basedOn w:val="Normal"/>
    <w:next w:val="Normal"/>
    <w:link w:val="Heading3Char"/>
    <w:uiPriority w:val="9"/>
    <w:unhideWhenUsed/>
    <w:qFormat/>
    <w:rsid w:val="00553665"/>
    <w:p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0AF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4F77"/>
    <w:pPr>
      <w:ind w:left="720"/>
      <w:contextualSpacing/>
    </w:pPr>
  </w:style>
  <w:style w:type="character" w:customStyle="1" w:styleId="Heading1Char">
    <w:name w:val="Heading 1 Char"/>
    <w:basedOn w:val="DefaultParagraphFont"/>
    <w:link w:val="Heading1"/>
    <w:uiPriority w:val="9"/>
    <w:rsid w:val="001F71FF"/>
    <w:rPr>
      <w:rFonts w:eastAsiaTheme="minorEastAsia"/>
      <w:b/>
      <w:sz w:val="26"/>
      <w:szCs w:val="26"/>
    </w:rPr>
  </w:style>
  <w:style w:type="character" w:customStyle="1" w:styleId="Heading2Char">
    <w:name w:val="Heading 2 Char"/>
    <w:basedOn w:val="DefaultParagraphFont"/>
    <w:link w:val="Heading2"/>
    <w:uiPriority w:val="9"/>
    <w:rsid w:val="001F71FF"/>
    <w:rPr>
      <w:rFonts w:eastAsiaTheme="minorEastAsia"/>
      <w:b/>
      <w:sz w:val="24"/>
      <w:szCs w:val="24"/>
    </w:rPr>
  </w:style>
  <w:style w:type="paragraph" w:customStyle="1" w:styleId="Beforetables">
    <w:name w:val="Before tables"/>
    <w:basedOn w:val="Normal"/>
    <w:link w:val="BeforetablesChar"/>
    <w:qFormat/>
    <w:rsid w:val="0093659C"/>
    <w:pPr>
      <w:spacing w:after="0"/>
    </w:pPr>
    <w:rPr>
      <w:sz w:val="8"/>
      <w:szCs w:val="8"/>
    </w:rPr>
  </w:style>
  <w:style w:type="character" w:customStyle="1" w:styleId="BeforetablesChar">
    <w:name w:val="Before tables Char"/>
    <w:basedOn w:val="DefaultParagraphFont"/>
    <w:link w:val="Beforetables"/>
    <w:rsid w:val="0093659C"/>
    <w:rPr>
      <w:rFonts w:eastAsiaTheme="minorEastAsia"/>
      <w:sz w:val="8"/>
      <w:szCs w:val="8"/>
    </w:rPr>
  </w:style>
  <w:style w:type="paragraph" w:styleId="Bibliography">
    <w:name w:val="Bibliography"/>
    <w:basedOn w:val="Normal"/>
    <w:next w:val="Normal"/>
    <w:uiPriority w:val="37"/>
    <w:unhideWhenUsed/>
    <w:rsid w:val="004F7002"/>
    <w:pPr>
      <w:tabs>
        <w:tab w:val="left" w:pos="384"/>
      </w:tabs>
      <w:spacing w:line="240" w:lineRule="auto"/>
      <w:ind w:left="384" w:hanging="384"/>
    </w:pPr>
  </w:style>
  <w:style w:type="character" w:styleId="Hyperlink">
    <w:name w:val="Hyperlink"/>
    <w:basedOn w:val="DefaultParagraphFont"/>
    <w:uiPriority w:val="99"/>
    <w:unhideWhenUsed/>
    <w:rsid w:val="00D340F2"/>
    <w:rPr>
      <w:color w:val="0563C1" w:themeColor="hyperlink"/>
      <w:u w:val="single"/>
    </w:rPr>
  </w:style>
  <w:style w:type="paragraph" w:customStyle="1" w:styleId="EndNoteBibliographyTitle">
    <w:name w:val="EndNote Bibliography Title"/>
    <w:basedOn w:val="Normal"/>
    <w:link w:val="EndNoteBibliographyTitleChar"/>
    <w:rsid w:val="00413394"/>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13394"/>
    <w:rPr>
      <w:rFonts w:ascii="Calibri" w:eastAsiaTheme="minorEastAsia" w:hAnsi="Calibri" w:cs="Calibri"/>
      <w:noProof/>
      <w:lang w:val="en-US"/>
    </w:rPr>
  </w:style>
  <w:style w:type="paragraph" w:customStyle="1" w:styleId="EndNoteBibliography">
    <w:name w:val="EndNote Bibliography"/>
    <w:basedOn w:val="Normal"/>
    <w:link w:val="EndNoteBibliographyChar"/>
    <w:rsid w:val="00413394"/>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13394"/>
    <w:rPr>
      <w:rFonts w:ascii="Calibri" w:eastAsiaTheme="minorEastAsia" w:hAnsi="Calibri" w:cs="Calibri"/>
      <w:noProof/>
      <w:lang w:val="en-US"/>
    </w:rPr>
  </w:style>
  <w:style w:type="character" w:styleId="CommentReference">
    <w:name w:val="annotation reference"/>
    <w:basedOn w:val="DefaultParagraphFont"/>
    <w:uiPriority w:val="99"/>
    <w:semiHidden/>
    <w:unhideWhenUsed/>
    <w:rsid w:val="007116CB"/>
    <w:rPr>
      <w:sz w:val="16"/>
      <w:szCs w:val="16"/>
    </w:rPr>
  </w:style>
  <w:style w:type="paragraph" w:styleId="CommentText">
    <w:name w:val="annotation text"/>
    <w:basedOn w:val="Normal"/>
    <w:link w:val="CommentTextChar"/>
    <w:uiPriority w:val="99"/>
    <w:semiHidden/>
    <w:unhideWhenUsed/>
    <w:rsid w:val="007116CB"/>
    <w:pPr>
      <w:spacing w:line="240" w:lineRule="auto"/>
    </w:pPr>
    <w:rPr>
      <w:sz w:val="20"/>
      <w:szCs w:val="20"/>
    </w:rPr>
  </w:style>
  <w:style w:type="character" w:customStyle="1" w:styleId="CommentTextChar">
    <w:name w:val="Comment Text Char"/>
    <w:basedOn w:val="DefaultParagraphFont"/>
    <w:link w:val="CommentText"/>
    <w:uiPriority w:val="99"/>
    <w:semiHidden/>
    <w:rsid w:val="007116C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7116CB"/>
    <w:rPr>
      <w:b/>
      <w:bCs/>
    </w:rPr>
  </w:style>
  <w:style w:type="character" w:customStyle="1" w:styleId="CommentSubjectChar">
    <w:name w:val="Comment Subject Char"/>
    <w:basedOn w:val="CommentTextChar"/>
    <w:link w:val="CommentSubject"/>
    <w:uiPriority w:val="99"/>
    <w:semiHidden/>
    <w:rsid w:val="007116CB"/>
    <w:rPr>
      <w:rFonts w:eastAsiaTheme="minorEastAsia"/>
      <w:b/>
      <w:bCs/>
      <w:sz w:val="20"/>
      <w:szCs w:val="20"/>
    </w:rPr>
  </w:style>
  <w:style w:type="paragraph" w:styleId="BalloonText">
    <w:name w:val="Balloon Text"/>
    <w:basedOn w:val="Normal"/>
    <w:link w:val="BalloonTextChar"/>
    <w:uiPriority w:val="99"/>
    <w:semiHidden/>
    <w:unhideWhenUsed/>
    <w:rsid w:val="007116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6CB"/>
    <w:rPr>
      <w:rFonts w:ascii="Tahoma" w:eastAsiaTheme="minorEastAsia" w:hAnsi="Tahoma" w:cs="Tahoma"/>
      <w:sz w:val="16"/>
      <w:szCs w:val="16"/>
    </w:rPr>
  </w:style>
  <w:style w:type="character" w:customStyle="1" w:styleId="UnresolvedMention1">
    <w:name w:val="Unresolved Mention1"/>
    <w:basedOn w:val="DefaultParagraphFont"/>
    <w:uiPriority w:val="99"/>
    <w:semiHidden/>
    <w:unhideWhenUsed/>
    <w:rsid w:val="00C838D6"/>
    <w:rPr>
      <w:color w:val="808080"/>
      <w:shd w:val="clear" w:color="auto" w:fill="E6E6E6"/>
    </w:rPr>
  </w:style>
  <w:style w:type="character" w:styleId="Emphasis">
    <w:name w:val="Emphasis"/>
    <w:basedOn w:val="DefaultParagraphFont"/>
    <w:uiPriority w:val="20"/>
    <w:qFormat/>
    <w:rsid w:val="000513C0"/>
    <w:rPr>
      <w:i/>
      <w:iCs/>
    </w:rPr>
  </w:style>
  <w:style w:type="character" w:customStyle="1" w:styleId="Heading3Char">
    <w:name w:val="Heading 3 Char"/>
    <w:basedOn w:val="DefaultParagraphFont"/>
    <w:link w:val="Heading3"/>
    <w:uiPriority w:val="9"/>
    <w:rsid w:val="00553665"/>
    <w:rPr>
      <w:rFonts w:eastAsiaTheme="minorEastAsia"/>
      <w:u w:val="single"/>
    </w:rPr>
  </w:style>
  <w:style w:type="character" w:customStyle="1" w:styleId="Menzionenonrisolta1">
    <w:name w:val="Menzione non risolta1"/>
    <w:basedOn w:val="DefaultParagraphFont"/>
    <w:uiPriority w:val="99"/>
    <w:semiHidden/>
    <w:unhideWhenUsed/>
    <w:rsid w:val="00A81C21"/>
    <w:rPr>
      <w:color w:val="605E5C"/>
      <w:shd w:val="clear" w:color="auto" w:fill="E1DFDD"/>
    </w:rPr>
  </w:style>
  <w:style w:type="paragraph" w:styleId="Revision">
    <w:name w:val="Revision"/>
    <w:hidden/>
    <w:uiPriority w:val="99"/>
    <w:semiHidden/>
    <w:rsid w:val="00BB000D"/>
    <w:pPr>
      <w:spacing w:after="0" w:line="240" w:lineRule="auto"/>
    </w:pPr>
    <w:rPr>
      <w:rFonts w:eastAsiaTheme="minorEastAsia"/>
    </w:rPr>
  </w:style>
  <w:style w:type="character" w:customStyle="1" w:styleId="UnresolvedMention2">
    <w:name w:val="Unresolved Mention2"/>
    <w:basedOn w:val="DefaultParagraphFont"/>
    <w:uiPriority w:val="99"/>
    <w:semiHidden/>
    <w:unhideWhenUsed/>
    <w:rsid w:val="006A727A"/>
    <w:rPr>
      <w:color w:val="808080"/>
      <w:shd w:val="clear" w:color="auto" w:fill="E6E6E6"/>
    </w:rPr>
  </w:style>
  <w:style w:type="character" w:styleId="LineNumber">
    <w:name w:val="line number"/>
    <w:basedOn w:val="DefaultParagraphFont"/>
    <w:uiPriority w:val="99"/>
    <w:semiHidden/>
    <w:unhideWhenUsed/>
    <w:rsid w:val="008F0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19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ee.smith@anglia.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jackson@ucl.ac.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5BF4-B2D3-4BC0-8978-DE531801A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20050</Words>
  <Characters>114287</Characters>
  <Application>Microsoft Office Word</Application>
  <DocSecurity>0</DocSecurity>
  <Lines>952</Lines>
  <Paragraphs>268</Paragraphs>
  <ScaleCrop>false</ScaleCrop>
  <HeadingPairs>
    <vt:vector size="6" baseType="variant">
      <vt:variant>
        <vt:lpstr>Title</vt:lpstr>
      </vt:variant>
      <vt:variant>
        <vt:i4>1</vt:i4>
      </vt:variant>
      <vt:variant>
        <vt:lpstr>Konu Başlığı</vt:lpstr>
      </vt:variant>
      <vt:variant>
        <vt:i4>1</vt:i4>
      </vt:variant>
      <vt:variant>
        <vt:lpstr>Titolo</vt:lpstr>
      </vt:variant>
      <vt:variant>
        <vt:i4>1</vt:i4>
      </vt:variant>
    </vt:vector>
  </HeadingPairs>
  <TitlesOfParts>
    <vt:vector size="3" baseType="lpstr">
      <vt:lpstr/>
      <vt:lpstr/>
      <vt:lpstr/>
    </vt:vector>
  </TitlesOfParts>
  <Company>University College London</Company>
  <LinksUpToDate>false</LinksUpToDate>
  <CharactersWithSpaces>134069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Jackson</dc:creator>
  <cp:lastModifiedBy>Lee Smith</cp:lastModifiedBy>
  <cp:revision>2</cp:revision>
  <dcterms:created xsi:type="dcterms:W3CDTF">2019-08-20T17:26:00Z</dcterms:created>
  <dcterms:modified xsi:type="dcterms:W3CDTF">2019-08-20T17:26:00Z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zotero-version="5.0.55"&gt;&lt;session id="1agNCmNo"/&gt;&lt;style id="http://www.zotero.org/styles/vancouver" locale="en-US" hasBibliography="1" bibliographyStyleHasBeenSet="1"/&gt;&lt;prefs&gt;&lt;pref name="fieldType" value="Field"/&gt;&lt;pref name="storeRef</vt:lpwstr>
  </property>
  <property fmtid="{D5CDD505-2E9C-101B-9397-08002B2CF9AE}" pid="3" name="ZOTERO_PREF_2">
    <vt:lpwstr>erences" value="true"/&gt;&lt;pref name="automaticJournalAbbreviations" value="true"/&gt;&lt;/prefs&gt;&lt;/data&gt;</vt:lpwstr>
  </property>
</Properties>
</file>