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F12C80" w14:textId="3C370FC4" w:rsidR="008D49AF" w:rsidRDefault="00A4290F" w:rsidP="00D55BAF">
      <w:pPr>
        <w:pStyle w:val="Heading1"/>
        <w:rPr>
          <w:sz w:val="26"/>
          <w:szCs w:val="26"/>
        </w:rPr>
      </w:pPr>
      <w:r w:rsidRPr="000117B4">
        <w:rPr>
          <w:sz w:val="26"/>
          <w:szCs w:val="26"/>
        </w:rPr>
        <w:t>Perceived discrimination, health and wellbeing among</w:t>
      </w:r>
      <w:r w:rsidR="004221DD">
        <w:rPr>
          <w:sz w:val="26"/>
          <w:szCs w:val="26"/>
        </w:rPr>
        <w:t xml:space="preserve"> middle-aged and</w:t>
      </w:r>
      <w:r w:rsidRPr="000117B4">
        <w:rPr>
          <w:sz w:val="26"/>
          <w:szCs w:val="26"/>
        </w:rPr>
        <w:t xml:space="preserve"> </w:t>
      </w:r>
      <w:r w:rsidR="000256CC">
        <w:rPr>
          <w:sz w:val="26"/>
          <w:szCs w:val="26"/>
        </w:rPr>
        <w:t xml:space="preserve">older </w:t>
      </w:r>
      <w:r w:rsidRPr="000117B4">
        <w:rPr>
          <w:sz w:val="26"/>
          <w:szCs w:val="26"/>
        </w:rPr>
        <w:t xml:space="preserve">lesbian, gay and bisexual </w:t>
      </w:r>
      <w:r w:rsidR="005E2711">
        <w:rPr>
          <w:sz w:val="26"/>
          <w:szCs w:val="26"/>
        </w:rPr>
        <w:t>people</w:t>
      </w:r>
      <w:r w:rsidRPr="000117B4">
        <w:rPr>
          <w:sz w:val="26"/>
          <w:szCs w:val="26"/>
        </w:rPr>
        <w:t>: a prospective study</w:t>
      </w:r>
    </w:p>
    <w:p w14:paraId="384CF3AF" w14:textId="346F820F" w:rsidR="004E7467" w:rsidRDefault="004E7467" w:rsidP="004E7467"/>
    <w:p w14:paraId="34DD4F05" w14:textId="2286ACCE" w:rsidR="004E7467" w:rsidRPr="00355CEF" w:rsidRDefault="004E7467" w:rsidP="00355CEF">
      <w:pPr>
        <w:jc w:val="center"/>
        <w:rPr>
          <w:b/>
        </w:rPr>
      </w:pPr>
      <w:r w:rsidRPr="00355CEF">
        <w:rPr>
          <w:b/>
        </w:rPr>
        <w:t>Sarah E. Jackson</w:t>
      </w:r>
      <w:r w:rsidRPr="00355CEF">
        <w:rPr>
          <w:b/>
          <w:vertAlign w:val="superscript"/>
        </w:rPr>
        <w:t>1</w:t>
      </w:r>
      <w:r w:rsidRPr="00355CEF">
        <w:rPr>
          <w:b/>
        </w:rPr>
        <w:t>, Ruth A. Hackett</w:t>
      </w:r>
      <w:r w:rsidRPr="00355CEF">
        <w:rPr>
          <w:b/>
          <w:vertAlign w:val="superscript"/>
        </w:rPr>
        <w:t>1</w:t>
      </w:r>
      <w:r w:rsidRPr="00355CEF">
        <w:rPr>
          <w:b/>
        </w:rPr>
        <w:t>, Igor Grabovac</w:t>
      </w:r>
      <w:r w:rsidRPr="00355CEF">
        <w:rPr>
          <w:b/>
          <w:vertAlign w:val="superscript"/>
        </w:rPr>
        <w:t>2</w:t>
      </w:r>
      <w:r w:rsidRPr="00355CEF">
        <w:rPr>
          <w:b/>
        </w:rPr>
        <w:t>, Lee Smith</w:t>
      </w:r>
      <w:r w:rsidRPr="00355CEF">
        <w:rPr>
          <w:b/>
          <w:vertAlign w:val="superscript"/>
        </w:rPr>
        <w:t>3</w:t>
      </w:r>
      <w:r w:rsidRPr="00355CEF">
        <w:rPr>
          <w:b/>
        </w:rPr>
        <w:t>, Andrew Steptoe</w:t>
      </w:r>
      <w:r w:rsidRPr="00355CEF">
        <w:rPr>
          <w:b/>
          <w:vertAlign w:val="superscript"/>
        </w:rPr>
        <w:t>1</w:t>
      </w:r>
    </w:p>
    <w:p w14:paraId="4D45058A" w14:textId="625F8B2E" w:rsidR="00A4290F" w:rsidRDefault="00A4290F" w:rsidP="00A4290F"/>
    <w:p w14:paraId="066B3CBB" w14:textId="77777777" w:rsidR="00E61402" w:rsidRDefault="00E61402" w:rsidP="00A4290F"/>
    <w:p w14:paraId="13DEAE8A" w14:textId="1F20D13F" w:rsidR="004E7467" w:rsidRPr="00CE60B0" w:rsidRDefault="004E7467" w:rsidP="004E7467">
      <w:r>
        <w:rPr>
          <w:vertAlign w:val="superscript"/>
        </w:rPr>
        <w:t xml:space="preserve">1 </w:t>
      </w:r>
      <w:r w:rsidRPr="00CE60B0">
        <w:t>Department of Behavioural Science and Health, University College London, London, UK</w:t>
      </w:r>
    </w:p>
    <w:p w14:paraId="45C59F20" w14:textId="32F9E64B" w:rsidR="004E7467" w:rsidRPr="00CE60B0" w:rsidRDefault="004E7467" w:rsidP="004E7467">
      <w:r w:rsidRPr="004E7467">
        <w:rPr>
          <w:vertAlign w:val="superscript"/>
        </w:rPr>
        <w:t>2</w:t>
      </w:r>
      <w:r>
        <w:t xml:space="preserve"> Department of Social and Preventive Medicine, Center for Public Health, Medical University of Vienna, Vienna, Austria</w:t>
      </w:r>
    </w:p>
    <w:p w14:paraId="49765D13" w14:textId="55AF4049" w:rsidR="004E7467" w:rsidRPr="00CE60B0" w:rsidRDefault="004E7467" w:rsidP="004E7467">
      <w:r>
        <w:rPr>
          <w:vertAlign w:val="superscript"/>
        </w:rPr>
        <w:t xml:space="preserve">3 </w:t>
      </w:r>
      <w:r w:rsidRPr="00974312">
        <w:t>Cambridge Centre for Sport and Exercise Sciences, Anglia Ruskin University, Cambridge</w:t>
      </w:r>
      <w:r w:rsidR="000A18A9">
        <w:t>, UK</w:t>
      </w:r>
    </w:p>
    <w:p w14:paraId="44CC02FB" w14:textId="77777777" w:rsidR="004E7467" w:rsidRPr="00A4290F" w:rsidRDefault="004E7467" w:rsidP="00A4290F"/>
    <w:p w14:paraId="424A7B77" w14:textId="47CFAF7B" w:rsidR="000A18A9" w:rsidRPr="00485151" w:rsidRDefault="000A18A9" w:rsidP="000A18A9">
      <w:pPr>
        <w:spacing w:after="0" w:line="480" w:lineRule="auto"/>
        <w:rPr>
          <w:rFonts w:cstheme="minorHAnsi"/>
        </w:rPr>
      </w:pPr>
      <w:r w:rsidRPr="00D55BAF">
        <w:rPr>
          <w:rFonts w:cstheme="minorHAnsi"/>
          <w:b/>
        </w:rPr>
        <w:t xml:space="preserve">Key words: </w:t>
      </w:r>
      <w:r w:rsidR="00485151">
        <w:rPr>
          <w:rFonts w:cstheme="minorHAnsi"/>
        </w:rPr>
        <w:t>discrimination; stigma; prejudice; older adults; sexual orientation; gay; lesbian; bisexual</w:t>
      </w:r>
    </w:p>
    <w:p w14:paraId="3E6F69C2" w14:textId="04D98F0B" w:rsidR="000A18A9" w:rsidRPr="00D55BAF" w:rsidRDefault="000A18A9" w:rsidP="000A18A9">
      <w:pPr>
        <w:spacing w:after="0" w:line="480" w:lineRule="auto"/>
        <w:rPr>
          <w:rFonts w:cstheme="minorHAnsi"/>
        </w:rPr>
      </w:pPr>
      <w:r w:rsidRPr="00D55BAF">
        <w:rPr>
          <w:rFonts w:cstheme="minorHAnsi"/>
          <w:b/>
        </w:rPr>
        <w:t>Word count:</w:t>
      </w:r>
      <w:r w:rsidRPr="00D55BAF">
        <w:rPr>
          <w:rFonts w:cstheme="minorHAnsi"/>
        </w:rPr>
        <w:t xml:space="preserve"> </w:t>
      </w:r>
      <w:r w:rsidR="00D0554F">
        <w:rPr>
          <w:rFonts w:cstheme="minorHAnsi"/>
        </w:rPr>
        <w:t>4,</w:t>
      </w:r>
      <w:r w:rsidR="001A3647">
        <w:rPr>
          <w:rFonts w:cstheme="minorHAnsi"/>
        </w:rPr>
        <w:t>513</w:t>
      </w:r>
    </w:p>
    <w:p w14:paraId="732F0195" w14:textId="3F734F56" w:rsidR="000A18A9" w:rsidRPr="00D55BAF" w:rsidRDefault="000A18A9" w:rsidP="000A18A9">
      <w:pPr>
        <w:spacing w:after="0" w:line="480" w:lineRule="auto"/>
        <w:rPr>
          <w:rFonts w:cstheme="minorHAnsi"/>
          <w:b/>
        </w:rPr>
      </w:pPr>
      <w:r w:rsidRPr="00D55BAF">
        <w:rPr>
          <w:rFonts w:cstheme="minorHAnsi"/>
          <w:b/>
        </w:rPr>
        <w:t>Number of tables:</w:t>
      </w:r>
      <w:r w:rsidRPr="00D55BAF">
        <w:rPr>
          <w:rFonts w:cstheme="minorHAnsi"/>
        </w:rPr>
        <w:t xml:space="preserve"> </w:t>
      </w:r>
      <w:r w:rsidR="007A5B1D">
        <w:rPr>
          <w:rFonts w:cstheme="minorHAnsi"/>
        </w:rPr>
        <w:t>3</w:t>
      </w:r>
    </w:p>
    <w:p w14:paraId="6D5C96F4" w14:textId="77777777" w:rsidR="000A18A9" w:rsidRPr="00D55BAF" w:rsidRDefault="000A18A9" w:rsidP="000A18A9">
      <w:pPr>
        <w:spacing w:after="0" w:line="480" w:lineRule="auto"/>
        <w:rPr>
          <w:rFonts w:cstheme="minorHAnsi"/>
        </w:rPr>
      </w:pPr>
      <w:r w:rsidRPr="00D55BAF">
        <w:rPr>
          <w:rFonts w:cstheme="minorHAnsi"/>
          <w:b/>
        </w:rPr>
        <w:t>Corresponding author:</w:t>
      </w:r>
      <w:r w:rsidRPr="00D55BAF">
        <w:rPr>
          <w:rFonts w:cstheme="minorHAnsi"/>
        </w:rPr>
        <w:t xml:space="preserve"> Sarah E Jackson, PhD. Department of Behavioural Science and Health, University College London, 1-19 Torrington Place, London WC1E 6BT</w:t>
      </w:r>
    </w:p>
    <w:p w14:paraId="14180927" w14:textId="77777777" w:rsidR="000A18A9" w:rsidRPr="00D55BAF" w:rsidRDefault="000A18A9" w:rsidP="000A18A9">
      <w:pPr>
        <w:spacing w:after="0" w:line="480" w:lineRule="auto"/>
        <w:rPr>
          <w:rFonts w:cstheme="minorHAnsi"/>
        </w:rPr>
      </w:pPr>
      <w:r w:rsidRPr="00D55BAF">
        <w:rPr>
          <w:rFonts w:cstheme="minorHAnsi"/>
        </w:rPr>
        <w:t>Tel: (44) 207 679 3179</w:t>
      </w:r>
    </w:p>
    <w:p w14:paraId="7923D00B" w14:textId="77777777" w:rsidR="000A18A9" w:rsidRPr="00D55BAF" w:rsidRDefault="000A18A9" w:rsidP="000A18A9">
      <w:pPr>
        <w:spacing w:after="0" w:line="480" w:lineRule="auto"/>
        <w:rPr>
          <w:rFonts w:cstheme="minorHAnsi"/>
        </w:rPr>
      </w:pPr>
      <w:r w:rsidRPr="00D55BAF">
        <w:rPr>
          <w:rFonts w:cstheme="minorHAnsi"/>
        </w:rPr>
        <w:t>Fax: (44) 207 916 8354</w:t>
      </w:r>
    </w:p>
    <w:p w14:paraId="6DF11CA5" w14:textId="77777777" w:rsidR="000A18A9" w:rsidRPr="00D55BAF" w:rsidRDefault="005478E6" w:rsidP="000A18A9">
      <w:pPr>
        <w:spacing w:after="0"/>
        <w:rPr>
          <w:rFonts w:cstheme="minorHAnsi"/>
          <w:b/>
        </w:rPr>
      </w:pPr>
      <w:hyperlink r:id="rId8" w:history="1">
        <w:r w:rsidR="000A18A9" w:rsidRPr="00D55BAF">
          <w:rPr>
            <w:rStyle w:val="Hyperlink"/>
            <w:rFonts w:cstheme="minorHAnsi"/>
          </w:rPr>
          <w:t>s.e.jackson@ucl.ac.uk</w:t>
        </w:r>
      </w:hyperlink>
    </w:p>
    <w:p w14:paraId="511CE308" w14:textId="29435F3D" w:rsidR="000A18A9" w:rsidRPr="000A18A9" w:rsidRDefault="000A18A9">
      <w:pPr>
        <w:spacing w:after="200" w:line="276" w:lineRule="auto"/>
      </w:pPr>
      <w:r>
        <w:br w:type="page"/>
      </w:r>
    </w:p>
    <w:p w14:paraId="30F69974" w14:textId="77777777" w:rsidR="000A18A9" w:rsidRPr="00D55BAF" w:rsidRDefault="000A18A9" w:rsidP="000A18A9">
      <w:pPr>
        <w:pStyle w:val="Heading2"/>
      </w:pPr>
      <w:r w:rsidRPr="00D55BAF">
        <w:lastRenderedPageBreak/>
        <w:t>Abstract</w:t>
      </w:r>
    </w:p>
    <w:p w14:paraId="7F69B208" w14:textId="5815B420" w:rsidR="000A18A9" w:rsidRPr="00D55BAF" w:rsidRDefault="00CB6FA3" w:rsidP="000A18A9">
      <w:pPr>
        <w:rPr>
          <w:rFonts w:cstheme="minorHAnsi"/>
        </w:rPr>
      </w:pPr>
      <w:r>
        <w:rPr>
          <w:rFonts w:cstheme="minorHAnsi"/>
          <w:b/>
        </w:rPr>
        <w:t>Objective</w:t>
      </w:r>
      <w:r w:rsidR="000A18A9" w:rsidRPr="00D55BAF">
        <w:rPr>
          <w:rFonts w:cstheme="minorHAnsi"/>
          <w:b/>
        </w:rPr>
        <w:t>:</w:t>
      </w:r>
      <w:r w:rsidR="000A18A9" w:rsidRPr="00D55BAF">
        <w:rPr>
          <w:rFonts w:cstheme="minorHAnsi"/>
        </w:rPr>
        <w:t xml:space="preserve">  </w:t>
      </w:r>
      <w:r>
        <w:t xml:space="preserve">To examine </w:t>
      </w:r>
      <w:bookmarkStart w:id="0" w:name="_Hlk5906391"/>
      <w:r w:rsidR="001B5D2A">
        <w:t xml:space="preserve">cross-sectional and prospective </w:t>
      </w:r>
      <w:r>
        <w:t>associations between perceived</w:t>
      </w:r>
      <w:r w:rsidR="00713397">
        <w:t xml:space="preserve"> </w:t>
      </w:r>
      <w:r>
        <w:t>discrimination</w:t>
      </w:r>
      <w:r w:rsidR="00303B06">
        <w:t xml:space="preserve"> in daily life</w:t>
      </w:r>
      <w:r>
        <w:t xml:space="preserve"> </w:t>
      </w:r>
      <w:r w:rsidR="00713397">
        <w:t>(based on a</w:t>
      </w:r>
      <w:r w:rsidR="00303B06">
        <w:t xml:space="preserve"> range</w:t>
      </w:r>
      <w:r w:rsidR="00713397">
        <w:t xml:space="preserve"> </w:t>
      </w:r>
      <w:r w:rsidR="00303B06">
        <w:t xml:space="preserve">of </w:t>
      </w:r>
      <w:r w:rsidR="00713397">
        <w:t>attribute</w:t>
      </w:r>
      <w:r w:rsidR="00303B06">
        <w:t>s</w:t>
      </w:r>
      <w:r w:rsidR="00713397">
        <w:t>), sexual orientation discrimination</w:t>
      </w:r>
      <w:r w:rsidR="00FD5E62">
        <w:t>,</w:t>
      </w:r>
      <w:r w:rsidR="00713397">
        <w:t xml:space="preserve"> </w:t>
      </w:r>
      <w:r>
        <w:t xml:space="preserve">and health and wellbeing in </w:t>
      </w:r>
      <w:r w:rsidR="00BC4F4D">
        <w:t xml:space="preserve">middle-aged and </w:t>
      </w:r>
      <w:r>
        <w:t xml:space="preserve">older </w:t>
      </w:r>
      <w:r w:rsidR="00B3330A">
        <w:t>lesbian, gay and bisexual</w:t>
      </w:r>
      <w:r>
        <w:t xml:space="preserve"> </w:t>
      </w:r>
      <w:r w:rsidR="006E2E74">
        <w:t xml:space="preserve">(LGB) </w:t>
      </w:r>
      <w:r>
        <w:t>people</w:t>
      </w:r>
      <w:bookmarkEnd w:id="0"/>
      <w:r>
        <w:t>.</w:t>
      </w:r>
    </w:p>
    <w:p w14:paraId="14DFD445" w14:textId="5B082842" w:rsidR="000A18A9" w:rsidRPr="00D55BAF" w:rsidRDefault="000A18A9" w:rsidP="000A18A9">
      <w:pPr>
        <w:rPr>
          <w:rFonts w:cstheme="minorHAnsi"/>
        </w:rPr>
      </w:pPr>
      <w:r w:rsidRPr="00D55BAF">
        <w:rPr>
          <w:rFonts w:cstheme="minorHAnsi"/>
          <w:b/>
        </w:rPr>
        <w:t>Methods:</w:t>
      </w:r>
      <w:r w:rsidRPr="00D55BAF">
        <w:rPr>
          <w:rFonts w:cstheme="minorHAnsi"/>
        </w:rPr>
        <w:t xml:space="preserve">  </w:t>
      </w:r>
      <w:r w:rsidR="00607323">
        <w:rPr>
          <w:rFonts w:cstheme="minorHAnsi"/>
        </w:rPr>
        <w:t xml:space="preserve">Data were from 304 LGB men and women aged </w:t>
      </w:r>
      <w:r w:rsidR="00E054BC">
        <w:rPr>
          <w:rFonts w:cstheme="minorHAnsi"/>
        </w:rPr>
        <w:t>41-85</w:t>
      </w:r>
      <w:r w:rsidR="00607323">
        <w:rPr>
          <w:rFonts w:cstheme="minorHAnsi"/>
        </w:rPr>
        <w:t xml:space="preserve"> years participating in the English Longitudinal Study of Ageing. Perceived </w:t>
      </w:r>
      <w:r w:rsidR="00FE3E0C">
        <w:rPr>
          <w:rFonts w:cstheme="minorHAnsi"/>
        </w:rPr>
        <w:t xml:space="preserve">everyday </w:t>
      </w:r>
      <w:r w:rsidR="00607323">
        <w:rPr>
          <w:rFonts w:cstheme="minorHAnsi"/>
        </w:rPr>
        <w:t>discrimination was reported in 2010/11</w:t>
      </w:r>
      <w:r w:rsidR="00E32388">
        <w:rPr>
          <w:rFonts w:cstheme="minorHAnsi"/>
        </w:rPr>
        <w:t xml:space="preserve">. </w:t>
      </w:r>
      <w:r w:rsidR="00713397">
        <w:rPr>
          <w:rFonts w:cstheme="minorHAnsi"/>
        </w:rPr>
        <w:t xml:space="preserve">Participants could </w:t>
      </w:r>
      <w:r w:rsidR="00713397">
        <w:t xml:space="preserve">attribute </w:t>
      </w:r>
      <w:r w:rsidR="00713397" w:rsidRPr="007F788D">
        <w:t xml:space="preserve">their </w:t>
      </w:r>
      <w:r w:rsidR="00713397">
        <w:t xml:space="preserve">discrimination </w:t>
      </w:r>
      <w:r w:rsidR="00713397" w:rsidRPr="007F788D">
        <w:t>ex</w:t>
      </w:r>
      <w:r w:rsidR="00713397">
        <w:t xml:space="preserve">perience to characteristics </w:t>
      </w:r>
      <w:r w:rsidR="00713397" w:rsidRPr="007F788D">
        <w:t xml:space="preserve">including age, </w:t>
      </w:r>
      <w:r w:rsidR="00713397">
        <w:t>sex</w:t>
      </w:r>
      <w:r w:rsidR="00713397" w:rsidRPr="007F788D">
        <w:t xml:space="preserve">, race, physical disability, and sexual orientation. </w:t>
      </w:r>
      <w:r w:rsidR="00E32388">
        <w:t>Self-rated health, limiting long-standing illness, depressive symptoms, quality of life, life satisfaction and loneliness</w:t>
      </w:r>
      <w:r w:rsidR="00607323">
        <w:rPr>
          <w:rFonts w:cstheme="minorHAnsi"/>
        </w:rPr>
        <w:t xml:space="preserve"> were assessed in 2010/11 and 2016/17. Analyses adjusted for age, sex, ethnicity, partnership status and </w:t>
      </w:r>
      <w:r w:rsidR="004C0AA5">
        <w:rPr>
          <w:rFonts w:cstheme="minorHAnsi"/>
        </w:rPr>
        <w:t>socioeconomic position</w:t>
      </w:r>
      <w:r w:rsidR="00607323">
        <w:rPr>
          <w:rFonts w:cstheme="minorHAnsi"/>
        </w:rPr>
        <w:t>.</w:t>
      </w:r>
    </w:p>
    <w:p w14:paraId="03E14086" w14:textId="0E662DFD" w:rsidR="00EB1A72" w:rsidRPr="00EB1A72" w:rsidRDefault="000A18A9" w:rsidP="00303C20">
      <w:r w:rsidRPr="00D55BAF">
        <w:rPr>
          <w:rFonts w:cstheme="minorHAnsi"/>
          <w:b/>
        </w:rPr>
        <w:t>Results:</w:t>
      </w:r>
      <w:r w:rsidRPr="00D55BAF">
        <w:rPr>
          <w:rFonts w:cstheme="minorHAnsi"/>
        </w:rPr>
        <w:t xml:space="preserve">  </w:t>
      </w:r>
      <w:r w:rsidR="00F80180">
        <w:rPr>
          <w:rFonts w:eastAsiaTheme="majorEastAsia" w:cstheme="minorHAnsi"/>
        </w:rPr>
        <w:t xml:space="preserve">Perceived </w:t>
      </w:r>
      <w:r w:rsidR="00FE3E0C">
        <w:rPr>
          <w:rFonts w:eastAsiaTheme="majorEastAsia" w:cstheme="minorHAnsi"/>
        </w:rPr>
        <w:t xml:space="preserve">everyday </w:t>
      </w:r>
      <w:r w:rsidR="00F80180">
        <w:rPr>
          <w:rFonts w:eastAsiaTheme="majorEastAsia" w:cstheme="minorHAnsi"/>
        </w:rPr>
        <w:t>discrimination was reported by 144 (47.4%) participants.</w:t>
      </w:r>
      <w:r w:rsidR="00EB1A72">
        <w:rPr>
          <w:rFonts w:eastAsiaTheme="majorEastAsia" w:cstheme="minorHAnsi"/>
        </w:rPr>
        <w:t xml:space="preserve"> Cross-sectionally, perceived </w:t>
      </w:r>
      <w:r w:rsidR="00FE3E0C">
        <w:rPr>
          <w:rFonts w:eastAsiaTheme="majorEastAsia" w:cstheme="minorHAnsi"/>
        </w:rPr>
        <w:t xml:space="preserve">everyday </w:t>
      </w:r>
      <w:r w:rsidR="00EB1A72">
        <w:rPr>
          <w:rFonts w:eastAsiaTheme="majorEastAsia" w:cstheme="minorHAnsi"/>
        </w:rPr>
        <w:t>discrimination was associated with increased odds of depressive symptoms (OR=2.30, 95% CI 1.02 to 5.21)</w:t>
      </w:r>
      <w:r w:rsidR="00B3330A">
        <w:rPr>
          <w:rFonts w:eastAsiaTheme="majorEastAsia" w:cstheme="minorHAnsi"/>
        </w:rPr>
        <w:t xml:space="preserve">, </w:t>
      </w:r>
      <w:r w:rsidR="00EB1A72">
        <w:rPr>
          <w:rFonts w:eastAsiaTheme="majorEastAsia" w:cstheme="minorHAnsi"/>
        </w:rPr>
        <w:t>loneliness (OR=3.37, 95% CI 1.60 to 7.10) and lower quality of life (</w:t>
      </w:r>
      <w:r w:rsidR="00EB1A72">
        <w:rPr>
          <w:rFonts w:eastAsiaTheme="majorEastAsia" w:cstheme="minorHAnsi"/>
          <w:i/>
        </w:rPr>
        <w:t>B</w:t>
      </w:r>
      <w:r w:rsidR="00EB1A72">
        <w:rPr>
          <w:rFonts w:eastAsiaTheme="majorEastAsia" w:cstheme="minorHAnsi"/>
        </w:rPr>
        <w:t xml:space="preserve">=-3.31, 95% CI -5.49 to -1.12). Prospectively, </w:t>
      </w:r>
      <w:r w:rsidR="0057475A">
        <w:rPr>
          <w:rFonts w:eastAsiaTheme="majorEastAsia" w:cstheme="minorHAnsi"/>
        </w:rPr>
        <w:t xml:space="preserve">perceived </w:t>
      </w:r>
      <w:r w:rsidR="00FE3E0C">
        <w:rPr>
          <w:rFonts w:eastAsiaTheme="majorEastAsia" w:cstheme="minorHAnsi"/>
        </w:rPr>
        <w:t xml:space="preserve">everyday </w:t>
      </w:r>
      <w:r w:rsidR="0057475A">
        <w:rPr>
          <w:rFonts w:eastAsiaTheme="majorEastAsia" w:cstheme="minorHAnsi"/>
        </w:rPr>
        <w:t>discrimination was associated with increased odds of loneliness (OR=3.12, 95% CI 1.08 to 8.99) and lower quality of life (</w:t>
      </w:r>
      <w:r w:rsidR="0057475A">
        <w:rPr>
          <w:rFonts w:eastAsiaTheme="majorEastAsia" w:cstheme="minorHAnsi"/>
          <w:i/>
        </w:rPr>
        <w:t>B</w:t>
      </w:r>
      <w:r w:rsidR="0057475A">
        <w:rPr>
          <w:rFonts w:eastAsiaTheme="majorEastAsia" w:cstheme="minorHAnsi"/>
        </w:rPr>
        <w:t>=-2.08, 95% CI -3.85 to -0.31) and life satisfaction (</w:t>
      </w:r>
      <w:r w:rsidR="0057475A">
        <w:rPr>
          <w:rFonts w:eastAsiaTheme="majorEastAsia" w:cstheme="minorHAnsi"/>
          <w:i/>
        </w:rPr>
        <w:t>B</w:t>
      </w:r>
      <w:r w:rsidR="0057475A">
        <w:rPr>
          <w:rFonts w:eastAsiaTheme="majorEastAsia" w:cstheme="minorHAnsi"/>
        </w:rPr>
        <w:t>=-1.92, 95% CI -3.44 to -0.39)</w:t>
      </w:r>
      <w:r w:rsidR="00552373">
        <w:rPr>
          <w:rFonts w:eastAsiaTheme="majorEastAsia" w:cstheme="minorHAnsi"/>
        </w:rPr>
        <w:t xml:space="preserve"> over six-year follow-up</w:t>
      </w:r>
      <w:r w:rsidR="0057475A">
        <w:rPr>
          <w:rFonts w:eastAsiaTheme="majorEastAsia" w:cstheme="minorHAnsi"/>
        </w:rPr>
        <w:t>.</w:t>
      </w:r>
      <w:r w:rsidR="00EB1A72">
        <w:t xml:space="preserve"> Effect sizes were consistently larger for participants who attributed experiences of discrimination to their sexual orientation compared with those who attributed experiences of discrimination to other reasons (e.g. age, sex, race).</w:t>
      </w:r>
      <w:r w:rsidR="00303C20" w:rsidRPr="00EB1A72">
        <w:t xml:space="preserve"> </w:t>
      </w:r>
    </w:p>
    <w:p w14:paraId="2F48E4A2" w14:textId="6C04D6E8" w:rsidR="000A18A9" w:rsidRPr="00C431B0" w:rsidRDefault="000A18A9" w:rsidP="000A18A9">
      <w:pPr>
        <w:pStyle w:val="Tablecentre"/>
        <w:spacing w:before="0" w:after="0" w:line="360" w:lineRule="auto"/>
        <w:contextualSpacing/>
        <w:jc w:val="left"/>
        <w:rPr>
          <w:rFonts w:asciiTheme="minorHAnsi" w:eastAsiaTheme="majorEastAsia" w:hAnsiTheme="minorHAnsi"/>
          <w:szCs w:val="22"/>
          <w:lang w:eastAsia="en-US"/>
        </w:rPr>
      </w:pPr>
      <w:r w:rsidRPr="00D55BAF">
        <w:rPr>
          <w:rFonts w:asciiTheme="minorHAnsi" w:hAnsiTheme="minorHAnsi"/>
          <w:b/>
          <w:szCs w:val="22"/>
        </w:rPr>
        <w:t>Conclusion:</w:t>
      </w:r>
      <w:r w:rsidRPr="00D55BAF">
        <w:rPr>
          <w:rFonts w:asciiTheme="minorHAnsi" w:hAnsiTheme="minorHAnsi"/>
          <w:b/>
        </w:rPr>
        <w:t xml:space="preserve">  </w:t>
      </w:r>
      <w:r w:rsidR="00852357">
        <w:rPr>
          <w:rFonts w:asciiTheme="minorHAnsi" w:hAnsiTheme="minorHAnsi"/>
        </w:rPr>
        <w:t>These results provide cross-sectional and prospective evidence of associations between perceived discrimination</w:t>
      </w:r>
      <w:r w:rsidR="00303B06">
        <w:rPr>
          <w:rFonts w:asciiTheme="minorHAnsi" w:hAnsiTheme="minorHAnsi"/>
        </w:rPr>
        <w:t xml:space="preserve"> in daily life</w:t>
      </w:r>
      <w:r w:rsidR="00852357">
        <w:rPr>
          <w:rFonts w:asciiTheme="minorHAnsi" w:hAnsiTheme="minorHAnsi"/>
        </w:rPr>
        <w:t xml:space="preserve"> and health and wellbeing outcomes in</w:t>
      </w:r>
      <w:r w:rsidR="006D54F8">
        <w:rPr>
          <w:rFonts w:asciiTheme="minorHAnsi" w:hAnsiTheme="minorHAnsi"/>
        </w:rPr>
        <w:t xml:space="preserve"> middle-aged and</w:t>
      </w:r>
      <w:r w:rsidR="00852357">
        <w:rPr>
          <w:rFonts w:asciiTheme="minorHAnsi" w:hAnsiTheme="minorHAnsi"/>
        </w:rPr>
        <w:t xml:space="preserve"> older LGB adults</w:t>
      </w:r>
      <w:r w:rsidR="00FF33D8">
        <w:rPr>
          <w:rFonts w:asciiTheme="minorHAnsi" w:hAnsiTheme="minorHAnsi"/>
        </w:rPr>
        <w:t xml:space="preserve"> in England.</w:t>
      </w:r>
      <w:r w:rsidR="00C431B0">
        <w:rPr>
          <w:rFonts w:asciiTheme="minorHAnsi" w:hAnsiTheme="minorHAnsi"/>
        </w:rPr>
        <w:t xml:space="preserve"> </w:t>
      </w:r>
    </w:p>
    <w:p w14:paraId="4E29A6C2" w14:textId="77777777" w:rsidR="000A18A9" w:rsidRDefault="000A18A9">
      <w:pPr>
        <w:spacing w:after="200" w:line="276" w:lineRule="auto"/>
        <w:rPr>
          <w:rFonts w:eastAsiaTheme="majorEastAsia" w:cstheme="minorHAnsi"/>
          <w:b/>
          <w:bCs/>
          <w:sz w:val="26"/>
          <w:szCs w:val="26"/>
        </w:rPr>
      </w:pPr>
      <w:r>
        <w:br w:type="page"/>
      </w:r>
    </w:p>
    <w:p w14:paraId="310B7090" w14:textId="0B78C9D6" w:rsidR="001B268C" w:rsidRDefault="004861C4" w:rsidP="00FE7851">
      <w:pPr>
        <w:jc w:val="both"/>
      </w:pPr>
      <w:r w:rsidRPr="00291B66">
        <w:lastRenderedPageBreak/>
        <w:t>Population ag</w:t>
      </w:r>
      <w:r w:rsidR="008522C2">
        <w:t>e</w:t>
      </w:r>
      <w:r w:rsidRPr="00291B66">
        <w:t xml:space="preserve">ing is a global phenomenon </w:t>
      </w:r>
      <w:r w:rsidRPr="00291B66">
        <w:fldChar w:fldCharType="begin"/>
      </w:r>
      <w:r w:rsidR="002B2DE9">
        <w:instrText xml:space="preserve"> ADDIN ZOTERO_ITEM CSL_CITATION {"citationID":"nm4taH0D","properties":{"formattedCitation":"(1)","plainCitation":"(1)","noteIndex":0},"citationItems":[{"id":"A4nDS9l3/R5R0iRpu","uris":["http://zotero.org/users/446899/items/CFQC98VH"],"uri":["http://zotero.org/users/446899/items/CFQC98VH"],"itemData":{"id":5495,"type":"article-journal","title":"Economic and social implications of aging societies","container-title":"Science (New York, N.Y.)","page":"587-591","volume":"346","issue":"6209","source":"PubMed","abstract":"The challenge of global population aging has been brought into sharper focus by the financial crisis of 2008. In particular, growing national debt has drawn government attention to two apparently conflicting priorities: the need to sustain public spending on pensions and health care versus the need to reduce budget deficits. A number of countries are consequently reconsidering their pension and health care provisions, which account for up to 40% of all government spending in advanced economies. Yet population aging is a global phenomenon that will continue to affect all regions of the world. By 2050 there will be the same number of old as young in the world, with 2 billion people aged 60 or over and another 2 billion under age 15, each group accounting for 21% of the world's population.","DOI":"10.1126/science.1254405","ISSN":"1095-9203","note":"PMID: 25359967","journalAbbreviation":"Science","language":"eng","author":[{"family":"Harper","given":"Sarah"}],"issued":{"date-parts":[["2014",10,31]]}}}],"schema":"https://github.com/citation-style-language/schema/raw/master/csl-citation.json"} </w:instrText>
      </w:r>
      <w:r w:rsidRPr="00291B66">
        <w:fldChar w:fldCharType="separate"/>
      </w:r>
      <w:r w:rsidRPr="00291B66">
        <w:rPr>
          <w:rFonts w:ascii="Calibri" w:hAnsi="Calibri" w:cs="Calibri"/>
        </w:rPr>
        <w:t>(1)</w:t>
      </w:r>
      <w:r w:rsidRPr="00291B66">
        <w:fldChar w:fldCharType="end"/>
      </w:r>
      <w:r w:rsidRPr="00291B66">
        <w:t xml:space="preserve">. </w:t>
      </w:r>
      <w:r w:rsidR="00905FEF" w:rsidRPr="00291B66">
        <w:t xml:space="preserve">Older adults </w:t>
      </w:r>
      <w:r w:rsidR="00932AAF" w:rsidRPr="00291B66">
        <w:t>form</w:t>
      </w:r>
      <w:r w:rsidR="00905FEF" w:rsidRPr="00291B66">
        <w:t xml:space="preserve"> a diverse group</w:t>
      </w:r>
      <w:r w:rsidR="002111D5" w:rsidRPr="00291B66">
        <w:t xml:space="preserve">, with heterogeneity in age, life stage (working or retired), </w:t>
      </w:r>
      <w:r w:rsidR="002111D5">
        <w:t>health status, income and wealth, marital status, and living arrangements</w:t>
      </w:r>
      <w:r w:rsidR="00976855">
        <w:t xml:space="preserve"> </w:t>
      </w:r>
      <w:r w:rsidR="00B40148">
        <w:fldChar w:fldCharType="begin"/>
      </w:r>
      <w:r w:rsidR="002B2DE9">
        <w:instrText xml:space="preserve"> ADDIN ZOTERO_ITEM CSL_CITATION {"citationID":"eqYJHiFQ","properties":{"formattedCitation":"(2)","plainCitation":"(2)","noteIndex":0},"citationItems":[{"id":"A4nDS9l3/FUwjS5BG","uris":["http://zotero.org/users/446899/items/VJJIWIH4"],"uri":["http://zotero.org/users/446899/items/VJJIWIH4"],"itemData":{"id":5837,"type":"report","title":"Living longer - how our population is changing and why it matters","URL":"https://www.ons.gov.uk/peoplepopulationandcommunity/birthsdeathsandmarriages/ageing/articles/livinglongerhowourpopulationischangingandwhyitmatters/2018-08-13","author":[{"family":"Office for National Statistics","given":""}],"issued":{"date-parts":[["2018"]]},"accessed":{"date-parts":[["2018",6,11]]}}}],"schema":"https://github.com/citation-style-language/schema/raw/master/csl-citation.json"} </w:instrText>
      </w:r>
      <w:r w:rsidR="00B40148">
        <w:fldChar w:fldCharType="separate"/>
      </w:r>
      <w:r w:rsidR="00B63E8F" w:rsidRPr="00B63E8F">
        <w:rPr>
          <w:rFonts w:ascii="Calibri" w:hAnsi="Calibri" w:cs="Calibri"/>
        </w:rPr>
        <w:t>(2)</w:t>
      </w:r>
      <w:r w:rsidR="00B40148">
        <w:fldChar w:fldCharType="end"/>
      </w:r>
      <w:r w:rsidR="001B268C">
        <w:t>.</w:t>
      </w:r>
      <w:r w:rsidR="008463C4">
        <w:t xml:space="preserve"> </w:t>
      </w:r>
      <w:r w:rsidR="002111D5">
        <w:t xml:space="preserve">They are also diverse in their sexual orientation, although little research has focused on older lesbian, gay and bisexual (LGB) </w:t>
      </w:r>
      <w:r w:rsidR="00CF7445">
        <w:t>individuals</w:t>
      </w:r>
      <w:r w:rsidR="002111D5">
        <w:t>.</w:t>
      </w:r>
      <w:r w:rsidR="00C65ED1">
        <w:t xml:space="preserve"> </w:t>
      </w:r>
      <w:r w:rsidR="00683AB4">
        <w:t xml:space="preserve">In the LGB population, the age-related burden of poor health and wellbeing </w:t>
      </w:r>
      <w:r w:rsidR="00683AB4">
        <w:fldChar w:fldCharType="begin"/>
      </w:r>
      <w:r w:rsidR="002B2DE9">
        <w:instrText xml:space="preserve"> ADDIN ZOTERO_ITEM CSL_CITATION {"citationID":"soXarPJK","properties":{"formattedCitation":"(3)","plainCitation":"(3)","noteIndex":0},"citationItems":[{"id":"A4nDS9l3/2YiURGDZ","uris":["http://zotero.org/users/446899/items/8GZVGATX"],"uri":["http://zotero.org/users/446899/items/8GZVGATX"],"itemData":{"id":5833,"type":"article-journal","title":"New Frontiers in the Future of Aging: From Successful Aging of the Young Old to the Dilemmas of the Fourth Age","container-title":"Gerontology","page":"123-135","volume":"49","issue":"2","source":"www.karger.com","abstract":"We review research findings on the oldest old that demonstrate that the fourth age entails a level of biocultural incompleteness, vulnerability and unpredictability that is distinct from the positive views of the third age (young old). The oldest old are at the limits of their functional capacity and science and social policy are constrained in terms of intervention. New theoretical and practical endeavors are required to deal with the challenges of increased numbers of the oldest old and the associated prevalence of frailty and forms of psychological mortality (e.g., loss of identity, psychological autonomy and a sense of control). Investigation of the fourth age is a new and challenging interdisciplinary research territory. Future study and discussion should focus on the critical question of whether the continuing major investments into extending the life span into the fourth age actually reduce the opportunities of an increasing number of people to live and die in dignity.","DOI":"10.1159/000067946","ISSN":"0304-324X, 1423-0003","note":"PMID: 12574672","shortTitle":"New Frontiers in the Future of Aging","journalAbbreviation":"GER","language":"english","author":[{"family":"Baltes","given":"Paul B."},{"family":"Smith","given":"Jacqui"}],"issued":{"date-parts":[["2003"]]}}}],"schema":"https://github.com/citation-style-language/schema/raw/master/csl-citation.json"} </w:instrText>
      </w:r>
      <w:r w:rsidR="00683AB4">
        <w:fldChar w:fldCharType="separate"/>
      </w:r>
      <w:r w:rsidR="00683AB4" w:rsidRPr="00B63E8F">
        <w:rPr>
          <w:rFonts w:ascii="Calibri" w:hAnsi="Calibri" w:cs="Calibri"/>
        </w:rPr>
        <w:t>(3)</w:t>
      </w:r>
      <w:r w:rsidR="00683AB4">
        <w:fldChar w:fldCharType="end"/>
      </w:r>
      <w:r w:rsidR="00683AB4">
        <w:t xml:space="preserve"> may be compounded by increased risks associated with their sexual orientation </w:t>
      </w:r>
      <w:r w:rsidR="00683AB4">
        <w:rPr>
          <w:color w:val="FF0000"/>
        </w:rPr>
        <w:fldChar w:fldCharType="begin"/>
      </w:r>
      <w:r w:rsidR="002B2DE9">
        <w:rPr>
          <w:color w:val="FF0000"/>
        </w:rPr>
        <w:instrText xml:space="preserve"> ADDIN ZOTERO_ITEM CSL_CITATION {"citationID":"aeYLx0S0","properties":{"formattedCitation":"(4)","plainCitation":"(4)","noteIndex":0},"citationItems":[{"id":"A4nDS9l3/lxpdZwkw","uris":["http://zotero.org/users/446899/items/APCXF6UE"],"uri":["http://zotero.org/users/446899/items/APCXF6UE"],"itemData":{"id":5787,"type":"book","title":"The Health of Lesbian, Gay, Bisexual, and Transgender People: Building a Foundation for Better Understanding","collection-title":"The National Academies Collection: Reports funded by National Institutes of Health","publisher":"National Academies Press (US)","publisher-place":"Washington (DC)","source":"PubMed","event-place":"Washington (DC)","abstract":"Lesbian, gay, bisexual, and transgender (LGBT) individuals experience unique health disparities. Although the acronym LGBT is used as an umbrella term, and the health needs of this community are often grouped together, each of these letters represents a distinct population with its own health concerns. Furthermore, among lesbians, gay men, bisexual men and women, and transgender people, there are subpopulations based on race, ethnicity, socioeconomic status, geographic location, age, and other factors. Although a modest body of knowledge on LGBT health has been developed, these populations, stigmatized as sexual and gender minorities, have been the subject of relatively little health research. As a result, a number of questions arise: What is currently known about the health status of LGBT populations? Where do gaps in the research exist? What are the priorities for a research agenda to address these gaps? At the request of the National Institutes of Health (NIH), the Institute of Medicine convened a consensus committee to answer these questions. The 17-member Committee on Lesbian, Gay, Bisexual, and Transgender Health Issues and Research Gaps and Opportunities comprised experts in the fields of mental health, biostatistics, clinical medicine, adolescent health and development, aging, parenting, behavioral sciences, HIV research, demography, racial and ethnic disparities, and health services. The committee was asked to conduct a review and prepare a report assessing the state of the science on the health status of lesbian, gay, bisexual, and transgender populations; identify research gaps and opportunities; and outline a research agenda that will assist NIH in enhancing its research efforts in this area.","URL":"http://www.ncbi.nlm.nih.gov/books/NBK64806/","ISBN":"978-0-309-21061-4","call-number":"NBK64806","note":"PMID: 22013611","shortTitle":"The Health of Lesbian, Gay, Bisexual, and Transgender People","language":"eng","author":[{"literal":"Institute of Medicine (US) Committee on Lesbian, Gay, Bisexual, and Transgender Health Issues and Research Gaps and Opportunities"}],"issued":{"date-parts":[["2011"]]},"accessed":{"date-parts":[["2018",11,5]]}}}],"schema":"https://github.com/citation-style-language/schema/raw/master/csl-citation.json"} </w:instrText>
      </w:r>
      <w:r w:rsidR="00683AB4">
        <w:rPr>
          <w:color w:val="FF0000"/>
        </w:rPr>
        <w:fldChar w:fldCharType="separate"/>
      </w:r>
      <w:r w:rsidR="00683AB4" w:rsidRPr="00B63E8F">
        <w:rPr>
          <w:rFonts w:ascii="Calibri" w:hAnsi="Calibri" w:cs="Calibri"/>
        </w:rPr>
        <w:t>(4)</w:t>
      </w:r>
      <w:r w:rsidR="00683AB4">
        <w:rPr>
          <w:color w:val="FF0000"/>
        </w:rPr>
        <w:fldChar w:fldCharType="end"/>
      </w:r>
      <w:r w:rsidR="00683AB4">
        <w:t xml:space="preserve">. </w:t>
      </w:r>
      <w:r w:rsidR="00C65ED1">
        <w:t xml:space="preserve">This study examines the impact of perceived </w:t>
      </w:r>
      <w:r w:rsidR="00FE3E0C">
        <w:t xml:space="preserve">everyday </w:t>
      </w:r>
      <w:r w:rsidR="00C65ED1">
        <w:t>discrimination</w:t>
      </w:r>
      <w:r w:rsidR="00FE3E0C">
        <w:t xml:space="preserve"> (based on any attribute) and sexual orientation discrimination </w:t>
      </w:r>
      <w:r w:rsidR="00C65ED1">
        <w:t>on the health an</w:t>
      </w:r>
      <w:r w:rsidR="001F47BD">
        <w:t xml:space="preserve">d wellbeing of </w:t>
      </w:r>
      <w:r w:rsidR="00EA7976">
        <w:t xml:space="preserve">middle-aged and </w:t>
      </w:r>
      <w:r w:rsidR="00661CE9">
        <w:t xml:space="preserve">older </w:t>
      </w:r>
      <w:r w:rsidR="001F47BD">
        <w:t xml:space="preserve">LGB </w:t>
      </w:r>
      <w:r w:rsidR="00CF7445">
        <w:t>people</w:t>
      </w:r>
      <w:r w:rsidR="001F47BD">
        <w:t xml:space="preserve"> in England.</w:t>
      </w:r>
      <w:r w:rsidR="00FE3E0C">
        <w:t xml:space="preserve"> </w:t>
      </w:r>
    </w:p>
    <w:p w14:paraId="18E44269" w14:textId="3227C238" w:rsidR="001E372E" w:rsidRDefault="00A7588C" w:rsidP="00FE7851">
      <w:pPr>
        <w:jc w:val="both"/>
      </w:pPr>
      <w:r>
        <w:t>Maintaining health and wellbeing in later life is a public health priority</w:t>
      </w:r>
      <w:r w:rsidR="00676255">
        <w:t xml:space="preserve"> </w:t>
      </w:r>
      <w:r w:rsidR="00676255" w:rsidRPr="001B1CD9">
        <w:fldChar w:fldCharType="begin"/>
      </w:r>
      <w:r w:rsidR="002B2DE9">
        <w:instrText xml:space="preserve"> ADDIN ZOTERO_ITEM CSL_CITATION {"citationID":"dexWBU1y","properties":{"formattedCitation":"(5,6)","plainCitation":"(5,6)","noteIndex":0},"citationItems":[{"id":"A4nDS9l3/IShJLChW","uris":["http://zotero.org/users/446899/items/KETJJEMR"],"uri":["http://zotero.org/users/446899/items/KETJJEMR"],"itemData":{"id":5625,"type":"report","title":"Growing older in the UK","URL":"https://www.bma.org.uk/collective-voice/policy-and-research/public-and-population-health/healthy-ageing","author":[{"family":"British Medical Association","given":""}],"issued":{"date-parts":[["2016"]]},"accessed":{"date-parts":[["2018",10,24]]}}},{"id":"A4nDS9l3/3KlZ1uWP","uris":["http://zotero.org/users/446899/items/8GEMEBDI"],"uri":["http://zotero.org/users/446899/items/8GEMEBDI"],"itemData":{"id":5624,"type":"webpage","title":"Wellbeing and health policy","container-title":"GOV.UK","abstract":"Some information on why wellbeing is relevant to health policy.","URL":"https://www.gov.uk/government/publications/wellbeing-and-health-policy","language":"en","author":[{"family":"Department of Health and Social Care","given":""}],"issued":{"date-parts":[["2014"]]},"accessed":{"date-parts":[["2018",10,24]]}}}],"schema":"https://github.com/citation-style-language/schema/raw/master/csl-citation.json"} </w:instrText>
      </w:r>
      <w:r w:rsidR="00676255" w:rsidRPr="001B1CD9">
        <w:fldChar w:fldCharType="separate"/>
      </w:r>
      <w:r w:rsidR="006B7ED6" w:rsidRPr="006B7ED6">
        <w:rPr>
          <w:rFonts w:ascii="Calibri" w:hAnsi="Calibri" w:cs="Calibri"/>
        </w:rPr>
        <w:t>(5,6)</w:t>
      </w:r>
      <w:r w:rsidR="00676255" w:rsidRPr="001B1CD9">
        <w:fldChar w:fldCharType="end"/>
      </w:r>
      <w:r>
        <w:t>.</w:t>
      </w:r>
      <w:r w:rsidR="006B2E75">
        <w:t xml:space="preserve"> Ageing is associated with increased risk of </w:t>
      </w:r>
      <w:r w:rsidR="001511BF">
        <w:t xml:space="preserve">a wide range of </w:t>
      </w:r>
      <w:r w:rsidR="006B2E75">
        <w:t xml:space="preserve">mental and physical health complications </w:t>
      </w:r>
      <w:r w:rsidR="0003728A">
        <w:fldChar w:fldCharType="begin"/>
      </w:r>
      <w:r w:rsidR="002B2DE9">
        <w:instrText xml:space="preserve"> ADDIN ZOTERO_ITEM CSL_CITATION {"citationID":"m1f68j83","properties":{"formattedCitation":"(3)","plainCitation":"(3)","noteIndex":0},"citationItems":[{"id":"A4nDS9l3/2YiURGDZ","uris":["http://zotero.org/users/446899/items/8GZVGATX"],"uri":["http://zotero.org/users/446899/items/8GZVGATX"],"itemData":{"id":5833,"type":"article-journal","title":"New Frontiers in the Future of Aging: From Successful Aging of the Young Old to the Dilemmas of the Fourth Age","container-title":"Gerontology","page":"123-135","volume":"49","issue":"2","source":"www.karger.com","abstract":"We review research findings on the oldest old that demonstrate that the fourth age entails a level of biocultural incompleteness, vulnerability and unpredictability that is distinct from the positive views of the third age (young old). The oldest old are at the limits of their functional capacity and science and social policy are constrained in terms of intervention. New theoretical and practical endeavors are required to deal with the challenges of increased numbers of the oldest old and the associated prevalence of frailty and forms of psychological mortality (e.g., loss of identity, psychological autonomy and a sense of control). Investigation of the fourth age is a new and challenging interdisciplinary research territory. Future study and discussion should focus on the critical question of whether the continuing major investments into extending the life span into the fourth age actually reduce the opportunities of an increasing number of people to live and die in dignity.","DOI":"10.1159/000067946","ISSN":"0304-324X, 1423-0003","note":"PMID: 12574672","shortTitle":"New Frontiers in the Future of Aging","journalAbbreviation":"GER","language":"english","author":[{"family":"Baltes","given":"Paul B."},{"family":"Smith","given":"Jacqui"}],"issued":{"date-parts":[["2003"]]}}}],"schema":"https://github.com/citation-style-language/schema/raw/master/csl-citation.json"} </w:instrText>
      </w:r>
      <w:r w:rsidR="0003728A">
        <w:fldChar w:fldCharType="separate"/>
      </w:r>
      <w:r w:rsidR="00B63E8F" w:rsidRPr="00B63E8F">
        <w:rPr>
          <w:rFonts w:ascii="Calibri" w:hAnsi="Calibri" w:cs="Calibri"/>
        </w:rPr>
        <w:t>(3)</w:t>
      </w:r>
      <w:r w:rsidR="0003728A">
        <w:fldChar w:fldCharType="end"/>
      </w:r>
      <w:r w:rsidR="006B2E75">
        <w:t xml:space="preserve">. </w:t>
      </w:r>
      <w:r w:rsidR="001E372E">
        <w:t>Accumulating evidence indicates that individuals who identify as LGB experience poorer health and wellbeing than their heterosexual counterparts</w:t>
      </w:r>
      <w:r w:rsidR="00971E1D">
        <w:t xml:space="preserve"> </w:t>
      </w:r>
      <w:r w:rsidR="00971E1D">
        <w:fldChar w:fldCharType="begin"/>
      </w:r>
      <w:r w:rsidR="002B2DE9">
        <w:instrText xml:space="preserve"> ADDIN ZOTERO_ITEM CSL_CITATION {"citationID":"ufvKBk6z","properties":{"formattedCitation":"(7)","plainCitation":"(7)","noteIndex":0},"citationItems":[{"id":"A4nDS9l3/zpV7exX4","uris":["http://zotero.org/users/446899/items/6YH3QY6I"],"uri":["http://zotero.org/users/446899/items/6YH3QY6I"],"itemData":{"id":5854,"type":"article-journal","title":"A review of lesbian, gay, bisexual, trans and intersex (LGBTI) health and healthcare inequalities","container-title":"European Journal of Public Health","source":"academic.oup.com","abstract":"AbstractBackground.  Lesbian, gay, bisexual, trans and intersex (LGBTI) people experience significant health inequalities. Located within a European Commission","URL":"https://academic.oup.com/eurpub/advance-article/doi/10.1093/eurpub/cky226/5151209","DOI":"10.1093/eurpub/cky226","journalAbbreviation":"Eur J Public Health","language":"en","author":[{"family":"Zeeman","given":"Laetitia"},{"family":"Sherriff","given":"Nigel"},{"family":"Browne","given":"Kath"},{"family":"McGlynn","given":"Nick"},{"family":"Mirandola","given":"Massimo"},{"family":"Gios","given":"Lorenzo"},{"family":"Davis","given":"Ruth"},{"family":"Sanchez-Lambert","given":"Juliette"},{"family":"Aujean","given":"Sophie"},{"family":"Pinto","given":"Nuno"},{"family":"Farinella","given":"Francesco"},{"family":"Donisi","given":"Valeria"},{"family":"Niedźwiedzka-Stadnik","given":"Marta"},{"family":"Rosińska","given":"Magdalena"},{"family":"Pierson","given":"Anne"},{"family":"Amaddeo","given":"Francesco"},{"family":"Taibjee","given":"Rafik"},{"family":"Toskin","given":"Igor"},{"family":"Jonas","given":"Kai"},{"family":"Der Veur","given":"Dennis","non-dropping-particle":"van"},{"family":"Allen","given":"Odhrán"},{"family":"Troussier","given":"Thierry"},{"family":"De Sutter","given":"Petra"}],"accessed":{"date-parts":[["2018",11,7]]}}}],"schema":"https://github.com/citation-style-language/schema/raw/master/csl-citation.json"} </w:instrText>
      </w:r>
      <w:r w:rsidR="00971E1D">
        <w:fldChar w:fldCharType="separate"/>
      </w:r>
      <w:r w:rsidR="00971E1D" w:rsidRPr="00971E1D">
        <w:rPr>
          <w:rFonts w:ascii="Calibri" w:hAnsi="Calibri" w:cs="Calibri"/>
        </w:rPr>
        <w:t>(7)</w:t>
      </w:r>
      <w:r w:rsidR="00971E1D">
        <w:fldChar w:fldCharType="end"/>
      </w:r>
      <w:r w:rsidR="001E372E">
        <w:t xml:space="preserve">. Studies consistently report increased prevalence of </w:t>
      </w:r>
      <w:r w:rsidR="00CE4C3F">
        <w:t>enduring psychological or emotional problems</w:t>
      </w:r>
      <w:r w:rsidR="00F37007">
        <w:t xml:space="preserve"> among LGB individuals</w:t>
      </w:r>
      <w:r w:rsidR="00CE4C3F">
        <w:t>, including psychological distress, depression, anxiety disorders</w:t>
      </w:r>
      <w:r w:rsidR="001E372E">
        <w:t xml:space="preserve"> and substance abuse </w:t>
      </w:r>
      <w:r w:rsidR="001E372E">
        <w:rPr>
          <w:color w:val="FF0000"/>
        </w:rPr>
        <w:fldChar w:fldCharType="begin"/>
      </w:r>
      <w:r w:rsidR="002B2DE9">
        <w:rPr>
          <w:color w:val="FF0000"/>
        </w:rPr>
        <w:instrText xml:space="preserve"> ADDIN ZOTERO_ITEM CSL_CITATION {"citationID":"iV8JJ5Ew","properties":{"formattedCitation":"(7\\uc0\\u8211{}9)","plainCitation":"(7–9)","noteIndex":0},"citationItems":[{"id":"A4nDS9l3/zpV7exX4","uris":["http://zotero.org/users/446899/items/6YH3QY6I"],"uri":["http://zotero.org/users/446899/items/6YH3QY6I"],"itemData":{"id":5854,"type":"article-journal","title":"A review of lesbian, gay, bisexual, trans and intersex (LGBTI) health and healthcare inequalities","container-title":"European Journal of Public Health","source":"academic.oup.com","abstract":"AbstractBackground.  Lesbian, gay, bisexual, trans and intersex (LGBTI) people experience significant health inequalities. Located within a European Commission","URL":"https://academic.oup.com/eurpub/advance-article/doi/10.1093/eurpub/cky226/5151209","DOI":"10.1093/eurpub/cky226","journalAbbreviation":"Eur J Public Health","language":"en","author":[{"family":"Zeeman","given":"Laetitia"},{"family":"Sherriff","given":"Nigel"},{"family":"Browne","given":"Kath"},{"family":"McGlynn","given":"Nick"},{"family":"Mirandola","given":"Massimo"},{"family":"Gios","given":"Lorenzo"},{"family":"Davis","given":"Ruth"},{"family":"Sanchez-Lambert","given":"Juliette"},{"family":"Aujean","given":"Sophie"},{"family":"Pinto","given":"Nuno"},{"family":"Farinella","given":"Francesco"},{"family":"Donisi","given":"Valeria"},{"family":"Niedźwiedzka-Stadnik","given":"Marta"},{"family":"Rosińska","given":"Magdalena"},{"family":"Pierson","given":"Anne"},{"family":"Amaddeo","given":"Francesco"},{"family":"Taibjee","given":"Rafik"},{"family":"Toskin","given":"Igor"},{"family":"Jonas","given":"Kai"},{"family":"Der Veur","given":"Dennis","non-dropping-particle":"van"},{"family":"Allen","given":"Odhrán"},{"family":"Troussier","given":"Thierry"},{"family":"De Sutter","given":"Petra"}],"accessed":{"date-parts":[["2018",11,7]]}}},{"id":"A4nDS9l3/4tAQYZ5m","uris":["http://zotero.org/users/446899/items/CCVXQF5M"],"uri":["http://zotero.org/users/446899/items/CCVXQF5M"],"itemData":{"id":5822,"type":"article-journal","title":"A systematic review of mental disorder, suicide, and deliberate self harm in lesbian, gay and bisexual people","container-title":"BMC Psychiatry","page":"70","volume":"8","issue":"1","source":"BioMed Central","abstract":"Lesbian, gay and bisexual (LGB) people may be at higher risk of mental disorders than heterosexual people.","DOI":"10.1186/1471-244X-8-70","ISSN":"1471-244X","journalAbbreviation":"BMC Psychiatry","author":[{"family":"King","given":"Michael"},{"family":"Semlyen","given":"Joanna"},{"family":"Tai","given":"Sharon See"},{"family":"Killaspy","given":"Helen"},{"family":"Osborn","given":"David"},{"family":"Popelyuk","given":"Dmitri"},{"family":"Nazareth","given":"Irwin"}],"issued":{"date-parts":[["2008",8,18]]}}},{"id":"A4nDS9l3/tCZ0AXZh","uris":["http://zotero.org/users/446899/items/IRHXW3L6"],"uri":["http://zotero.org/users/446899/items/IRHXW3L6"],"itemData":{"id":5914,"type":"article-journal","title":"Sexual orientation and symptoms of common mental disorder or low wellbeing: combined meta-analysis of 12 UK population health surveys","container-title":"BMC psychiatry","page":"67","volume":"16","source":"PubMed","abstract":"BACKGROUND: Previous studies have indicated increased risk of mental disorder symptoms, suicide and substance misuse in lesbian, gay and bisexual (LGB) adults, compared to heterosexual adults. Our aims were to determine an estimate of the association between sexual orientation identity and poor mental health and wellbeing among adults from 12 population surveys in the UK, and to consider whether effects differed for specific subgroups of the population.\nMETHODS: Individual data were pooled from the British Cohort Study 2012, Health Survey for England 2011, 2012 and 2013, Scottish Health Survey 2008 to 2013, Longitudinal Study of Young People in England 2009/10 and Understanding Society 2011/12. Individual participant meta-analysis was used to pool estimates from each study, allowing for between-study variation.\nRESULTS: Of 94,818 participants, 1.1 % identified as lesbian/gay, 0.9 % as bisexual, 0.8 % as 'other' and 97.2 % as heterosexual. Adjusting for a range of covariates, adults who identified as lesbian/gay had higher prevalence of common mental disorder when compared to heterosexuals, but the association was different in different age groups: apparent for those under 35 (OR = 1.78, 95 % CI 1.40, 2.26), weaker at age 35-54.9 (OR = 1.42, 95 % CI 1.10, 1.84), but strongest at age 55+ (OR = 2.06, 95 % CI 1.29, 3.31). These effects were stronger for bisexual adults, similar for those identifying as 'other', and similar for 'low wellbeing'.\nCONCLUSIONS: In the UK, LGB adults have higher prevalence of poor mental health and low wellbeing when compared to heterosexuals, particularly younger and older LGB adults. Sexual orientation identity should be measured routinely in all health studies and in administrative data in the UK in order to influence national and local policy development and service delivery. These results reiterate the need for local government, NHS providers and public health policy makers to consider how to address inequalities in mental health among these minority groups.","DOI":"10.1186/s12888-016-0767-z","ISSN":"1471-244X","note":"PMID: 27009565\nPMCID: PMC4806482","shortTitle":"Sexual orientation and symptoms of common mental disorder or low wellbeing","journalAbbreviation":"BMC Psychiatry","language":"eng","author":[{"family":"Semlyen","given":"Joanna"},{"family":"King","given":"Michael"},{"family":"Varney","given":"Justin"},{"family":"Hagger-Johnson","given":"Gareth"}],"issued":{"date-parts":[["2016",3,24]]}}}],"schema":"https://github.com/citation-style-language/schema/raw/master/csl-citation.json"} </w:instrText>
      </w:r>
      <w:r w:rsidR="001E372E">
        <w:rPr>
          <w:color w:val="FF0000"/>
        </w:rPr>
        <w:fldChar w:fldCharType="separate"/>
      </w:r>
      <w:r w:rsidR="00B30C36" w:rsidRPr="00B30C36">
        <w:rPr>
          <w:rFonts w:ascii="Calibri" w:hAnsi="Calibri" w:cs="Calibri"/>
          <w:szCs w:val="24"/>
        </w:rPr>
        <w:t>(7–9)</w:t>
      </w:r>
      <w:r w:rsidR="001E372E">
        <w:rPr>
          <w:color w:val="FF0000"/>
        </w:rPr>
        <w:fldChar w:fldCharType="end"/>
      </w:r>
      <w:r w:rsidR="001E372E">
        <w:t>.</w:t>
      </w:r>
      <w:r w:rsidR="00CE4C3F">
        <w:t xml:space="preserve"> Notably, disparities related to psychological distress are most pronounced among </w:t>
      </w:r>
      <w:r w:rsidR="00ED475D">
        <w:t>those</w:t>
      </w:r>
      <w:r w:rsidR="00CE4C3F">
        <w:t xml:space="preserve"> over the age of 55 </w:t>
      </w:r>
      <w:r w:rsidR="00492994">
        <w:fldChar w:fldCharType="begin"/>
      </w:r>
      <w:r w:rsidR="002B2DE9">
        <w:instrText xml:space="preserve"> ADDIN ZOTERO_ITEM CSL_CITATION {"citationID":"sNm6IPt7","properties":{"formattedCitation":"(9)","plainCitation":"(9)","noteIndex":0},"citationItems":[{"id":"A4nDS9l3/tCZ0AXZh","uris":["http://zotero.org/users/446899/items/IRHXW3L6"],"uri":["http://zotero.org/users/446899/items/IRHXW3L6"],"itemData":{"id":5914,"type":"article-journal","title":"Sexual orientation and symptoms of common mental disorder or low wellbeing: combined meta-analysis of 12 UK population health surveys","container-title":"BMC psychiatry","page":"67","volume":"16","source":"PubMed","abstract":"BACKGROUND: Previous studies have indicated increased risk of mental disorder symptoms, suicide and substance misuse in lesbian, gay and bisexual (LGB) adults, compared to heterosexual adults. Our aims were to determine an estimate of the association between sexual orientation identity and poor mental health and wellbeing among adults from 12 population surveys in the UK, and to consider whether effects differed for specific subgroups of the population.\nMETHODS: Individual data were pooled from the British Cohort Study 2012, Health Survey for England 2011, 2012 and 2013, Scottish Health Survey 2008 to 2013, Longitudinal Study of Young People in England 2009/10 and Understanding Society 2011/12. Individual participant meta-analysis was used to pool estimates from each study, allowing for between-study variation.\nRESULTS: Of 94,818 participants, 1.1 % identified as lesbian/gay, 0.9 % as bisexual, 0.8 % as 'other' and 97.2 % as heterosexual. Adjusting for a range of covariates, adults who identified as lesbian/gay had higher prevalence of common mental disorder when compared to heterosexuals, but the association was different in different age groups: apparent for those under 35 (OR = 1.78, 95 % CI 1.40, 2.26), weaker at age 35-54.9 (OR = 1.42, 95 % CI 1.10, 1.84), but strongest at age 55+ (OR = 2.06, 95 % CI 1.29, 3.31). These effects were stronger for bisexual adults, similar for those identifying as 'other', and similar for 'low wellbeing'.\nCONCLUSIONS: In the UK, LGB adults have higher prevalence of poor mental health and low wellbeing when compared to heterosexuals, particularly younger and older LGB adults. Sexual orientation identity should be measured routinely in all health studies and in administrative data in the UK in order to influence national and local policy development and service delivery. These results reiterate the need for local government, NHS providers and public health policy makers to consider how to address inequalities in mental health among these minority groups.","DOI":"10.1186/s12888-016-0767-z","ISSN":"1471-244X","note":"PMID: 27009565\nPMCID: PMC4806482","shortTitle":"Sexual orientation and symptoms of common mental disorder or low wellbeing","journalAbbreviation":"BMC Psychiatry","language":"eng","author":[{"family":"Semlyen","given":"Joanna"},{"family":"King","given":"Michael"},{"family":"Varney","given":"Justin"},{"family":"Hagger-Johnson","given":"Gareth"}],"issued":{"date-parts":[["2016",3,24]]}}}],"schema":"https://github.com/citation-style-language/schema/raw/master/csl-citation.json"} </w:instrText>
      </w:r>
      <w:r w:rsidR="00492994">
        <w:fldChar w:fldCharType="separate"/>
      </w:r>
      <w:r w:rsidR="00436849" w:rsidRPr="00436849">
        <w:rPr>
          <w:rFonts w:ascii="Calibri" w:hAnsi="Calibri" w:cs="Calibri"/>
        </w:rPr>
        <w:t>(9)</w:t>
      </w:r>
      <w:r w:rsidR="00492994">
        <w:fldChar w:fldCharType="end"/>
      </w:r>
      <w:r w:rsidR="00CE4C3F">
        <w:t>.</w:t>
      </w:r>
      <w:r w:rsidR="001E372E">
        <w:t xml:space="preserve"> Deficits in physical health have also been documented, with LGB individuals </w:t>
      </w:r>
      <w:r w:rsidR="00436849">
        <w:t xml:space="preserve">showing increased incidence of long-standing conditions that limit their daily activities (e.g. musculoskeletal problems, arthritis, chronic fatigue syndrome) </w:t>
      </w:r>
      <w:r w:rsidR="00560AB2">
        <w:t>relative to</w:t>
      </w:r>
      <w:r w:rsidR="00994B11">
        <w:t xml:space="preserve"> heterosexuals </w:t>
      </w:r>
      <w:r w:rsidR="00994B11">
        <w:fldChar w:fldCharType="begin"/>
      </w:r>
      <w:r w:rsidR="002B2DE9">
        <w:instrText xml:space="preserve"> ADDIN ZOTERO_ITEM CSL_CITATION {"citationID":"RR0Rf1CI","properties":{"formattedCitation":"(10)","plainCitation":"(10)","noteIndex":0},"citationItems":[{"id":"A4nDS9l3/6WEPKcX3","uris":["http://zotero.org/users/446899/items/HGNJ34QF"],"uri":["http://zotero.org/users/446899/items/HGNJ34QF"],"itemData":{"id":5918,"type":"article-journal","title":"Lesbian, gay and bisexual people</w:instrText>
      </w:r>
      <w:r w:rsidR="002B2DE9">
        <w:rPr>
          <w:rFonts w:ascii="Tahoma" w:hAnsi="Tahoma" w:cs="Tahoma"/>
        </w:rPr>
        <w:instrText>�</w:instrText>
      </w:r>
      <w:r w:rsidR="002B2DE9">
        <w:instrText>s health in the UK: a theoretical critique and systematic review","container-title":"Diversity &amp; Equality in Health and Care","volume":"9","issue":"1","source":"diversityhealthcare.imedpub.com","abstract":"Much has been written about the general relationship between social position and health. Far less is available on this relationship as it applies to the health of lesbian, gay, bisexual and transgender (LGB&amp;T) people. Whether the health of LGBT people is similar, better or worse in general than that of other members of the population, and the degree to which being LGBT contributes to health inequalities and inequities or intersects with other dimensions of social stratification and difference, is not well understood. As possibly as many as 6% of the UK population identify as LGBT, there could be important health consequences. This paper considers the theoretical aspects of social stratification, sexual orientation and health. It also reports the findings of a systematic review of physical and mental health research about LGBT people in the UK. This was analysed in the context of the relationship between health and social position. For the systematic review, MEDLINE, MEDLINE Inprocess, EMBASE, PsycINFO, Web of Science and Cochrane Library databases were searched between January 2000 andMay 2008. References were searched and experts were contacted. Included were UK studies enrolling LGBT participants with any physical or mental health measures, but not HIV/AIDS, sexually transmitted diseases, sexual behaviour or health related to transitioning. Unpublished surveys involving more than 1000 participants were included. Inclusion decisions, data extraction and quality assessment were undertaken in duplicate. Quality assessment used established checklists appropriate to each study design. The results were tabulated and assessed narratively. From a total of2603 citations, five unpublished surveys and nine published papers were included. Studies were on transgender people’s health was available. The general trend of results for LGB people suggested worse health, particularly mental health and health behaviours. The lack of good-quality empirical information means that the interaction between the social position of LGBT people, other dimensions of social difference and the intersections between these dimensions and health outcomes is very difficult to describe. LGBT health needs are rarely highlighted beyond sexual health and HIV prevention, and adequate equity audit is not possible. This systematic review initiates improved consideration of the specific health needs of LGBT people and the th eoretical and empirical research that is needed to understand the health of LGBT people in the context of health inequalities.","URL":"http://diversityhealthcare.imedpub.com/abstract/lesbian-gay-and-bisexual-peoples-health-in-the-uk-a-theoretical-critique-and-systematic-review-1826.html","ISSN":"ISSN No. 2049-5471","shortTitle":"Lesbian, gay and bisexual people</w:instrText>
      </w:r>
      <w:r w:rsidR="002B2DE9">
        <w:rPr>
          <w:rFonts w:ascii="Tahoma" w:hAnsi="Tahoma" w:cs="Tahoma"/>
        </w:rPr>
        <w:instrText>�</w:instrText>
      </w:r>
      <w:r w:rsidR="002B2DE9">
        <w:instrText xml:space="preserve">s health in the UK","language":"en","author":[{"family":"Meads","given":"Catherine"},{"family":"Kelly","given":"Michael P."},{"family":"Carmona","given":"Chris"}],"issued":{"date-parts":[["2012"]]},"accessed":{"date-parts":[["2018",11,7]]}}}],"schema":"https://github.com/citation-style-language/schema/raw/master/csl-citation.json"} </w:instrText>
      </w:r>
      <w:r w:rsidR="00994B11">
        <w:fldChar w:fldCharType="separate"/>
      </w:r>
      <w:r w:rsidR="00994B11" w:rsidRPr="00436849">
        <w:rPr>
          <w:rFonts w:ascii="Calibri" w:hAnsi="Calibri" w:cs="Calibri"/>
        </w:rPr>
        <w:t>(10)</w:t>
      </w:r>
      <w:r w:rsidR="00994B11">
        <w:fldChar w:fldCharType="end"/>
      </w:r>
      <w:r w:rsidR="00994B11">
        <w:t>,</w:t>
      </w:r>
      <w:r w:rsidR="00436849">
        <w:t xml:space="preserve"> and </w:t>
      </w:r>
      <w:r w:rsidR="00E865ED">
        <w:t>rating their general</w:t>
      </w:r>
      <w:r w:rsidR="001E372E">
        <w:t xml:space="preserve"> health</w:t>
      </w:r>
      <w:r w:rsidR="00E865ED">
        <w:t xml:space="preserve"> </w:t>
      </w:r>
      <w:r w:rsidR="004719C6">
        <w:t xml:space="preserve">as worse </w:t>
      </w:r>
      <w:r w:rsidR="00436849">
        <w:fldChar w:fldCharType="begin"/>
      </w:r>
      <w:r w:rsidR="002B2DE9">
        <w:instrText xml:space="preserve"> ADDIN ZOTERO_ITEM CSL_CITATION {"citationID":"bcnK5efL","properties":{"formattedCitation":"(4,11)","plainCitation":"(4,11)","noteIndex":0},"citationItems":[{"id":"A4nDS9l3/lxpdZwkw","uris":["http://zotero.org/users/446899/items/APCXF6UE"],"uri":["http://zotero.org/users/446899/items/APCXF6UE"],"itemData":{"id":5787,"type":"book","title":"The Health of Lesbian, Gay, Bisexual, and Transgender People: Building a Foundation for Better Understanding","collection-title":"The National Academies Collection: Reports funded by National Institutes of Health","publisher":"National Academies Press (US)","publisher-place":"Washington (DC)","source":"PubMed","event-place":"Washington (DC)","abstract":"Lesbian, gay, bisexual, and transgender (LGBT) individuals experience unique health disparities. Although the acronym LGBT is used as an umbrella term, and the health needs of this community are often grouped together, each of these letters represents a distinct population with its own health concerns. Furthermore, among lesbians, gay men, bisexual men and women, and transgender people, there are subpopulations based on race, ethnicity, socioeconomic status, geographic location, age, and other factors. Although a modest body of knowledge on LGBT health has been developed, these populations, stigmatized as sexual and gender minorities, have been the subject of relatively little health research. As a result, a number of questions arise: What is currently known about the health status of LGBT populations? Where do gaps in the research exist? What are the priorities for a research agenda to address these gaps? At the request of the National Institutes of Health (NIH), the Institute of Medicine convened a consensus committee to answer these questions. The 17-member Committee on Lesbian, Gay, Bisexual, and Transgender Health Issues and Research Gaps and Opportunities comprised experts in the fields of mental health, biostatistics, clinical medicine, adolescent health and development, aging, parenting, behavioral sciences, HIV research, demography, racial and ethnic disparities, and health services. The committee was asked to conduct a review and prepare a report assessing the state of the science on the health status of lesbian, gay, bisexual, and transgender populations; identify research gaps and opportunities; and outline a research agenda that will assist NIH in enhancing its research efforts in this area.","URL":"http://www.ncbi.nlm.nih.gov/books/NBK64806/","ISBN":"978-0-309-21061-4","call-number":"NBK64806","note":"PMID: 22013611","shortTitle":"The Health of Lesbian, Gay, Bisexual, and Transgender People","language":"eng","author":[{"literal":"Institute of Medicine (US) Committee on Lesbian, Gay, Bisexual, and Transgender Health Issues and Research Gaps and Opportunities"}],"issued":{"date-parts":[["2011"]]},"accessed":{"date-parts":[["2018",11,5]]}}},{"id":"A4nDS9l3/22FdOOMP","uris":["http://zotero.org/users/446899/items/5AVTR8RS"],"uri":["http://zotero.org/users/446899/items/5AVTR8RS"],"itemData":{"id":5916,"type":"article-journal","title":"Sexual minorities in England have poorer health and worse health care experiences: a national survey","container-title":"Journal of General Internal Medicine","page":"9-16","volume":"30","issue":"1","source":"PubMed","abstract":"BACKGROUND: The health and healthcare of sexual minorities have recently been identified as priorities for health research and policy.\nOBJECTIVE: To compare the health and healthcare experiences of sexual minorities with heterosexual people of the same gender, adjusting for age, race/ethnicity, and socioeconomic status.\nDESIGN: Multivariate analyses of observational data from the 2009/2010 English General Practice Patient Survey.\nPARTICIPANTS: The survey was mailed to 5.56 million randomly sampled adults registered with a National Health Service general practice (representing 99 % of England's adult population). In all, 2,169,718 people responded (39 % response rate), including 27,497 people who described themselves as gay, lesbian, or bisexual.\nMAIN MEASURES: Two measures of health status (fair/poor overall self-rated health and self-reported presence of a longstanding psychological condition) and four measures of poor patient experiences (no trust or confidence in the doctor, poor/very poor doctor communication, poor/very poor nurse communication, fairly/very dissatisfied with care overall).\nKEY RESULTS: Sexual minorities were two to three times more likely to report having a longstanding psychological or emotional problem than heterosexual counterparts (age-adjusted for 5.2 % heterosexual, 10.9 % gay, 15.0 % bisexual for men; 6.0 % heterosexual, 12.3 % lesbian and 18.8 % bisexual for women; p &lt; 0.001 for each). Sexual minorities were also more likely to report fair/poor health (adjusted 19.6 % heterosexual, 21.8 % gay, 26.4 % bisexual for men; 20.5 % heterosexual, 24.9 % lesbian and 31.6 % bisexual for women; p &lt; 0.001 for each). Adjusted for sociodemographic characteristics and health status, sexual minorities were about one and one-half times more likely than heterosexual people to report unfavorable experiences with each of four aspects of primary care. Little of the overall disparity reflected concentration of sexual minorities in low-performing practices.\nCONCLUSIONS: Sexual minorities suffer both poorer health and worse healthcare experiences. Efforts should be made to recognize the needs and improve the experiences of sexual minorities. Examining patient experience disparities by sexual orientation can inform such efforts.","DOI":"10.1007/s11606-014-2905-y","ISSN":"1525-1497","note":"PMID: 25190140\nPMCID: PMC4284269","shortTitle":"Sexual minorities in England have poorer health and worse health care experiences","journalAbbreviation":"J Gen Intern Med","language":"eng","author":[{"family":"Elliott","given":"Marc N."},{"family":"Kanouse","given":"David E."},{"family":"Burkhart","given":"Q."},{"family":"Abel","given":"Gary A."},{"family":"Lyratzopoulos","given":"Georgios"},{"family":"Beckett","given":"Megan K."},{"family":"Schuster","given":"Mark A."},{"family":"Roland","given":"Martin"}],"issued":{"date-parts":[["2015",1]]}}}],"schema":"https://github.com/citation-style-language/schema/raw/master/csl-citation.json"} </w:instrText>
      </w:r>
      <w:r w:rsidR="00436849">
        <w:fldChar w:fldCharType="separate"/>
      </w:r>
      <w:r w:rsidR="00436849" w:rsidRPr="00436849">
        <w:rPr>
          <w:rFonts w:ascii="Calibri" w:hAnsi="Calibri" w:cs="Calibri"/>
        </w:rPr>
        <w:t>(4,11)</w:t>
      </w:r>
      <w:r w:rsidR="00436849">
        <w:fldChar w:fldCharType="end"/>
      </w:r>
      <w:r w:rsidR="001E372E">
        <w:rPr>
          <w:i/>
          <w:color w:val="FF0000"/>
        </w:rPr>
        <w:fldChar w:fldCharType="begin"/>
      </w:r>
      <w:r w:rsidR="002B2DE9">
        <w:rPr>
          <w:i/>
          <w:color w:val="FF0000"/>
        </w:rPr>
        <w:instrText xml:space="preserve"> ADDIN ZOTERO_ITEM CSL_CITATION {"citationID":"xdJt2KYn","properties":{"formattedCitation":"(4,12)","plainCitation":"(4,12)","dontUpdate":true,"noteIndex":0},"citationItems":[{"id":"A4nDS9l3/lxpdZwkw","uris":["http://zotero.org/users/446899/items/APCXF6UE"],"uri":["http://zotero.org/users/446899/items/APCXF6UE"],"itemData":{"id":5787,"type":"book","title":"The Health of Lesbian, Gay, Bisexual, and Transgender People: Building a Foundation for Better Understanding","collection-title":"The National Academies Collection: Reports funded by National Institutes of Health","publisher":"National Academies Press (US)","publisher-place":"Washington (DC)","source":"PubMed","event-place":"Washington (DC)","abstract":"Lesbian, gay, bisexual, and transgender (LGBT) individuals experience unique health disparities. Although the acronym LGBT is used as an umbrella term, and the health needs of this community are often grouped together, each of these letters represents a distinct population with its own health concerns. Furthermore, among lesbians, gay men, bisexual men and women, and transgender people, there are subpopulations based on race, ethnicity, socioeconomic status, geographic location, age, and other factors. Although a modest body of knowledge on LGBT health has been developed, these populations, stigmatized as sexual and gender minorities, have been the subject of relatively little health research. As a result, a number of questions arise: What is currently known about the health status of LGBT populations? Where do gaps in the research exist? What are the priorities for a research agenda to address these gaps? At the request of the National Institutes of Health (NIH), the Institute of Medicine convened a consensus committee to answer these questions. The 17-member Committee on Lesbian, Gay, Bisexual, and Transgender Health Issues and Research Gaps and Opportunities comprised experts in the fields of mental health, biostatistics, clinical medicine, adolescent health and development, aging, parenting, behavioral sciences, HIV research, demography, racial and ethnic disparities, and health services. The committee was asked to conduct a review and prepare a report assessing the state of the science on the health status of lesbian, gay, bisexual, and transgender populations; identify research gaps and opportunities; and outline a research agenda that will assist NIH in enhancing its research efforts in this area.","URL":"http://www.ncbi.nlm.nih.gov/books/NBK64806/","ISBN":"978-0-309-21061-4","call-number":"NBK64806","note":"PMID: 22013611","shortTitle":"The Health of Lesbian, Gay, Bisexual, and Transgender People","language":"eng","author":[{"literal":"Institute of Medicine (US) Committee on Lesbian, Gay, Bisexual, and Transgender Health Issues and Research Gaps and Opportunities"}],"issued":{"date-parts":[["2011"]]},"accessed":{"date-parts":[["2018",11,5]]}}},{"id":"A4nDS9l3/J5IyPe7s","uris":["http://zotero.org/users/446899/items/FMSL28WY"],"uri":["http://zotero.org/users/446899/items/FMSL28WY"],"itemData":{"id":5827,"type":"article-journal","title":"A Population-Based Study of Sexual Orientation Identity and Gender Differences in Adult Health","container-title":"American Journal of Public Health","page":"1953-1960","volume":"100","issue":"10","source":"ajph.aphapublications.org (Atypon)","abstract":"Objectives. We provide estimates of several leading US adult health indicators by sexual orientation identity and gender to fill gaps in the current literature.Methods. We aggregated data from the 2001–2008 Massachusetts Behavioral Risk Factor Surveillance surveys (N = 67 359) to examine patterns in self-reported health by sexual orientation identity and gender, using multivariable logistic regression.Results. Compared with heterosexuals, sexual minorities (i.e., gays/lesbians, 2% of sample; bisexuals, 1%) were more likely to report activity limitation, tension or worry, smoking, drug use, asthma, lifetime sexual victimization, and HIV testing, but did not differ on 3-year Papanicolaou tests, lifetime mammography, diabetes, or heart disease. Compared with heterosexuals, bisexuals reported more barriers to health care, current sadness, past-year suicidal ideation, and cardiovascular disease risk. Gay men were less likely to be overweight or obese and to obtain prostate-specific antigen tests, and lesbians were more likely to be obese and to report multiple risks for cardiovascular disease. Binge drinking and lifetime physical intimate partner victimization were more common among bisexual women.Conclusions. Sexual orientation disparities in chronic disease risk, victimization, health care access, mental health, and smoking merit increased attention. More research on heterogeneity in health and health determinants among sexual minorities is needed.","DOI":"10.2105/AJPH.2009.174169","ISSN":"0090-0036","journalAbbreviation":"Am J Public Health","author":[{"family":"Conron","given":"Kerith J."},{"family":"Mimiaga","given":"Matthew J."},{"family":"Landers","given":"Stewart J."}],"issued":{"date-parts":[["2010",10,1]]}}}],"schema":"https://github.com/citation-style-language/schema/raw/master/csl-citation.json"} </w:instrText>
      </w:r>
      <w:r w:rsidR="001E372E">
        <w:rPr>
          <w:i/>
          <w:color w:val="FF0000"/>
        </w:rPr>
        <w:fldChar w:fldCharType="end"/>
      </w:r>
      <w:r w:rsidR="001E372E">
        <w:t>.</w:t>
      </w:r>
    </w:p>
    <w:p w14:paraId="180A68AC" w14:textId="2A5A8329" w:rsidR="00AE25FE" w:rsidRDefault="00AD2DC1" w:rsidP="002B2DE9">
      <w:pPr>
        <w:spacing w:after="0"/>
        <w:contextualSpacing/>
        <w:jc w:val="both"/>
      </w:pPr>
      <w:bookmarkStart w:id="1" w:name="_Hlk5906590"/>
      <w:r>
        <w:t xml:space="preserve">Discrimination has been identified as a potentially important influence on the health and wellbeing of the LGB population </w:t>
      </w:r>
      <w:r>
        <w:fldChar w:fldCharType="begin"/>
      </w:r>
      <w:r w:rsidR="002B2DE9">
        <w:instrText xml:space="preserve"> ADDIN ZOTERO_ITEM CSL_CITATION {"citationID":"FaGSCiqD","properties":{"formattedCitation":"(13\\uc0\\u8211{}16)","plainCitation":"(13–16)","noteIndex":0},"citationItems":[{"id":"A4nDS9l3/Z9Bel4qv","uris":["http://zotero.org/users/446899/items/2FIM3TGV"],"uri":["http://zotero.org/users/446899/items/2FIM3TGV"],"itemData":{"id":5797,"type":"article-journal","title":"Prejudice, Social Stress, and Mental Health in Lesbian, Gay, and Bisexual Populations: Conceptual Issues and Research Evidence","container-title":"Psychological bulletin","page":"674-697","volume":"129","issue":"5","source":"PubMed Central","abstract":"In this article the author reviews research evidence on the prevalence of mental disorders in lesbians, gay men, and bisexuals (LGBs) and shows, using meta-analyses, that LGBs have a higher prevalence of mental disorders than heterosexuals. The author offers a conceptual framework for understanding this excess in prevalence of disorder in terms of minority stress—explaining that stigma, prejudice, and discrimination create a hostile and stressful social environment that causes mental health problems. The model describes stress processes, including the experience of prejudice events, expectations of rejection, hiding and concealing, internalized homophobia, and ameliorative coping processes. This conceptual framework is the basis for the review of research evidence, suggestions for future research directions, and exploration of public policy implications.","DOI":"10.1037/0033-2909.129.5.674","ISSN":"0033-2909","note":"PMID: 12956539\nPMCID: PMC2072932","shortTitle":"Prejudice, Social Stress, and Mental Health in Lesbian, Gay, and Bisexual Populations","journalAbbreviation":"Psychol Bull","author":[{"family":"Meyer","given":"Ilan H."}],"issued":{"date-parts":[["2003",9]]}}},{"id":"A4nDS9l3/Zjgo4MBo","uris":["http://zotero.org/users/446899/items/QTGIX7JP"],"uri":["http://zotero.org/users/446899/items/QTGIX7JP"],"itemData":{"id":5795,"type":"article-journal","title":"Mental Health Correlates of Perceived Discrimination Among Lesbian, Gay, and Bisexual Adults in the United States","container-title":"American Journal of Public Health","page":"1869-1876","volume":"91","issue":"11","source":"ajph.aphapublications.org (Atypon)","abstract":"Objectives. Recent studies suggest that lesbians and gay men are at higher risk for stress-sensitive psychiatric disorders than are heterosexual persons. We examined the possible role of perceived discrimination in generating that risk. Methods.  The National Survey of Midlife Development in the United States, a nationally representative sample of adults aged 25 to 74 years, surveyed individuals self-identifying as homosexual or bisexual (n = 73) or heterosexual (n = 2844) about their lifetime and day-to-day experiences with discrimination. Also assessed were 1-year prevalence of depressive, anxiety, and substance dependence disorders; current psychologic distress; and self-rated mental health. Results.  Homosexual and bisexual individuals more frequently than heterosexual persons reported both lifetime and day-to-day experiences with discrimination. Approximately 42% attributed this to their sexual orientation, in whole or part. Perceived discrimination was positively associated with both harmful effects on quality of life and indicators of psychiatric morbidity in the total sample. Controlling for differences in discrimination experiences attenuated observed associations between psychiatric morbidity and sexual orientation. Conclusions.  Higher levels of discrimination may underlie recent observations of greater psychiatric morbidity risk among lesbian, gay, and bisexual individuals.","DOI":"10.2105/AJPH.91.11.1869","ISSN":"0090-0036","journalAbbreviation":"Am J Public Health","author":[{"family":"Mays","given":"Vickie M."},{"family":"Cochran","given":"Susan D."}],"issued":{"date-parts":[["2001",11,1]]}}},{"id":"A4nDS9l3/nihhcNdu","uris":["http://zotero.org/users/446899/items/KGTQXDRE"],"uri":["http://zotero.org/users/446899/items/KGTQXDRE"],"itemData":{"id":1396,"type":"article-journal","title":"Perceived discrimination and health: A meta-analytic review","container-title":"Psychological Bulletin","page":"531-554","volume":"135","issue":"4","source":"APA PsycNET","abstract":"Perceived discrimination has been studied with regard to its impact on several types of health effects. This meta-analysis provides a comprehensive account of the relationships between multiple forms of perceived discrimination and both mental and physical health outcomes. In addition, this meta-analysis examines potential mechanisms by which perceiving discrimination may affect health, including through psychological and physiological stress responses and health behaviors. Analysis of 134 samples suggests that when weighting each study’s contribution by sample size, perceived discrimination has a significant negative effect on both mental and physical health. Perceived discrimination also produces significantly heightened stress responses and is related to participation in unhealthy and nonparticipation in healthy behaviors. These findings suggest potential pathways linking perceived discrimination to negative health outcomes.","DOI":"10.1037/a0016059","ISSN":"1939-1455(Electronic);0033-2909(Print)","shortTitle":"Perceived discrimination and health","author":[{"family":"Pascoe","given":"Elizabeth A."},{"family":"Smart Richman","given":"Laura"}],"issued":{"date-parts":[["2009"]]}}},{"id":"A4nDS9l3/1zl504ed","uris":["http://zotero.org/users/446899/items/BX6EJIDF"],"uri":["http://zotero.org/users/446899/items/BX6EJIDF"],"itemData":{"id":5784,"type":"article-journal","title":"The health, social care and housing needs of lesbian, gay, bisexual and transgender older people: a review of the literature","container-title":"Health &amp; Social Care in the Community","page":"647-658","volume":"17","issue":"6","source":"Wiley Online Library","abstract":"This paper reports the findings of a literature review of the health, social care and housing needs of older lesbian, gay, bisexual and transgender (LGBT) adults undertaken in 2006 for the Welsh Assembly Government. Peer-reviewed literature was identified through database searches of BNI, PubMed, CINAHL, DARE, ASSIA and PsychInfo. Follow-up searches were conducted using references to key papers and journals as well as specific authors who had published key papers. A total of 187 papers or chapters were retrieved, of which 66 were included in the study; major themes were identified and the findings synthesised using a meta-narrative approach. The main themes that emerged from the review were isolation, health behaviours, mental health and sexual health behaviours. The literature indicates that the health, social care and housing needs of LGBT older people is influenced by a number of forms of discrimination which may impact upon the provision of, access to and take up of health, social care and housing services. Understanding of the health, social care and housing needs of older LGBT people is limited and research in this area is scarce. The research which exists has been criticised for using small samples and for tending to exclude participants from less affluent backgrounds. The focus of research tends to be on gay men and lesbians; consequently, the needs of bisexual and transgender people remain largely unknown. Additionally, research which does exist tends to focus on a narrow range of health issues, often related to the health needs of younger LGBT people. Discrimination in various forms has a major impact on needs and experiences, leading to marginalisation of LGBT people both in the provision of health and social care services and neglect of these groups in public health research.","DOI":"10.1111/j.1365-2524.2009.00866.x","ISSN":"1365-2524","shortTitle":"The health, social care and housing needs of lesbian</w:instrText>
      </w:r>
      <w:r w:rsidR="002B2DE9">
        <w:rPr>
          <w:rFonts w:hint="eastAsia"/>
        </w:rPr>
        <w:instrText>, gay, bisexual and transgender older people","language":"en","author":[{"family":"Addis","given":"Samia"},{"family":"Davies","given":"Myfanwy"},{"family":"Greene","given":"Giles"},{"family":"MacBride</w:instrText>
      </w:r>
      <w:r w:rsidR="002B2DE9">
        <w:rPr>
          <w:rFonts w:hint="eastAsia"/>
        </w:rPr>
        <w:instrText>‐</w:instrText>
      </w:r>
      <w:r w:rsidR="002B2DE9">
        <w:rPr>
          <w:rFonts w:hint="eastAsia"/>
        </w:rPr>
        <w:instrText>Stewart","given":"Sara"},{"family":"Shepherd","given":</w:instrText>
      </w:r>
      <w:r w:rsidR="002B2DE9">
        <w:instrText xml:space="preserve">"Michael"}],"issued":{"date-parts":[["2009",11,1]]}}}],"schema":"https://github.com/citation-style-language/schema/raw/master/csl-citation.json"} </w:instrText>
      </w:r>
      <w:r>
        <w:fldChar w:fldCharType="separate"/>
      </w:r>
      <w:r w:rsidR="00436849" w:rsidRPr="00436849">
        <w:rPr>
          <w:rFonts w:ascii="Calibri" w:hAnsi="Calibri" w:cs="Calibri"/>
          <w:szCs w:val="24"/>
        </w:rPr>
        <w:t>(13–16)</w:t>
      </w:r>
      <w:r>
        <w:fldChar w:fldCharType="end"/>
      </w:r>
      <w:r>
        <w:t>.</w:t>
      </w:r>
      <w:r w:rsidR="008F0143">
        <w:t xml:space="preserve"> </w:t>
      </w:r>
      <w:r w:rsidR="003E6C5E">
        <w:t>A conceptual framework of “minority stress” posits that stigma, prejudice and discrimination create a hostile and stressful social environment that ha</w:t>
      </w:r>
      <w:r w:rsidR="007643D9">
        <w:t>s</w:t>
      </w:r>
      <w:r w:rsidR="003E6C5E">
        <w:t xml:space="preserve"> adverse consequences for health</w:t>
      </w:r>
      <w:r w:rsidR="00396EFB">
        <w:t xml:space="preserve"> </w:t>
      </w:r>
      <w:r w:rsidR="00396EFB">
        <w:fldChar w:fldCharType="begin"/>
      </w:r>
      <w:r w:rsidR="002B2DE9">
        <w:instrText xml:space="preserve"> ADDIN ZOTERO_ITEM CSL_CITATION {"citationID":"h78MIMWM","properties":{"formattedCitation":"(13)","plainCitation":"(13)","noteIndex":0},"citationItems":[{"id":"A4nDS9l3/Z9Bel4qv","uris":["http://zotero.org/users/446899/items/2FIM3TGV"],"uri":["http://zotero.org/users/446899/items/2FIM3TGV"],"itemData":{"id":5797,"type":"article-journal","title":"Prejudice, Social Stress, and Mental Health in Lesbian, Gay, and Bisexual Populations: Conceptual Issues and Research Evidence","container-title":"Psychological bulletin","page":"674-697","volume":"129","issue":"5","source":"PubMed Central","abstract":"In this article the author reviews research evidence on the prevalence of mental disorders in lesbians, gay men, and bisexuals (LGBs) and shows, using meta-analyses, that LGBs have a higher prevalence of mental disorders than heterosexuals. The author offers a conceptual framework for understanding this excess in prevalence of disorder in terms of minority stress—explaining that stigma, prejudice, and discrimination create a hostile and stressful social environment that causes mental health problems. The model describes stress processes, including the experience of prejudice events, expectations of rejection, hiding and concealing, internalized homophobia, and ameliorative coping processes. This conceptual framework is the basis for the review of research evidence, suggestions for future research directions, and exploration of public policy implications.","DOI":"10.1037/0033-2909.129.5.674","ISSN":"0033-2909","note":"PMID: 12956539\nPMCID: PMC2072932","shortTitle":"Prejudice, Social Stress, and Mental Health in Lesbian, Gay, and Bisexual Populations","journalAbbreviation":"Psychol Bull","author":[{"family":"Meyer","given":"Ilan H."}],"issued":{"date-parts":[["2003",9]]}}}],"schema":"https://github.com/citation-style-language/schema/raw/master/csl-citation.json"} </w:instrText>
      </w:r>
      <w:r w:rsidR="00396EFB">
        <w:fldChar w:fldCharType="separate"/>
      </w:r>
      <w:r w:rsidR="00436849" w:rsidRPr="00436849">
        <w:rPr>
          <w:rFonts w:ascii="Calibri" w:hAnsi="Calibri" w:cs="Calibri"/>
        </w:rPr>
        <w:t>(13)</w:t>
      </w:r>
      <w:r w:rsidR="00396EFB">
        <w:fldChar w:fldCharType="end"/>
      </w:r>
      <w:r w:rsidR="003E6C5E">
        <w:t xml:space="preserve">. </w:t>
      </w:r>
      <w:r w:rsidR="00DA2C46">
        <w:t xml:space="preserve">This framework may apply to other characteristics beyond sexual </w:t>
      </w:r>
      <w:r w:rsidR="00561820">
        <w:t>orientation</w:t>
      </w:r>
      <w:r w:rsidR="00DA2C46">
        <w:t>, acknowledging that individual</w:t>
      </w:r>
      <w:r w:rsidR="00561820">
        <w:t>s</w:t>
      </w:r>
      <w:r w:rsidR="00DA2C46">
        <w:t xml:space="preserve"> may h</w:t>
      </w:r>
      <w:r w:rsidR="00561820">
        <w:t>old</w:t>
      </w:r>
      <w:r w:rsidR="00DA2C46">
        <w:t xml:space="preserve"> multiple marginalised identities. </w:t>
      </w:r>
      <w:bookmarkEnd w:id="1"/>
      <w:r w:rsidR="0024770D">
        <w:t>A substantial body of literature has shown</w:t>
      </w:r>
      <w:r w:rsidR="00E87F18">
        <w:t xml:space="preserve"> that </w:t>
      </w:r>
      <w:r w:rsidR="00141E8F">
        <w:t>LGB</w:t>
      </w:r>
      <w:r w:rsidR="00E87F18">
        <w:t xml:space="preserve"> individuals</w:t>
      </w:r>
      <w:r w:rsidR="00141E8F">
        <w:t xml:space="preserve"> </w:t>
      </w:r>
      <w:r w:rsidR="00E87F18">
        <w:t xml:space="preserve">are </w:t>
      </w:r>
      <w:r w:rsidR="0060292B">
        <w:t>much</w:t>
      </w:r>
      <w:r w:rsidR="00E87F18">
        <w:t xml:space="preserve"> </w:t>
      </w:r>
      <w:r w:rsidR="00141E8F">
        <w:t>more likely</w:t>
      </w:r>
      <w:r w:rsidR="00E87F18">
        <w:t xml:space="preserve"> than heterosexuals</w:t>
      </w:r>
      <w:r w:rsidR="00141E8F">
        <w:t xml:space="preserve"> to </w:t>
      </w:r>
      <w:r w:rsidR="00E87F18">
        <w:t>experience</w:t>
      </w:r>
      <w:r w:rsidR="00141E8F">
        <w:t xml:space="preserve"> discrimination</w:t>
      </w:r>
      <w:r w:rsidR="00AA6EAA">
        <w:t xml:space="preserve"> related to their sexual orientation</w:t>
      </w:r>
      <w:r w:rsidR="00141E8F">
        <w:t xml:space="preserve"> </w:t>
      </w:r>
      <w:r w:rsidR="00141E8F" w:rsidRPr="009E24CC">
        <w:fldChar w:fldCharType="begin"/>
      </w:r>
      <w:r w:rsidR="002B2DE9">
        <w:instrText xml:space="preserve"> ADDIN ZOTERO_ITEM CSL_CITATION {"citationID":"8fxawYrK","properties":{"formattedCitation":"(17)","plainCitation":"(17)","noteIndex":0},"citationItems":[{"id":"A4nDS9l3/XnSQmgbM","uris":["http://zotero.org/users/446899/items/LBPARDUE"],"uri":["http://zotero.org/users/446899/items/LBPARDUE"],"itemData":{"id":5857,"type":"article-journal","title":"Victimization experiences of lesbian, gay, and bisexual individuals: a meta-analysis","container-title":"Journal of Sex Research","page":"142-167","volume":"49","issue":"2-3","source":"PubMed","abstract":"This meta-analysis quantitatively compiled the results of studies from 1992 to 2009 to determine the prevalence and types of victimization experienced by lesbian, gay, and bisexual (LGB) individuals. Based on the results of three searches, 386 studies were retrieved and coded. Comparisons were made across all LGB individuals (138 studies), between LGB and heterosexual individuals (65 studies), and between LGB females and males (53 studies), with over 500,000 participants. Multiple types of victimization were coded, including discrimination, physical assault, and school victimization. Findings revealed that for LGB individuals, reports of victimization experiences were substantial (e.g., 55% experienced verbal harassment, and 41% experienced discrimination) and some types have increased since a 1992 review, while others have decreased. LGB individuals experienced greater rates of victimization than heterosexual individuals (range: d = .04-.58). LGB males experienced some types of victimization more than LGB females (e.g., weapon assault and being robbed) but, overall, the gender differences were small. It can be concluded that LGB individuals still experience a substantial amount of victimization. Implications for research methods are discussed, including recommendations for sampling and measurement of victimization.   [Supplementary materials are available for this article. Go to the publisher's online edition of Journal of Sex Research for the following free supplemental resource(s): Supplementary Tables. These tables are referred to in the text of this article as \"Table S1,\" \"Table S2,\" etc.].","DOI":"10.1080/00224499.2011.637247","ISSN":"1559-8519","note":"PMID: 22380586","shortTitle":"Victimization experiences of lesbian, gay, and bisexual individuals","journalAbbreviation":"J Sex Res","language":"eng","author":[{"family":"Katz-Wise","given":"Sabra L."},{"family":"Hyde","given":"Janet S."}],"issued":{"date-parts":[["2012"]]}}}],"schema":"https://github.com/citation-style-language/schema/raw/master/csl-citation.json"} </w:instrText>
      </w:r>
      <w:r w:rsidR="00141E8F" w:rsidRPr="009E24CC">
        <w:fldChar w:fldCharType="separate"/>
      </w:r>
      <w:r w:rsidR="00436849" w:rsidRPr="00436849">
        <w:rPr>
          <w:rFonts w:ascii="Calibri" w:hAnsi="Calibri" w:cs="Calibri"/>
        </w:rPr>
        <w:t>(17)</w:t>
      </w:r>
      <w:r w:rsidR="00141E8F" w:rsidRPr="009E24CC">
        <w:fldChar w:fldCharType="end"/>
      </w:r>
      <w:r w:rsidR="00193EE6">
        <w:t>,</w:t>
      </w:r>
      <w:r w:rsidR="009E741A">
        <w:t xml:space="preserve"> </w:t>
      </w:r>
      <w:r w:rsidR="00193EE6">
        <w:t>with many</w:t>
      </w:r>
      <w:r w:rsidR="009E741A">
        <w:t xml:space="preserve"> </w:t>
      </w:r>
      <w:r w:rsidR="00E87F18" w:rsidRPr="009E24CC">
        <w:t>report</w:t>
      </w:r>
      <w:r w:rsidR="00193EE6">
        <w:t>ing</w:t>
      </w:r>
      <w:r w:rsidR="009E741A">
        <w:t xml:space="preserve"> that</w:t>
      </w:r>
      <w:r w:rsidR="00E87F18" w:rsidRPr="009E24CC">
        <w:t xml:space="preserve"> discrimination interfe</w:t>
      </w:r>
      <w:r w:rsidR="009E741A">
        <w:t>res</w:t>
      </w:r>
      <w:r w:rsidR="00E87F18" w:rsidRPr="009E24CC">
        <w:t xml:space="preserve"> with their ability to have a full and productive </w:t>
      </w:r>
      <w:r w:rsidR="00E87F18" w:rsidRPr="00AE25FE">
        <w:t xml:space="preserve">life </w:t>
      </w:r>
      <w:r w:rsidR="000F2C2F" w:rsidRPr="00AE25FE">
        <w:fldChar w:fldCharType="begin"/>
      </w:r>
      <w:r w:rsidR="002B2DE9">
        <w:instrText xml:space="preserve"> ADDIN ZOTERO_ITEM CSL_CITATION {"citationID":"ztdQtGfb","properties":{"formattedCitation":"(14)","plainCitation":"(14)","noteIndex":0},"citationItems":[{"id":"A4nDS9l3/Zjgo4MBo","uris":["http://zotero.org/users/446899/items/QTGIX7JP"],"uri":["http://zotero.org/users/446899/items/QTGIX7JP"],"itemData":{"id":5795,"type":"article-journal","title":"Mental Health Correlates of Perceived Discrimination Among Lesbian, Gay, and Bisexual Adults in the United States","container-title":"American Journal of Public Health","page":"1869-1876","volume":"91","issue":"11","source":"ajph.aphapublications.org (Atypon)","abstract":"Objectives. Recent studies suggest that lesbians and gay men are at higher risk for stress-sensitive psychiatric disorders than are heterosexual persons. We examined the possible role of perceived discrimination in generating that risk. Methods.  The National Survey of Midlife Development in the United States, a nationally representative sample of adults aged 25 to 74 years, surveyed individuals self-identifying as homosexual or bisexual (n = 73) or heterosexual (n = 2844) about their lifetime and day-to-day experiences with discrimination. Also assessed were 1-year prevalence of depressive, anxiety, and substance dependence disorders; current psychologic distress; and self-rated mental health. Results.  Homosexual and bisexual individuals more frequently than heterosexual persons reported both lifetime and day-to-day experiences with discrimination. Approximately 42% attributed this to their sexual orientation, in whole or part. Perceived discrimination was positively associated with both harmful effects on quality of life and indicators of psychiatric morbidity in the total sample. Controlling for differences in discrimination experiences attenuated observed associations between psychiatric morbidity and sexual orientation. Conclusions.  Higher levels of discrimination may underlie recent observations of greater psychiatric morbidity risk among lesbian, gay, and bisexual individuals.","DOI":"10.2105/AJPH.91.11.1869","ISSN":"0090-0036","journalAbbreviation":"Am J Public Health","author":[{"family":"Mays","given":"Vickie M."},{"family":"Cochran","given":"Susan D."}],"issued":{"date-parts":[["2001",11,1]]}}}],"schema":"https://github.com/citation-style-language/schema/raw/master/csl-citation.json"} </w:instrText>
      </w:r>
      <w:r w:rsidR="000F2C2F" w:rsidRPr="00AE25FE">
        <w:fldChar w:fldCharType="separate"/>
      </w:r>
      <w:r w:rsidR="00436849" w:rsidRPr="00AE25FE">
        <w:t>(14)</w:t>
      </w:r>
      <w:r w:rsidR="000F2C2F" w:rsidRPr="00AE25FE">
        <w:fldChar w:fldCharType="end"/>
      </w:r>
      <w:r w:rsidR="00141E8F" w:rsidRPr="00AE25FE">
        <w:t>.</w:t>
      </w:r>
      <w:r w:rsidR="003B039B" w:rsidRPr="00AE25FE">
        <w:t xml:space="preserve"> </w:t>
      </w:r>
      <w:r w:rsidR="00AE25FE" w:rsidRPr="00AE25FE">
        <w:t>For some LGB people, experiences of individual discrimination occur in discrete lifetime events (e.g. being fired from a job, being prevented from renting or buying a home) and in day-to-day interactions with others who treat them poorly</w:t>
      </w:r>
      <w:r w:rsidR="00F258A5">
        <w:t xml:space="preserve"> </w:t>
      </w:r>
      <w:r w:rsidR="00F258A5">
        <w:fldChar w:fldCharType="begin"/>
      </w:r>
      <w:r w:rsidR="002B2DE9">
        <w:instrText xml:space="preserve"> ADDIN ZOTERO_ITEM CSL_CITATION {"citationID":"4uJwrysq","properties":{"formattedCitation":"(14)","plainCitation":"(14)","noteIndex":0},"citationItems":[{"id":"A4nDS9l3/Zjgo4MBo","uris":["http://zotero.org/users/446899/items/QTGIX7JP"],"uri":["http://zotero.org/users/446899/items/QTGIX7JP"],"itemData":{"id":5795,"type":"article-journal","title":"Mental Health Correlates of Perceived Discrimination Among Lesbian, Gay, and Bisexual Adults in the United States","container-title":"American Journal of Public Health","page":"1869-1876","volume":"91","issue":"11","source":"ajph.aphapublications.org (Atypon)","abstract":"Objectives. Recent studies suggest that lesbians and gay men are at higher risk for stress-sensitive psychiatric disorders than are heterosexual persons. We examined the possible role of perceived discrimination in generating that risk. Methods.  The National Survey of Midlife Development in the United States, a nationally representative sample of adults aged 25 to 74 years, surveyed individuals self-identifying as homosexual or bisexual (n = 73) or heterosexual (n = 2844) about their lifetime and day-to-day experiences with discrimination. Also assessed were 1-year prevalence of depressive, anxiety, and substance dependence disorders; current psychologic distress; and self-rated mental health. Results.  Homosexual and bisexual individuals more frequently than heterosexual persons reported both lifetime and day-to-day experiences with discrimination. Approximately 42% attributed this to their sexual orientation, in whole or part. Perceived discrimination was positively associated with both harmful effects on quality of life and indicators of psychiatric morbidity in the total sample. Controlling for differences in discrimination experiences attenuated observed associations between psychiatric morbidity and sexual orientation. Conclusions.  Higher levels of discrimination may underlie recent observations of greater psychiatric morbidity risk among lesbian, gay, and bisexual individuals.","DOI":"10.2105/AJPH.91.11.1869","ISSN":"0090-0036","journalAbbreviation":"Am J Public Health","author":[{"family":"Mays","given":"Vickie M."},{"family":"Cochran","given":"Susan D."}],"issued":{"date-parts":[["2001",11,1]]}}}],"schema":"https://github.com/citation-style-language/schema/raw/master/csl-citation.json"} </w:instrText>
      </w:r>
      <w:r w:rsidR="00F258A5">
        <w:fldChar w:fldCharType="separate"/>
      </w:r>
      <w:r w:rsidR="00F258A5" w:rsidRPr="00F258A5">
        <w:rPr>
          <w:rFonts w:ascii="Calibri" w:hAnsi="Calibri" w:cs="Calibri"/>
        </w:rPr>
        <w:t>(14)</w:t>
      </w:r>
      <w:r w:rsidR="00F258A5">
        <w:fldChar w:fldCharType="end"/>
      </w:r>
      <w:r w:rsidR="00AE25FE" w:rsidRPr="00AE25FE">
        <w:t>.</w:t>
      </w:r>
      <w:r w:rsidR="00AE25FE">
        <w:t xml:space="preserve"> For others, </w:t>
      </w:r>
      <w:r w:rsidR="00146361">
        <w:t xml:space="preserve">experiences are the </w:t>
      </w:r>
      <w:r w:rsidR="00146361" w:rsidRPr="00820103">
        <w:t xml:space="preserve">result of </w:t>
      </w:r>
      <w:r w:rsidR="00AE25FE" w:rsidRPr="00820103">
        <w:t>institutional discrimination where laws and policie</w:t>
      </w:r>
      <w:r w:rsidR="00146361" w:rsidRPr="00820103">
        <w:t xml:space="preserve">s in the public domain </w:t>
      </w:r>
      <w:r w:rsidR="00820103">
        <w:t>perpetuate</w:t>
      </w:r>
      <w:r w:rsidR="00AE25FE" w:rsidRPr="00820103">
        <w:t xml:space="preserve"> inequalities </w:t>
      </w:r>
      <w:r w:rsidR="00146361" w:rsidRPr="00820103">
        <w:t>(e.g.</w:t>
      </w:r>
      <w:r w:rsidR="00AE25FE" w:rsidRPr="00820103">
        <w:t xml:space="preserve"> the prohibition of same-sex marriage</w:t>
      </w:r>
      <w:r w:rsidR="00146361" w:rsidRPr="00820103">
        <w:t>)</w:t>
      </w:r>
      <w:r w:rsidR="00AE25FE" w:rsidRPr="00820103">
        <w:t xml:space="preserve">, or where laws </w:t>
      </w:r>
      <w:r w:rsidR="00146361" w:rsidRPr="00820103">
        <w:t>fail to</w:t>
      </w:r>
      <w:r w:rsidR="00AE25FE" w:rsidRPr="00820103">
        <w:t xml:space="preserve"> protect against discrimination based on sexual orientation</w:t>
      </w:r>
      <w:r w:rsidR="00F258A5" w:rsidRPr="00820103">
        <w:t xml:space="preserve"> </w:t>
      </w:r>
      <w:r w:rsidR="00F258A5" w:rsidRPr="00820103">
        <w:fldChar w:fldCharType="begin"/>
      </w:r>
      <w:r w:rsidR="002B2DE9">
        <w:instrText xml:space="preserve"> ADDIN ZOTERO_ITEM CSL_CITATION {"citationID":"5Vm4GLFG","properties":{"formattedCitation":"(10,18)","plainCitation":"(10,18)","noteIndex":0},"citationItems":[{"id":"A4nDS9l3/6WEPKcX3","uris":["http://zotero.org/users/446899/items/HGNJ34QF"],"uri":["http://zotero.org/users/446899/items/HGNJ34QF"],"itemData":{"id":5918,"type":"article-journal","title":"Lesbian, gay and bisexual people</w:instrText>
      </w:r>
      <w:r w:rsidR="002B2DE9">
        <w:rPr>
          <w:rFonts w:ascii="Tahoma" w:hAnsi="Tahoma" w:cs="Tahoma"/>
        </w:rPr>
        <w:instrText>�</w:instrText>
      </w:r>
      <w:r w:rsidR="002B2DE9">
        <w:instrText>s health in the UK: a theoretical critique and systematic review","container-title":"Diversity &amp; Equality in Health and Care","volume":"9","issue":"1","source":"diversityhealthcare.imedpub.com","abstract":"Much has been written about the general relationship between social position and health. Far less is available on this relationship as it applies to the health of lesbian, gay, bisexual and transgender (LGB&amp;T) people. Whether the health of LGBT people is similar, better or worse in general than that of other members of the population, and the degree to which being LGBT contributes to health inequalities and inequities or intersects with other dimensions of social stratification and difference, is not well understood. As possibly as many as 6% of the UK population identify as LGBT, there could be important health consequences. This paper considers the theoretical aspects of social stratification, sexual orientation and health. It also reports the findings of a systematic review of physical and mental health research about LGBT people in the UK. This was analysed in the context of the relationship between health and social position. For the systematic review, MEDLINE, MEDLINE Inprocess, EMBASE, PsycINFO, Web of Science and Cochrane Library databases were searched between January 2000 andMay 2008. References were searched and experts were contacted. Included were UK studies enrolling LGBT participants with any physical or mental health measures, but not HIV/AIDS, sexually transmitted diseases, sexual behaviour or health related to transitioning. Unpublished surveys involving more than 1000 participants were included. Inclusion decisions, data extraction and quality assessment were undertaken in duplicate. Quality assessment used established checklists appropriate to each study design. The results were tabulated and assessed narratively. From a total of2603 citations, five unpublished surveys and nine published papers were included. Studies were on transgender people’s health was available. The general trend of results for LGB people suggested worse health, particularly mental health and health behaviours. The lack of good-quality empirical information means that the interaction between the social position of LGBT people, other dimensions of social difference and the intersections between these dimensions and health outcomes is very difficult to describe. LGBT health needs are rarely highlighted beyond sexual health and HIV prevention, and adequate equity audit is not possible. This systematic review initiates improved consideration of the specific health needs of LGBT people and the th eoretical and empirical research that is needed to understand the health of LGBT people in the context of health inequalities.","URL":"http://diversityhealthcare.imedpub.com/abstract/lesbian-gay-and-bisexual-peoples-health-in-the-uk-a-theoretical-critique-and-systematic-review-1826.html","ISSN":"ISSN No. 2049-5471","shortTitle":"Lesbian, gay and bisexual people</w:instrText>
      </w:r>
      <w:r w:rsidR="002B2DE9">
        <w:rPr>
          <w:rFonts w:ascii="Tahoma" w:hAnsi="Tahoma" w:cs="Tahoma"/>
        </w:rPr>
        <w:instrText>�</w:instrText>
      </w:r>
      <w:r w:rsidR="002B2DE9">
        <w:instrText xml:space="preserve">s health in the UK","language":"en","author":[{"family":"Meads","given":"Catherine"},{"family":"Kelly","given":"Michael P."},{"family":"Carmona","given":"Chris"}],"issued":{"date-parts":[["2012"]]},"accessed":{"date-parts":[["2018",11,7]]}}},{"id":"A4nDS9l3/2gIR1R6t","uris":["http://zotero.org/users/446899/items/RFTTEAVU"],"uri":["http://zotero.org/users/446899/items/RFTTEAVU"],"itemData":{"id":5924,"type":"article-journal","title":"Suicide and suicide risk in lesbian, gay, bisexual, and transgender populations: review and recommendations","container-title":"Journal of Homosexuality","page":"10-51","volume":"58","issue":"1","source":"PubMed","abstract":"Despite strong indications of elevated risk of suicidal behavior in lesbian, gay, bisexual, and transgender people, limited attention has been given to research, interventions or suicide prevention programs targeting these populations. This article is a culmination of a three-year effort by an expert panel to address the need for better understanding of suicidal behavior and suicide risk in sexual minority populations, and stimulate the development of needed prevention strategies, interventions and policy changes. This article summarizes existing research findings, and makes recommendations for addressing knowledge gaps and applying current knowledge to relevant areas of suicide prevention practice.","DOI":"10.1080/00918369.2011.534038","ISSN":"1540-3602","note":"PMID: 21213174\nPMCID: PMC3662085","shortTitle":"Suicide and suicide risk in lesbian, gay, bisexual, and transgender populations","journalAbbreviation":"J Homosex","language":"eng","author":[{"family":"Haas","given":"Ann P."},{"family":"Eliason","given":"Mickey"},{"family":"Mays","given":"Vickie M."},{"family":"Mathy","given":"Robin M."},{"family":"Cochran","given":"Susan D."},{"family":"D'Augelli","given":"Anthony R."},{"family":"Silverman","given":"Morton M."},{"family":"Fisher","given":"Prudence W."},{"family":"Hughes","given":"Tonda"},{"family":"Rosario","given":"Margaret"},{"family":"Russell","given":"Stephen T."},{"family":"Malley","given":"Effie"},{"family":"Reed","given":"Jerry"},{"family":"Litts","given":"David A."},{"family":"Haller","given":"Ellen"},{"family":"Sell","given":"Randall L."},{"family":"Remafedi","given":"Gary"},{"family":"Bradford","given":"Judith"},{"family":"Beautrais","given":"Annette L."},{"family":"Brown","given":"Gregory K."},{"family":"Diamond","given":"Gary M."},{"family":"Friedman","given":"Mark S."},{"family":"Garofalo","given":"Robert"},{"family":"Turner","given":"Mason S."},{"family":"Hollibaugh","given":"Amber"},{"family":"Clayton","given":"Paula J."}],"issued":{"date-parts":[["2011"]]}}}],"schema":"https://github.com/citation-style-language/schema/raw/master/csl-citation.json"} </w:instrText>
      </w:r>
      <w:r w:rsidR="00F258A5" w:rsidRPr="00820103">
        <w:fldChar w:fldCharType="separate"/>
      </w:r>
      <w:r w:rsidR="00F258A5" w:rsidRPr="00820103">
        <w:t>(10,18)</w:t>
      </w:r>
      <w:r w:rsidR="00F258A5" w:rsidRPr="00820103">
        <w:fldChar w:fldCharType="end"/>
      </w:r>
      <w:r w:rsidR="00F258A5" w:rsidRPr="00820103">
        <w:t>.</w:t>
      </w:r>
      <w:r w:rsidR="00133EEF" w:rsidRPr="00820103">
        <w:t xml:space="preserve"> </w:t>
      </w:r>
      <w:r w:rsidR="008A5CEB" w:rsidRPr="00820103">
        <w:t>In England, homosexuality was</w:t>
      </w:r>
      <w:r w:rsidR="002F520F" w:rsidRPr="00820103">
        <w:t xml:space="preserve"> considered</w:t>
      </w:r>
      <w:r w:rsidR="008A5CEB" w:rsidRPr="00820103">
        <w:t xml:space="preserve"> </w:t>
      </w:r>
      <w:r w:rsidR="0055243D" w:rsidRPr="00820103">
        <w:t>a criminal offence</w:t>
      </w:r>
      <w:r w:rsidR="008A5CEB" w:rsidRPr="00820103">
        <w:t xml:space="preserve"> until 1967</w:t>
      </w:r>
      <w:r w:rsidR="00D938ED" w:rsidRPr="00820103">
        <w:t xml:space="preserve"> </w:t>
      </w:r>
      <w:r w:rsidR="00D938ED" w:rsidRPr="00820103">
        <w:fldChar w:fldCharType="begin"/>
      </w:r>
      <w:r w:rsidR="002B2DE9">
        <w:instrText xml:space="preserve"> ADDIN ZOTERO_ITEM CSL_CITATION {"citationID":"xf4Laagy","properties":{"formattedCitation":"(19)","plainCitation":"(19)","noteIndex":0},"citationItems":[{"id":"A4nDS9l3/lfpUArgj","uris":["http://zotero.org/users/446899/items/5N8LG8BH"],"uri":["http://zotero.org/users/446899/items/5N8LG8BH"],"itemData":{"id":5926,"type":"webpage","title":"Sexual Offences Act 1967","genre":"Text","abstract":"An Act to amend the law of England and Wales relating to homosexual acts.","URL":"https://www.legislation.gov.uk/ukpga/1967/60","language":"eng","accessed":{"date-parts":[["2018",11,7]]}}}],"schema":"https://github.com/citation-style-language/schema/raw/master/csl-citation.json"} </w:instrText>
      </w:r>
      <w:r w:rsidR="00D938ED" w:rsidRPr="00820103">
        <w:fldChar w:fldCharType="separate"/>
      </w:r>
      <w:r w:rsidR="00D938ED" w:rsidRPr="00820103">
        <w:t>(19)</w:t>
      </w:r>
      <w:r w:rsidR="00D938ED" w:rsidRPr="00820103">
        <w:fldChar w:fldCharType="end"/>
      </w:r>
      <w:r w:rsidR="00696B10">
        <w:t xml:space="preserve">, so for many </w:t>
      </w:r>
      <w:r w:rsidR="00314A9B">
        <w:t xml:space="preserve">older people, much of </w:t>
      </w:r>
      <w:r w:rsidR="00706D06">
        <w:t xml:space="preserve">their </w:t>
      </w:r>
      <w:r w:rsidR="00696B10">
        <w:t>sexual development happened under threat of imprisonment. S</w:t>
      </w:r>
      <w:r w:rsidR="008A5CEB" w:rsidRPr="00820103">
        <w:t>ame-sex partnerships were</w:t>
      </w:r>
      <w:r w:rsidR="008A5CEB" w:rsidRPr="00644A19">
        <w:t xml:space="preserve"> not legally </w:t>
      </w:r>
      <w:r w:rsidR="008A5CEB" w:rsidRPr="00644A19">
        <w:lastRenderedPageBreak/>
        <w:t xml:space="preserve">recognised until the </w:t>
      </w:r>
      <w:r w:rsidR="00D938ED">
        <w:t>Civil Partnership A</w:t>
      </w:r>
      <w:r w:rsidR="008A5CEB" w:rsidRPr="00644A19">
        <w:t>ct was introduced in 2004</w:t>
      </w:r>
      <w:r w:rsidR="00D938ED">
        <w:t xml:space="preserve"> </w:t>
      </w:r>
      <w:r w:rsidR="00D938ED">
        <w:fldChar w:fldCharType="begin"/>
      </w:r>
      <w:r w:rsidR="002B2DE9">
        <w:instrText xml:space="preserve"> ADDIN ZOTERO_ITEM CSL_CITATION {"citationID":"UVgBhBY2","properties":{"formattedCitation":"(20)","plainCitation":"(20)","noteIndex":0},"citationItems":[{"id":"A4nDS9l3/NeybzM4h","uris":["http://zotero.org/users/446899/items/YT3UWBM5"],"uri":["http://zotero.org/users/446899/items/YT3UWBM5"],"itemData":{"id":5928,"type":"webpage","title":"Civil Partnership Act 2004","genre":"Text","abstract":"An Act to make provision for and in connection with civil partnership.","URL":"http://www.legislation.gov.uk/ukpga/2004/33/contents","language":"eng","accessed":{"date-parts":[["2018",11,7]]}}}],"schema":"https://github.com/citation-style-language/schema/raw/master/csl-citation.json"} </w:instrText>
      </w:r>
      <w:r w:rsidR="00D938ED">
        <w:fldChar w:fldCharType="separate"/>
      </w:r>
      <w:r w:rsidR="00D938ED" w:rsidRPr="00D938ED">
        <w:rPr>
          <w:rFonts w:ascii="Calibri" w:hAnsi="Calibri" w:cs="Calibri"/>
        </w:rPr>
        <w:t>(20)</w:t>
      </w:r>
      <w:r w:rsidR="00D938ED">
        <w:fldChar w:fldCharType="end"/>
      </w:r>
      <w:r w:rsidR="008A5CEB" w:rsidRPr="00644A19">
        <w:t>.</w:t>
      </w:r>
      <w:r w:rsidR="00F96B15" w:rsidRPr="00644A19">
        <w:t xml:space="preserve"> </w:t>
      </w:r>
      <w:r w:rsidR="0046325C" w:rsidRPr="00644A19">
        <w:t xml:space="preserve">Older LGB adults in England have therefore </w:t>
      </w:r>
      <w:r w:rsidR="003429DA">
        <w:t>lived most of their lives in the context of prevalent institutional discrimination</w:t>
      </w:r>
      <w:r w:rsidR="0046325C" w:rsidRPr="00644A19">
        <w:t>.</w:t>
      </w:r>
    </w:p>
    <w:p w14:paraId="20345880" w14:textId="77777777" w:rsidR="009E5D51" w:rsidRDefault="009E5D51" w:rsidP="002B2DE9">
      <w:pPr>
        <w:spacing w:after="0"/>
        <w:contextualSpacing/>
        <w:jc w:val="both"/>
        <w:rPr>
          <w:rFonts w:cstheme="minorHAnsi"/>
        </w:rPr>
      </w:pPr>
    </w:p>
    <w:p w14:paraId="230A0DE7" w14:textId="2292228F" w:rsidR="002F5285" w:rsidRPr="002F5285" w:rsidRDefault="00DA2C46" w:rsidP="002B2DE9">
      <w:pPr>
        <w:spacing w:after="0"/>
        <w:contextualSpacing/>
        <w:jc w:val="both"/>
        <w:rPr>
          <w:rFonts w:cstheme="minorHAnsi"/>
        </w:rPr>
      </w:pPr>
      <w:bookmarkStart w:id="2" w:name="_Hlk5906575"/>
      <w:r w:rsidRPr="00FE7851">
        <w:rPr>
          <w:rFonts w:cstheme="minorHAnsi"/>
        </w:rPr>
        <w:t>The</w:t>
      </w:r>
      <w:r w:rsidR="00AA6EAA" w:rsidRPr="00FE7851">
        <w:rPr>
          <w:rFonts w:cstheme="minorHAnsi"/>
        </w:rPr>
        <w:t xml:space="preserve"> perception of discrimination can be based on multiple attributes such as age, sex, </w:t>
      </w:r>
      <w:r w:rsidR="00FE7851">
        <w:rPr>
          <w:rFonts w:cstheme="minorHAnsi"/>
        </w:rPr>
        <w:t>race</w:t>
      </w:r>
      <w:r w:rsidR="00AA6EAA" w:rsidRPr="00FE7851">
        <w:rPr>
          <w:rFonts w:cstheme="minorHAnsi"/>
        </w:rPr>
        <w:t xml:space="preserve"> as well as </w:t>
      </w:r>
      <w:r w:rsidR="00841046">
        <w:rPr>
          <w:rFonts w:cstheme="minorHAnsi"/>
        </w:rPr>
        <w:t xml:space="preserve">sexual </w:t>
      </w:r>
      <w:r w:rsidR="00AA6EAA" w:rsidRPr="00FE7851">
        <w:rPr>
          <w:rFonts w:cstheme="minorHAnsi"/>
        </w:rPr>
        <w:t>orientation.</w:t>
      </w:r>
      <w:r w:rsidRPr="00FE7851">
        <w:rPr>
          <w:rFonts w:cstheme="minorHAnsi"/>
        </w:rPr>
        <w:t xml:space="preserve"> </w:t>
      </w:r>
      <w:r w:rsidR="003A2A45" w:rsidRPr="00FE7851">
        <w:rPr>
          <w:rFonts w:cstheme="minorHAnsi"/>
        </w:rPr>
        <w:t>Discri</w:t>
      </w:r>
      <w:r w:rsidR="00804DDF">
        <w:rPr>
          <w:rFonts w:cstheme="minorHAnsi"/>
        </w:rPr>
        <w:t xml:space="preserve">mination based on a number of different </w:t>
      </w:r>
      <w:r w:rsidR="003A2A45" w:rsidRPr="00FE7851">
        <w:rPr>
          <w:rFonts w:cstheme="minorHAnsi"/>
        </w:rPr>
        <w:t xml:space="preserve">attributes </w:t>
      </w:r>
      <w:r w:rsidR="00804DDF">
        <w:rPr>
          <w:rFonts w:cstheme="minorHAnsi"/>
        </w:rPr>
        <w:t>is</w:t>
      </w:r>
      <w:r w:rsidR="003A2A45" w:rsidRPr="00FE7851">
        <w:rPr>
          <w:rFonts w:cstheme="minorHAnsi"/>
        </w:rPr>
        <w:t xml:space="preserve"> perceived to be widespread in Europe </w:t>
      </w:r>
      <w:r w:rsidR="003A2A45" w:rsidRPr="00FE7851">
        <w:rPr>
          <w:rFonts w:cstheme="minorHAnsi"/>
        </w:rPr>
        <w:fldChar w:fldCharType="begin"/>
      </w:r>
      <w:r w:rsidR="003A2A45" w:rsidRPr="00FE7851">
        <w:rPr>
          <w:rFonts w:cstheme="minorHAnsi"/>
        </w:rPr>
        <w:instrText xml:space="preserve"> ADDIN ZOTERO_ITEM CSL_CITATION {"citationID":"b4hMVGUX","properties":{"formattedCitation":"(21)","plainCitation":"(21)","noteIndex":0},"citationItems":[{"id":2948,"uris":["http://zotero.org/users/1591058/items/E9WJA9RA"],"uri":["http://zotero.org/users/1591058/items/E9WJA9RA"],"itemData":{"id":2948,"type":"book","title":"Discrimination in the EU in 2015","author":[{"family":"European Union","given":""}],"issued":{"date-parts":[["2015"]]}}}],"schema":"https://github.com/citation-style-language/schema/raw/master/csl-citation.json"} </w:instrText>
      </w:r>
      <w:r w:rsidR="003A2A45" w:rsidRPr="00FE7851">
        <w:rPr>
          <w:rFonts w:cstheme="minorHAnsi"/>
        </w:rPr>
        <w:fldChar w:fldCharType="separate"/>
      </w:r>
      <w:r w:rsidR="003A2A45" w:rsidRPr="00FE7851">
        <w:rPr>
          <w:rFonts w:cstheme="minorHAnsi"/>
        </w:rPr>
        <w:t>(21)</w:t>
      </w:r>
      <w:r w:rsidR="003A2A45" w:rsidRPr="00FE7851">
        <w:rPr>
          <w:rFonts w:cstheme="minorHAnsi"/>
        </w:rPr>
        <w:fldChar w:fldCharType="end"/>
      </w:r>
      <w:r w:rsidR="003A2A45" w:rsidRPr="00FE7851">
        <w:rPr>
          <w:rFonts w:cstheme="minorHAnsi"/>
        </w:rPr>
        <w:t xml:space="preserve">. </w:t>
      </w:r>
      <w:r w:rsidR="00EA3F4A" w:rsidRPr="00FE7851">
        <w:rPr>
          <w:rFonts w:cstheme="minorHAnsi"/>
        </w:rPr>
        <w:t>A</w:t>
      </w:r>
      <w:r w:rsidR="003A2A45" w:rsidRPr="00FE7851">
        <w:rPr>
          <w:rFonts w:cstheme="minorHAnsi"/>
        </w:rPr>
        <w:t xml:space="preserve">ccording to a survey </w:t>
      </w:r>
      <w:r w:rsidR="00AA6EAA" w:rsidRPr="00FE7851">
        <w:rPr>
          <w:rFonts w:cstheme="minorHAnsi"/>
        </w:rPr>
        <w:t xml:space="preserve">of </w:t>
      </w:r>
      <w:r w:rsidR="00EA3F4A" w:rsidRPr="00FE7851">
        <w:rPr>
          <w:rFonts w:cstheme="minorHAnsi"/>
        </w:rPr>
        <w:t xml:space="preserve">27,718 </w:t>
      </w:r>
      <w:r w:rsidR="00AA6EAA" w:rsidRPr="00FE7851">
        <w:rPr>
          <w:rFonts w:cstheme="minorHAnsi"/>
        </w:rPr>
        <w:t>individuals</w:t>
      </w:r>
      <w:r w:rsidR="00FE7851" w:rsidRPr="00FE7851">
        <w:rPr>
          <w:rFonts w:cstheme="minorHAnsi"/>
        </w:rPr>
        <w:t>,</w:t>
      </w:r>
      <w:r w:rsidR="00AA6EAA" w:rsidRPr="00FE7851">
        <w:rPr>
          <w:rFonts w:cstheme="minorHAnsi"/>
        </w:rPr>
        <w:t xml:space="preserve"> </w:t>
      </w:r>
      <w:r w:rsidR="003A2A45" w:rsidRPr="00FE7851">
        <w:rPr>
          <w:rFonts w:cstheme="minorHAnsi"/>
        </w:rPr>
        <w:t>discrimination based on ethnic</w:t>
      </w:r>
      <w:r w:rsidR="00FE7851">
        <w:rPr>
          <w:rFonts w:cstheme="minorHAnsi"/>
        </w:rPr>
        <w:t xml:space="preserve">ity </w:t>
      </w:r>
      <w:r w:rsidR="003A2A45" w:rsidRPr="00FE7851">
        <w:rPr>
          <w:rFonts w:cstheme="minorHAnsi"/>
        </w:rPr>
        <w:t xml:space="preserve">was the most frequently reported </w:t>
      </w:r>
      <w:r w:rsidR="00FE7851">
        <w:rPr>
          <w:rFonts w:cstheme="minorHAnsi"/>
        </w:rPr>
        <w:t xml:space="preserve">type of </w:t>
      </w:r>
      <w:r w:rsidR="003A2A45" w:rsidRPr="00FE7851">
        <w:rPr>
          <w:rFonts w:cstheme="minorHAnsi"/>
        </w:rPr>
        <w:t xml:space="preserve">discrimination </w:t>
      </w:r>
      <w:r w:rsidR="00FE7851">
        <w:rPr>
          <w:rFonts w:cstheme="minorHAnsi"/>
        </w:rPr>
        <w:t>(</w:t>
      </w:r>
      <w:r w:rsidR="003A2A45" w:rsidRPr="00FE7851">
        <w:rPr>
          <w:rFonts w:cstheme="minorHAnsi"/>
        </w:rPr>
        <w:t>64%</w:t>
      </w:r>
      <w:r w:rsidR="00FE7851">
        <w:rPr>
          <w:rFonts w:cstheme="minorHAnsi"/>
        </w:rPr>
        <w:t>)</w:t>
      </w:r>
      <w:r w:rsidR="003A2A45" w:rsidRPr="00FE7851">
        <w:rPr>
          <w:rFonts w:cstheme="minorHAnsi"/>
        </w:rPr>
        <w:t>, followed by sexual orient</w:t>
      </w:r>
      <w:r w:rsidR="002B2DE9">
        <w:rPr>
          <w:rFonts w:cstheme="minorHAnsi"/>
        </w:rPr>
        <w:t>ation (58%), being aged 55 years or older</w:t>
      </w:r>
      <w:r w:rsidR="003A2A45" w:rsidRPr="00FE7851">
        <w:rPr>
          <w:rFonts w:cstheme="minorHAnsi"/>
        </w:rPr>
        <w:t xml:space="preserve"> (42%) and gender (37%). </w:t>
      </w:r>
      <w:r w:rsidR="00FE7851">
        <w:rPr>
          <w:rFonts w:cstheme="minorHAnsi"/>
        </w:rPr>
        <w:t xml:space="preserve">Those with multiple marginalised identities may experience even greater levels of discrimination. </w:t>
      </w:r>
      <w:r w:rsidR="00FE7851">
        <w:t xml:space="preserve">Discrimination may be particularly harmful among older than younger LGB people given the </w:t>
      </w:r>
      <w:r w:rsidR="00FE7851" w:rsidRPr="002F5285">
        <w:rPr>
          <w:rFonts w:cstheme="minorHAnsi"/>
        </w:rPr>
        <w:t xml:space="preserve">youth-masculinity culture that is prevalent in the LGBT community </w:t>
      </w:r>
      <w:r w:rsidR="00FE7851" w:rsidRPr="002F5285">
        <w:rPr>
          <w:rFonts w:cstheme="minorHAnsi"/>
        </w:rPr>
        <w:fldChar w:fldCharType="begin"/>
      </w:r>
      <w:r w:rsidR="002B2DE9">
        <w:rPr>
          <w:rFonts w:cstheme="minorHAnsi"/>
        </w:rPr>
        <w:instrText xml:space="preserve"> ADDIN ZOTERO_ITEM CSL_CITATION {"citationID":"7FoFIqhH","properties":{"formattedCitation":"(22)","plainCitation":"(22)","noteIndex":0},"citationItems":[{"id":"A4nDS9l3/Kx7AKOZM","uris":["http://zotero.org/users/446899/items/VBDUWY8C"],"uri":["http://zotero.org/users/446899/items/VBDUWY8C"],"itemData":{"id":5939,"type":"article-journal","title":"Reported Effects of Masculine Ideals on Gay Men","container-title":"Psychology of men &amp; masculinity","page":"73-87","volume":"10","issue":"1","source":"PubMed Central","abstract":"This exploratory study used consensual qualitative research methodology () to analyze what gay men associate with masculinity and femininity, how they feel masculine ideals affect their self-image, and how masculine ideals affect their same-sex relationships. Written responses were collected from 547 self-identified gay men in the U.S. via an Internet-based survey. Findings supported previous reports that perceptions of gender roles among gay men appear based on masculine and feminine stereotypes. Additionally, more adverse versus positive effects on self-image and same-sex romantic relationships were reported including difficulty being emotional and affectionate, pressure to be physically attractive, and pressure to appear masculine in order to be accepted by society and to be seen as desirable by other gay men. While research on gay men’s experience with masculinity continues, psychologists should consider the possible influence of traditional masculine ideals when conceptualizing their gay male clients.","DOI":"10.1037/a0013513","ISSN":"1524-9220","note":"PMID: 20628534\nPMCID: PMC2902177","journalAbbreviation":"Psychol Men Masc","author":[{"family":"Sánchez","given":"Francisco J."},{"family":"Greenberg","given":"Stefanie T."},{"family":"Liu","given":"William Ming"},{"family":"Vilain","given":"Eric"}],"issued":{"date-parts":[["2009",1]]}}}],"schema":"https://github.com/citation-style-language/schema/raw/master/csl-citation.json"} </w:instrText>
      </w:r>
      <w:r w:rsidR="00FE7851" w:rsidRPr="002F5285">
        <w:rPr>
          <w:rFonts w:cstheme="minorHAnsi"/>
        </w:rPr>
        <w:fldChar w:fldCharType="separate"/>
      </w:r>
      <w:r w:rsidR="00FE7851" w:rsidRPr="009E5D51">
        <w:rPr>
          <w:rFonts w:cstheme="minorHAnsi"/>
        </w:rPr>
        <w:t>(22)</w:t>
      </w:r>
      <w:r w:rsidR="00FE7851" w:rsidRPr="002F5285">
        <w:rPr>
          <w:rFonts w:cstheme="minorHAnsi"/>
        </w:rPr>
        <w:fldChar w:fldCharType="end"/>
      </w:r>
      <w:r w:rsidR="00FE7851" w:rsidRPr="002F5285">
        <w:rPr>
          <w:rFonts w:cstheme="minorHAnsi"/>
        </w:rPr>
        <w:t>.</w:t>
      </w:r>
      <w:r w:rsidR="002F5285" w:rsidRPr="002F5285">
        <w:rPr>
          <w:rFonts w:cstheme="minorHAnsi"/>
        </w:rPr>
        <w:t xml:space="preserve"> </w:t>
      </w:r>
      <w:r w:rsidR="00FE7851" w:rsidRPr="002F5285">
        <w:rPr>
          <w:rFonts w:cstheme="minorHAnsi"/>
        </w:rPr>
        <w:t xml:space="preserve">Meta-analytic evidence suggests that </w:t>
      </w:r>
      <w:r w:rsidR="002F5285" w:rsidRPr="002F5285">
        <w:rPr>
          <w:rFonts w:cstheme="minorHAnsi"/>
        </w:rPr>
        <w:t xml:space="preserve">gender and ethnicity may influence experiences of victimisation among LGB individuals </w:t>
      </w:r>
      <w:r w:rsidR="002F5285" w:rsidRPr="002F5285">
        <w:rPr>
          <w:rFonts w:cstheme="minorHAnsi"/>
        </w:rPr>
        <w:fldChar w:fldCharType="begin"/>
      </w:r>
      <w:r w:rsidR="002B2DE9">
        <w:rPr>
          <w:rFonts w:cstheme="minorHAnsi"/>
        </w:rPr>
        <w:instrText xml:space="preserve"> ADDIN ZOTERO_ITEM CSL_CITATION {"citationID":"nm1DPHji","properties":{"formattedCitation":"(17)","plainCitation":"(17)","noteIndex":0},"citationItems":[{"id":"A4nDS9l3/XnSQmgbM","uris":["http://zotero.org/users/446899/items/LBPARDUE"],"uri":["http://zotero.org/users/446899/items/LBPARDUE"],"itemData":{"id":5857,"type":"article-journal","title":"Victimization experiences of lesbian, gay, and bisexual individuals: a meta-analysis","container-title":"Journal of Sex Research","page":"142-167","volume":"49","issue":"2-3","source":"PubMed","abstract":"This meta-analysis quantitatively compiled the results of studies from 1992 to 2009 to determine the prevalence and types of victimization experienced by lesbian, gay, and bisexual (LGB) individuals. Based on the results of three searches, 386 studies were retrieved and coded. Comparisons were made across all LGB individuals (138 studies), between LGB and heterosexual individuals (65 studies), and between LGB females and males (53 studies), with over 500,000 participants. Multiple types of victimization were coded, including discrimination, physical assault, and school victimization. Findings revealed that for LGB individuals, reports of victimization experiences were substantial (e.g., 55% experienced verbal harassment, and 41% experienced discrimination) and some types have increased since a 1992 review, while others have decreased. LGB individuals experienced greater rates of victimization than heterosexual individuals (range: d = .04-.58). LGB males experienced some types of victimization more than LGB females (e.g., weapon assault and being robbed) but, overall, the gender differences were small. It can be concluded that LGB individuals still experience a substantial amount of victimization. Implications for research methods are discussed, including recommendations for sampling and measurement of victimization.   [Supplementary materials are available for this article. Go to the publisher's online edition of Journal of Sex Research for the following free supplemental resource(s): Supplementary Tables. These tables are referred to in the text of this article as \"Table S1,\" \"Table S2,\" etc.].","DOI":"10.1080/00224499.2011.637247","ISSN":"1559-8519","note":"PMID: 22380586","shortTitle":"Victimization experiences of lesbian, gay, and bisexual individuals","journalAbbreviation":"J Sex Res","language":"eng","author":[{"family":"Katz-Wise","given":"Sabra L."},{"family":"Hyde","given":"Janet S."}],"issued":{"date-parts":[["2012"]]}}}],"schema":"https://github.com/citation-style-language/schema/raw/master/csl-citation.json"} </w:instrText>
      </w:r>
      <w:r w:rsidR="002F5285" w:rsidRPr="002F5285">
        <w:rPr>
          <w:rFonts w:cstheme="minorHAnsi"/>
        </w:rPr>
        <w:fldChar w:fldCharType="separate"/>
      </w:r>
      <w:r w:rsidR="002F5285" w:rsidRPr="009E5D51">
        <w:rPr>
          <w:rFonts w:cstheme="minorHAnsi"/>
        </w:rPr>
        <w:t>(17)</w:t>
      </w:r>
      <w:r w:rsidR="002F5285" w:rsidRPr="002F5285">
        <w:rPr>
          <w:rFonts w:cstheme="minorHAnsi"/>
        </w:rPr>
        <w:fldChar w:fldCharType="end"/>
      </w:r>
      <w:r w:rsidR="002F5285" w:rsidRPr="002F5285">
        <w:rPr>
          <w:rFonts w:cstheme="minorHAnsi"/>
        </w:rPr>
        <w:t xml:space="preserve">. </w:t>
      </w:r>
    </w:p>
    <w:bookmarkEnd w:id="2"/>
    <w:p w14:paraId="711D2D31" w14:textId="77777777" w:rsidR="009E5D51" w:rsidRDefault="009E5D51" w:rsidP="002B2DE9">
      <w:pPr>
        <w:spacing w:after="0"/>
        <w:contextualSpacing/>
        <w:jc w:val="both"/>
        <w:rPr>
          <w:rFonts w:cstheme="minorHAnsi"/>
        </w:rPr>
      </w:pPr>
    </w:p>
    <w:p w14:paraId="209D01CC" w14:textId="2D90C405" w:rsidR="0036014D" w:rsidRPr="00804DDF" w:rsidRDefault="002F5285" w:rsidP="002B2DE9">
      <w:pPr>
        <w:spacing w:after="0"/>
        <w:contextualSpacing/>
        <w:jc w:val="both"/>
      </w:pPr>
      <w:r w:rsidRPr="002F5285">
        <w:rPr>
          <w:rFonts w:cstheme="minorHAnsi"/>
        </w:rPr>
        <w:t xml:space="preserve">An </w:t>
      </w:r>
      <w:r w:rsidRPr="009E5D51">
        <w:rPr>
          <w:rFonts w:cstheme="minorHAnsi"/>
        </w:rPr>
        <w:t xml:space="preserve">increasing body of </w:t>
      </w:r>
      <w:r>
        <w:rPr>
          <w:rFonts w:cstheme="minorHAnsi"/>
        </w:rPr>
        <w:t>work</w:t>
      </w:r>
      <w:r w:rsidRPr="009E5D51">
        <w:rPr>
          <w:rFonts w:cstheme="minorHAnsi"/>
        </w:rPr>
        <w:t xml:space="preserve"> has examined</w:t>
      </w:r>
      <w:r w:rsidR="009E5D51">
        <w:rPr>
          <w:rFonts w:cstheme="minorHAnsi"/>
        </w:rPr>
        <w:t xml:space="preserve"> experiences of everyday</w:t>
      </w:r>
      <w:r w:rsidRPr="009E5D51">
        <w:rPr>
          <w:rFonts w:cstheme="minorHAnsi"/>
        </w:rPr>
        <w:t xml:space="preserve"> discrimination as a determinant of mental health and wellbeing. A 2009 </w:t>
      </w:r>
      <w:r w:rsidR="009E5D51">
        <w:rPr>
          <w:rFonts w:cstheme="minorHAnsi"/>
        </w:rPr>
        <w:t>pooled analysis</w:t>
      </w:r>
      <w:r w:rsidRPr="009E5D51">
        <w:rPr>
          <w:rFonts w:cstheme="minorHAnsi"/>
        </w:rPr>
        <w:t xml:space="preserve"> of 110 studies found that perceived discrimination </w:t>
      </w:r>
      <w:r w:rsidR="00804DDF">
        <w:rPr>
          <w:rFonts w:cstheme="minorHAnsi"/>
        </w:rPr>
        <w:t>(</w:t>
      </w:r>
      <w:r w:rsidR="009E5D51">
        <w:rPr>
          <w:rFonts w:cstheme="minorHAnsi"/>
        </w:rPr>
        <w:t>based on any attribution</w:t>
      </w:r>
      <w:r w:rsidR="00804DDF">
        <w:rPr>
          <w:rFonts w:cstheme="minorHAnsi"/>
        </w:rPr>
        <w:t>)</w:t>
      </w:r>
      <w:r w:rsidR="009E5D51">
        <w:rPr>
          <w:rFonts w:cstheme="minorHAnsi"/>
        </w:rPr>
        <w:t xml:space="preserve"> </w:t>
      </w:r>
      <w:r w:rsidRPr="009E5D51">
        <w:rPr>
          <w:rFonts w:cstheme="minorHAnsi"/>
        </w:rPr>
        <w:t>was associated with poorer mental health and wellbeing outcomes, including increased depressive symptoms and decreased life satisfaction</w:t>
      </w:r>
      <w:r w:rsidR="009E5D51">
        <w:rPr>
          <w:rFonts w:cstheme="minorHAnsi"/>
        </w:rPr>
        <w:t>, quality of life</w:t>
      </w:r>
      <w:r w:rsidRPr="009E5D51">
        <w:rPr>
          <w:rFonts w:cstheme="minorHAnsi"/>
        </w:rPr>
        <w:t xml:space="preserve"> and self-rated health </w:t>
      </w:r>
      <w:r w:rsidR="001E5541">
        <w:fldChar w:fldCharType="begin"/>
      </w:r>
      <w:r w:rsidR="002B2DE9">
        <w:instrText xml:space="preserve"> ADDIN ZOTERO_ITEM CSL_CITATION {"citationID":"Lh0DxLcU","properties":{"formattedCitation":"(15)","plainCitation":"(15)","noteIndex":0},"citationItems":[{"id":"A4nDS9l3/nihhcNdu","uris":["http://zotero.org/users/446899/items/KGTQXDRE"],"uri":["http://zotero.org/users/446899/items/KGTQXDRE"],"itemData":{"id":1396,"type":"article-journal","title":"Perceived discrimination and health: A meta-analytic review","container-title":"Psychological Bulletin","page":"531-554","volume":"135","issue":"4","source":"APA PsycNET","abstract":"Perceived discrimination has been studied with regard to its impact on several types of health effects. This meta-analysis provides a comprehensive account of the relationships between multiple forms of perceived discrimination and both mental and physical health outcomes. In addition, this meta-analysis examines potential mechanisms by which perceiving discrimination may affect health, including through psychological and physiological stress responses and health behaviors. Analysis of 134 samples suggests that when weighting each study’s contribution by sample size, perceived discrimination has a significant negative effect on both mental and physical health. Perceived discrimination also produces significantly heightened stress responses and is related to participation in unhealthy and nonparticipation in healthy behaviors. These findings suggest potential pathways linking perceived discrimination to negative health outcomes.","DOI":"10.1037/a0016059","ISSN":"1939-1455(Electronic);0033-2909(Print)","shortTitle":"Perceived discrimination and health","author":[{"family":"Pascoe","given":"Elizabeth A."},{"family":"Smart Richman","given":"Laura"}],"issued":{"date-parts":[["2009"]]}}}],"schema":"https://github.com/citation-style-language/schema/raw/master/csl-citation.json"} </w:instrText>
      </w:r>
      <w:r w:rsidR="001E5541">
        <w:fldChar w:fldCharType="separate"/>
      </w:r>
      <w:r w:rsidR="001E5541" w:rsidRPr="00436849">
        <w:rPr>
          <w:rFonts w:ascii="Calibri" w:hAnsi="Calibri" w:cs="Calibri"/>
        </w:rPr>
        <w:t>(15)</w:t>
      </w:r>
      <w:r w:rsidR="001E5541">
        <w:fldChar w:fldCharType="end"/>
      </w:r>
      <w:r w:rsidR="001E5541">
        <w:t>.</w:t>
      </w:r>
      <w:r w:rsidR="00954864">
        <w:rPr>
          <w:rFonts w:cstheme="minorHAnsi"/>
        </w:rPr>
        <w:t xml:space="preserve"> </w:t>
      </w:r>
      <w:r w:rsidR="00D92F61">
        <w:t>However, the e</w:t>
      </w:r>
      <w:r w:rsidR="003B039B">
        <w:t xml:space="preserve">vidence on the impact of perceived </w:t>
      </w:r>
      <w:r w:rsidR="00D92F61">
        <w:t xml:space="preserve">everyday </w:t>
      </w:r>
      <w:r w:rsidR="003B039B">
        <w:t>discrimination on the health and wellbeing of LGB individuals is limited</w:t>
      </w:r>
      <w:r w:rsidR="00D25006">
        <w:t xml:space="preserve"> </w:t>
      </w:r>
      <w:r w:rsidR="003B039B">
        <w:fldChar w:fldCharType="begin"/>
      </w:r>
      <w:r w:rsidR="002B2DE9">
        <w:instrText xml:space="preserve"> ADDIN ZOTERO_ITEM CSL_CITATION {"citationID":"UNybU4ln","properties":{"formattedCitation":"(15)","plainCitation":"(15)","noteIndex":0},"citationItems":[{"id":"A4nDS9l3/nihhcNdu","uris":["http://zotero.org/users/446899/items/KGTQXDRE"],"uri":["http://zotero.org/users/446899/items/KGTQXDRE"],"itemData":{"id":1396,"type":"article-journal","title":"Perceived discrimination and health: A meta-analytic review","container-title":"Psychological Bulletin","page":"531-554","volume":"135","issue":"4","source":"APA PsycNET","abstract":"Perceived discrimination has been studied with regard to its impact on several types of health effects. This meta-analysis provides a comprehensive account of the relationships between multiple forms of perceived discrimination and both mental and physical health outcomes. In addition, this meta-analysis examines potential mechanisms by which perceiving discrimination may affect health, including through psychological and physiological stress responses and health behaviors. Analysis of 134 samples suggests that when weighting each study’s contribution by sample size, perceived discrimination has a significant negative effect on both mental and physical health. Perceived discrimination also produces significantly heightened stress responses and is related to participation in unhealthy and nonparticipation in healthy behaviors. These findings suggest potential pathways linking perceived discrimination to negative health outcomes.","DOI":"10.1037/a0016059","ISSN":"1939-1455(Electronic);0033-2909(Print)","shortTitle":"Perceived discrimination and health","author":[{"family":"Pascoe","given":"Elizabeth A."},{"family":"Smart Richman","given":"Laura"}],"issued":{"date-parts":[["2009"]]}}}],"schema":"https://github.com/citation-style-language/schema/raw/master/csl-citation.json"} </w:instrText>
      </w:r>
      <w:r w:rsidR="003B039B">
        <w:fldChar w:fldCharType="separate"/>
      </w:r>
      <w:r w:rsidR="00436849" w:rsidRPr="00436849">
        <w:rPr>
          <w:rFonts w:ascii="Calibri" w:hAnsi="Calibri" w:cs="Calibri"/>
        </w:rPr>
        <w:t>(15)</w:t>
      </w:r>
      <w:r w:rsidR="003B039B">
        <w:fldChar w:fldCharType="end"/>
      </w:r>
      <w:r w:rsidR="00287665">
        <w:t>.</w:t>
      </w:r>
      <w:r w:rsidR="008763AB">
        <w:t xml:space="preserve"> </w:t>
      </w:r>
      <w:r w:rsidR="00280BB5">
        <w:t>I</w:t>
      </w:r>
      <w:r w:rsidR="004457EF">
        <w:t>n</w:t>
      </w:r>
      <w:r w:rsidR="00141E8F" w:rsidRPr="009E24CC">
        <w:t xml:space="preserve"> a study of LGB (</w:t>
      </w:r>
      <w:r w:rsidR="00141E8F" w:rsidRPr="00BF1C76">
        <w:rPr>
          <w:i/>
        </w:rPr>
        <w:t>n</w:t>
      </w:r>
      <w:r w:rsidR="00141E8F" w:rsidRPr="009E24CC">
        <w:t>=73) and heterosexual (</w:t>
      </w:r>
      <w:r w:rsidR="00141E8F" w:rsidRPr="00BF1C76">
        <w:rPr>
          <w:i/>
        </w:rPr>
        <w:t>n</w:t>
      </w:r>
      <w:r w:rsidR="00141E8F" w:rsidRPr="009E24CC">
        <w:t>=2,844) adults aged 25-74 years</w:t>
      </w:r>
      <w:r w:rsidR="00140E5F">
        <w:t xml:space="preserve"> (LGB 77.5% &lt;45 years, heterosexual 53.7% &lt;45 years)</w:t>
      </w:r>
      <w:r w:rsidR="00141E8F" w:rsidRPr="009E24CC">
        <w:t xml:space="preserve">, </w:t>
      </w:r>
      <w:r w:rsidR="001E5541">
        <w:t xml:space="preserve">LGB adults </w:t>
      </w:r>
      <w:r w:rsidR="00841046">
        <w:t xml:space="preserve">had more frequent </w:t>
      </w:r>
      <w:r w:rsidR="001E5541">
        <w:t>everyday experiences with discrimination and 42% attributed this discrimination to their sexual orientation. P</w:t>
      </w:r>
      <w:r w:rsidR="00280BB5">
        <w:t xml:space="preserve">erceived </w:t>
      </w:r>
      <w:r w:rsidR="001E5541">
        <w:t xml:space="preserve">(non-attribute specific) </w:t>
      </w:r>
      <w:r w:rsidR="00280BB5">
        <w:t>discrimination was associated with higher prevalence of mental health disorders, greater psychological distress and poorer self-rated mental health</w:t>
      </w:r>
      <w:r w:rsidR="005C0569">
        <w:t xml:space="preserve"> </w:t>
      </w:r>
      <w:r w:rsidR="001C02F3">
        <w:t xml:space="preserve">in the whole sample </w:t>
      </w:r>
      <w:r w:rsidR="00CE428C" w:rsidRPr="009E24CC">
        <w:fldChar w:fldCharType="begin"/>
      </w:r>
      <w:r w:rsidR="002B2DE9">
        <w:instrText xml:space="preserve"> ADDIN ZOTERO_ITEM CSL_CITATION {"citationID":"ktLKDjXL","properties":{"formattedCitation":"(14)","plainCitation":"(14)","noteIndex":0},"citationItems":[{"id":"A4nDS9l3/Zjgo4MBo","uris":["http://zotero.org/users/446899/items/QTGIX7JP"],"uri":["http://zotero.org/users/446899/items/QTGIX7JP"],"itemData":{"id":5795,"type":"article-journal","title":"Mental Health Correlates of Perceived Discrimination Among Lesbian, Gay, and Bisexual Adults in the United States","container-title":"American Journal of Public Health","page":"1869-1876","volume":"91","issue":"11","source":"ajph.aphapublications.org (Atypon)","abstract":"Objectives. Recent studies suggest that lesbians and gay men are at higher risk for stress-sensitive psychiatric disorders than are heterosexual persons. We examined the possible role of perceived discrimination in generating that risk. Methods.  The National Survey of Midlife Development in the United States, a nationally representative sample of adults aged 25 to 74 years, surveyed individuals self-identifying as homosexual or bisexual (n = 73) or heterosexual (n = 2844) about their lifetime and day-to-day experiences with discrimination. Also assessed were 1-year prevalence of depressive, anxiety, and substance dependence disorders; current psychologic distress; and self-rated mental health. Results.  Homosexual and bisexual individuals more frequently than heterosexual persons reported both lifetime and day-to-day experiences with discrimination. Approximately 42% attributed this to their sexual orientation, in whole or part. Perceived discrimination was positively associated with both harmful effects on quality of life and indicators of psychiatric morbidity in the total sample. Controlling for differences in discrimination experiences attenuated observed associations between psychiatric morbidity and sexual orientation. Conclusions.  Higher levels of discrimination may underlie recent observations of greater psychiatric morbidity risk among lesbian, gay, and bisexual individuals.","DOI":"10.2105/AJPH.91.11.1869","ISSN":"0090-0036","journalAbbreviation":"Am J Public Health","author":[{"family":"Mays","given":"Vickie M."},{"family":"Cochran","given":"Susan D."}],"issued":{"date-parts":[["2001",11,1]]}}}],"schema":"https://github.com/citation-style-language/schema/raw/master/csl-citation.json"} </w:instrText>
      </w:r>
      <w:r w:rsidR="00CE428C" w:rsidRPr="009E24CC">
        <w:fldChar w:fldCharType="separate"/>
      </w:r>
      <w:r w:rsidR="00436849" w:rsidRPr="00436849">
        <w:rPr>
          <w:rFonts w:ascii="Calibri" w:hAnsi="Calibri" w:cs="Calibri"/>
        </w:rPr>
        <w:t>(14)</w:t>
      </w:r>
      <w:r w:rsidR="00CE428C" w:rsidRPr="009E24CC">
        <w:fldChar w:fldCharType="end"/>
      </w:r>
      <w:r w:rsidR="00280BB5">
        <w:t>.</w:t>
      </w:r>
      <w:r w:rsidR="005C0569">
        <w:t xml:space="preserve"> </w:t>
      </w:r>
      <w:r w:rsidR="009427C7">
        <w:t>In</w:t>
      </w:r>
      <w:r w:rsidR="00205DED" w:rsidRPr="009E24CC">
        <w:t xml:space="preserve"> another survey of </w:t>
      </w:r>
      <w:r w:rsidR="00337BEB" w:rsidRPr="009E24CC">
        <w:t xml:space="preserve">LGB and transgender (LGBT, </w:t>
      </w:r>
      <w:r w:rsidR="00337BEB" w:rsidRPr="00BF1C76">
        <w:rPr>
          <w:i/>
        </w:rPr>
        <w:t>n</w:t>
      </w:r>
      <w:r w:rsidR="00337BEB" w:rsidRPr="009E24CC">
        <w:t>=472</w:t>
      </w:r>
      <w:r w:rsidR="003D6B8D">
        <w:t>, mean age 38.9 years</w:t>
      </w:r>
      <w:r w:rsidR="00337BEB" w:rsidRPr="009E24CC">
        <w:t>) and heterosexual (</w:t>
      </w:r>
      <w:r w:rsidR="00337BEB" w:rsidRPr="00BF1C76">
        <w:rPr>
          <w:i/>
        </w:rPr>
        <w:t>n</w:t>
      </w:r>
      <w:r w:rsidR="00337BEB" w:rsidRPr="009E24CC">
        <w:t>=7,412</w:t>
      </w:r>
      <w:r w:rsidR="005E0206">
        <w:t>, mean age 40.0 years</w:t>
      </w:r>
      <w:r w:rsidR="00337BEB" w:rsidRPr="009E24CC">
        <w:t xml:space="preserve">) adults, </w:t>
      </w:r>
      <w:r w:rsidR="009427C7">
        <w:t xml:space="preserve">recent experience of a major incident of discrimination </w:t>
      </w:r>
      <w:r w:rsidR="002B2DE9">
        <w:t xml:space="preserve">attributed to any characteristic </w:t>
      </w:r>
      <w:r w:rsidR="009427C7">
        <w:t xml:space="preserve">was associated with </w:t>
      </w:r>
      <w:r w:rsidR="00F67F5A">
        <w:t>a range of indices of mental health</w:t>
      </w:r>
      <w:r w:rsidR="005409C9">
        <w:t xml:space="preserve"> and lower utilisation of mental health care services </w:t>
      </w:r>
      <w:r w:rsidR="005409C9" w:rsidRPr="009E24CC">
        <w:fldChar w:fldCharType="begin"/>
      </w:r>
      <w:r w:rsidR="002B2DE9">
        <w:instrText xml:space="preserve"> ADDIN ZOTERO_ITEM CSL_CITATION {"citationID":"CgxKHDXh","properties":{"formattedCitation":"(23)","plainCitation":"(23)","noteIndex":0},"citationItems":[{"id":"A4nDS9l3/dDAyi3tE","uris":["http://zotero.org/users/446899/items/P7UBA54H"],"uri":["http://zotero.org/users/446899/items/P7UBA54H"],"itemData":{"id":5794,"type":"article-journal","title":"Effects of Perceived Discrimination on Mental Health and Mental Health Services Utilization Among Gay, Lesbian, Bisexual and Transgender Persons","container-title":"Journal of LGBT Health Research","page":"1-14","volume":"3","issue":"4","source":"Taylor and Francis+NEJM","abstract":"Objectives. Previous research has found that lesbian, gay, bisexual and transgender (LGBT) individuals are at risk for a variety of mental health disorders. We examined the extent to which a recent experience of a major discriminatory event may contribute to poor mental health among LGBT persons. Methods. Data were derived from a cross-sectional strata-cluster survey of adults in Hennepin County, Minnesota, who identified as LGBT (n = 472) or heterosexual (n = 7,412). Results. Compared to heterosexuals, LGBT individuals had poorer mental health (higher levels of psychological distress, greater likelihood of having a diagnosis of depression or anxiety, greater perceived mental health needs, and greater use of mental health services), more substance use (higher levels of binge drinking, greater likelihood of being a smoker and greater number of cigarettes smoked per day), and were more likely to report unmet mental healthcare needs. LGBT individuals were also more likely to report having experienced a major incident of discrimination over the past year than heterosexual individuals. Although perceived discrimination was associated with almost all of the indicators of mental health and utilization of mental health care that we examined, adjusting for discrimination did not significantly reduce mental health disparities between heterosexual and LGBT persons. Conclusion. LGBT individuals experienced more major discrimination and reported worse mental health than heterosexuals, but discrimination did not account for this disparity. Future research should explore additional forms of discrimination and additional stressors associated with minority sexual orientation that may account for these disparities.","DOI":"10.1080/15574090802226626","ISSN":"1557-4091","note":"PMID: 19042907","author":[{"family":"Burgess","given":"Diana"},{"family":"Lee","given":"Richard"},{"family":"Tran","given":"Alisia"},{"family":"Ryn","given":"Michelle","dropping-particle":"van"}],"issued":{"date-parts":[["2007",9,1]]}}}],"schema":"https://github.com/citation-style-language/schema/raw/master/csl-citation.json"} </w:instrText>
      </w:r>
      <w:r w:rsidR="005409C9" w:rsidRPr="009E24CC">
        <w:fldChar w:fldCharType="separate"/>
      </w:r>
      <w:r w:rsidR="002B2DE9" w:rsidRPr="002B2DE9">
        <w:rPr>
          <w:rFonts w:ascii="Calibri" w:hAnsi="Calibri" w:cs="Calibri"/>
        </w:rPr>
        <w:t>(23)</w:t>
      </w:r>
      <w:r w:rsidR="005409C9" w:rsidRPr="009E24CC">
        <w:fldChar w:fldCharType="end"/>
      </w:r>
      <w:r w:rsidR="00337BEB" w:rsidRPr="009E24CC">
        <w:t>.</w:t>
      </w:r>
      <w:r w:rsidR="001A1E6C">
        <w:t xml:space="preserve"> </w:t>
      </w:r>
      <w:r w:rsidR="002B2DE9">
        <w:t xml:space="preserve">Among the LGB and transgender participants, just over half (51%) attributed the discrimination incident to their sexual orientation. </w:t>
      </w:r>
      <w:bookmarkStart w:id="3" w:name="_Hlk5906684"/>
      <w:r w:rsidR="008C0219" w:rsidRPr="008708EE">
        <w:t xml:space="preserve">The existing evidence base lacks prospective data on the impact of </w:t>
      </w:r>
      <w:r w:rsidR="002B2DE9">
        <w:t xml:space="preserve">everyday </w:t>
      </w:r>
      <w:r w:rsidR="008C0219" w:rsidRPr="008708EE">
        <w:t xml:space="preserve">discrimination on health and wellbeing among LGB individuals. In addition, no studies to our knowledge have investigated this (either cross-sectionally or prospectively) among older adults. </w:t>
      </w:r>
      <w:bookmarkStart w:id="4" w:name="_Hlk5906670"/>
      <w:bookmarkEnd w:id="3"/>
      <w:r w:rsidR="00804DDF">
        <w:t xml:space="preserve">Furthermore, it is unclear whether the attribution of the discrimination to sexual orientation </w:t>
      </w:r>
      <w:proofErr w:type="gramStart"/>
      <w:r w:rsidR="00804DDF">
        <w:t>in particular has</w:t>
      </w:r>
      <w:proofErr w:type="gramEnd"/>
      <w:r w:rsidR="00804DDF">
        <w:t xml:space="preserve"> an influence on the relationship between perceived discrimination and health and wellbeing outcomes.  </w:t>
      </w:r>
      <w:bookmarkEnd w:id="4"/>
    </w:p>
    <w:p w14:paraId="2BEF7AA6" w14:textId="77777777" w:rsidR="00D92F61" w:rsidRDefault="00D92F61" w:rsidP="002B2DE9">
      <w:pPr>
        <w:spacing w:after="0"/>
        <w:contextualSpacing/>
        <w:jc w:val="both"/>
      </w:pPr>
    </w:p>
    <w:p w14:paraId="68FB7269" w14:textId="4928DC6A" w:rsidR="00804DDF" w:rsidRPr="00897D7D" w:rsidRDefault="004622DD" w:rsidP="00FE7851">
      <w:pPr>
        <w:jc w:val="both"/>
      </w:pPr>
      <w:r>
        <w:lastRenderedPageBreak/>
        <w:t xml:space="preserve">This study </w:t>
      </w:r>
      <w:r w:rsidR="008708EE">
        <w:t xml:space="preserve">therefore </w:t>
      </w:r>
      <w:r>
        <w:t xml:space="preserve">aimed to examine associations between perceived </w:t>
      </w:r>
      <w:r w:rsidR="00804DDF">
        <w:t xml:space="preserve">everyday </w:t>
      </w:r>
      <w:r>
        <w:t xml:space="preserve">discrimination and health and wellbeing </w:t>
      </w:r>
      <w:r w:rsidR="00EE2320">
        <w:t xml:space="preserve">in </w:t>
      </w:r>
      <w:r w:rsidR="002116C3">
        <w:t xml:space="preserve">a sample of </w:t>
      </w:r>
      <w:r w:rsidR="00970649">
        <w:t xml:space="preserve">middle-aged and </w:t>
      </w:r>
      <w:r w:rsidR="00EE2320">
        <w:t xml:space="preserve">older LGB people drawn from a nationally-representative </w:t>
      </w:r>
      <w:r w:rsidR="002116C3">
        <w:t>survey</w:t>
      </w:r>
      <w:r w:rsidR="00EE2320">
        <w:t xml:space="preserve"> of </w:t>
      </w:r>
      <w:r w:rsidR="00970649">
        <w:t xml:space="preserve">middle-aged and </w:t>
      </w:r>
      <w:r w:rsidR="00EE2320">
        <w:t>older adults in England</w:t>
      </w:r>
      <w:r w:rsidR="00BF3E1F">
        <w:t>.</w:t>
      </w:r>
      <w:r w:rsidR="00C706C0">
        <w:t xml:space="preserve"> Specifically, we </w:t>
      </w:r>
      <w:r w:rsidR="00784DFF">
        <w:t>analysed cross-sectional and prospective associations between perceived discrimination and self-rated health, limiting long-standing illness, depressive symptoms, life satisfaction</w:t>
      </w:r>
      <w:r w:rsidR="00995CFF">
        <w:t>, quality of life</w:t>
      </w:r>
      <w:r w:rsidR="00784DFF">
        <w:t xml:space="preserve"> and loneliness using data collected over a period of six years.</w:t>
      </w:r>
      <w:r w:rsidR="00683AB4">
        <w:t xml:space="preserve"> These variables were selected </w:t>
      </w:r>
      <w:proofErr w:type="gramStart"/>
      <w:r w:rsidR="00683AB4">
        <w:t>in order to</w:t>
      </w:r>
      <w:proofErr w:type="gramEnd"/>
      <w:r w:rsidR="00683AB4">
        <w:t xml:space="preserve"> provide a comprehensive picture of health and wellbeing, encompassing general health, the presence of chronic conditions, positive </w:t>
      </w:r>
      <w:r w:rsidR="00CA0C5E">
        <w:t>and</w:t>
      </w:r>
      <w:r w:rsidR="00683AB4">
        <w:t xml:space="preserve"> negative affect, global wellbeing, and social </w:t>
      </w:r>
      <w:r w:rsidR="00A53A2B">
        <w:t>wellbeing.</w:t>
      </w:r>
      <w:r w:rsidR="00804DDF">
        <w:t xml:space="preserve"> We also assessed whether the pattern of results remained the same for those who perceived discrimination but did not attribute it to their sexual orientation</w:t>
      </w:r>
      <w:r w:rsidR="00841046">
        <w:t xml:space="preserve"> and </w:t>
      </w:r>
      <w:r w:rsidR="00804DDF">
        <w:t xml:space="preserve">those who perceived discrimination </w:t>
      </w:r>
      <w:proofErr w:type="gramStart"/>
      <w:r w:rsidR="00804DDF">
        <w:t>on the basis of</w:t>
      </w:r>
      <w:proofErr w:type="gramEnd"/>
      <w:r w:rsidR="00804DDF">
        <w:t xml:space="preserve"> their sexual orientation. </w:t>
      </w:r>
    </w:p>
    <w:p w14:paraId="6BF24D35" w14:textId="2B094775" w:rsidR="004A3988" w:rsidRPr="00D55BAF" w:rsidRDefault="00A5302D" w:rsidP="00FE7851">
      <w:pPr>
        <w:pStyle w:val="Heading2"/>
        <w:jc w:val="both"/>
      </w:pPr>
      <w:r w:rsidRPr="00D55BAF">
        <w:t>Method</w:t>
      </w:r>
    </w:p>
    <w:p w14:paraId="4988CE6F" w14:textId="77777777" w:rsidR="00A5302D" w:rsidRDefault="000B24F9" w:rsidP="00FE7851">
      <w:pPr>
        <w:pStyle w:val="Heading3"/>
        <w:jc w:val="both"/>
      </w:pPr>
      <w:r w:rsidRPr="00D55BAF">
        <w:t>Study population</w:t>
      </w:r>
    </w:p>
    <w:p w14:paraId="1A54A997" w14:textId="37DCA65C" w:rsidR="0053546B" w:rsidRPr="00734D7E" w:rsidRDefault="00042402" w:rsidP="00FE7851">
      <w:pPr>
        <w:jc w:val="both"/>
        <w:rPr>
          <w:rFonts w:eastAsiaTheme="majorEastAsia"/>
          <w:color w:val="FF0000"/>
        </w:rPr>
      </w:pPr>
      <w:r w:rsidRPr="00E60D61">
        <w:t xml:space="preserve">Data were from the English Longitudinal Study of Ageing (ELSA), a longitudinal panel study of </w:t>
      </w:r>
      <w:r w:rsidR="007B0D56">
        <w:t xml:space="preserve">middle-aged and older </w:t>
      </w:r>
      <w:r w:rsidRPr="00E60D61">
        <w:t xml:space="preserve">men and women living in households in England </w:t>
      </w:r>
      <w:r w:rsidRPr="00E60D61">
        <w:fldChar w:fldCharType="begin"/>
      </w:r>
      <w:r w:rsidR="002B2DE9">
        <w:instrText xml:space="preserve"> ADDIN ZOTERO_ITEM CSL_CITATION {"citationID":"WJtY2UeU","properties":{"formattedCitation":"(24)","plainCitation":"(24)","noteIndex":0},"citationItems":[{"id":"A4nDS9l3/joL3Lotg","uris":["http://zotero.org/users/446899/items/3CSP8CP4"],"uri":["http://zotero.org/users/446899/items/3CSP8CP4"],"itemData":{"id":1214,"type":"article-journal","title":"Cohort profile: the English Longitudinal Study of Ageing","container-title":"International journal of epidemiology","page":"1640-1648","volume":"42","issue":"6","source":"NCBI PubMed","abstract":"The English Longitudinal Study of Ageing (ELSA) is a panel study of a representative cohort of men and women living in England aged ≥50 years. It was designed as a sister study to the Health and Retirement Study in the USA and is multidisciplinary in orientation, involving the collection of economic, social, psychological, cognitive, health, biological and genetic data. The study commenced in 2002, and the sample has been followed up every 2 years. Data are collected using computer-assisted personal interviews and self-completion questionnaires, with additional nurse visits for the assessment of biomarkers every 4 years. The original sample consisted of 11 391 members ranging in age from 50 to 100 years. ELSA is harmonized with ageing studies in other countries to facilitate international comparisons, and is linked to financial and health registry data. The data set is openly available to researchers and analysts soon after collection (http://www.esds.ac.uk/longitudinal/access/elsa/l5050.asp).","DOI":"10.1093/ije/dys168","ISSN":"1464-3685","note":"PMID: 23143611 \nPMCID: PMC3900867","shortTitle":"Cohort profile","journalAbbreviation":"Int J Epidemiol","language":"eng","author":[{"family":"Steptoe","given":"Andrew"},{"family":"Breeze","given":"Elizabeth"},{"family":"Banks","given":"James"},{"family":"Nazroo","given":"James"}],"issued":{"date-parts":[["2013",12]]}}}],"schema":"https://github.com/citation-style-language/schema/raw/master/csl-citation.json"} </w:instrText>
      </w:r>
      <w:r w:rsidRPr="00E60D61">
        <w:fldChar w:fldCharType="separate"/>
      </w:r>
      <w:r w:rsidR="002B2DE9" w:rsidRPr="002B2DE9">
        <w:rPr>
          <w:rFonts w:ascii="Calibri" w:hAnsi="Calibri" w:cs="Calibri"/>
        </w:rPr>
        <w:t>(24)</w:t>
      </w:r>
      <w:r w:rsidRPr="00E60D61">
        <w:fldChar w:fldCharType="end"/>
      </w:r>
      <w:r w:rsidRPr="00E60D61">
        <w:t xml:space="preserve">. </w:t>
      </w:r>
      <w:r w:rsidR="00EE0492">
        <w:t>ELSA participants are</w:t>
      </w:r>
      <w:r w:rsidR="007B0D56" w:rsidRPr="007B0D56">
        <w:t xml:space="preserve"> drawn from households with </w:t>
      </w:r>
      <w:r w:rsidR="007B0D56">
        <w:t>one</w:t>
      </w:r>
      <w:r w:rsidR="007B0D56" w:rsidRPr="007B0D56">
        <w:t xml:space="preserve"> or more member</w:t>
      </w:r>
      <w:r w:rsidR="007B0D56">
        <w:t>s</w:t>
      </w:r>
      <w:r w:rsidR="007B0D56" w:rsidRPr="007B0D56">
        <w:t xml:space="preserve"> 50 years or older responding to the Health Survey for England (HSE). All household members 50 years or older plus partners who </w:t>
      </w:r>
      <w:r w:rsidR="00EE0492">
        <w:t>are</w:t>
      </w:r>
      <w:r w:rsidR="00EE0492" w:rsidRPr="007B0D56">
        <w:t xml:space="preserve"> </w:t>
      </w:r>
      <w:r w:rsidR="007B0D56" w:rsidRPr="007B0D56">
        <w:t xml:space="preserve">younger than 50 years or had joined the household since the HSE </w:t>
      </w:r>
      <w:r w:rsidR="00EE0492">
        <w:t>are</w:t>
      </w:r>
      <w:r w:rsidR="00EE0492" w:rsidRPr="007B0D56">
        <w:t xml:space="preserve"> </w:t>
      </w:r>
      <w:r w:rsidR="007B0D56" w:rsidRPr="007B0D56">
        <w:t xml:space="preserve">invited for interview. </w:t>
      </w:r>
      <w:r w:rsidRPr="007B0D56">
        <w:t>The</w:t>
      </w:r>
      <w:r w:rsidRPr="00E60D61">
        <w:t xml:space="preserve"> study began in 2002, with data collected at two-year intervals </w:t>
      </w:r>
      <w:r w:rsidRPr="001F7060">
        <w:t xml:space="preserve">via computer-assisted </w:t>
      </w:r>
      <w:r w:rsidRPr="001E2315">
        <w:t xml:space="preserve">personal interview and self-completion questionnaires. </w:t>
      </w:r>
      <w:r w:rsidR="002B1161">
        <w:t xml:space="preserve">The present analyses use data from </w:t>
      </w:r>
      <w:r w:rsidRPr="001E2315">
        <w:t xml:space="preserve">Wave </w:t>
      </w:r>
      <w:r w:rsidR="002B1161">
        <w:t>5 (2010/11; the only wave in which discrimination has been assessed) and Wave 8 (2016/17; the most recent wave for which data were available).</w:t>
      </w:r>
      <w:r w:rsidR="001B5C1D">
        <w:t xml:space="preserve"> Information on sexual orientation </w:t>
      </w:r>
      <w:r w:rsidR="001B5C1D" w:rsidRPr="009756FE">
        <w:t>was collected in Wave 6</w:t>
      </w:r>
      <w:r w:rsidR="00DA6FC0" w:rsidRPr="009756FE">
        <w:t xml:space="preserve"> (2012/13)</w:t>
      </w:r>
      <w:r w:rsidR="001B5C1D" w:rsidRPr="009756FE">
        <w:t xml:space="preserve"> and used to identify</w:t>
      </w:r>
      <w:r w:rsidR="001D2E6E">
        <w:t xml:space="preserve"> </w:t>
      </w:r>
      <w:r w:rsidR="001B5C1D" w:rsidRPr="009756FE">
        <w:t>LGB</w:t>
      </w:r>
      <w:r w:rsidR="00DC264E">
        <w:t xml:space="preserve"> </w:t>
      </w:r>
      <w:r w:rsidR="001B5C1D" w:rsidRPr="009756FE">
        <w:t>participants for inclusion in our sample.</w:t>
      </w:r>
      <w:r w:rsidR="002B1161" w:rsidRPr="009756FE">
        <w:t xml:space="preserve"> </w:t>
      </w:r>
      <w:r w:rsidR="001242BF">
        <w:t>Of those who reported their sexual orientation (</w:t>
      </w:r>
      <w:r w:rsidR="001242BF">
        <w:rPr>
          <w:i/>
        </w:rPr>
        <w:t>n</w:t>
      </w:r>
      <w:r w:rsidR="001242BF">
        <w:t>=</w:t>
      </w:r>
      <w:r w:rsidR="00033FC2">
        <w:t>6,939</w:t>
      </w:r>
      <w:r w:rsidR="001242BF">
        <w:t xml:space="preserve">), </w:t>
      </w:r>
      <w:r w:rsidR="00123070">
        <w:t>406</w:t>
      </w:r>
      <w:r w:rsidR="001242BF">
        <w:t xml:space="preserve"> (</w:t>
      </w:r>
      <w:r w:rsidR="00123070">
        <w:t>5.9</w:t>
      </w:r>
      <w:r w:rsidR="001242BF">
        <w:t xml:space="preserve">%) were identified as LGB. </w:t>
      </w:r>
      <w:r w:rsidR="00DC264E">
        <w:t xml:space="preserve">We would expect sexual orientation to be a stable characteristic in this age group, so would not expect it to differ between Waves 5 and 6. </w:t>
      </w:r>
      <w:r w:rsidR="0069234B" w:rsidRPr="009756FE">
        <w:t>We restricted our sample to LGB participants who completed the assessment of discrimination</w:t>
      </w:r>
      <w:r w:rsidR="00123070">
        <w:t xml:space="preserve"> in Wave 5</w:t>
      </w:r>
      <w:r w:rsidR="006F127B">
        <w:t>. This left</w:t>
      </w:r>
      <w:r w:rsidR="006F127B" w:rsidRPr="00FF674F">
        <w:t xml:space="preserve"> a final sample for analysis of </w:t>
      </w:r>
      <w:r w:rsidR="006F127B">
        <w:t>304</w:t>
      </w:r>
      <w:r w:rsidR="006F127B" w:rsidRPr="00FF674F">
        <w:t xml:space="preserve"> men and women</w:t>
      </w:r>
      <w:r w:rsidR="006F127B">
        <w:t xml:space="preserve"> for cross-sectional </w:t>
      </w:r>
      <w:r w:rsidR="006F127B" w:rsidRPr="00CA27BA">
        <w:t xml:space="preserve">analyses, of whom </w:t>
      </w:r>
      <w:r w:rsidR="00CA27BA" w:rsidRPr="00CA27BA">
        <w:t>254</w:t>
      </w:r>
      <w:r w:rsidR="006F127B" w:rsidRPr="00CA27BA">
        <w:t xml:space="preserve"> </w:t>
      </w:r>
      <w:r w:rsidR="00CA27BA">
        <w:t xml:space="preserve">(83.6%) </w:t>
      </w:r>
      <w:r w:rsidR="006F127B" w:rsidRPr="00CA27BA">
        <w:t xml:space="preserve">provided follow-up data in Wave 8 and were therefore included in prospective </w:t>
      </w:r>
      <w:r w:rsidR="006F127B">
        <w:t>analyses.</w:t>
      </w:r>
      <w:r w:rsidRPr="009756FE">
        <w:t xml:space="preserve"> Ethical approval </w:t>
      </w:r>
      <w:r w:rsidRPr="00DD4462">
        <w:t xml:space="preserve">was obtained </w:t>
      </w:r>
      <w:r w:rsidRPr="00CB43F8">
        <w:t xml:space="preserve">from the </w:t>
      </w:r>
      <w:r w:rsidR="00E4604A">
        <w:t xml:space="preserve">London Multi-Centre </w:t>
      </w:r>
      <w:r w:rsidR="006A1241">
        <w:t xml:space="preserve">Research Ethics </w:t>
      </w:r>
      <w:r w:rsidR="00E4604A">
        <w:t>Committee</w:t>
      </w:r>
      <w:r w:rsidR="006A1241">
        <w:t>. A</w:t>
      </w:r>
      <w:r w:rsidRPr="00CB43F8">
        <w:t xml:space="preserve">ll participants gave full informed </w:t>
      </w:r>
      <w:r w:rsidR="00E4604A">
        <w:t xml:space="preserve">written </w:t>
      </w:r>
      <w:r w:rsidRPr="00CB43F8">
        <w:t>consent.</w:t>
      </w:r>
    </w:p>
    <w:p w14:paraId="42DC3080" w14:textId="77777777" w:rsidR="000B24F9" w:rsidRDefault="00A5302D" w:rsidP="00FE7851">
      <w:pPr>
        <w:pStyle w:val="Heading3"/>
        <w:jc w:val="both"/>
      </w:pPr>
      <w:r w:rsidRPr="00D55BAF">
        <w:t>M</w:t>
      </w:r>
      <w:r w:rsidR="00D92577" w:rsidRPr="00D55BAF">
        <w:t>easures</w:t>
      </w:r>
    </w:p>
    <w:p w14:paraId="143D75F2" w14:textId="77777777" w:rsidR="00FA5AA5" w:rsidRDefault="00FA5AA5" w:rsidP="00FE7851">
      <w:pPr>
        <w:jc w:val="both"/>
        <w:rPr>
          <w:u w:val="single"/>
        </w:rPr>
      </w:pPr>
      <w:r w:rsidRPr="002771B4">
        <w:rPr>
          <w:u w:val="single"/>
        </w:rPr>
        <w:t>Sexual orientation</w:t>
      </w:r>
    </w:p>
    <w:p w14:paraId="14E2776B" w14:textId="2D9CEC41" w:rsidR="002771B4" w:rsidRPr="002771B4" w:rsidRDefault="002771B4" w:rsidP="00FE7851">
      <w:pPr>
        <w:spacing w:afterLines="120" w:after="288"/>
        <w:jc w:val="both"/>
        <w:rPr>
          <w:rFonts w:ascii="Calibri" w:hAnsi="Calibri"/>
          <w:shd w:val="clear" w:color="auto" w:fill="FFFFFF"/>
        </w:rPr>
      </w:pPr>
      <w:r>
        <w:rPr>
          <w:rFonts w:ascii="Calibri" w:hAnsi="Calibri"/>
          <w:shd w:val="clear" w:color="auto" w:fill="FFFFFF"/>
        </w:rPr>
        <w:lastRenderedPageBreak/>
        <w:t>Sexual orientation was assessed</w:t>
      </w:r>
      <w:r w:rsidR="00261657">
        <w:rPr>
          <w:rFonts w:ascii="Calibri" w:hAnsi="Calibri"/>
          <w:shd w:val="clear" w:color="auto" w:fill="FFFFFF"/>
        </w:rPr>
        <w:t xml:space="preserve"> </w:t>
      </w:r>
      <w:r>
        <w:rPr>
          <w:rFonts w:ascii="Calibri" w:hAnsi="Calibri"/>
          <w:shd w:val="clear" w:color="auto" w:fill="FFFFFF"/>
        </w:rPr>
        <w:t>with the question: “</w:t>
      </w:r>
      <w:r w:rsidRPr="00382099">
        <w:rPr>
          <w:rFonts w:ascii="Calibri" w:hAnsi="Calibri"/>
          <w:i/>
          <w:shd w:val="clear" w:color="auto" w:fill="FFFFFF"/>
        </w:rPr>
        <w:t xml:space="preserve">Which statement best describes your sexual desires over your lifetime? </w:t>
      </w:r>
      <w:r w:rsidRPr="00382099">
        <w:rPr>
          <w:i/>
        </w:rPr>
        <w:t>Please include being interested in sex, fantasising about sex or wanting to have sex</w:t>
      </w:r>
      <w:r>
        <w:rPr>
          <w:rFonts w:ascii="Calibri" w:hAnsi="Calibri"/>
          <w:shd w:val="clear" w:color="auto" w:fill="FFFFFF"/>
        </w:rPr>
        <w:t xml:space="preserve">”. Response options were 1) entirely for women, 2) mostly for women, but some desires for men, 3) equally for women and men, 4) mostly for men, but some desires for women, 5) entirely for men, and 6) no sexual desires in lifetime. We categorised participants with desires entirely for the opposite sex as </w:t>
      </w:r>
      <w:r w:rsidR="006D4782">
        <w:rPr>
          <w:rFonts w:ascii="Calibri" w:hAnsi="Calibri"/>
          <w:shd w:val="clear" w:color="auto" w:fill="FFFFFF"/>
        </w:rPr>
        <w:t>heterosexual</w:t>
      </w:r>
      <w:r>
        <w:rPr>
          <w:rFonts w:ascii="Calibri" w:hAnsi="Calibri"/>
          <w:shd w:val="clear" w:color="auto" w:fill="FFFFFF"/>
        </w:rPr>
        <w:t xml:space="preserve">, entirely for the same sex as gay and those endorsing response options 2, 3 or 4 as bisexual. We coded the sexual orientation of those reporting no sexual desires as missing. </w:t>
      </w:r>
      <w:r w:rsidR="003B1C78">
        <w:rPr>
          <w:rFonts w:ascii="Calibri" w:hAnsi="Calibri"/>
          <w:shd w:val="clear" w:color="auto" w:fill="FFFFFF"/>
        </w:rPr>
        <w:t>No data were collected on gender identity,</w:t>
      </w:r>
      <w:r w:rsidR="005F3F3A">
        <w:rPr>
          <w:rFonts w:ascii="Calibri" w:hAnsi="Calibri"/>
          <w:shd w:val="clear" w:color="auto" w:fill="FFFFFF"/>
        </w:rPr>
        <w:t xml:space="preserve"> so we were unable to include a</w:t>
      </w:r>
      <w:r w:rsidR="005F3F3A" w:rsidRPr="005F3F3A">
        <w:rPr>
          <w:rFonts w:ascii="Calibri" w:hAnsi="Calibri"/>
          <w:shd w:val="clear" w:color="auto" w:fill="FFFFFF"/>
        </w:rPr>
        <w:t xml:space="preserve"> group of gender non-conforming people</w:t>
      </w:r>
      <w:r w:rsidR="003B1C78">
        <w:rPr>
          <w:rFonts w:ascii="Calibri" w:hAnsi="Calibri"/>
          <w:shd w:val="clear" w:color="auto" w:fill="FFFFFF"/>
        </w:rPr>
        <w:t xml:space="preserve">. </w:t>
      </w:r>
      <w:r>
        <w:rPr>
          <w:rFonts w:ascii="Calibri" w:hAnsi="Calibri"/>
          <w:shd w:val="clear" w:color="auto" w:fill="FFFFFF"/>
        </w:rPr>
        <w:t xml:space="preserve">Due to the low numbers of </w:t>
      </w:r>
      <w:r w:rsidR="001D2E6E">
        <w:rPr>
          <w:rFonts w:ascii="Calibri" w:hAnsi="Calibri"/>
          <w:shd w:val="clear" w:color="auto" w:fill="FFFFFF"/>
        </w:rPr>
        <w:t>LGB</w:t>
      </w:r>
      <w:r>
        <w:rPr>
          <w:rFonts w:ascii="Calibri" w:hAnsi="Calibri"/>
          <w:shd w:val="clear" w:color="auto" w:fill="FFFFFF"/>
        </w:rPr>
        <w:t xml:space="preserve"> participants in our sample, we analysed data using a binary sexual orientation variable (</w:t>
      </w:r>
      <w:r w:rsidR="00352A09">
        <w:rPr>
          <w:rFonts w:ascii="Calibri" w:hAnsi="Calibri"/>
          <w:shd w:val="clear" w:color="auto" w:fill="FFFFFF"/>
        </w:rPr>
        <w:t>heterosexual</w:t>
      </w:r>
      <w:r>
        <w:rPr>
          <w:rFonts w:ascii="Calibri" w:hAnsi="Calibri"/>
          <w:shd w:val="clear" w:color="auto" w:fill="FFFFFF"/>
        </w:rPr>
        <w:t xml:space="preserve"> vs. </w:t>
      </w:r>
      <w:r w:rsidR="00352A09">
        <w:rPr>
          <w:rFonts w:ascii="Calibri" w:hAnsi="Calibri"/>
          <w:shd w:val="clear" w:color="auto" w:fill="FFFFFF"/>
        </w:rPr>
        <w:t>LGB</w:t>
      </w:r>
      <w:r>
        <w:rPr>
          <w:rFonts w:ascii="Calibri" w:hAnsi="Calibri"/>
          <w:shd w:val="clear" w:color="auto" w:fill="FFFFFF"/>
        </w:rPr>
        <w:t>).</w:t>
      </w:r>
    </w:p>
    <w:p w14:paraId="4F0C07AE" w14:textId="77777777" w:rsidR="006A3549" w:rsidRPr="00510DC7" w:rsidRDefault="006A3549" w:rsidP="00FE7851">
      <w:pPr>
        <w:pStyle w:val="Body"/>
        <w:spacing w:after="288"/>
        <w:jc w:val="both"/>
        <w:rPr>
          <w:u w:val="single"/>
        </w:rPr>
      </w:pPr>
      <w:r>
        <w:rPr>
          <w:u w:val="single"/>
        </w:rPr>
        <w:t>Perceived discrimination</w:t>
      </w:r>
    </w:p>
    <w:p w14:paraId="1B8F86D0" w14:textId="4827CD38" w:rsidR="00D612B1" w:rsidRDefault="006A3549" w:rsidP="00FE7851">
      <w:pPr>
        <w:jc w:val="both"/>
      </w:pPr>
      <w:r>
        <w:t>Items</w:t>
      </w:r>
      <w:r w:rsidRPr="00786912">
        <w:t xml:space="preserve"> on discrimination were based on </w:t>
      </w:r>
      <w:r>
        <w:t>measures</w:t>
      </w:r>
      <w:r w:rsidRPr="00786912">
        <w:t xml:space="preserve"> used in other studies </w:t>
      </w:r>
      <w:r>
        <w:fldChar w:fldCharType="begin"/>
      </w:r>
      <w:r w:rsidR="002B2DE9">
        <w:instrText xml:space="preserve"> ADDIN ZOTERO_ITEM CSL_CITATION {"citationID":"5PtR11Y5","properties":{"formattedCitation":"(25\\uc0\\u8211{}27)","plainCitation":"(25–27)","noteIndex":0},"citationItems":[{"id":"A4nDS9l3/FQ7XSDXw","uris":["http://zotero.org/users/446899/items/P2EIAIGS"],"uri":["http://zotero.org/users/446899/items/P2EIAIGS"],"itemData":{"id":1119,"type":"article-journal","title":"Perceived Age Discrimination and Mental Health","container-title":"Social Forces","page":"291-311","volume":"86","issue":"1","source":"sf.oxfordjournals.org","abstract":"Although perceived discrimination (especially due to race-ethnicity) decreases mental health, the influence ofperceived discrimination due to other reasons on mental health needs to be explored. This study examines the relationship between perceived age discrimination and mental health and determines whether psychosocial resources explain or buffer (i.e., reduce the strength of) this relationship. Using a nationally-representative sample of persons aged 25–74 from the Midlife Development in the United States survey, this study finds that perceived age discrimination is associated with higher psychological distress and lower positive well-being. Perceived age discrimination is more negatively associated with women's mental health than men's. Although sense of control buffers the relationship between perceived age discrimination and psychological distress, perceived age discrimination decreases sense of control and social support.","DOI":"10.1353/sof.2007.0113","ISSN":"0037-7732, 1534-7605","journalAbbreviation":"Social Forces","language":"en","author":[{"family":"Yuan","given":"Anastasia S. Vogt"}],"issued":{"date-parts":[["2007",9,1]]}}},{"id":"A4nDS9l3/ThNPobtB","uris":["http://zotero.org/users/446899/items/5EAR9DDV"],"uri":["http://zotero.org/users/446899/items/5EAR9DDV"],"itemData":{"id":1115,"type":"article-journal","title":"A Longitudinal Study of Social Status, Perceived Discrimination, and Physical and Emotional Health Among Older Adults","container-title":"Research on Aging","page":"275-301","volume":"34","issue":"3","source":"roa.sagepub.com","abstract":"This study examines the relationships between social status, perceived discrimination, and physical and emotional health using a nationally representative sample of 6,377 older adults from the 2006 and 2008 waves of the Health and Retirement Study. About 63% of older adults reported at least one type of everyday discrimination and 31% reported at least one major discriminatory event during lifetime. Blacks, those separated, divorced, or widowed, and those with lower household assets have higher levels of perceived discrimination than Whites, the married or partnered, and those with more assets. Perceived discrimination is negatively associated with changes in health over 2 years, and everyday discrimination has stronger effects than major discriminatory events, especially on emotional health. The effects of perceived everyday discrimination on changes in depressive symptoms and self-rated health are independent of general stress. Efforts to reduce discrimination, including perceptions of discrimination, can be beneficial for health in old age.","DOI":"10.1177/0164027511426151","ISSN":"0164-0275, 1552-7573","journalAbbreviation":"Research on Aging","language":"en","author":[{"family":"Luo","given":"Ye"},{"family":"Xu","given":"Jun"},{"family":"Granberg","given":"Ellen"},{"family":"Wentworth","given":"William M."}],"issued":{"date-parts":[["2012",5,1]]}}},{"id":"A4nDS9l3/6LNQQrs5","uris":["http://zotero.org/users/446899/items/5H7ZI6U2"],"uri":["http://zotero.org/users/446899/items/5H7ZI6U2"],"itemData":{"id":4591,"type":"report","title":"Psychosocial and Lifestyle Questionnaire 2006 - 2016","publisher":"Survey Research Center, Institute for Social Research","publisher-place":"Ann Arbor, MI","event-place":"Ann Arbor, MI","author":[{"family":"Smith","given":"J"},{"family":"Ryan","given":"L"},{"family":"Sonnega","given":"A"},{"family":"Weir","given":"D"},{"family":"The HRS Psychosocial Working Group","given":""}],"issued":{"date-parts":[["2017"]]}}}],"schema":"https://github.com/citation-style-language/schema/raw/master/csl-citation.json"} </w:instrText>
      </w:r>
      <w:r>
        <w:fldChar w:fldCharType="separate"/>
      </w:r>
      <w:r w:rsidR="002B2DE9" w:rsidRPr="002B2DE9">
        <w:rPr>
          <w:rFonts w:ascii="Calibri" w:hAnsi="Calibri" w:cs="Calibri"/>
          <w:szCs w:val="24"/>
        </w:rPr>
        <w:t>(25–27)</w:t>
      </w:r>
      <w:r>
        <w:fldChar w:fldCharType="end"/>
      </w:r>
      <w:r w:rsidRPr="00786912">
        <w:t>. Participants were asked about the frequency of five discriminatory experiences: “</w:t>
      </w:r>
      <w:r w:rsidRPr="0068586F">
        <w:rPr>
          <w:i/>
        </w:rPr>
        <w:t>(1) you are treated with less respect or courtesy; (2) you receive poorer service than other people in restaurants and stores; (3) people act as if they think you are not clever; (4) you are threatened or harassed; (5) you receive poorer service or treatment than other people from doctors or hospitals (almost every day/at least once a week/a few times a month/a few times a year/less than once a year/never).</w:t>
      </w:r>
      <w:r w:rsidRPr="00786912">
        <w:t>” Because data were skewed, with most participants reporting never experienci</w:t>
      </w:r>
      <w:r>
        <w:t>ng discrimination, we dichotomis</w:t>
      </w:r>
      <w:r w:rsidRPr="00786912">
        <w:t xml:space="preserve">ed responses </w:t>
      </w:r>
      <w:r>
        <w:rPr>
          <w:shd w:val="clear" w:color="auto" w:fill="FFFFFF"/>
        </w:rPr>
        <w:t xml:space="preserve">to indicate whether or not participants had experienced discrimination in the past year (a few times or more a year vs. less than once a year or never), with the exception of the fifth item which was dichotomised to indicate whether or not respondents had ever experienced discrimination from doctors or hospitals (never vs. all other options) </w:t>
      </w:r>
      <w:r>
        <w:rPr>
          <w:i/>
          <w:color w:val="E36C0A" w:themeColor="accent6" w:themeShade="BF"/>
        </w:rPr>
        <w:fldChar w:fldCharType="begin"/>
      </w:r>
      <w:r w:rsidR="002B2DE9">
        <w:rPr>
          <w:i/>
          <w:color w:val="E36C0A" w:themeColor="accent6" w:themeShade="BF"/>
        </w:rPr>
        <w:instrText xml:space="preserve"> ADDIN ZOTERO_ITEM CSL_CITATION {"citationID":"76csi8b3v","properties":{"formattedCitation":"(28)","plainCitation":"(28)","noteIndex":0},"citationItems":[{"id":"A4nDS9l3/gfMJgdJs","uris":["http://zotero.org/users/446899/items/3DQSHPP9"],"uri":["http://zotero.org/users/446899/items/3DQSHPP9"],"itemData":{"id":1487,"type":"article-journal","title":"Perceived age discrimination in older adults","container-title":"Age and Ageing","page":"379-386","volume":"43","issue":"3","source":"ageing.oxfordjournals.org","abstract":"Objectives: to examine perceived age discrimination in a large representative sample of older adults in England.\nMethods: this cross-sectional study of over 7,500 individuals used data from the fifth wave of the English Longitudinal Study of Ageing (ELSA), a longitudinal cohort study of men and women aged 52 years and older in England. Wave 5 asked respondents about the frequency of five everyday discriminatory situations. Participants who attributed any experiences of discrimination to their age were treated as cases of perceived age discrimination. Multivariable logistic regression analysis was used to estimate the odds ratios of experiencing perceived age discrimination in relation to selected sociodemographic factors.\nResults: approximately a third (33.3%) of all respondents experienced age discrimination, rising to 36.8% in those aged 65 and over. Perceived age discrimination was associated with older age, higher education, lower levels of household wealth and being retired or not in employment. The correlates of age discrimination across the five discriminatory situations were similar.\nConclusion: understanding age discrimination is vital if we are to develop appropriate policies and to target future interventions effectively. These findings highlight the scale of the challenge of age discrimination for older adults in England and illustrate that those groups are particularly vulnerable to this form of discrimination.","DOI":"10.1093/ageing/aft146","ISSN":"0002-0729, 1468-2834","note":"PMID: 24077751","journalAbbreviation":"Age Ageing","language":"en","author":[{"family":"Rippon","given":"Isla"},{"family":"Kneale","given":"Dylan"},{"family":"Oliveira","given":"Cesar","dropping-particle":"de"},{"family":"Demakakos","given":"Panayotes"},{"family":"Steptoe","given":"Andrew"}],"issued":{"date-parts":[["2014",5,1]]}}}],"schema":"https://github.com/citation-style-language/schema/raw/master/csl-citation.json"} </w:instrText>
      </w:r>
      <w:r>
        <w:rPr>
          <w:i/>
          <w:color w:val="E36C0A" w:themeColor="accent6" w:themeShade="BF"/>
        </w:rPr>
        <w:fldChar w:fldCharType="separate"/>
      </w:r>
      <w:r w:rsidR="002B2DE9" w:rsidRPr="002B2DE9">
        <w:rPr>
          <w:rFonts w:ascii="Calibri" w:hAnsi="Calibri" w:cs="Calibri"/>
        </w:rPr>
        <w:t>(28)</w:t>
      </w:r>
      <w:r>
        <w:rPr>
          <w:i/>
          <w:color w:val="E36C0A" w:themeColor="accent6" w:themeShade="BF"/>
        </w:rPr>
        <w:fldChar w:fldCharType="end"/>
      </w:r>
      <w:r>
        <w:t>.</w:t>
      </w:r>
      <w:r w:rsidR="00EF1FC0">
        <w:t xml:space="preserve"> </w:t>
      </w:r>
    </w:p>
    <w:p w14:paraId="6C33A2EA" w14:textId="77777777" w:rsidR="006A3549" w:rsidRPr="00E63257" w:rsidRDefault="00EF1FC0" w:rsidP="00FE7851">
      <w:pPr>
        <w:jc w:val="both"/>
      </w:pPr>
      <w:r w:rsidRPr="007F788D">
        <w:t xml:space="preserve">A follow‐up question asked participants who reported discrimination in any of the situations to indicate the reason(s) they attributed to their experience from a list of options including age, </w:t>
      </w:r>
      <w:r>
        <w:t>sex</w:t>
      </w:r>
      <w:r w:rsidRPr="007F788D">
        <w:t>, race, physical disability, and sexual orientation. Participants could attribute more than one reason to their</w:t>
      </w:r>
      <w:r w:rsidR="00507CF6">
        <w:t xml:space="preserve"> experiences of discrimination.</w:t>
      </w:r>
    </w:p>
    <w:p w14:paraId="13FDE48B" w14:textId="77777777" w:rsidR="00FA5AA5" w:rsidRDefault="00FA5AA5" w:rsidP="00FE7851">
      <w:pPr>
        <w:jc w:val="both"/>
        <w:rPr>
          <w:u w:val="single"/>
        </w:rPr>
      </w:pPr>
      <w:r w:rsidRPr="006A3549">
        <w:rPr>
          <w:u w:val="single"/>
        </w:rPr>
        <w:t>Health and wellbeing</w:t>
      </w:r>
    </w:p>
    <w:p w14:paraId="366BF564" w14:textId="7EDA7AB3" w:rsidR="006A3549" w:rsidRDefault="006A3549" w:rsidP="00FE7851">
      <w:pPr>
        <w:jc w:val="both"/>
      </w:pPr>
      <w:r>
        <w:t>Depressive symptoms were</w:t>
      </w:r>
      <w:r w:rsidRPr="00441707">
        <w:t xml:space="preserve"> assessed with an eight-item version of the Center for Epidemiologic Studies Depression Scale (CES-D) </w:t>
      </w:r>
      <w:r>
        <w:fldChar w:fldCharType="begin"/>
      </w:r>
      <w:r w:rsidR="002B2DE9">
        <w:instrText xml:space="preserve"> ADDIN ZOTERO_ITEM CSL_CITATION {"citationID":"adMCuFO0","properties":{"formattedCitation":"(29)","plainCitation":"(29)","noteIndex":0},"citationItems":[{"id":"A4nDS9l3/MXFbp0rd","uris":["http://zotero.org/users/446899/items/UN4RQST9"],"uri":["http://zotero.org/users/446899/items/UN4RQST9"],"itemData":{"id":523,"type":"article-journal","title":"The CES-D scale","container-title":"Appl Psychol Meas","page":"385–401","volume":"1","issue":"3","source":"Google Scholar","author":[{"family":"Radloff","given":"L.S."}],"issued":{"date-parts":[["1977"]]}}}],"schema":"https://github.com/citation-style-language/schema/raw/master/csl-citation.json"} </w:instrText>
      </w:r>
      <w:r>
        <w:fldChar w:fldCharType="separate"/>
      </w:r>
      <w:r w:rsidR="002B2DE9" w:rsidRPr="002B2DE9">
        <w:rPr>
          <w:rFonts w:ascii="Calibri" w:hAnsi="Calibri" w:cs="Calibri"/>
        </w:rPr>
        <w:t>(29)</w:t>
      </w:r>
      <w:r>
        <w:fldChar w:fldCharType="end"/>
      </w:r>
      <w:hyperlink r:id="rId9" w:anchor="pone.0104552-Radloff1" w:history="1"/>
      <w:r w:rsidRPr="00441707">
        <w:t xml:space="preserve">. </w:t>
      </w:r>
      <w:r w:rsidRPr="004B750D">
        <w:t xml:space="preserve">Respondents were asked to indicate if they had experienced depressive symptoms (e.g. restless sleep and being unhappy) over the past month using a binary (yes/no) response. Total </w:t>
      </w:r>
      <w:r w:rsidRPr="004B750D">
        <w:lastRenderedPageBreak/>
        <w:t xml:space="preserve">scores ranged from 0 to 8 with higher scores indicating more depressive </w:t>
      </w:r>
      <w:r w:rsidRPr="00147F93">
        <w:t xml:space="preserve">symptoms. Data were dichotomised using an established cut‐off, with a score of 4 or higher indicating </w:t>
      </w:r>
      <w:r>
        <w:t>significant symptomatology</w:t>
      </w:r>
      <w:r w:rsidRPr="00147F93">
        <w:t xml:space="preserve"> </w:t>
      </w:r>
      <w:r w:rsidRPr="00147F93">
        <w:fldChar w:fldCharType="begin"/>
      </w:r>
      <w:r w:rsidR="002B2DE9">
        <w:instrText xml:space="preserve"> ADDIN ZOTERO_ITEM CSL_CITATION {"citationID":"NtRf5HCI","properties":{"formattedCitation":"(30)","plainCitation":"(30)","noteIndex":0},"citationItems":[{"id":"A4nDS9l3/TxXUZ396","uris":["http://zotero.org/users/446899/items/KSNSDFX5"],"uri":["http://zotero.org/users/446899/items/KSNSDFX5"],"itemData":{"id":519,"type":"article","title":"Documentation of affective functioning measures in the Health and Retirement Study","publisher":"HRS Documentation Report DR-005","author":[{"family":"Steffick","given":"D.E."}],"issued":{"date-parts":[["2000"]]}}}],"schema":"https://github.com/citation-style-language/schema/raw/master/csl-citation.json"} </w:instrText>
      </w:r>
      <w:r w:rsidRPr="00147F93">
        <w:fldChar w:fldCharType="separate"/>
      </w:r>
      <w:r w:rsidR="002B2DE9" w:rsidRPr="002B2DE9">
        <w:rPr>
          <w:rFonts w:ascii="Calibri" w:hAnsi="Calibri" w:cs="Calibri"/>
        </w:rPr>
        <w:t>(30)</w:t>
      </w:r>
      <w:r w:rsidRPr="00147F93">
        <w:fldChar w:fldCharType="end"/>
      </w:r>
      <w:r w:rsidRPr="00147F93">
        <w:t>.</w:t>
      </w:r>
    </w:p>
    <w:p w14:paraId="73E19C01" w14:textId="6F013A28" w:rsidR="00F8745C" w:rsidRPr="003A7BB8" w:rsidRDefault="00F8745C" w:rsidP="00FE7851">
      <w:pPr>
        <w:jc w:val="both"/>
      </w:pPr>
      <w:r w:rsidRPr="003A7BB8">
        <w:t xml:space="preserve">Loneliness was measured using </w:t>
      </w:r>
      <w:r>
        <w:t>the</w:t>
      </w:r>
      <w:r w:rsidRPr="003A7BB8">
        <w:t xml:space="preserve"> three-item Revised </w:t>
      </w:r>
      <w:r>
        <w:t xml:space="preserve">UCLA </w:t>
      </w:r>
      <w:r w:rsidRPr="003A7BB8">
        <w:t xml:space="preserve">Loneliness Scale </w:t>
      </w:r>
      <w:r>
        <w:fldChar w:fldCharType="begin"/>
      </w:r>
      <w:r w:rsidR="002B2DE9">
        <w:instrText xml:space="preserve"> ADDIN ZOTERO_ITEM CSL_CITATION {"citationID":"NZtGCrub","properties":{"formattedCitation":"(31)","plainCitation":"(31)","noteIndex":0},"citationItems":[{"id":"A4nDS9l3/pn8oea40","uris":["http://zotero.org/users/446899/items/9CQYZD2Q"],"uri":["http://zotero.org/users/446899/items/9CQYZD2Q"],"itemData":{"id":5242,"type":"article-journal","title":"UCLA Loneliness Scale (Version 3): reliability, validity, and factor structure","container-title":"Journal of Personality Assessment","page":"20-40","volume":"66","issue":"1","source":"PubMed","abstract":"In this article I evaluated the psychometric properties of the UCLA Loneliness Scale (Version 3). Using data from prior studies of college students, nurses, teachers, and the elderly, analyses of the reliability, validity, and factor structure of this new version of the UCLA Loneliness Scale were conducted. Results indicated that the measure was highly reliable, both in terms of internal consistency (coefficient alpha ranging from .89 to .94) and test-retest reliability over a 1-year period (r = .73). Convergent validity for the scale was indicated by significant correlations with other measures of loneliness. Construct validity was supported by significant relations with measures of the adequacy of the individual's interpersonal relationships, and by correlations between loneliness and measures of health and well-being. Confirmatory factor analyses indicated that a model incorporating a global bipolar loneliness factor along with two method factor reflecting direction of item wording provided a very good fit to the data across samples. Implications of these results for future measurement research on loneliness are discussed.","DOI":"10.1207/s15327752jpa6601_2","ISSN":"0022-3891","note":"PMID: 8576833","shortTitle":"UCLA Loneliness Scale (Version 3)","journalAbbreviation":"J Pers Assess","language":"eng","author":[{"family":"Russell","given":"D. W."}],"issued":{"date-parts":[["1996",2]]}}}],"schema":"https://github.com/citation-style-language/schema/raw/master/csl-citation.json"} </w:instrText>
      </w:r>
      <w:r>
        <w:fldChar w:fldCharType="separate"/>
      </w:r>
      <w:r w:rsidR="002B2DE9" w:rsidRPr="002B2DE9">
        <w:rPr>
          <w:rFonts w:ascii="Calibri" w:hAnsi="Calibri" w:cs="Calibri"/>
        </w:rPr>
        <w:t>(31)</w:t>
      </w:r>
      <w:r>
        <w:fldChar w:fldCharType="end"/>
      </w:r>
      <w:r w:rsidRPr="003A7BB8">
        <w:t xml:space="preserve">. </w:t>
      </w:r>
      <w:r>
        <w:t>Participants were asked to rate items including:</w:t>
      </w:r>
      <w:r w:rsidRPr="003A7BB8">
        <w:t xml:space="preserve"> </w:t>
      </w:r>
      <w:r>
        <w:t>“</w:t>
      </w:r>
      <w:r w:rsidRPr="00A17956">
        <w:rPr>
          <w:i/>
        </w:rPr>
        <w:t>How often do you feel you lack companionship?</w:t>
      </w:r>
      <w:r>
        <w:t>”</w:t>
      </w:r>
      <w:r w:rsidRPr="003A7BB8">
        <w:t xml:space="preserve"> </w:t>
      </w:r>
      <w:r>
        <w:t>(</w:t>
      </w:r>
      <w:r w:rsidRPr="003A7BB8">
        <w:t>hardly ever or never</w:t>
      </w:r>
      <w:r>
        <w:t>=1 to</w:t>
      </w:r>
      <w:r w:rsidRPr="003A7BB8">
        <w:t xml:space="preserve"> often</w:t>
      </w:r>
      <w:r>
        <w:t>=3)</w:t>
      </w:r>
      <w:r w:rsidRPr="003A7BB8">
        <w:t>. Scores ranged from 3 to 9, with higher scores indicating greater loneliness. They were dichoto</w:t>
      </w:r>
      <w:r>
        <w:t>mis</w:t>
      </w:r>
      <w:r w:rsidRPr="003A7BB8">
        <w:t xml:space="preserve">ed at ≥6 versus &lt;6 to indicate high </w:t>
      </w:r>
      <w:r>
        <w:t>vs.</w:t>
      </w:r>
      <w:r w:rsidRPr="003A7BB8">
        <w:t xml:space="preserve"> low loneliness </w:t>
      </w:r>
      <w:r>
        <w:fldChar w:fldCharType="begin"/>
      </w:r>
      <w:r w:rsidR="002B2DE9">
        <w:instrText xml:space="preserve"> ADDIN ZOTERO_ITEM CSL_CITATION {"citationID":"P22sTwTB","properties":{"formattedCitation":"(32)","plainCitation":"(32)","noteIndex":0},"citationItems":[{"id":"A4nDS9l3/f6GV3cyJ","uris":["http://zotero.org/users/446899/items/J5RY6SIA"],"uri":["http://zotero.org/users/446899/items/J5RY6SIA"],"itemData":{"id":5240,"type":"article-journal","title":"Social isolation, loneliness, and all-cause mortality in older men and women","container-title":"Proceedings of the National Academy of Sciences of the United States of America","page":"5797-5801","volume":"110","issue":"15","source":"PubMed","abstract":"Both social isolation and loneliness are associated with increased mortality, but it is uncertain whether their effects are independent or whether loneliness represents the emotional pathway through which social isolation impairs health. We therefore assessed the extent to which the association between social isolation and mortality is mediated by loneliness. We assessed social isolation in terms of contact with family and friends and participation in civic organizations in 6,500 men and women aged 52 and older who took part in the English Longitudinal Study of Ageing in 2004-2005. A standard questionnaire measure of loneliness was administered also. We monitored all-cause mortality up to March 2012 (mean follow-up 7.25 y) and analyzed results using Cox proportional hazards regression. We found that mortality was higher among more socially isolated and more lonely participants. However, after adjusting statistically for demographic factors and baseline health, social isolation remained significantly associated with mortality (hazard ratio 1.26, 95% confidence interval, 1.08-1.48 for the top quintile of isolation), but loneliness did not (hazard ratio 0.92, 95% confidence interval, 0.78-1.09). The association of social isolation with mortality was unchanged when loneliness was included in the model. Both social isolation and loneliness were associated with increased mortality. However, the effect of loneliness was not independent of demographic characteristics or health problems and did not contribute to the risk associated with social isolation. Although both isolation and loneliness impair quality of life and well-being, efforts to reduce isolation are likely to be more relevant to mortality.","DOI":"10.1073/pnas.1219686110","ISSN":"1091-6490","note":"PMID: 23530191\nPMCID: PMC3625264","journalAbbreviation":"Proc. Natl. Acad. Sci. U.S.A.","language":"eng","author":[{"family":"Steptoe","given":"Andrew"},{"family":"Shankar","given":"Aparna"},{"family":"Demakakos","given":"Panayotes"},{"family":"Wardle","given":"Jane"}],"issued":{"date-parts":[["2013",4,9]]}}}],"schema":"https://github.com/citation-style-language/schema/raw/master/csl-citation.json"} </w:instrText>
      </w:r>
      <w:r>
        <w:fldChar w:fldCharType="separate"/>
      </w:r>
      <w:r w:rsidR="002B2DE9" w:rsidRPr="002B2DE9">
        <w:rPr>
          <w:rFonts w:ascii="Calibri" w:hAnsi="Calibri" w:cs="Calibri"/>
        </w:rPr>
        <w:t>(32)</w:t>
      </w:r>
      <w:r>
        <w:fldChar w:fldCharType="end"/>
      </w:r>
      <w:r>
        <w:t>.</w:t>
      </w:r>
    </w:p>
    <w:p w14:paraId="66B1D059" w14:textId="230D6B08" w:rsidR="00DB6127" w:rsidRPr="001D6829" w:rsidRDefault="00DB6127" w:rsidP="00FE7851">
      <w:pPr>
        <w:jc w:val="both"/>
      </w:pPr>
      <w:r w:rsidRPr="001D6829">
        <w:t>Quality of life was assessed with the CASP-19</w:t>
      </w:r>
      <w:r>
        <w:t xml:space="preserve"> </w:t>
      </w:r>
      <w:r w:rsidRPr="00303884">
        <w:fldChar w:fldCharType="begin"/>
      </w:r>
      <w:r w:rsidR="002B2DE9">
        <w:instrText xml:space="preserve"> ADDIN ZOTERO_ITEM CSL_CITATION {"citationID":"LqFBPe4M","properties":{"formattedCitation":"(33)","plainCitation":"(33)","noteIndex":0},"citationItems":[{"id":"A4nDS9l3/Yv4N4iRx","uris":["http://zotero.org/users/446899/items/4THRQPAZ"],"uri":["http://zotero.org/users/446899/items/4THRQPAZ"],"itemData":{"id":336,"type":"article-journal","title":"A measure of quality of life in early old age: the theory, development and properties of a needs satisfaction model (CASP-19)","container-title":"Aging &amp; Mental Health","page":"186–194","volume":"7","issue":"3","source":"Google Scholar","shortTitle":"A measure of quality of life in early old age","author":[{"family":"Hyde","given":"M."},{"family":"Wiggins","given":"R.D."},{"family":"Higgs","given":"P."},{"family":"Blane","given":"D.B."}],"issued":{"date-parts":[["2003"]]}}}],"schema":"https://github.com/citation-style-language/schema/raw/master/csl-citation.json"} </w:instrText>
      </w:r>
      <w:r w:rsidRPr="00303884">
        <w:fldChar w:fldCharType="separate"/>
      </w:r>
      <w:r w:rsidR="002B2DE9" w:rsidRPr="002B2DE9">
        <w:rPr>
          <w:rFonts w:ascii="Calibri" w:hAnsi="Calibri" w:cs="Calibri"/>
        </w:rPr>
        <w:t>(33)</w:t>
      </w:r>
      <w:r w:rsidRPr="00303884">
        <w:fldChar w:fldCharType="end"/>
      </w:r>
      <w:r w:rsidRPr="00303884">
        <w:t xml:space="preserve">, </w:t>
      </w:r>
      <w:r w:rsidRPr="001D6829">
        <w:t xml:space="preserve">a scale designed to measure quality of life in older people. Items cover </w:t>
      </w:r>
      <w:r>
        <w:t>several</w:t>
      </w:r>
      <w:r w:rsidRPr="001D6829">
        <w:t xml:space="preserve"> domains of quality of life</w:t>
      </w:r>
      <w:r>
        <w:t xml:space="preserve"> including </w:t>
      </w:r>
      <w:r w:rsidRPr="001D6829">
        <w:t>control</w:t>
      </w:r>
      <w:r>
        <w:t xml:space="preserve">, </w:t>
      </w:r>
      <w:r w:rsidRPr="001D6829">
        <w:t>autonomy</w:t>
      </w:r>
      <w:r w:rsidR="00840521">
        <w:t>,</w:t>
      </w:r>
      <w:r>
        <w:t xml:space="preserve"> </w:t>
      </w:r>
      <w:r w:rsidRPr="001D6829">
        <w:t xml:space="preserve">self-realisation </w:t>
      </w:r>
      <w:r>
        <w:t xml:space="preserve">and pleasure. </w:t>
      </w:r>
      <w:r w:rsidRPr="001D6829">
        <w:t>Respondents are asked how often each statement applies to them (often=0</w:t>
      </w:r>
      <w:r>
        <w:t xml:space="preserve"> to </w:t>
      </w:r>
      <w:r w:rsidRPr="001D6829">
        <w:t>never=3)</w:t>
      </w:r>
      <w:r>
        <w:t xml:space="preserve">. </w:t>
      </w:r>
      <w:r w:rsidRPr="001D6829">
        <w:t xml:space="preserve">Positively-worded items </w:t>
      </w:r>
      <w:r>
        <w:t>were</w:t>
      </w:r>
      <w:r w:rsidRPr="001D6829">
        <w:t xml:space="preserve"> reverse scored</w:t>
      </w:r>
      <w:r>
        <w:t>. A</w:t>
      </w:r>
      <w:r w:rsidRPr="001D6829">
        <w:t xml:space="preserve"> higher score indicates higher quality of life (range: 0–57).</w:t>
      </w:r>
    </w:p>
    <w:p w14:paraId="4E92CA10" w14:textId="293E87FE" w:rsidR="00DB6127" w:rsidRPr="001D6829" w:rsidRDefault="00DB6127" w:rsidP="00FE7851">
      <w:pPr>
        <w:jc w:val="both"/>
      </w:pPr>
      <w:r w:rsidRPr="001D6829">
        <w:t>Life satisfaction was assessed with the Satisfact</w:t>
      </w:r>
      <w:r>
        <w:t xml:space="preserve">ion With Life Scale </w:t>
      </w:r>
      <w:r w:rsidRPr="001D6829">
        <w:fldChar w:fldCharType="begin"/>
      </w:r>
      <w:r w:rsidR="002B2DE9">
        <w:instrText xml:space="preserve"> ADDIN ZOTERO_ITEM CSL_CITATION {"citationID":"2bs8iohh8c","properties":{"formattedCitation":"(34)","plainCitation":"(34)","noteIndex":0},"citationItems":[{"id":"A4nDS9l3/p8qi7See","uris":["http://zotero.org/users/446899/items/VCMXG87F"],"uri":["http://zotero.org/users/446899/items/VCMXG87F"],"itemData":{"id":518,"type":"article-journal","title":"The satisfaction with life scale","container-title":"J Pers Assess","page":"71–75","volume":"49","issue":"1","source":"Google Scholar","author":[{"family":"Diener","given":"E."},{"family":"Emmons","given":"R.A."},{"family":"Larsen","given":"R.J."},{"family":"Griffin","given":"S."}],"issued":{"date-parts":[["1985"]]}}}],"schema":"https://github.com/citation-style-language/schema/raw/master/csl-citation.json"} </w:instrText>
      </w:r>
      <w:r w:rsidRPr="001D6829">
        <w:fldChar w:fldCharType="separate"/>
      </w:r>
      <w:r w:rsidR="002B2DE9" w:rsidRPr="002B2DE9">
        <w:rPr>
          <w:rFonts w:ascii="Calibri" w:hAnsi="Calibri" w:cs="Calibri"/>
        </w:rPr>
        <w:t>(34)</w:t>
      </w:r>
      <w:r w:rsidRPr="001D6829">
        <w:fldChar w:fldCharType="end"/>
      </w:r>
      <w:r>
        <w:t>,</w:t>
      </w:r>
      <w:r w:rsidRPr="001D6829">
        <w:t xml:space="preserve"> which asks </w:t>
      </w:r>
      <w:r>
        <w:t xml:space="preserve">respondents to rate </w:t>
      </w:r>
      <w:r w:rsidRPr="001D6829">
        <w:t xml:space="preserve">the extent to which </w:t>
      </w:r>
      <w:r>
        <w:t>they</w:t>
      </w:r>
      <w:r w:rsidRPr="001D6829">
        <w:t xml:space="preserve"> agree with five statements</w:t>
      </w:r>
      <w:r>
        <w:t xml:space="preserve"> (e.g. “</w:t>
      </w:r>
      <w:r w:rsidRPr="001D6829">
        <w:rPr>
          <w:i/>
        </w:rPr>
        <w:t>In most ways my life is close to my ideal</w:t>
      </w:r>
      <w:r>
        <w:rPr>
          <w:i/>
        </w:rPr>
        <w:t>”</w:t>
      </w:r>
      <w:r>
        <w:t xml:space="preserve">) </w:t>
      </w:r>
      <w:r w:rsidRPr="001D6829">
        <w:t>on a scale from 0 (strongly disagree) to 6</w:t>
      </w:r>
      <w:r>
        <w:t xml:space="preserve"> (strongly agree). Responses were</w:t>
      </w:r>
      <w:r w:rsidRPr="001D6829">
        <w:t xml:space="preserve"> summed to produce a total score </w:t>
      </w:r>
      <w:r>
        <w:t xml:space="preserve">(range: </w:t>
      </w:r>
      <w:r w:rsidRPr="001D6829">
        <w:t>0</w:t>
      </w:r>
      <w:r>
        <w:t>-</w:t>
      </w:r>
      <w:r w:rsidRPr="001D6829">
        <w:t>30</w:t>
      </w:r>
      <w:r>
        <w:t>), with higher scores indicating greater life satisfaction.</w:t>
      </w:r>
    </w:p>
    <w:p w14:paraId="19F19292" w14:textId="44603045" w:rsidR="00F8745C" w:rsidRDefault="00F8745C" w:rsidP="00FE7851">
      <w:pPr>
        <w:jc w:val="both"/>
      </w:pPr>
      <w:r w:rsidRPr="00320130">
        <w:t xml:space="preserve">Self‐rated health was assessed using a single item: </w:t>
      </w:r>
      <w:r w:rsidRPr="00320130">
        <w:rPr>
          <w:i/>
        </w:rPr>
        <w:t>“Would you say your health is… poor/fair/good/very good/excellent?”</w:t>
      </w:r>
      <w:r w:rsidRPr="00320130">
        <w:t xml:space="preserve"> </w:t>
      </w:r>
      <w:r w:rsidRPr="00777513">
        <w:t>W</w:t>
      </w:r>
      <w:r>
        <w:t>e analys</w:t>
      </w:r>
      <w:r w:rsidRPr="00777513">
        <w:t xml:space="preserve">ed the proportion of individuals </w:t>
      </w:r>
      <w:r>
        <w:t xml:space="preserve">rating their health as fair/poor, as has been done in other investigations </w:t>
      </w:r>
      <w:r>
        <w:fldChar w:fldCharType="begin"/>
      </w:r>
      <w:r w:rsidR="002B2DE9">
        <w:instrText xml:space="preserve"> ADDIN ZOTERO_ITEM CSL_CITATION {"citationID":"Zc6OEfM2","properties":{"formattedCitation":"(35,36)","plainCitation":"(35,36)","noteIndex":0},"citationItems":[{"id":"A4nDS9l3/PmjtBy3A","uris":["http://zotero.org/users/446899/items/GCC4Y9SB"],"uri":["http://zotero.org/users/446899/items/GCC4Y9SB"],"itemData":{"id":2,"type":"article-journal","title":"The Life Skills of Older Americans: Association with Economic, Psychological, Social, and Health Outcomes","container-title":"Scientific Reports","page":"9669","volume":"8","issue":"1","source":"www.nature.com","abstract":"Studies of children and adolescents indicate that success in life is determined in part by attributes such as conscientiousness, emotional stability and sense of control, independently of childhood socioeconomic status and cognitive ability. Less is known about the role of these characteristics at older ages. This study investigated the relationship of five life skills – conscientiousness, emotional stability, persistence, optimism and sense of control – with a range of outcomes in 8,843 participants (mean age 72.57 years) in the Health and Retirement Study, a representative study of older Americans. More life skills were associated with greater wealth and income, better emotional wellbeing, stronger social relationships, less loneliness, better health, fewer chronic illnesses and impaired activities of daily living, better mobility and less obesity, after controlling for childhood socioeconomic status and current cognitive ability. Longitudinally, more life skills predicted emotional wellbeing, less loneliness and more prosocial behavior, better health and mobility over a 4 year period. Associations were independent of gender, ethnicity, family background, education and cognitive ability. The number of attributes was important rather than any single life skill. Life skills continue to matter at advanced ages, and fostering these characteristics in older adults may pay dividends in terms of later life health and wellbeing.","DOI":"10.1038/s41598-018-27909-w","ISSN":"2045-2322","shortTitle":"The Life Skills of Older Americans","language":"en","author":[{"family":"Steptoe","given":"Andrew"},{"family":"Jackson","given":"Sarah E."}],"issued":{"date-parts":[["2018",7,5]]}}},{"id":"A4nDS9l3/CxSdzGIv","uris":["http://zotero.org/users/446899/items/V6327HJ6"],"uri":["http://zotero.org/users/446899/items/V6327HJ6"],"itemData":{"id":4,"type":"article-journal","title":"Mortality prediction with a single general self-rated health question. A meta-analysis","container-title":"Journal of General Internal Medicine","page":"267-275","volume":"21","issue":"3","source":"PubMed","abstract":"OBJECTIVE: Health planners and policy makers are increasingly asking for a feasible method to identify vulnerable persons with the greatest health needs. We conducted a systematic review of the association between a single item assessing general self-rated health (GSRH) and mortality.\nDATA SOURCES: Systematic MEDLINE and EMBASE database searches for studies published from January 1966 to September 2003.\nREVIEW METHODS: Two investigators independently searched English language prospective, community-based cohort studies that reported (1) all-cause mortality, (2) a question assessing GSRH; and (3) an adjusted relative risk or equivalent. The investigators searched the citations to determine inclusion eligibility and abstracted data by following a standardized protocol. Of the 163 relevant studies identified, 22 cohorts met the inclusion criteria. Using a random effects model, compared with persons reporting \"excellent\" health status, the relative risk (95% confidence interval) for all-cause mortality was 1.23 [1.09, 1.39], 1.44 [1.21, 1.71], and 1.92 [1.64, 2.25] for those reporting \"good,\"fair,\" and \"poor\" health status, respectively. This relationship was robust in sensitivity analyses, limited to studies that adjusted for co-morbid illness, functional status, cognitive status, and depression, and across subgroups defined by gender and country of origin.\nCONCLUSIONS: Persons with \"poor\" self-rated health had a 2-fold higher mortality risk compared with persons with \"excellent\" self-rated health. Subjects' responses to a simple, single-item GSRH question maintained a strong association with mortality even after adjustment for key covariates such as functional status, depression, and co-morbidity.","DOI":"10.1111/j.1525-1497.2005.00291.x","ISSN":"1525-1497","note":"PMID: 16336622\nPMCID: PMC1828094","journalAbbreviation":"J Gen Intern Med","language":"eng","author":[{"family":"DeSalvo","given":"Karen B."},{"family":"Bloser","given":"Nicole"},{"family":"Reynolds","given":"Kristi"},{"family":"He","given":"Jiang"},{"family":"Muntner","given":"Paul"}],"issued":{"date-parts":[["2006",3]]}}}],"schema":"https://github.com/citation-style-language/schema/raw/master/csl-citation.json"} </w:instrText>
      </w:r>
      <w:r>
        <w:fldChar w:fldCharType="separate"/>
      </w:r>
      <w:r w:rsidR="002B2DE9" w:rsidRPr="002B2DE9">
        <w:rPr>
          <w:rFonts w:ascii="Calibri" w:hAnsi="Calibri" w:cs="Calibri"/>
        </w:rPr>
        <w:t>(35,36)</w:t>
      </w:r>
      <w:r>
        <w:fldChar w:fldCharType="end"/>
      </w:r>
      <w:r w:rsidRPr="00777513">
        <w:t>.</w:t>
      </w:r>
    </w:p>
    <w:p w14:paraId="6390B96A" w14:textId="77777777" w:rsidR="00F8745C" w:rsidRPr="00320130" w:rsidRDefault="00F8745C" w:rsidP="00FE7851">
      <w:pPr>
        <w:jc w:val="both"/>
      </w:pPr>
      <w:r>
        <w:t>L</w:t>
      </w:r>
      <w:r w:rsidRPr="004B3BD0">
        <w:t>imiting long</w:t>
      </w:r>
      <w:r>
        <w:t>-</w:t>
      </w:r>
      <w:r w:rsidRPr="004B3BD0">
        <w:t>stand</w:t>
      </w:r>
      <w:r>
        <w:t>ing illness was</w:t>
      </w:r>
      <w:r w:rsidRPr="004B3BD0">
        <w:t xml:space="preserve"> assessed with </w:t>
      </w:r>
      <w:r>
        <w:t>two</w:t>
      </w:r>
      <w:r w:rsidRPr="004B3BD0">
        <w:t xml:space="preserve"> questions: (1) “</w:t>
      </w:r>
      <w:r w:rsidRPr="004B3BD0">
        <w:rPr>
          <w:i/>
        </w:rPr>
        <w:t xml:space="preserve">Do you have any long-standing illness, disability, or infirmity? By long-standing I mean anything that has troubled you over </w:t>
      </w:r>
      <w:proofErr w:type="gramStart"/>
      <w:r w:rsidRPr="004B3BD0">
        <w:rPr>
          <w:i/>
        </w:rPr>
        <w:t>a period of time</w:t>
      </w:r>
      <w:proofErr w:type="gramEnd"/>
      <w:r w:rsidRPr="004B3BD0">
        <w:rPr>
          <w:i/>
        </w:rPr>
        <w:t xml:space="preserve"> or that is likely to affect you over a period of time.”</w:t>
      </w:r>
      <w:r w:rsidRPr="004B3BD0">
        <w:t xml:space="preserve"> If they responded yes, they were asked (2) </w:t>
      </w:r>
      <w:r w:rsidRPr="004B3BD0">
        <w:rPr>
          <w:i/>
        </w:rPr>
        <w:t>“Does this illness or disability limit your activities in any way?”</w:t>
      </w:r>
      <w:r w:rsidRPr="004B3BD0">
        <w:t xml:space="preserve"> Affirmation of a long-standing illness and any form of limitation classified the participant as having a limiting long-standing illness.</w:t>
      </w:r>
    </w:p>
    <w:p w14:paraId="781084FC" w14:textId="77777777" w:rsidR="00FA5AA5" w:rsidRDefault="00FA5AA5" w:rsidP="00FE7851">
      <w:pPr>
        <w:jc w:val="both"/>
        <w:rPr>
          <w:u w:val="single"/>
        </w:rPr>
      </w:pPr>
      <w:r w:rsidRPr="00226739">
        <w:rPr>
          <w:u w:val="single"/>
        </w:rPr>
        <w:t>Covariates</w:t>
      </w:r>
    </w:p>
    <w:p w14:paraId="2CCAB74D" w14:textId="4362E249" w:rsidR="0047084E" w:rsidRPr="00226739" w:rsidRDefault="0047084E" w:rsidP="00FE7851">
      <w:pPr>
        <w:jc w:val="both"/>
        <w:rPr>
          <w:u w:val="single"/>
        </w:rPr>
      </w:pPr>
      <w:r>
        <w:t xml:space="preserve">We included information on age, sex, ethnicity (white vs. non-white), partnership status (married/cohabiting vs. neither) and household non-pension wealth (a sensitive indicator of socioeconomic status in this population </w:t>
      </w:r>
      <w:r>
        <w:fldChar w:fldCharType="begin"/>
      </w:r>
      <w:r w:rsidR="002B2DE9">
        <w:instrText xml:space="preserve"> ADDIN ZOTERO_ITEM CSL_CITATION {"citationID":"rjL6TfjD","properties":{"formattedCitation":"(37)","plainCitation":"(37)","noteIndex":0},"citationItems":[{"id":"A4nDS9l3/18cOu6cq","uris":["http://zotero.org/users/446899/items/UCVHZBRV"],"uri":["http://zotero.org/users/446899/items/UCVHZBRV"],"itemData":{"id":1286,"type":"article-journal","title":"Socio-economic position","source":"Google Scholar","URL":"http://discovery.ucl.ac.uk/15366/1/15366.pdf","author":[{"family":"Banks","given":"James"},{"family":"Karlsen","given":"S."},{"family":"Oldfield","given":"Zoe"}],"issued":{"date-parts":[["2003"]]},"accessed":{"date-parts":[["2014",3,4]]}}}],"schema":"https://github.com/citation-style-language/schema/raw/master/csl-citation.json"} </w:instrText>
      </w:r>
      <w:r>
        <w:fldChar w:fldCharType="separate"/>
      </w:r>
      <w:r w:rsidR="002B2DE9" w:rsidRPr="002B2DE9">
        <w:rPr>
          <w:rFonts w:ascii="Calibri" w:hAnsi="Calibri" w:cs="Calibri"/>
        </w:rPr>
        <w:t>(37)</w:t>
      </w:r>
      <w:r>
        <w:fldChar w:fldCharType="end"/>
      </w:r>
      <w:r>
        <w:t>).</w:t>
      </w:r>
    </w:p>
    <w:p w14:paraId="77E6D345" w14:textId="77777777" w:rsidR="004A3988" w:rsidRDefault="001700FA" w:rsidP="00FE7851">
      <w:pPr>
        <w:pStyle w:val="Heading3"/>
        <w:jc w:val="both"/>
      </w:pPr>
      <w:r w:rsidRPr="00D55BAF">
        <w:t>Statistical analysis</w:t>
      </w:r>
    </w:p>
    <w:p w14:paraId="6D43F726" w14:textId="77777777" w:rsidR="00B36333" w:rsidRDefault="00955850" w:rsidP="00FE7851">
      <w:pPr>
        <w:jc w:val="both"/>
        <w:rPr>
          <w:shd w:val="clear" w:color="auto" w:fill="FFFFFF"/>
        </w:rPr>
      </w:pPr>
      <w:r>
        <w:rPr>
          <w:color w:val="000000"/>
          <w:shd w:val="clear" w:color="auto" w:fill="FFFFFF"/>
        </w:rPr>
        <w:lastRenderedPageBreak/>
        <w:t>A</w:t>
      </w:r>
      <w:r w:rsidR="00B36333" w:rsidRPr="00871AC9">
        <w:rPr>
          <w:color w:val="000000"/>
          <w:shd w:val="clear" w:color="auto" w:fill="FFFFFF"/>
        </w:rPr>
        <w:t xml:space="preserve">nalyses were conducted using </w:t>
      </w:r>
      <w:r w:rsidR="00B36333">
        <w:rPr>
          <w:color w:val="000000"/>
          <w:shd w:val="clear" w:color="auto" w:fill="FFFFFF"/>
        </w:rPr>
        <w:t>SPSS version 24</w:t>
      </w:r>
      <w:r w:rsidR="00B36333" w:rsidRPr="00871AC9">
        <w:rPr>
          <w:color w:val="000000"/>
          <w:shd w:val="clear" w:color="auto" w:fill="FFFFFF"/>
        </w:rPr>
        <w:t xml:space="preserve">. </w:t>
      </w:r>
      <w:r w:rsidR="00B36333">
        <w:rPr>
          <w:shd w:val="clear" w:color="auto" w:fill="FFFFFF"/>
        </w:rPr>
        <w:t>Data were weighted to correct for sampling probabilities and for differential non-response and to calibrate back to the 2011 National Census population distributions for age and sex.</w:t>
      </w:r>
    </w:p>
    <w:p w14:paraId="636D5B06" w14:textId="77777777" w:rsidR="00715726" w:rsidRDefault="00715726" w:rsidP="00FE7851">
      <w:pPr>
        <w:jc w:val="both"/>
      </w:pPr>
      <w:proofErr w:type="gramStart"/>
      <w:r>
        <w:t>In order to</w:t>
      </w:r>
      <w:proofErr w:type="gramEnd"/>
      <w:r>
        <w:t xml:space="preserve"> maximise the available sample for analysis, we </w:t>
      </w:r>
      <w:r w:rsidR="00AE2BE8">
        <w:t>imputed</w:t>
      </w:r>
      <w:r>
        <w:t xml:space="preserve"> missing values </w:t>
      </w:r>
      <w:r w:rsidR="00AE2BE8">
        <w:t>for</w:t>
      </w:r>
      <w:r>
        <w:t xml:space="preserve"> all covariates. A multiple imputation model was run with age, sex, ethnicity, partnership status and wealth</w:t>
      </w:r>
      <w:r w:rsidR="00AE2BE8">
        <w:t xml:space="preserve"> entered as predictors</w:t>
      </w:r>
      <w:r w:rsidR="007101CC">
        <w:t>.</w:t>
      </w:r>
      <w:r w:rsidR="00AE2BE8">
        <w:t xml:space="preserve"> A total of </w:t>
      </w:r>
      <w:r w:rsidR="00EF082E">
        <w:t>40</w:t>
      </w:r>
      <w:r w:rsidR="00231B03">
        <w:t xml:space="preserve"> missing</w:t>
      </w:r>
      <w:r w:rsidR="00EF082E">
        <w:t xml:space="preserve"> values were imputed for wealth and 1</w:t>
      </w:r>
      <w:r w:rsidR="00BE32EC">
        <w:t xml:space="preserve"> missing</w:t>
      </w:r>
      <w:r w:rsidR="00EF082E">
        <w:t xml:space="preserve"> value was imputed </w:t>
      </w:r>
      <w:r w:rsidR="00231B03">
        <w:t>for ethnicity.</w:t>
      </w:r>
      <w:r w:rsidR="00AE2BE8">
        <w:t xml:space="preserve"> </w:t>
      </w:r>
      <w:r w:rsidRPr="003F7716">
        <w:rPr>
          <w:rFonts w:eastAsia="Symbol" w:cstheme="minorHAnsi"/>
          <w:lang w:eastAsia="en-GB"/>
        </w:rPr>
        <w:t>Five</w:t>
      </w:r>
      <w:r w:rsidRPr="00EE50B9">
        <w:rPr>
          <w:rFonts w:eastAsia="Symbol" w:cstheme="minorHAnsi"/>
          <w:lang w:eastAsia="en-GB"/>
        </w:rPr>
        <w:t xml:space="preserve"> imputed data sets </w:t>
      </w:r>
      <w:r>
        <w:rPr>
          <w:rFonts w:eastAsia="Symbol" w:cstheme="minorHAnsi"/>
          <w:lang w:eastAsia="en-GB"/>
        </w:rPr>
        <w:t>were</w:t>
      </w:r>
      <w:r w:rsidRPr="00EE50B9">
        <w:rPr>
          <w:rFonts w:eastAsia="Symbol" w:cstheme="minorHAnsi"/>
          <w:lang w:eastAsia="en-GB"/>
        </w:rPr>
        <w:t xml:space="preserve"> created, each </w:t>
      </w:r>
      <w:r>
        <w:rPr>
          <w:rFonts w:eastAsia="Symbol" w:cstheme="minorHAnsi"/>
          <w:lang w:eastAsia="en-GB"/>
        </w:rPr>
        <w:t xml:space="preserve">was </w:t>
      </w:r>
      <w:r w:rsidRPr="00EE50B9">
        <w:rPr>
          <w:rFonts w:eastAsia="Symbol" w:cstheme="minorHAnsi"/>
          <w:lang w:eastAsia="en-GB"/>
        </w:rPr>
        <w:t xml:space="preserve">analysed separately, and the results </w:t>
      </w:r>
      <w:r>
        <w:rPr>
          <w:rFonts w:eastAsia="Symbol" w:cstheme="minorHAnsi"/>
          <w:lang w:eastAsia="en-GB"/>
        </w:rPr>
        <w:t xml:space="preserve">were </w:t>
      </w:r>
      <w:r w:rsidRPr="00EE50B9">
        <w:rPr>
          <w:rFonts w:eastAsia="Symbol" w:cstheme="minorHAnsi"/>
          <w:lang w:eastAsia="en-GB"/>
        </w:rPr>
        <w:t xml:space="preserve">combined to produce pooled estimates of effects; allowing the analyses to account for uncertainty caused by estimating missing data. </w:t>
      </w:r>
      <w:r w:rsidR="000129D0">
        <w:rPr>
          <w:rFonts w:eastAsia="Symbol" w:cstheme="minorHAnsi"/>
          <w:lang w:eastAsia="en-GB"/>
        </w:rPr>
        <w:t>Pooled estimates are reported</w:t>
      </w:r>
      <w:r w:rsidR="00B21E64">
        <w:rPr>
          <w:rFonts w:eastAsia="Symbol" w:cstheme="minorHAnsi"/>
          <w:lang w:eastAsia="en-GB"/>
        </w:rPr>
        <w:t xml:space="preserve"> throughout the paper</w:t>
      </w:r>
      <w:r w:rsidRPr="00EE50B9">
        <w:rPr>
          <w:rFonts w:eastAsia="Symbol" w:cstheme="minorHAnsi"/>
          <w:lang w:eastAsia="en-GB"/>
        </w:rPr>
        <w:t>.</w:t>
      </w:r>
    </w:p>
    <w:p w14:paraId="7549D682" w14:textId="6F8CF171" w:rsidR="00850C18" w:rsidRDefault="00FA2C5B" w:rsidP="00FE7851">
      <w:pPr>
        <w:jc w:val="both"/>
        <w:rPr>
          <w:color w:val="000000"/>
          <w:shd w:val="clear" w:color="auto" w:fill="FFFFFF"/>
        </w:rPr>
      </w:pPr>
      <w:r>
        <w:t xml:space="preserve">Bivariate associations between perceived discrimination and covariates (assessed at baseline) were tested using independent-samples </w:t>
      </w:r>
      <w:r w:rsidRPr="004A6EFC">
        <w:t>t</w:t>
      </w:r>
      <w:r>
        <w:t>-tests for continuous variables</w:t>
      </w:r>
      <w:r w:rsidRPr="008E6738">
        <w:t xml:space="preserve"> </w:t>
      </w:r>
      <w:r>
        <w:t xml:space="preserve">and </w:t>
      </w:r>
      <w:r w:rsidRPr="008E6738">
        <w:t>χ</w:t>
      </w:r>
      <w:r>
        <w:t xml:space="preserve">² tests for categorical variables. </w:t>
      </w:r>
      <w:r w:rsidR="006F596E">
        <w:t xml:space="preserve">For our primary analyses, we examined differences in depressive symptoms, </w:t>
      </w:r>
      <w:r w:rsidR="00AC5491">
        <w:t xml:space="preserve">loneliness, </w:t>
      </w:r>
      <w:r w:rsidR="006F596E">
        <w:t>quality of life, life satisfaction</w:t>
      </w:r>
      <w:r w:rsidR="00AC5491">
        <w:t>, self-rated health and limiting long-standing illness</w:t>
      </w:r>
      <w:r w:rsidR="006F596E">
        <w:t xml:space="preserve"> between those who reported perceived discrimination and those who did not, both cross-sectionally and prospectively over six-year follow-up. </w:t>
      </w:r>
      <w:r w:rsidR="006F596E">
        <w:rPr>
          <w:color w:val="000000"/>
          <w:shd w:val="clear" w:color="auto" w:fill="FFFFFF"/>
        </w:rPr>
        <w:t xml:space="preserve">Categorical outcomes were analysed using logistic regression and continuous outcomes were analysed using linear regression. </w:t>
      </w:r>
      <w:r w:rsidR="0068706A">
        <w:rPr>
          <w:color w:val="000000"/>
          <w:shd w:val="clear" w:color="auto" w:fill="FFFFFF"/>
        </w:rPr>
        <w:t xml:space="preserve">We ran two sets of models: the first was unadjusted, the second </w:t>
      </w:r>
      <w:r w:rsidR="006F596E">
        <w:rPr>
          <w:color w:val="000000"/>
          <w:shd w:val="clear" w:color="auto" w:fill="FFFFFF"/>
        </w:rPr>
        <w:t xml:space="preserve">controlled for age, sex, ethnicity, </w:t>
      </w:r>
      <w:r w:rsidR="008964C4">
        <w:rPr>
          <w:color w:val="000000"/>
          <w:shd w:val="clear" w:color="auto" w:fill="FFFFFF"/>
        </w:rPr>
        <w:t>partnership</w:t>
      </w:r>
      <w:r w:rsidR="006F596E">
        <w:rPr>
          <w:color w:val="000000"/>
          <w:shd w:val="clear" w:color="auto" w:fill="FFFFFF"/>
        </w:rPr>
        <w:t xml:space="preserve"> status and </w:t>
      </w:r>
      <w:r w:rsidR="006F596E" w:rsidRPr="00C337D9">
        <w:rPr>
          <w:shd w:val="clear" w:color="auto" w:fill="FFFFFF"/>
        </w:rPr>
        <w:t>wealth</w:t>
      </w:r>
      <w:r w:rsidR="0068706A" w:rsidRPr="00C337D9">
        <w:rPr>
          <w:shd w:val="clear" w:color="auto" w:fill="FFFFFF"/>
        </w:rPr>
        <w:t xml:space="preserve"> (covariates chosen </w:t>
      </w:r>
      <w:r w:rsidR="0068706A" w:rsidRPr="00C337D9">
        <w:rPr>
          <w:i/>
          <w:shd w:val="clear" w:color="auto" w:fill="FFFFFF"/>
        </w:rPr>
        <w:t>a priori</w:t>
      </w:r>
      <w:r w:rsidR="0068706A" w:rsidRPr="00C337D9">
        <w:rPr>
          <w:shd w:val="clear" w:color="auto" w:fill="FFFFFF"/>
        </w:rPr>
        <w:t>).</w:t>
      </w:r>
      <w:r w:rsidR="006F596E" w:rsidRPr="00C337D9">
        <w:rPr>
          <w:shd w:val="clear" w:color="auto" w:fill="FFFFFF"/>
        </w:rPr>
        <w:t xml:space="preserve"> </w:t>
      </w:r>
      <w:r w:rsidR="0068706A" w:rsidRPr="00C337D9">
        <w:rPr>
          <w:shd w:val="clear" w:color="auto" w:fill="FFFFFF"/>
        </w:rPr>
        <w:t xml:space="preserve">For prospective analyses, the adjusted models also controlled </w:t>
      </w:r>
      <w:r w:rsidR="006F596E" w:rsidRPr="00C337D9">
        <w:rPr>
          <w:shd w:val="clear" w:color="auto" w:fill="FFFFFF"/>
        </w:rPr>
        <w:t>for baseline status/score on the outcome of interest</w:t>
      </w:r>
      <w:r w:rsidR="00953A9B" w:rsidRPr="00C337D9">
        <w:rPr>
          <w:shd w:val="clear" w:color="auto" w:fill="FFFFFF"/>
        </w:rPr>
        <w:t>.</w:t>
      </w:r>
      <w:r w:rsidR="00393322" w:rsidRPr="00C337D9">
        <w:rPr>
          <w:shd w:val="clear" w:color="auto" w:fill="FFFFFF"/>
        </w:rPr>
        <w:t xml:space="preserve"> As there were </w:t>
      </w:r>
      <w:r w:rsidR="00C41CFB" w:rsidRPr="00C337D9">
        <w:rPr>
          <w:shd w:val="clear" w:color="auto" w:fill="FFFFFF"/>
        </w:rPr>
        <w:t>few</w:t>
      </w:r>
      <w:r w:rsidR="00393322" w:rsidRPr="00C337D9">
        <w:rPr>
          <w:shd w:val="clear" w:color="auto" w:fill="FFFFFF"/>
        </w:rPr>
        <w:t xml:space="preserve"> differences in the pattern of results, we </w:t>
      </w:r>
      <w:r w:rsidR="00C41CFB" w:rsidRPr="00C337D9">
        <w:rPr>
          <w:shd w:val="clear" w:color="auto" w:fill="FFFFFF"/>
        </w:rPr>
        <w:t>present</w:t>
      </w:r>
      <w:r w:rsidR="00393322" w:rsidRPr="00C337D9">
        <w:rPr>
          <w:shd w:val="clear" w:color="auto" w:fill="FFFFFF"/>
        </w:rPr>
        <w:t xml:space="preserve"> </w:t>
      </w:r>
      <w:r w:rsidR="00EA59A0" w:rsidRPr="00C337D9">
        <w:rPr>
          <w:shd w:val="clear" w:color="auto" w:fill="FFFFFF"/>
        </w:rPr>
        <w:t xml:space="preserve">the </w:t>
      </w:r>
      <w:r w:rsidR="00393322" w:rsidRPr="00C337D9">
        <w:rPr>
          <w:shd w:val="clear" w:color="auto" w:fill="FFFFFF"/>
        </w:rPr>
        <w:t>adjusted models</w:t>
      </w:r>
      <w:r w:rsidR="00C41CFB" w:rsidRPr="00C337D9">
        <w:rPr>
          <w:shd w:val="clear" w:color="auto" w:fill="FFFFFF"/>
        </w:rPr>
        <w:t xml:space="preserve"> and comment on any differences between the unadjusted and adjusted models in the results section</w:t>
      </w:r>
      <w:r w:rsidR="00E00A06" w:rsidRPr="00C337D9">
        <w:rPr>
          <w:shd w:val="clear" w:color="auto" w:fill="FFFFFF"/>
        </w:rPr>
        <w:t>.</w:t>
      </w:r>
      <w:r w:rsidR="00393322" w:rsidRPr="00C337D9">
        <w:rPr>
          <w:shd w:val="clear" w:color="auto" w:fill="FFFFFF"/>
        </w:rPr>
        <w:t xml:space="preserve"> </w:t>
      </w:r>
      <w:r w:rsidR="00E00A06" w:rsidRPr="00C337D9">
        <w:rPr>
          <w:shd w:val="clear" w:color="auto" w:fill="FFFFFF"/>
        </w:rPr>
        <w:t xml:space="preserve">However, </w:t>
      </w:r>
      <w:r w:rsidR="00C41CFB" w:rsidRPr="00C337D9">
        <w:rPr>
          <w:shd w:val="clear" w:color="auto" w:fill="FFFFFF"/>
        </w:rPr>
        <w:t xml:space="preserve">the full results of the </w:t>
      </w:r>
      <w:r w:rsidR="00393322" w:rsidRPr="00C337D9">
        <w:rPr>
          <w:shd w:val="clear" w:color="auto" w:fill="FFFFFF"/>
        </w:rPr>
        <w:t xml:space="preserve">unadjusted </w:t>
      </w:r>
      <w:r w:rsidR="00C41CFB" w:rsidRPr="00C337D9">
        <w:rPr>
          <w:shd w:val="clear" w:color="auto" w:fill="FFFFFF"/>
        </w:rPr>
        <w:t>models</w:t>
      </w:r>
      <w:r w:rsidR="00393322" w:rsidRPr="00C337D9">
        <w:rPr>
          <w:shd w:val="clear" w:color="auto" w:fill="FFFFFF"/>
        </w:rPr>
        <w:t xml:space="preserve"> </w:t>
      </w:r>
      <w:r w:rsidR="002E2E6E" w:rsidRPr="00C337D9">
        <w:rPr>
          <w:shd w:val="clear" w:color="auto" w:fill="FFFFFF"/>
        </w:rPr>
        <w:t>are available to view in</w:t>
      </w:r>
      <w:r w:rsidR="00393322" w:rsidRPr="00C337D9">
        <w:rPr>
          <w:shd w:val="clear" w:color="auto" w:fill="FFFFFF"/>
        </w:rPr>
        <w:t xml:space="preserve"> Supplementary File 1.</w:t>
      </w:r>
      <w:r w:rsidR="00D9468B">
        <w:rPr>
          <w:shd w:val="clear" w:color="auto" w:fill="FFFFFF"/>
        </w:rPr>
        <w:t xml:space="preserve"> Results are presented as </w:t>
      </w:r>
      <w:r w:rsidR="00D50DC9">
        <w:rPr>
          <w:shd w:val="clear" w:color="auto" w:fill="FFFFFF"/>
        </w:rPr>
        <w:t xml:space="preserve">unstandardized B and 95% confidence intervals (CI) for continuous outcomes and odds ratios (ORs) and 95% CI for categorical outcomes. </w:t>
      </w:r>
    </w:p>
    <w:p w14:paraId="2CB7378F" w14:textId="472EFDFD" w:rsidR="00FA2C5B" w:rsidRPr="00FA2C5B" w:rsidRDefault="00850C18" w:rsidP="00FE7851">
      <w:pPr>
        <w:jc w:val="both"/>
        <w:rPr>
          <w:color w:val="FF0000"/>
        </w:rPr>
      </w:pPr>
      <w:r>
        <w:rPr>
          <w:color w:val="000000"/>
          <w:shd w:val="clear" w:color="auto" w:fill="FFFFFF"/>
        </w:rPr>
        <w:t xml:space="preserve">As a secondary analysis, we repeated models using a three-level discrimination variable to analyse differences in health and wellbeing outcomes between participants who did not perceive discrimination, those who perceived discrimination but did not attribute it to their sexual orientation, and those who perceived discrimination </w:t>
      </w:r>
      <w:proofErr w:type="gramStart"/>
      <w:r>
        <w:rPr>
          <w:color w:val="000000"/>
          <w:shd w:val="clear" w:color="auto" w:fill="FFFFFF"/>
        </w:rPr>
        <w:t>on the ba</w:t>
      </w:r>
      <w:r w:rsidR="00183BED">
        <w:rPr>
          <w:color w:val="000000"/>
          <w:shd w:val="clear" w:color="auto" w:fill="FFFFFF"/>
        </w:rPr>
        <w:t>sis of</w:t>
      </w:r>
      <w:proofErr w:type="gramEnd"/>
      <w:r w:rsidR="00183BED">
        <w:rPr>
          <w:color w:val="000000"/>
          <w:shd w:val="clear" w:color="auto" w:fill="FFFFFF"/>
        </w:rPr>
        <w:t xml:space="preserve"> their sexual orientation. Categorical outcomes were analysed using logistic regression and continuous outcomes were analysed using one-way independent analysis of variance</w:t>
      </w:r>
      <w:r w:rsidR="00653945">
        <w:rPr>
          <w:color w:val="000000"/>
          <w:shd w:val="clear" w:color="auto" w:fill="FFFFFF"/>
        </w:rPr>
        <w:t xml:space="preserve"> with planned contrasts</w:t>
      </w:r>
      <w:r w:rsidR="00183BED">
        <w:rPr>
          <w:color w:val="000000"/>
          <w:shd w:val="clear" w:color="auto" w:fill="FFFFFF"/>
        </w:rPr>
        <w:t>.</w:t>
      </w:r>
      <w:r w:rsidR="00653945">
        <w:rPr>
          <w:color w:val="000000"/>
          <w:shd w:val="clear" w:color="auto" w:fill="FFFFFF"/>
        </w:rPr>
        <w:t xml:space="preserve"> In each model, the group who did not report perceived discrimination was the reference category.</w:t>
      </w:r>
      <w:r w:rsidR="006E3C52">
        <w:rPr>
          <w:color w:val="000000"/>
          <w:shd w:val="clear" w:color="auto" w:fill="FFFFFF"/>
        </w:rPr>
        <w:t xml:space="preserve"> As in the primary analyses, all models controlled for socio-demographic covariates and the prospective analyses also adjusted for baseline status/score on the outcome of interest.</w:t>
      </w:r>
    </w:p>
    <w:p w14:paraId="0BDB2605" w14:textId="77777777" w:rsidR="002365A5" w:rsidRPr="00D55BAF" w:rsidRDefault="002365A5" w:rsidP="00FE7851">
      <w:pPr>
        <w:spacing w:after="200" w:line="276" w:lineRule="auto"/>
        <w:jc w:val="both"/>
        <w:rPr>
          <w:rFonts w:eastAsiaTheme="majorEastAsia" w:cstheme="minorHAnsi"/>
          <w:b/>
          <w:bCs/>
          <w:sz w:val="26"/>
          <w:szCs w:val="26"/>
        </w:rPr>
      </w:pPr>
    </w:p>
    <w:p w14:paraId="714E42B7" w14:textId="77777777" w:rsidR="004A3988" w:rsidRPr="00D55BAF" w:rsidRDefault="001700FA" w:rsidP="00FE7851">
      <w:pPr>
        <w:pStyle w:val="Heading2"/>
        <w:jc w:val="both"/>
      </w:pPr>
      <w:r w:rsidRPr="00D55BAF">
        <w:t>Results</w:t>
      </w:r>
    </w:p>
    <w:p w14:paraId="16492DEC" w14:textId="6D5A5F0A" w:rsidR="004A4848" w:rsidRDefault="006D59C1" w:rsidP="00FE7851">
      <w:pPr>
        <w:jc w:val="both"/>
        <w:rPr>
          <w:rFonts w:eastAsiaTheme="majorEastAsia" w:cstheme="minorHAnsi"/>
        </w:rPr>
      </w:pPr>
      <w:r>
        <w:rPr>
          <w:rFonts w:eastAsiaTheme="majorEastAsia" w:cstheme="minorHAnsi"/>
        </w:rPr>
        <w:t xml:space="preserve">The 304 </w:t>
      </w:r>
      <w:r w:rsidR="003819B6">
        <w:rPr>
          <w:rFonts w:eastAsiaTheme="majorEastAsia" w:cstheme="minorHAnsi"/>
        </w:rPr>
        <w:t xml:space="preserve">middle-aged and </w:t>
      </w:r>
      <w:r>
        <w:rPr>
          <w:rFonts w:eastAsiaTheme="majorEastAsia" w:cstheme="minorHAnsi"/>
        </w:rPr>
        <w:t xml:space="preserve">older LGB adults in our sample included </w:t>
      </w:r>
      <w:r w:rsidR="006E472F">
        <w:rPr>
          <w:rFonts w:eastAsiaTheme="majorEastAsia" w:cstheme="minorHAnsi"/>
        </w:rPr>
        <w:t>103</w:t>
      </w:r>
      <w:r>
        <w:rPr>
          <w:rFonts w:eastAsiaTheme="majorEastAsia" w:cstheme="minorHAnsi"/>
        </w:rPr>
        <w:t xml:space="preserve"> men and </w:t>
      </w:r>
      <w:r w:rsidR="006E472F">
        <w:rPr>
          <w:rFonts w:eastAsiaTheme="majorEastAsia" w:cstheme="minorHAnsi"/>
        </w:rPr>
        <w:t>201</w:t>
      </w:r>
      <w:r>
        <w:rPr>
          <w:rFonts w:eastAsiaTheme="majorEastAsia" w:cstheme="minorHAnsi"/>
        </w:rPr>
        <w:t xml:space="preserve"> women, ranging in age from </w:t>
      </w:r>
      <w:r w:rsidR="003819B6">
        <w:rPr>
          <w:rFonts w:eastAsiaTheme="majorEastAsia" w:cstheme="minorHAnsi"/>
        </w:rPr>
        <w:t>41</w:t>
      </w:r>
      <w:r>
        <w:rPr>
          <w:rFonts w:eastAsiaTheme="majorEastAsia" w:cstheme="minorHAnsi"/>
        </w:rPr>
        <w:t xml:space="preserve"> to </w:t>
      </w:r>
      <w:r w:rsidR="003819B6">
        <w:rPr>
          <w:rFonts w:eastAsiaTheme="majorEastAsia" w:cstheme="minorHAnsi"/>
        </w:rPr>
        <w:t>85 years</w:t>
      </w:r>
      <w:r>
        <w:rPr>
          <w:rFonts w:eastAsiaTheme="majorEastAsia" w:cstheme="minorHAnsi"/>
        </w:rPr>
        <w:t xml:space="preserve">. </w:t>
      </w:r>
      <w:r w:rsidR="00DE28E5">
        <w:rPr>
          <w:rFonts w:eastAsiaTheme="majorEastAsia" w:cstheme="minorHAnsi"/>
        </w:rPr>
        <w:t xml:space="preserve">Perceived </w:t>
      </w:r>
      <w:r w:rsidR="00D02C49">
        <w:rPr>
          <w:rFonts w:eastAsiaTheme="majorEastAsia" w:cstheme="minorHAnsi"/>
        </w:rPr>
        <w:t xml:space="preserve">everyday </w:t>
      </w:r>
      <w:r w:rsidR="00DE28E5">
        <w:rPr>
          <w:rFonts w:eastAsiaTheme="majorEastAsia" w:cstheme="minorHAnsi"/>
        </w:rPr>
        <w:t xml:space="preserve">discrimination </w:t>
      </w:r>
      <w:r w:rsidR="00D02C49">
        <w:rPr>
          <w:rFonts w:eastAsiaTheme="majorEastAsia" w:cstheme="minorHAnsi"/>
        </w:rPr>
        <w:t xml:space="preserve">based on any attribute </w:t>
      </w:r>
      <w:r w:rsidR="00DE28E5">
        <w:rPr>
          <w:rFonts w:eastAsiaTheme="majorEastAsia" w:cstheme="minorHAnsi"/>
        </w:rPr>
        <w:t>was reported by</w:t>
      </w:r>
      <w:r w:rsidR="003B2DDC">
        <w:rPr>
          <w:rFonts w:eastAsiaTheme="majorEastAsia" w:cstheme="minorHAnsi"/>
        </w:rPr>
        <w:t xml:space="preserve"> 144 (47.4%) </w:t>
      </w:r>
      <w:r w:rsidR="00DE28E5">
        <w:rPr>
          <w:rFonts w:eastAsiaTheme="majorEastAsia" w:cstheme="minorHAnsi"/>
        </w:rPr>
        <w:t>participants</w:t>
      </w:r>
      <w:r w:rsidR="003B2DDC">
        <w:rPr>
          <w:rFonts w:eastAsiaTheme="majorEastAsia" w:cstheme="minorHAnsi"/>
        </w:rPr>
        <w:t>.</w:t>
      </w:r>
      <w:r w:rsidR="00000D99">
        <w:rPr>
          <w:rFonts w:eastAsiaTheme="majorEastAsia" w:cstheme="minorHAnsi"/>
        </w:rPr>
        <w:t xml:space="preserve"> </w:t>
      </w:r>
      <w:r w:rsidR="00212B70">
        <w:rPr>
          <w:rFonts w:eastAsiaTheme="majorEastAsia" w:cstheme="minorHAnsi"/>
        </w:rPr>
        <w:t xml:space="preserve">Some </w:t>
      </w:r>
      <w:r w:rsidR="004A4848">
        <w:rPr>
          <w:rFonts w:eastAsiaTheme="majorEastAsia" w:cstheme="minorHAnsi"/>
        </w:rPr>
        <w:t xml:space="preserve">34.2% reported being treated with less respect or courtesy, 23.7% reported receiving poorer treatment from doctors or hospitals, 19.4% reported </w:t>
      </w:r>
      <w:r w:rsidR="00CC64C5">
        <w:rPr>
          <w:rFonts w:eastAsiaTheme="majorEastAsia" w:cstheme="minorHAnsi"/>
        </w:rPr>
        <w:t>people acting</w:t>
      </w:r>
      <w:r w:rsidR="004A4848">
        <w:rPr>
          <w:rFonts w:eastAsiaTheme="majorEastAsia" w:cstheme="minorHAnsi"/>
        </w:rPr>
        <w:t xml:space="preserve"> as if they were </w:t>
      </w:r>
      <w:r w:rsidR="00CC64C5">
        <w:rPr>
          <w:rFonts w:eastAsiaTheme="majorEastAsia" w:cstheme="minorHAnsi"/>
        </w:rPr>
        <w:t>not</w:t>
      </w:r>
      <w:r w:rsidR="004A4848">
        <w:rPr>
          <w:rFonts w:eastAsiaTheme="majorEastAsia" w:cstheme="minorHAnsi"/>
        </w:rPr>
        <w:t xml:space="preserve"> clever, 15.9% reported receiving poorer service in restaurants or stores, and 9.5% reported being threatened or harassed.</w:t>
      </w:r>
    </w:p>
    <w:p w14:paraId="62624975" w14:textId="2B8E91ED" w:rsidR="00FB5031" w:rsidRDefault="00000D99" w:rsidP="00FE7851">
      <w:pPr>
        <w:jc w:val="both"/>
        <w:rPr>
          <w:rFonts w:eastAsiaTheme="majorEastAsia" w:cstheme="minorHAnsi"/>
        </w:rPr>
      </w:pPr>
      <w:r>
        <w:rPr>
          <w:rFonts w:eastAsiaTheme="majorEastAsia" w:cstheme="minorHAnsi"/>
        </w:rPr>
        <w:t xml:space="preserve">Characteristics of the groups who did and did not report perceived </w:t>
      </w:r>
      <w:r w:rsidR="00D02C49">
        <w:rPr>
          <w:rFonts w:eastAsiaTheme="majorEastAsia" w:cstheme="minorHAnsi"/>
        </w:rPr>
        <w:t xml:space="preserve">everyday </w:t>
      </w:r>
      <w:r>
        <w:rPr>
          <w:rFonts w:eastAsiaTheme="majorEastAsia" w:cstheme="minorHAnsi"/>
        </w:rPr>
        <w:t>discrimination are shown in Table 1.</w:t>
      </w:r>
      <w:r w:rsidR="001370A6">
        <w:rPr>
          <w:rFonts w:eastAsiaTheme="majorEastAsia" w:cstheme="minorHAnsi"/>
        </w:rPr>
        <w:t xml:space="preserve"> </w:t>
      </w:r>
      <w:r w:rsidR="00C1563C">
        <w:rPr>
          <w:rFonts w:eastAsiaTheme="majorEastAsia" w:cstheme="minorHAnsi"/>
        </w:rPr>
        <w:t xml:space="preserve">On average, participants who reported perceived </w:t>
      </w:r>
      <w:r w:rsidR="00D02C49">
        <w:rPr>
          <w:rFonts w:eastAsiaTheme="majorEastAsia" w:cstheme="minorHAnsi"/>
        </w:rPr>
        <w:t xml:space="preserve">everyday </w:t>
      </w:r>
      <w:r w:rsidR="00C1563C">
        <w:rPr>
          <w:rFonts w:eastAsiaTheme="majorEastAsia" w:cstheme="minorHAnsi"/>
        </w:rPr>
        <w:t>discrimination were significantly younger than those who did not (</w:t>
      </w:r>
      <w:r w:rsidR="00B956E1">
        <w:rPr>
          <w:rFonts w:eastAsiaTheme="majorEastAsia" w:cstheme="minorHAnsi"/>
        </w:rPr>
        <w:t xml:space="preserve">61.3 vs. 65.3 years, </w:t>
      </w:r>
      <w:r w:rsidR="00C1563C">
        <w:rPr>
          <w:rFonts w:eastAsiaTheme="majorEastAsia" w:cstheme="minorHAnsi"/>
          <w:i/>
        </w:rPr>
        <w:t>p</w:t>
      </w:r>
      <w:r w:rsidR="00C1563C">
        <w:rPr>
          <w:rFonts w:eastAsiaTheme="majorEastAsia" w:cstheme="minorHAnsi"/>
        </w:rPr>
        <w:t>&lt;0.001), and a higher proportion were non-white (</w:t>
      </w:r>
      <w:r w:rsidR="00B956E1">
        <w:rPr>
          <w:rFonts w:eastAsiaTheme="majorEastAsia" w:cstheme="minorHAnsi"/>
        </w:rPr>
        <w:t xml:space="preserve">7.4% vs. 0.7%, </w:t>
      </w:r>
      <w:r w:rsidR="00C1563C">
        <w:rPr>
          <w:rFonts w:eastAsiaTheme="majorEastAsia" w:cstheme="minorHAnsi"/>
          <w:i/>
        </w:rPr>
        <w:t>p</w:t>
      </w:r>
      <w:r w:rsidR="00C1563C">
        <w:rPr>
          <w:rFonts w:eastAsiaTheme="majorEastAsia" w:cstheme="minorHAnsi"/>
        </w:rPr>
        <w:t>=0.003) and from the lowest quintile of wealth (</w:t>
      </w:r>
      <w:r w:rsidR="00B956E1">
        <w:rPr>
          <w:rFonts w:eastAsiaTheme="majorEastAsia" w:cstheme="minorHAnsi"/>
        </w:rPr>
        <w:t xml:space="preserve">24.5% vs. 9.0%, </w:t>
      </w:r>
      <w:r w:rsidR="00C1563C">
        <w:rPr>
          <w:rFonts w:eastAsiaTheme="majorEastAsia" w:cstheme="minorHAnsi"/>
          <w:i/>
        </w:rPr>
        <w:t>p</w:t>
      </w:r>
      <w:r w:rsidR="00C1563C">
        <w:rPr>
          <w:rFonts w:eastAsiaTheme="majorEastAsia" w:cstheme="minorHAnsi"/>
        </w:rPr>
        <w:t>=0.017).</w:t>
      </w:r>
      <w:r w:rsidR="004357E2">
        <w:rPr>
          <w:rFonts w:eastAsiaTheme="majorEastAsia" w:cstheme="minorHAnsi"/>
        </w:rPr>
        <w:t xml:space="preserve"> </w:t>
      </w:r>
      <w:r w:rsidR="000A1CD4">
        <w:rPr>
          <w:rFonts w:eastAsiaTheme="majorEastAsia" w:cstheme="minorHAnsi"/>
        </w:rPr>
        <w:t xml:space="preserve">A slightly higher proportion of the group who perceived </w:t>
      </w:r>
      <w:r w:rsidR="00D02C49">
        <w:rPr>
          <w:rFonts w:eastAsiaTheme="majorEastAsia" w:cstheme="minorHAnsi"/>
        </w:rPr>
        <w:t xml:space="preserve">everyday </w:t>
      </w:r>
      <w:r w:rsidR="000A1CD4">
        <w:rPr>
          <w:rFonts w:eastAsiaTheme="majorEastAsia" w:cstheme="minorHAnsi"/>
        </w:rPr>
        <w:t>discrimination than the group who did not was male, but this difference was not statistically significant (</w:t>
      </w:r>
      <w:r w:rsidR="00B956E1">
        <w:rPr>
          <w:rFonts w:eastAsiaTheme="majorEastAsia" w:cstheme="minorHAnsi"/>
        </w:rPr>
        <w:t xml:space="preserve">44.6% vs. 34.3%, </w:t>
      </w:r>
      <w:r w:rsidR="000A1CD4">
        <w:rPr>
          <w:rFonts w:eastAsiaTheme="majorEastAsia" w:cstheme="minorHAnsi"/>
          <w:i/>
        </w:rPr>
        <w:t>p</w:t>
      </w:r>
      <w:r w:rsidR="000A1CD4">
        <w:rPr>
          <w:rFonts w:eastAsiaTheme="majorEastAsia" w:cstheme="minorHAnsi"/>
        </w:rPr>
        <w:t xml:space="preserve">=0.093). </w:t>
      </w:r>
      <w:r w:rsidR="004357E2">
        <w:rPr>
          <w:rFonts w:eastAsiaTheme="majorEastAsia" w:cstheme="minorHAnsi"/>
        </w:rPr>
        <w:t xml:space="preserve">There was no significant association between perceived </w:t>
      </w:r>
      <w:r w:rsidR="00D02C49">
        <w:rPr>
          <w:rFonts w:eastAsiaTheme="majorEastAsia" w:cstheme="minorHAnsi"/>
        </w:rPr>
        <w:t xml:space="preserve">everyday </w:t>
      </w:r>
      <w:r w:rsidR="004357E2">
        <w:rPr>
          <w:rFonts w:eastAsiaTheme="majorEastAsia" w:cstheme="minorHAnsi"/>
        </w:rPr>
        <w:t>discrimination and partnership status (</w:t>
      </w:r>
      <w:r w:rsidR="004357E2">
        <w:rPr>
          <w:rFonts w:eastAsiaTheme="majorEastAsia" w:cstheme="minorHAnsi"/>
          <w:i/>
        </w:rPr>
        <w:t>p</w:t>
      </w:r>
      <w:r w:rsidR="004357E2">
        <w:rPr>
          <w:rFonts w:eastAsiaTheme="majorEastAsia" w:cstheme="minorHAnsi"/>
        </w:rPr>
        <w:t>=0.854)</w:t>
      </w:r>
      <w:r w:rsidR="00AC68E9">
        <w:rPr>
          <w:rFonts w:eastAsiaTheme="majorEastAsia" w:cstheme="minorHAnsi"/>
        </w:rPr>
        <w:t xml:space="preserve"> or sexual orientation (i.e. lesbian, gay or bisexual, </w:t>
      </w:r>
      <w:r w:rsidR="00AC68E9">
        <w:rPr>
          <w:rFonts w:eastAsiaTheme="majorEastAsia" w:cstheme="minorHAnsi"/>
          <w:i/>
        </w:rPr>
        <w:t>p</w:t>
      </w:r>
      <w:r w:rsidR="00AC68E9">
        <w:rPr>
          <w:rFonts w:eastAsiaTheme="majorEastAsia" w:cstheme="minorHAnsi"/>
        </w:rPr>
        <w:t>=0.334)</w:t>
      </w:r>
      <w:r w:rsidR="004357E2">
        <w:rPr>
          <w:rFonts w:eastAsiaTheme="majorEastAsia" w:cstheme="minorHAnsi"/>
        </w:rPr>
        <w:t>.</w:t>
      </w:r>
    </w:p>
    <w:p w14:paraId="6FA90BC1" w14:textId="3E316419" w:rsidR="007713B7" w:rsidRDefault="00074E3E" w:rsidP="00FE7851">
      <w:pPr>
        <w:jc w:val="both"/>
        <w:rPr>
          <w:rFonts w:eastAsiaTheme="majorEastAsia" w:cstheme="minorHAnsi"/>
        </w:rPr>
      </w:pPr>
      <w:r>
        <w:rPr>
          <w:rFonts w:eastAsiaTheme="majorEastAsia" w:cstheme="minorHAnsi"/>
        </w:rPr>
        <w:t xml:space="preserve">Cross-sectionally, </w:t>
      </w:r>
      <w:r w:rsidR="00B90360">
        <w:rPr>
          <w:rFonts w:eastAsiaTheme="majorEastAsia" w:cstheme="minorHAnsi"/>
        </w:rPr>
        <w:t xml:space="preserve">after adjustment for </w:t>
      </w:r>
      <w:r w:rsidR="00B90360">
        <w:t xml:space="preserve">age, sex, ethnicity, partnership status and wealth, </w:t>
      </w:r>
      <w:r>
        <w:rPr>
          <w:rFonts w:eastAsiaTheme="majorEastAsia" w:cstheme="minorHAnsi"/>
        </w:rPr>
        <w:t xml:space="preserve">participants who perceived </w:t>
      </w:r>
      <w:r w:rsidR="00D02C49">
        <w:rPr>
          <w:rFonts w:eastAsiaTheme="majorEastAsia" w:cstheme="minorHAnsi"/>
        </w:rPr>
        <w:t xml:space="preserve">everyday </w:t>
      </w:r>
      <w:r>
        <w:rPr>
          <w:rFonts w:eastAsiaTheme="majorEastAsia" w:cstheme="minorHAnsi"/>
        </w:rPr>
        <w:t xml:space="preserve">discrimination had </w:t>
      </w:r>
      <w:r w:rsidR="00FA6546">
        <w:rPr>
          <w:rFonts w:eastAsiaTheme="majorEastAsia" w:cstheme="minorHAnsi"/>
        </w:rPr>
        <w:t>over 2 times</w:t>
      </w:r>
      <w:r>
        <w:rPr>
          <w:rFonts w:eastAsiaTheme="majorEastAsia" w:cstheme="minorHAnsi"/>
        </w:rPr>
        <w:t xml:space="preserve"> higher odds of having depressive symptoms above threshold (OR=2.30, 95% CI 1.02 to 5.21, </w:t>
      </w:r>
      <w:r>
        <w:rPr>
          <w:rFonts w:eastAsiaTheme="majorEastAsia" w:cstheme="minorHAnsi"/>
          <w:i/>
        </w:rPr>
        <w:t>p</w:t>
      </w:r>
      <w:r w:rsidR="00476EF0">
        <w:rPr>
          <w:rFonts w:eastAsiaTheme="majorEastAsia" w:cstheme="minorHAnsi"/>
        </w:rPr>
        <w:t>=0.046)</w:t>
      </w:r>
      <w:r w:rsidR="005A67F0">
        <w:rPr>
          <w:rFonts w:eastAsiaTheme="majorEastAsia" w:cstheme="minorHAnsi"/>
        </w:rPr>
        <w:t xml:space="preserve"> and </w:t>
      </w:r>
      <w:r w:rsidR="00FA6546">
        <w:rPr>
          <w:rFonts w:eastAsiaTheme="majorEastAsia" w:cstheme="minorHAnsi"/>
        </w:rPr>
        <w:t xml:space="preserve">over 3 times higher odds of </w:t>
      </w:r>
      <w:r w:rsidR="005A67F0">
        <w:rPr>
          <w:rFonts w:eastAsiaTheme="majorEastAsia" w:cstheme="minorHAnsi"/>
        </w:rPr>
        <w:t xml:space="preserve">high loneliness (OR=3.37, 95% CI 1.60 to 7.10, </w:t>
      </w:r>
      <w:r w:rsidR="005A67F0">
        <w:rPr>
          <w:rFonts w:eastAsiaTheme="majorEastAsia" w:cstheme="minorHAnsi"/>
          <w:i/>
        </w:rPr>
        <w:t>p</w:t>
      </w:r>
      <w:r w:rsidR="005A67F0">
        <w:rPr>
          <w:rFonts w:eastAsiaTheme="majorEastAsia" w:cstheme="minorHAnsi"/>
        </w:rPr>
        <w:t>=</w:t>
      </w:r>
      <w:r w:rsidR="00FA6546">
        <w:rPr>
          <w:rFonts w:eastAsiaTheme="majorEastAsia" w:cstheme="minorHAnsi"/>
        </w:rPr>
        <w:t>0.001) relative to those who did not perceive discrimination</w:t>
      </w:r>
      <w:r w:rsidR="008823E0">
        <w:rPr>
          <w:rFonts w:eastAsiaTheme="majorEastAsia" w:cstheme="minorHAnsi"/>
        </w:rPr>
        <w:t xml:space="preserve"> (Table 2)</w:t>
      </w:r>
      <w:r w:rsidR="00FA6546">
        <w:rPr>
          <w:rFonts w:eastAsiaTheme="majorEastAsia" w:cstheme="minorHAnsi"/>
        </w:rPr>
        <w:t xml:space="preserve">. They also had </w:t>
      </w:r>
      <w:r w:rsidR="00715825">
        <w:rPr>
          <w:rFonts w:eastAsiaTheme="majorEastAsia" w:cstheme="minorHAnsi"/>
        </w:rPr>
        <w:t xml:space="preserve">significantly </w:t>
      </w:r>
      <w:r w:rsidR="00FA6546">
        <w:rPr>
          <w:rFonts w:eastAsiaTheme="majorEastAsia" w:cstheme="minorHAnsi"/>
        </w:rPr>
        <w:t>lower quality of life (</w:t>
      </w:r>
      <w:r w:rsidR="002D3969">
        <w:rPr>
          <w:rFonts w:eastAsiaTheme="majorEastAsia" w:cstheme="minorHAnsi"/>
          <w:i/>
        </w:rPr>
        <w:t>B</w:t>
      </w:r>
      <w:r w:rsidR="002D3969">
        <w:rPr>
          <w:rFonts w:eastAsiaTheme="majorEastAsia" w:cstheme="minorHAnsi"/>
        </w:rPr>
        <w:t>=</w:t>
      </w:r>
      <w:r w:rsidR="008A6566">
        <w:rPr>
          <w:rFonts w:eastAsiaTheme="majorEastAsia" w:cstheme="minorHAnsi"/>
        </w:rPr>
        <w:t>-3.31, 95% CI -5.49 to -1.12</w:t>
      </w:r>
      <w:r w:rsidR="00FA6546">
        <w:rPr>
          <w:rFonts w:eastAsiaTheme="majorEastAsia" w:cstheme="minorHAnsi"/>
        </w:rPr>
        <w:t xml:space="preserve">, </w:t>
      </w:r>
      <w:r w:rsidR="00FA6546">
        <w:rPr>
          <w:rFonts w:eastAsiaTheme="majorEastAsia" w:cstheme="minorHAnsi"/>
          <w:i/>
        </w:rPr>
        <w:t>p</w:t>
      </w:r>
      <w:r w:rsidR="00FA6546">
        <w:rPr>
          <w:rFonts w:eastAsiaTheme="majorEastAsia" w:cstheme="minorHAnsi"/>
        </w:rPr>
        <w:t>=</w:t>
      </w:r>
      <w:r w:rsidR="00B64DCC">
        <w:rPr>
          <w:rFonts w:eastAsiaTheme="majorEastAsia" w:cstheme="minorHAnsi"/>
        </w:rPr>
        <w:t>0.003).</w:t>
      </w:r>
      <w:r w:rsidR="007B2C58">
        <w:rPr>
          <w:rFonts w:eastAsiaTheme="majorEastAsia" w:cstheme="minorHAnsi"/>
        </w:rPr>
        <w:t xml:space="preserve"> </w:t>
      </w:r>
      <w:r w:rsidR="00142DDB">
        <w:rPr>
          <w:rFonts w:eastAsiaTheme="majorEastAsia" w:cstheme="minorHAnsi"/>
        </w:rPr>
        <w:t xml:space="preserve">Odds of </w:t>
      </w:r>
      <w:r w:rsidR="001C11AA">
        <w:rPr>
          <w:rFonts w:eastAsiaTheme="majorEastAsia" w:cstheme="minorHAnsi"/>
        </w:rPr>
        <w:t>fair/</w:t>
      </w:r>
      <w:r w:rsidR="003306A3">
        <w:rPr>
          <w:rFonts w:eastAsiaTheme="majorEastAsia" w:cstheme="minorHAnsi"/>
        </w:rPr>
        <w:t xml:space="preserve">poor </w:t>
      </w:r>
      <w:r w:rsidR="00142DDB">
        <w:rPr>
          <w:rFonts w:eastAsiaTheme="majorEastAsia" w:cstheme="minorHAnsi"/>
        </w:rPr>
        <w:t xml:space="preserve">self-rated health were almost twice as high in the group who perceived </w:t>
      </w:r>
      <w:r w:rsidR="00D02C49">
        <w:rPr>
          <w:rFonts w:eastAsiaTheme="majorEastAsia" w:cstheme="minorHAnsi"/>
        </w:rPr>
        <w:t xml:space="preserve">everyday </w:t>
      </w:r>
      <w:r w:rsidR="00142DDB">
        <w:rPr>
          <w:rFonts w:eastAsiaTheme="majorEastAsia" w:cstheme="minorHAnsi"/>
        </w:rPr>
        <w:t xml:space="preserve">discrimination as in the group who did </w:t>
      </w:r>
      <w:proofErr w:type="gramStart"/>
      <w:r w:rsidR="00142DDB">
        <w:rPr>
          <w:rFonts w:eastAsiaTheme="majorEastAsia" w:cstheme="minorHAnsi"/>
        </w:rPr>
        <w:t>not</w:t>
      </w:r>
      <w:proofErr w:type="gramEnd"/>
      <w:r w:rsidR="00142DDB">
        <w:rPr>
          <w:rFonts w:eastAsiaTheme="majorEastAsia" w:cstheme="minorHAnsi"/>
        </w:rPr>
        <w:t xml:space="preserve"> but the difference </w:t>
      </w:r>
      <w:r w:rsidR="00745EB8">
        <w:rPr>
          <w:rFonts w:eastAsiaTheme="majorEastAsia" w:cstheme="minorHAnsi"/>
        </w:rPr>
        <w:t>did not reach statistical significance</w:t>
      </w:r>
      <w:r w:rsidR="001C6897">
        <w:rPr>
          <w:rFonts w:eastAsiaTheme="majorEastAsia" w:cstheme="minorHAnsi"/>
        </w:rPr>
        <w:t xml:space="preserve"> in the adjusted model</w:t>
      </w:r>
      <w:r w:rsidR="00142DDB">
        <w:rPr>
          <w:rFonts w:eastAsiaTheme="majorEastAsia" w:cstheme="minorHAnsi"/>
        </w:rPr>
        <w:t xml:space="preserve"> (OR=1.95, 95% CI 0.91 to 4.19, </w:t>
      </w:r>
      <w:r w:rsidR="00142DDB">
        <w:rPr>
          <w:rFonts w:eastAsiaTheme="majorEastAsia" w:cstheme="minorHAnsi"/>
          <w:i/>
        </w:rPr>
        <w:t>p</w:t>
      </w:r>
      <w:r w:rsidR="00142DDB">
        <w:rPr>
          <w:rFonts w:eastAsiaTheme="majorEastAsia" w:cstheme="minorHAnsi"/>
        </w:rPr>
        <w:t>=0.085</w:t>
      </w:r>
      <w:r w:rsidR="000E72B9">
        <w:rPr>
          <w:rFonts w:eastAsiaTheme="majorEastAsia" w:cstheme="minorHAnsi"/>
        </w:rPr>
        <w:t xml:space="preserve">; unadjusted OR=2.14, 95% CI 1.19 to 3.86, </w:t>
      </w:r>
      <w:r w:rsidR="000E72B9">
        <w:rPr>
          <w:rFonts w:eastAsiaTheme="majorEastAsia" w:cstheme="minorHAnsi"/>
          <w:i/>
        </w:rPr>
        <w:t>p</w:t>
      </w:r>
      <w:r w:rsidR="000E72B9">
        <w:rPr>
          <w:rFonts w:eastAsiaTheme="majorEastAsia" w:cstheme="minorHAnsi"/>
        </w:rPr>
        <w:t>=0.011</w:t>
      </w:r>
      <w:r w:rsidR="00142DDB">
        <w:rPr>
          <w:rFonts w:eastAsiaTheme="majorEastAsia" w:cstheme="minorHAnsi"/>
        </w:rPr>
        <w:t>).</w:t>
      </w:r>
      <w:r w:rsidR="00E025B9">
        <w:rPr>
          <w:rFonts w:eastAsiaTheme="majorEastAsia" w:cstheme="minorHAnsi"/>
        </w:rPr>
        <w:t xml:space="preserve"> Prevalence of limiting long-standing illness was also slightly higher, and mean life satisfaction scores were slightly lower, in the group reporting perceived </w:t>
      </w:r>
      <w:r w:rsidR="00D02C49">
        <w:rPr>
          <w:rFonts w:eastAsiaTheme="majorEastAsia" w:cstheme="minorHAnsi"/>
        </w:rPr>
        <w:t xml:space="preserve">everyday </w:t>
      </w:r>
      <w:r w:rsidR="00E025B9">
        <w:rPr>
          <w:rFonts w:eastAsiaTheme="majorEastAsia" w:cstheme="minorHAnsi"/>
        </w:rPr>
        <w:t>discrimination, but differences were not statistically significant</w:t>
      </w:r>
      <w:r w:rsidR="00EA4835">
        <w:rPr>
          <w:rFonts w:eastAsiaTheme="majorEastAsia" w:cstheme="minorHAnsi"/>
        </w:rPr>
        <w:t xml:space="preserve"> in the adjusted models</w:t>
      </w:r>
      <w:r w:rsidR="00E025B9">
        <w:rPr>
          <w:rFonts w:eastAsiaTheme="majorEastAsia" w:cstheme="minorHAnsi"/>
        </w:rPr>
        <w:t xml:space="preserve"> (</w:t>
      </w:r>
      <w:r w:rsidR="00C5393E">
        <w:rPr>
          <w:rFonts w:eastAsiaTheme="majorEastAsia" w:cstheme="minorHAnsi"/>
        </w:rPr>
        <w:t xml:space="preserve">limiting long-standing illness </w:t>
      </w:r>
      <w:r w:rsidR="00C5393E">
        <w:rPr>
          <w:rFonts w:eastAsiaTheme="majorEastAsia" w:cstheme="minorHAnsi"/>
          <w:i/>
        </w:rPr>
        <w:t>p</w:t>
      </w:r>
      <w:r w:rsidR="00C5393E">
        <w:rPr>
          <w:rFonts w:eastAsiaTheme="majorEastAsia" w:cstheme="minorHAnsi"/>
        </w:rPr>
        <w:t>=</w:t>
      </w:r>
      <w:r w:rsidR="00E025B9">
        <w:rPr>
          <w:rFonts w:eastAsiaTheme="majorEastAsia" w:cstheme="minorHAnsi"/>
        </w:rPr>
        <w:t>0.211,</w:t>
      </w:r>
      <w:r w:rsidR="00C5393E">
        <w:rPr>
          <w:rFonts w:eastAsiaTheme="majorEastAsia" w:cstheme="minorHAnsi"/>
        </w:rPr>
        <w:t xml:space="preserve"> </w:t>
      </w:r>
      <w:r w:rsidR="007B2C58" w:rsidRPr="00C5393E">
        <w:rPr>
          <w:rFonts w:eastAsiaTheme="majorEastAsia" w:cstheme="minorHAnsi"/>
        </w:rPr>
        <w:t>life</w:t>
      </w:r>
      <w:r w:rsidR="007B2C58">
        <w:rPr>
          <w:rFonts w:eastAsiaTheme="majorEastAsia" w:cstheme="minorHAnsi"/>
        </w:rPr>
        <w:t xml:space="preserve"> satisfaction </w:t>
      </w:r>
      <w:r w:rsidR="007B2C58">
        <w:rPr>
          <w:rFonts w:eastAsiaTheme="majorEastAsia" w:cstheme="minorHAnsi"/>
          <w:i/>
        </w:rPr>
        <w:t>p</w:t>
      </w:r>
      <w:r w:rsidR="007B2C58">
        <w:rPr>
          <w:rFonts w:eastAsiaTheme="majorEastAsia" w:cstheme="minorHAnsi"/>
        </w:rPr>
        <w:t>=0.271)</w:t>
      </w:r>
      <w:r w:rsidR="00084CE8">
        <w:rPr>
          <w:rFonts w:eastAsiaTheme="majorEastAsia" w:cstheme="minorHAnsi"/>
        </w:rPr>
        <w:t>.</w:t>
      </w:r>
    </w:p>
    <w:p w14:paraId="4334EDCA" w14:textId="3E9AF6F0" w:rsidR="00A14159" w:rsidRDefault="00A14159" w:rsidP="00FE7851">
      <w:pPr>
        <w:jc w:val="both"/>
        <w:rPr>
          <w:rFonts w:eastAsiaTheme="majorEastAsia" w:cstheme="minorHAnsi"/>
        </w:rPr>
      </w:pPr>
      <w:r>
        <w:rPr>
          <w:rFonts w:eastAsiaTheme="majorEastAsia" w:cstheme="minorHAnsi"/>
        </w:rPr>
        <w:t>Prospectively,</w:t>
      </w:r>
      <w:r w:rsidR="00CF2D54">
        <w:rPr>
          <w:rFonts w:eastAsiaTheme="majorEastAsia" w:cstheme="minorHAnsi"/>
        </w:rPr>
        <w:t xml:space="preserve"> after adjustment for covariates</w:t>
      </w:r>
      <w:r w:rsidR="006D59C1">
        <w:rPr>
          <w:rFonts w:eastAsiaTheme="majorEastAsia" w:cstheme="minorHAnsi"/>
        </w:rPr>
        <w:t xml:space="preserve"> including baseline levels</w:t>
      </w:r>
      <w:r w:rsidR="00CF2D54">
        <w:rPr>
          <w:rFonts w:eastAsiaTheme="majorEastAsia" w:cstheme="minorHAnsi"/>
        </w:rPr>
        <w:t>,</w:t>
      </w:r>
      <w:r>
        <w:rPr>
          <w:rFonts w:eastAsiaTheme="majorEastAsia" w:cstheme="minorHAnsi"/>
        </w:rPr>
        <w:t xml:space="preserve"> </w:t>
      </w:r>
      <w:r w:rsidR="00DA2F55">
        <w:rPr>
          <w:rFonts w:eastAsiaTheme="majorEastAsia" w:cstheme="minorHAnsi"/>
        </w:rPr>
        <w:t>participants who perceived discrimination</w:t>
      </w:r>
      <w:r w:rsidR="00D02C49">
        <w:rPr>
          <w:rFonts w:eastAsiaTheme="majorEastAsia" w:cstheme="minorHAnsi"/>
        </w:rPr>
        <w:t xml:space="preserve"> on the basis of any attribution</w:t>
      </w:r>
      <w:r w:rsidR="00DA2F55">
        <w:rPr>
          <w:rFonts w:eastAsiaTheme="majorEastAsia" w:cstheme="minorHAnsi"/>
        </w:rPr>
        <w:t xml:space="preserve"> had over 3 times higher odds of high loneliness (OR=3.12, 95% CI 1.08 to 8.99, </w:t>
      </w:r>
      <w:r w:rsidR="00DA2F55">
        <w:rPr>
          <w:rFonts w:eastAsiaTheme="majorEastAsia" w:cstheme="minorHAnsi"/>
          <w:i/>
        </w:rPr>
        <w:t>p</w:t>
      </w:r>
      <w:r w:rsidR="00DA2F55">
        <w:rPr>
          <w:rFonts w:eastAsiaTheme="majorEastAsia" w:cstheme="minorHAnsi"/>
        </w:rPr>
        <w:t>=</w:t>
      </w:r>
      <w:r w:rsidR="00472E53">
        <w:rPr>
          <w:rFonts w:eastAsiaTheme="majorEastAsia" w:cstheme="minorHAnsi"/>
        </w:rPr>
        <w:t>0.036) and significantly lower mean quality of life (</w:t>
      </w:r>
      <w:r w:rsidR="00472E53">
        <w:rPr>
          <w:rFonts w:eastAsiaTheme="majorEastAsia" w:cstheme="minorHAnsi"/>
          <w:i/>
        </w:rPr>
        <w:t>B</w:t>
      </w:r>
      <w:r w:rsidR="00472E53">
        <w:rPr>
          <w:rFonts w:eastAsiaTheme="majorEastAsia" w:cstheme="minorHAnsi"/>
        </w:rPr>
        <w:t xml:space="preserve">=-2.08, 95% CI -3.85 to -0.31, </w:t>
      </w:r>
      <w:r w:rsidR="00472E53">
        <w:rPr>
          <w:rFonts w:eastAsiaTheme="majorEastAsia" w:cstheme="minorHAnsi"/>
          <w:i/>
        </w:rPr>
        <w:t>p</w:t>
      </w:r>
      <w:r w:rsidR="00472E53">
        <w:rPr>
          <w:rFonts w:eastAsiaTheme="majorEastAsia" w:cstheme="minorHAnsi"/>
        </w:rPr>
        <w:t xml:space="preserve">=0.021) </w:t>
      </w:r>
      <w:r w:rsidR="00472E53">
        <w:rPr>
          <w:rFonts w:eastAsiaTheme="majorEastAsia" w:cstheme="minorHAnsi"/>
        </w:rPr>
        <w:lastRenderedPageBreak/>
        <w:t>and life satisfaction (</w:t>
      </w:r>
      <w:r w:rsidR="00472E53">
        <w:rPr>
          <w:rFonts w:eastAsiaTheme="majorEastAsia" w:cstheme="minorHAnsi"/>
          <w:i/>
        </w:rPr>
        <w:t>B</w:t>
      </w:r>
      <w:r w:rsidR="00472E53">
        <w:rPr>
          <w:rFonts w:eastAsiaTheme="majorEastAsia" w:cstheme="minorHAnsi"/>
        </w:rPr>
        <w:t xml:space="preserve">=-1.92, 95% CI -3.44 to -0.39, </w:t>
      </w:r>
      <w:r w:rsidR="00472E53">
        <w:rPr>
          <w:rFonts w:eastAsiaTheme="majorEastAsia" w:cstheme="minorHAnsi"/>
          <w:i/>
        </w:rPr>
        <w:t>p</w:t>
      </w:r>
      <w:r w:rsidR="00472E53">
        <w:rPr>
          <w:rFonts w:eastAsiaTheme="majorEastAsia" w:cstheme="minorHAnsi"/>
        </w:rPr>
        <w:t>=0.014)</w:t>
      </w:r>
      <w:r w:rsidR="00712D32">
        <w:rPr>
          <w:rFonts w:eastAsiaTheme="majorEastAsia" w:cstheme="minorHAnsi"/>
        </w:rPr>
        <w:t xml:space="preserve"> than those who did not</w:t>
      </w:r>
      <w:r w:rsidR="008B25A6">
        <w:rPr>
          <w:rFonts w:eastAsiaTheme="majorEastAsia" w:cstheme="minorHAnsi"/>
        </w:rPr>
        <w:t xml:space="preserve"> (Table 2)</w:t>
      </w:r>
      <w:r w:rsidR="00712D32">
        <w:rPr>
          <w:rFonts w:eastAsiaTheme="majorEastAsia" w:cstheme="minorHAnsi"/>
        </w:rPr>
        <w:t xml:space="preserve">. </w:t>
      </w:r>
      <w:r w:rsidR="00EA211D">
        <w:rPr>
          <w:rFonts w:eastAsiaTheme="majorEastAsia" w:cstheme="minorHAnsi"/>
        </w:rPr>
        <w:t xml:space="preserve">There was no significant association between perceived </w:t>
      </w:r>
      <w:r w:rsidR="00D02C49">
        <w:rPr>
          <w:rFonts w:eastAsiaTheme="majorEastAsia" w:cstheme="minorHAnsi"/>
        </w:rPr>
        <w:t xml:space="preserve">everyday </w:t>
      </w:r>
      <w:r w:rsidR="00EA211D">
        <w:rPr>
          <w:rFonts w:eastAsiaTheme="majorEastAsia" w:cstheme="minorHAnsi"/>
        </w:rPr>
        <w:t>discrimination and self-rated health (</w:t>
      </w:r>
      <w:r w:rsidR="00EA211D">
        <w:rPr>
          <w:rFonts w:eastAsiaTheme="majorEastAsia" w:cstheme="minorHAnsi"/>
          <w:i/>
        </w:rPr>
        <w:t>p</w:t>
      </w:r>
      <w:r w:rsidR="00EA211D">
        <w:rPr>
          <w:rFonts w:eastAsiaTheme="majorEastAsia" w:cstheme="minorHAnsi"/>
        </w:rPr>
        <w:t>=</w:t>
      </w:r>
      <w:r w:rsidR="0029744D">
        <w:rPr>
          <w:rFonts w:eastAsiaTheme="majorEastAsia" w:cstheme="minorHAnsi"/>
        </w:rPr>
        <w:t>0.889</w:t>
      </w:r>
      <w:r w:rsidR="00EA211D">
        <w:rPr>
          <w:rFonts w:eastAsiaTheme="majorEastAsia" w:cstheme="minorHAnsi"/>
        </w:rPr>
        <w:t>), limiting long-standing illness (</w:t>
      </w:r>
      <w:r w:rsidR="00EA211D">
        <w:rPr>
          <w:rFonts w:eastAsiaTheme="majorEastAsia" w:cstheme="minorHAnsi"/>
          <w:i/>
        </w:rPr>
        <w:t>p</w:t>
      </w:r>
      <w:r w:rsidR="00EA211D">
        <w:rPr>
          <w:rFonts w:eastAsiaTheme="majorEastAsia" w:cstheme="minorHAnsi"/>
        </w:rPr>
        <w:t>=</w:t>
      </w:r>
      <w:r w:rsidR="0029744D">
        <w:rPr>
          <w:rFonts w:eastAsiaTheme="majorEastAsia" w:cstheme="minorHAnsi"/>
        </w:rPr>
        <w:t>0.605</w:t>
      </w:r>
      <w:r w:rsidR="00EA211D">
        <w:rPr>
          <w:rFonts w:eastAsiaTheme="majorEastAsia" w:cstheme="minorHAnsi"/>
        </w:rPr>
        <w:t>) or depressive symptoms (</w:t>
      </w:r>
      <w:r w:rsidR="00EA211D">
        <w:rPr>
          <w:rFonts w:eastAsiaTheme="majorEastAsia" w:cstheme="minorHAnsi"/>
          <w:i/>
        </w:rPr>
        <w:t>p</w:t>
      </w:r>
      <w:r w:rsidR="00EA211D">
        <w:rPr>
          <w:rFonts w:eastAsiaTheme="majorEastAsia" w:cstheme="minorHAnsi"/>
        </w:rPr>
        <w:t>=</w:t>
      </w:r>
      <w:r w:rsidR="0029744D">
        <w:rPr>
          <w:rFonts w:eastAsiaTheme="majorEastAsia" w:cstheme="minorHAnsi"/>
        </w:rPr>
        <w:t>0.590</w:t>
      </w:r>
      <w:r w:rsidR="00EA211D">
        <w:rPr>
          <w:rFonts w:eastAsiaTheme="majorEastAsia" w:cstheme="minorHAnsi"/>
        </w:rPr>
        <w:t>).</w:t>
      </w:r>
    </w:p>
    <w:p w14:paraId="60932FD4" w14:textId="193962A4" w:rsidR="00080C18" w:rsidRDefault="00057BBD" w:rsidP="00FE7851">
      <w:pPr>
        <w:jc w:val="both"/>
        <w:rPr>
          <w:rFonts w:eastAsiaTheme="majorEastAsia" w:cstheme="minorHAnsi"/>
        </w:rPr>
      </w:pPr>
      <w:r>
        <w:rPr>
          <w:rFonts w:eastAsiaTheme="majorEastAsia" w:cstheme="minorHAnsi"/>
        </w:rPr>
        <w:t>Of the group who repo</w:t>
      </w:r>
      <w:r w:rsidR="00D80E1E">
        <w:rPr>
          <w:rFonts w:eastAsiaTheme="majorEastAsia" w:cstheme="minorHAnsi"/>
        </w:rPr>
        <w:t>rted perceived discrimination</w:t>
      </w:r>
      <w:r w:rsidR="00635A1D">
        <w:rPr>
          <w:rFonts w:eastAsiaTheme="majorEastAsia" w:cstheme="minorHAnsi"/>
        </w:rPr>
        <w:t xml:space="preserve"> (</w:t>
      </w:r>
      <w:r w:rsidR="00635A1D">
        <w:rPr>
          <w:rFonts w:eastAsiaTheme="majorEastAsia" w:cstheme="minorHAnsi"/>
          <w:i/>
        </w:rPr>
        <w:t>n</w:t>
      </w:r>
      <w:r w:rsidR="00635A1D">
        <w:rPr>
          <w:rFonts w:eastAsiaTheme="majorEastAsia" w:cstheme="minorHAnsi"/>
        </w:rPr>
        <w:t>=144)</w:t>
      </w:r>
      <w:r w:rsidR="00D80E1E">
        <w:rPr>
          <w:rFonts w:eastAsiaTheme="majorEastAsia" w:cstheme="minorHAnsi"/>
        </w:rPr>
        <w:t>, 12.5</w:t>
      </w:r>
      <w:r>
        <w:rPr>
          <w:rFonts w:eastAsiaTheme="majorEastAsia" w:cstheme="minorHAnsi"/>
        </w:rPr>
        <w:t xml:space="preserve">% </w:t>
      </w:r>
      <w:r w:rsidR="00840521">
        <w:rPr>
          <w:rFonts w:eastAsiaTheme="majorEastAsia" w:cstheme="minorHAnsi"/>
        </w:rPr>
        <w:t>(</w:t>
      </w:r>
      <w:r w:rsidR="00840521" w:rsidRPr="00840521">
        <w:rPr>
          <w:rFonts w:eastAsiaTheme="majorEastAsia" w:cstheme="minorHAnsi"/>
          <w:i/>
        </w:rPr>
        <w:t>n</w:t>
      </w:r>
      <w:r w:rsidR="00840521">
        <w:rPr>
          <w:rFonts w:eastAsiaTheme="majorEastAsia" w:cstheme="minorHAnsi"/>
        </w:rPr>
        <w:t xml:space="preserve">=18) </w:t>
      </w:r>
      <w:r w:rsidRPr="00840521">
        <w:rPr>
          <w:rFonts w:eastAsiaTheme="majorEastAsia" w:cstheme="minorHAnsi"/>
        </w:rPr>
        <w:t>attributed</w:t>
      </w:r>
      <w:r>
        <w:rPr>
          <w:rFonts w:eastAsiaTheme="majorEastAsia" w:cstheme="minorHAnsi"/>
        </w:rPr>
        <w:t xml:space="preserve"> their experiences of discrimination to their sexual orientation. </w:t>
      </w:r>
      <w:r w:rsidR="00A30F0D">
        <w:rPr>
          <w:rFonts w:eastAsiaTheme="majorEastAsia" w:cstheme="minorHAnsi"/>
        </w:rPr>
        <w:t>In stratified analyses, effect sizes were consistently larger for the group who attributed experiences of perceived discrimination to their sexual orientation than for those who did not (Table 3).</w:t>
      </w:r>
      <w:r w:rsidR="002D54E2">
        <w:rPr>
          <w:rFonts w:eastAsiaTheme="majorEastAsia" w:cstheme="minorHAnsi"/>
        </w:rPr>
        <w:t xml:space="preserve"> </w:t>
      </w:r>
      <w:r w:rsidR="00C5399C">
        <w:rPr>
          <w:rFonts w:eastAsiaTheme="majorEastAsia" w:cstheme="minorHAnsi"/>
        </w:rPr>
        <w:t xml:space="preserve">In addition to the significant associations identified in the primary analyses, these models revealed a significant cross-sectional association with self-rated health in the group who </w:t>
      </w:r>
      <w:r w:rsidR="00E10472">
        <w:rPr>
          <w:rFonts w:eastAsiaTheme="majorEastAsia" w:cstheme="minorHAnsi"/>
        </w:rPr>
        <w:t>attributed experiences of</w:t>
      </w:r>
      <w:r w:rsidR="00C5399C">
        <w:rPr>
          <w:rFonts w:eastAsiaTheme="majorEastAsia" w:cstheme="minorHAnsi"/>
        </w:rPr>
        <w:t xml:space="preserve"> discrimination </w:t>
      </w:r>
      <w:r w:rsidR="00E10472">
        <w:rPr>
          <w:rFonts w:eastAsiaTheme="majorEastAsia" w:cstheme="minorHAnsi"/>
        </w:rPr>
        <w:t>to t</w:t>
      </w:r>
      <w:r w:rsidR="00C5399C">
        <w:rPr>
          <w:rFonts w:eastAsiaTheme="majorEastAsia" w:cstheme="minorHAnsi"/>
        </w:rPr>
        <w:t xml:space="preserve">heir sexual orientation (OR=6.76, 95% CI 1.65 to 27.63, </w:t>
      </w:r>
      <w:r w:rsidR="00C5399C">
        <w:rPr>
          <w:rFonts w:eastAsiaTheme="majorEastAsia" w:cstheme="minorHAnsi"/>
          <w:i/>
        </w:rPr>
        <w:t>p</w:t>
      </w:r>
      <w:r w:rsidR="00C5399C">
        <w:rPr>
          <w:rFonts w:eastAsiaTheme="majorEastAsia" w:cstheme="minorHAnsi"/>
        </w:rPr>
        <w:t>=0.008)</w:t>
      </w:r>
      <w:r w:rsidR="00E10472">
        <w:rPr>
          <w:rFonts w:eastAsiaTheme="majorEastAsia" w:cstheme="minorHAnsi"/>
        </w:rPr>
        <w:t>. The cross-sectional association with depressive symptoms and the prospective association with loneliness were only statistically significant for the group who attributed experiences of discrimination to their sexual orientation. The cross-sectional association with quality of life and the prospective association with life satisfaction were only statistically significant for the group who did not attribute experiences of discrimination to their sexual orientation</w:t>
      </w:r>
      <w:r w:rsidR="00925E91">
        <w:rPr>
          <w:rFonts w:eastAsiaTheme="majorEastAsia" w:cstheme="minorHAnsi"/>
        </w:rPr>
        <w:t>.</w:t>
      </w:r>
    </w:p>
    <w:p w14:paraId="099EC2DE" w14:textId="77777777" w:rsidR="00E13B94" w:rsidRPr="00D55BAF" w:rsidRDefault="00E13B94" w:rsidP="00FE7851">
      <w:pPr>
        <w:jc w:val="both"/>
        <w:rPr>
          <w:rFonts w:eastAsiaTheme="majorEastAsia" w:cstheme="minorHAnsi"/>
        </w:rPr>
      </w:pPr>
    </w:p>
    <w:p w14:paraId="39B924B3" w14:textId="474D4C8D" w:rsidR="00323EE3" w:rsidRDefault="00323EE3" w:rsidP="00FE7851">
      <w:pPr>
        <w:pStyle w:val="Heading2"/>
        <w:jc w:val="both"/>
      </w:pPr>
      <w:r>
        <w:t>Discussion</w:t>
      </w:r>
    </w:p>
    <w:p w14:paraId="7A8FABD6" w14:textId="63D91BB3" w:rsidR="00B82280" w:rsidRDefault="0068372F" w:rsidP="00FE7851">
      <w:pPr>
        <w:jc w:val="both"/>
      </w:pPr>
      <w:r>
        <w:t>In this population-based</w:t>
      </w:r>
      <w:r w:rsidR="005D7B13">
        <w:t xml:space="preserve"> sample of</w:t>
      </w:r>
      <w:r w:rsidR="00970649">
        <w:t xml:space="preserve"> middle-aged and</w:t>
      </w:r>
      <w:r w:rsidR="005D7B13">
        <w:t xml:space="preserve"> older LGB adults in England, </w:t>
      </w:r>
      <w:r w:rsidRPr="002F3719">
        <w:rPr>
          <w:rFonts w:eastAsiaTheme="majorEastAsia" w:cstheme="minorHAnsi"/>
        </w:rPr>
        <w:t xml:space="preserve">perceived </w:t>
      </w:r>
      <w:r w:rsidR="00D02C49">
        <w:rPr>
          <w:rFonts w:eastAsiaTheme="majorEastAsia" w:cstheme="minorHAnsi"/>
        </w:rPr>
        <w:t>ev</w:t>
      </w:r>
      <w:bookmarkStart w:id="5" w:name="_GoBack"/>
      <w:bookmarkEnd w:id="5"/>
      <w:r w:rsidR="00D02C49">
        <w:rPr>
          <w:rFonts w:eastAsiaTheme="majorEastAsia" w:cstheme="minorHAnsi"/>
        </w:rPr>
        <w:t xml:space="preserve">eryday </w:t>
      </w:r>
      <w:r w:rsidRPr="002F3719">
        <w:rPr>
          <w:rFonts w:eastAsiaTheme="majorEastAsia" w:cstheme="minorHAnsi"/>
        </w:rPr>
        <w:t xml:space="preserve">discrimination </w:t>
      </w:r>
      <w:r w:rsidR="00D02C49">
        <w:t>(based on a</w:t>
      </w:r>
      <w:r w:rsidR="00303B06">
        <w:t xml:space="preserve"> range of</w:t>
      </w:r>
      <w:r w:rsidR="00D02C49">
        <w:t xml:space="preserve"> attribute</w:t>
      </w:r>
      <w:r w:rsidR="00303B06">
        <w:t>s</w:t>
      </w:r>
      <w:r w:rsidR="00D02C49">
        <w:t xml:space="preserve">) </w:t>
      </w:r>
      <w:r>
        <w:rPr>
          <w:rFonts w:eastAsiaTheme="majorEastAsia" w:cstheme="minorHAnsi"/>
        </w:rPr>
        <w:t>was associated with significantly poorer wellbeing</w:t>
      </w:r>
      <w:r w:rsidRPr="002F3719">
        <w:rPr>
          <w:rFonts w:eastAsiaTheme="majorEastAsia" w:cstheme="minorHAnsi"/>
        </w:rPr>
        <w:t xml:space="preserve">. In cross-sectional analyses, </w:t>
      </w:r>
      <w:r w:rsidR="00DF5EC1">
        <w:rPr>
          <w:rFonts w:eastAsiaTheme="majorEastAsia" w:cstheme="minorHAnsi"/>
        </w:rPr>
        <w:t xml:space="preserve">participants who reported </w:t>
      </w:r>
      <w:r>
        <w:t xml:space="preserve">perceived </w:t>
      </w:r>
      <w:r w:rsidR="00D02C49">
        <w:t xml:space="preserve">everyday </w:t>
      </w:r>
      <w:r>
        <w:t xml:space="preserve">discrimination </w:t>
      </w:r>
      <w:r w:rsidR="00DF5EC1">
        <w:t>had</w:t>
      </w:r>
      <w:r>
        <w:t xml:space="preserve"> increased odds of depressive symptoms and loneliness, and poorer quality of life. Longitudinally, perceived </w:t>
      </w:r>
      <w:r w:rsidR="00D02C49">
        <w:t xml:space="preserve">everyday </w:t>
      </w:r>
      <w:r>
        <w:t xml:space="preserve">discrimination was associated with increased odds of loneliness, poorer quality of life, and lower life satisfaction over six years. </w:t>
      </w:r>
      <w:r w:rsidR="00B82280">
        <w:t xml:space="preserve">These results were independent of participants’ age, sex, ethnicity, partnership status and socioeconomic position. </w:t>
      </w:r>
      <w:r w:rsidR="00D371F9">
        <w:t>Effect sizes were consistently larger for participants</w:t>
      </w:r>
      <w:r w:rsidR="009F28D4">
        <w:t xml:space="preserve"> who attributed experiences of </w:t>
      </w:r>
      <w:r w:rsidR="007F7750">
        <w:t xml:space="preserve">perceived </w:t>
      </w:r>
      <w:r w:rsidR="009F28D4">
        <w:t xml:space="preserve">discrimination to their sexual orientation </w:t>
      </w:r>
      <w:r w:rsidR="00D371F9">
        <w:t xml:space="preserve">compared with those who attributed experiences of </w:t>
      </w:r>
      <w:r w:rsidR="007F7750">
        <w:t xml:space="preserve">perceived </w:t>
      </w:r>
      <w:r w:rsidR="00450B7E">
        <w:t>discrimination to other reasons (e.g. age, sex</w:t>
      </w:r>
      <w:r w:rsidR="00D02C49">
        <w:t xml:space="preserve"> </w:t>
      </w:r>
      <w:proofErr w:type="spellStart"/>
      <w:r w:rsidR="00D02C49">
        <w:t>and</w:t>
      </w:r>
      <w:r w:rsidR="00450B7E">
        <w:t>race</w:t>
      </w:r>
      <w:proofErr w:type="spellEnd"/>
      <w:r w:rsidR="00450B7E">
        <w:t>)</w:t>
      </w:r>
      <w:r w:rsidR="00A95298">
        <w:t>.</w:t>
      </w:r>
    </w:p>
    <w:p w14:paraId="087C02A6" w14:textId="200E03E3" w:rsidR="009A404F" w:rsidRDefault="00C46D28" w:rsidP="00FE7851">
      <w:pPr>
        <w:jc w:val="both"/>
      </w:pPr>
      <w:r>
        <w:t xml:space="preserve">Associations between perceived </w:t>
      </w:r>
      <w:r w:rsidR="00D02C49">
        <w:t xml:space="preserve">everyday </w:t>
      </w:r>
      <w:r>
        <w:t xml:space="preserve">discrimination </w:t>
      </w:r>
      <w:r w:rsidR="00D02C49">
        <w:t xml:space="preserve">(based on any attribute) </w:t>
      </w:r>
      <w:r>
        <w:t>and poorer wellbeing</w:t>
      </w:r>
      <w:r w:rsidR="00B6579C" w:rsidRPr="003679A1">
        <w:t xml:space="preserve"> are in line with previous research in </w:t>
      </w:r>
      <w:r w:rsidR="00B6579C" w:rsidRPr="005C6EAE">
        <w:t>heterosexual older samples</w:t>
      </w:r>
      <w:r w:rsidR="004A34F7" w:rsidRPr="005C6EAE">
        <w:t xml:space="preserve"> </w:t>
      </w:r>
      <w:r w:rsidR="005C6EAE" w:rsidRPr="005C6EAE">
        <w:fldChar w:fldCharType="begin"/>
      </w:r>
      <w:r w:rsidR="002B2DE9">
        <w:instrText xml:space="preserve"> ADDIN ZOTERO_ITEM CSL_CITATION {"citationID":"CnQS6KoI","properties":{"formattedCitation":"(15,38)","plainCitation":"(15,38)","noteIndex":0},"citationItems":[{"id":"A4nDS9l3/nihhcNdu","uris":["http://zotero.org/users/446899/items/KGTQXDRE"],"uri":["http://zotero.org/users/446899/items/KGTQXDRE"],"itemData":{"id":1396,"type":"article-journal","title":"Perceived discrimination and health: A meta-analytic review","container-title":"Psychological Bulletin","page":"531-554","volume":"135","issue":"4","source":"APA PsycNET","abstract":"Perceived discrimination has been studied with regard to its impact on several types of health effects. This meta-analysis provides a comprehensive account of the relationships between multiple forms of perceived discrimination and both mental and physical health outcomes. In addition, this meta-analysis examines potential mechanisms by which perceiving discrimination may affect health, including through psychological and physiological stress responses and health behaviors. Analysis of 134 samples suggests that when weighting each study’s contribution by sample size, perceived discrimination has a significant negative effect on both mental and physical health. Perceived discrimination also produces significantly heightened stress responses and is related to participation in unhealthy and nonparticipation in healthy behaviors. These findings suggest potential pathways linking perceived discrimination to negative health outcomes.","DOI":"10.1037/a0016059","ISSN":"1939-1455(Electronic);0033-2909(Print)","shortTitle":"Perceived discrimination and health","author":[{"family":"Pascoe","given":"Elizabeth A."},{"family":"Smart Richman","given":"Laura"}],"issued":{"date-parts":[["2009"]]}}},{"id":"A4nDS9l3/c2TYTtjQ","uris":["http://zotero.org/users/446899/items/3A4NNUT6"],"uri":["http://zotero.org/users/446899/items/3A4NNUT6"],"itemData":{"id":5845,"type":"article-journal","title":"Age discrimination predicts impaired health and wellbeing: cross-sectional and prospective findings from the English Longitudinal Study of Ageing","author":[{"family":"Jackson","given":"S E"},{"family":"Hackett","given":"R A"},{"family":"Steptoe","given":"A"}],"issued":{"literal":"under review"}}}],"schema":"https://github.com/citation-style-language/schema/raw/master/csl-citation.json"} </w:instrText>
      </w:r>
      <w:r w:rsidR="005C6EAE" w:rsidRPr="005C6EAE">
        <w:fldChar w:fldCharType="separate"/>
      </w:r>
      <w:r w:rsidR="002B2DE9" w:rsidRPr="002B2DE9">
        <w:rPr>
          <w:rFonts w:ascii="Calibri" w:hAnsi="Calibri" w:cs="Calibri"/>
        </w:rPr>
        <w:t>(15,38)</w:t>
      </w:r>
      <w:r w:rsidR="005C6EAE" w:rsidRPr="005C6EAE">
        <w:fldChar w:fldCharType="end"/>
      </w:r>
      <w:r w:rsidR="009C5F73" w:rsidRPr="009C5F73">
        <w:t xml:space="preserve"> </w:t>
      </w:r>
      <w:r w:rsidR="009C5F73" w:rsidRPr="005C6EAE">
        <w:t>and</w:t>
      </w:r>
      <w:r w:rsidR="009C5F73">
        <w:t xml:space="preserve"> </w:t>
      </w:r>
      <w:r w:rsidR="009C5F73" w:rsidRPr="005C6EAE">
        <w:t>younger LGB samples</w:t>
      </w:r>
      <w:r w:rsidR="009C5F73">
        <w:t xml:space="preserve"> </w:t>
      </w:r>
      <w:r w:rsidR="008F0E63" w:rsidRPr="005C6EAE">
        <w:fldChar w:fldCharType="begin"/>
      </w:r>
      <w:r w:rsidR="002B2DE9">
        <w:instrText xml:space="preserve"> ADDIN ZOTERO_ITEM CSL_CITATION {"citationID":"IzrPKOef","properties":{"formattedCitation":"(14,15,23,39)","plainCitation":"(14,15,23,39)","noteIndex":0},"citationItems":[{"id":"A4nDS9l3/Zjgo4MBo","uris":["http://zotero.org/users/446899/items/QTGIX7JP"],"uri":["http://zotero.org/users/446899/items/QTGIX7JP"],"itemData":{"id":5795,"type":"article-journal","title":"Mental Health Correlates of Perceived Discrimination Among Lesbian, Gay, and Bisexual Adults in the United States","container-title":"American Journal of Public Health","page":"1869-1876","volume":"91","issue":"11","source":"ajph.aphapublications.org (Atypon)","abstract":"Objectives. Recent studies suggest that lesbians and gay men are at higher risk for stress-sensitive psychiatric disorders than are heterosexual persons. We examined the possible role of perceived discrimination in generating that risk. Methods.  The National Survey of Midlife Development in the United States, a nationally representative sample of adults aged 25 to 74 years, surveyed individuals self-identifying as homosexual or bisexual (n = 73) or heterosexual (n = 2844) about their lifetime and day-to-day experiences with discrimination. Also assessed were 1-year prevalence of depressive, anxiety, and substance dependence disorders; current psychologic distress; and self-rated mental health. Results.  Homosexual and bisexual individuals more frequently than heterosexual persons reported both lifetime and day-to-day experiences with discrimination. Approximately 42% attributed this to their sexual orientation, in whole or part. Perceived discrimination was positively associated with both harmful effects on quality of life and indicators of psychiatric morbidity in the total sample. Controlling for differences in discrimination experiences attenuated observed associations between psychiatric morbidity and sexual orientation. Conclusions.  Higher levels of discrimination may underlie recent observations of greater psychiatric morbidity risk among lesbian, gay, and bisexual individuals.","DOI":"10.2105/AJPH.91.11.1869","ISSN":"0090-0036","journalAbbreviation":"Am J Public Health","author":[{"family":"Mays","given":"Vickie M."},{"family":"Cochran","given":"Susan D."}],"issued":{"date-parts":[["2001",11,1]]}}},{"id":"A4nDS9l3/nihhcNdu","uris":["http://zotero.org/users/446899/items/KGTQXDRE"],"uri":["http://zotero.org/users/446899/items/KGTQXDRE"],"itemData":{"id":1396,"type":"article-journal","title":"Perceived discrimination and health: A meta-analytic review","container-title":"Psychological Bulletin","page":"531-554","volume":"135","issue":"4","source":"APA PsycNET","abstract":"Perceived discrimination has been studied with regard to its impact on several types of health effects. This meta-analysis provides a comprehensive account of the relationships between multiple forms of perceived discrimination and both mental and physical health outcomes. In addition, this meta-analysis examines potential mechanisms by which perceiving discrimination may affect health, including through psychological and physiological stress responses and health behaviors. Analysis of 134 samples suggests that when weighting each study’s contribution by sample size, perceived discrimination has a significant negative effect on both mental and physical health. Perceived discrimination also produces significantly heightened stress responses and is related to participation in unhealthy and nonparticipation in healthy behaviors. These findings suggest potential pathways linking perceived discrimination to negative health outcomes.","DOI":"10.1037/a0016059","ISSN":"1939-1455(Electronic);0033-2909(Print)","shortTitle":"Perceived discrimination and health","author":[{"family":"Pascoe","given":"Elizabeth A."},{"family":"Smart Richman","given":"Laura"}],"issued":{"date-parts":[["2009"]]}}},{"id":"A4nDS9l3/dDAyi3tE","uris":["http://zotero.org/users/446899/items/P7UBA54H"],"uri":["http://zotero.org/users/446899/items/P7UBA54H"],"itemData":{"id":5794,"type":"article-journal","title":"Effects of Perceived Discrimination on Mental Health and Mental Health Services Utilization Among Gay, Lesbian, Bisexual and Transgender Persons","container-title":"Journal of LGBT Health Research","page":"1-14","volume":"3","issue":"4","source":"Taylor and Francis+NEJM","abstract":"Objectives. Previous research has found that lesbian, gay, bisexual and transgender (LGBT) individuals are at risk for a variety of mental health disorders. We examined the extent to which a recent experience of a major discriminatory event may contribute to poor mental health among LGBT persons. Methods. Data were derived from a cross-sectional strata-cluster survey of adults in Hennepin County, Minnesota, who identified as LGBT (n = 472) or heterosexual (n = 7,412). Results. Compared to heterosexuals, LGBT individuals had poorer mental health (higher levels of psychological distress, greater likelihood of having a diagnosis of depression or anxiety, greater perceived mental health needs, and greater use of mental health services), more substance use (higher levels of binge drinking, greater likelihood of being a smoker and greater number of cigarettes smoked per day), and were more likely to report unmet mental healthcare needs. LGBT individuals were also more likely to report having experienced a major incident of discrimination over the past year than heterosexual individuals. Although perceived discrimination was associated with almost all of the indicators of mental health and utilization of mental health care that we examined, adjusting for discrimination did not significantly reduce mental health disparities between heterosexual and LGBT persons. Conclusion. LGBT individuals experienced more major discrimination and reported worse mental health than heterosexuals, but discrimination did not account for this disparity. Future research should explore additional forms of discrimination and additional stressors associated with minority sexual orientation that may account for these disparities.","DOI":"10.1080/15574090802226626","ISSN":"1557-4091","note":"PMID: 19042907","author":[{"family":"Burgess","given":"Diana"},{"family":"Lee","given":"Richard"},{"family":"Tran","given":"Alisia"},{"family":"Ryn","given":"Michelle","dropping-particle":"van"}],"issued":{"date-parts":[["2007",9,1]]}}},{"id":"A4nDS9l3/OIVsgQ4L","uris":["http://zotero.org/users/446899/items/ERMD9SD8"],"uri":["http://zotero.org/users/446899/items/ERMD9SD8"],"itemData":{"id":5842,"type":"article-journal","title":"The impact of homophobia, poverty, and racism on the mental health of gay and bisexual Latino men: findings from 3 US cities.","container-title":"American Journal of Public Health","page":"927-932","volume":"91","issue":"6","source":"PubMed Central","abstract":"OBJECTIVES: This study assessed the relation between experiences of social discrimination (homophobia, racism, and financial hardship) and symptoms of psychologic distress (anxiety, depression, and suicidal ideation) among self-identified gay and bisexual Latino men in the United States. METHODS: Data were collected from a probability sample of 912 men (self-identified as both Latino and nonheterosexual) recruited from the venues and public social spaces identified as both Latino and gay in the cities of Miami, Los Angeles, and New York. RESULTS: The study showed high prevalence rates of psychologic symptoms of distress in the population of gay Latino men during the 6 months before the interview, including suicidal ideation (17% prevalence), anxiety (44%), and depressed mood (80%). In both univariate and multivariate analyses, experiences of social discrimination were strong predictors of psychologic symptoms. CONCLUSIONS: The mental health difficulties experienced by many gay and bisexual Latino men in the United States are directly related to a social context of oppression that leads to social alienation, low self-esteem, and symptoms of psychologic distress.","ISSN":"0090-0036","note":"PMID: 11392936\nPMCID: PMC1446470","shortTitle":"The impact of homophobia, poverty, and racism on the mental health of gay and bisexual Latino men","journalAbbreviation":"Am J Public Health","author":[{"family":"Díaz","given":"R M"},{"family":"Ayala","given":"G"},{"family":"Bein","given":"E"},{"family":"Henne","given":"J"},{"family":"Marin","given":"B V"}],"issued":{"date-parts":[["2001",6]]}}}],"schema":"https://github.com/citation-style-language/schema/raw/master/csl-citation.json"} </w:instrText>
      </w:r>
      <w:r w:rsidR="008F0E63" w:rsidRPr="005C6EAE">
        <w:fldChar w:fldCharType="separate"/>
      </w:r>
      <w:r w:rsidR="002B2DE9" w:rsidRPr="002B2DE9">
        <w:rPr>
          <w:rFonts w:ascii="Calibri" w:hAnsi="Calibri" w:cs="Calibri"/>
        </w:rPr>
        <w:t>(14,15,23,39)</w:t>
      </w:r>
      <w:r w:rsidR="008F0E63" w:rsidRPr="005C6EAE">
        <w:fldChar w:fldCharType="end"/>
      </w:r>
      <w:r w:rsidR="00B6579C" w:rsidRPr="005C6EAE">
        <w:t>.</w:t>
      </w:r>
      <w:r w:rsidR="008877A4">
        <w:t xml:space="preserve"> Consistent with evidence that LGB adults who experience discrimination suffer poorer mental health </w:t>
      </w:r>
      <w:r w:rsidR="008877A4" w:rsidRPr="005C6EAE">
        <w:fldChar w:fldCharType="begin"/>
      </w:r>
      <w:r w:rsidR="002B2DE9">
        <w:instrText xml:space="preserve"> ADDIN ZOTERO_ITEM CSL_CITATION {"citationID":"MLZh51gM","properties":{"formattedCitation":"(14,23,39)","plainCitation":"(14,23,39)","noteIndex":0},"citationItems":[{"id":"A4nDS9l3/Zjgo4MBo","uris":["http://zotero.org/users/446899/items/QTGIX7JP"],"uri":["http://zotero.org/users/446899/items/QTGIX7JP"],"itemData":{"id":5795,"type":"article-journal","title":"Mental Health Correlates of Perceived Discrimination Among Lesbian, Gay, and Bisexual Adults in the United States","container-title":"American Journal of Public Health","page":"1869-1876","volume":"91","issue":"11","source":"ajph.aphapublications.org (Atypon)","abstract":"Objectives. Recent studies suggest that lesbians and gay men are at higher risk for stress-sensitive psychiatric disorders than are heterosexual persons. We examined the possible role of perceived discrimination in generating that risk. Methods.  The National Survey of Midlife Development in the United States, a nationally representative sample of adults aged 25 to 74 years, surveyed individuals self-identifying as homosexual or bisexual (n = 73) or heterosexual (n = 2844) about their lifetime and day-to-day experiences with discrimination. Also assessed were 1-year prevalence of depressive, anxiety, and substance dependence disorders; current psychologic distress; and self-rated mental health. Results.  Homosexual and bisexual individuals more frequently than heterosexual persons reported both lifetime and day-to-day experiences with discrimination. Approximately 42% attributed this to their sexual orientation, in whole or part. Perceived discrimination was positively associated with both harmful effects on quality of life and indicators of psychiatric morbidity in the total sample. Controlling for differences in discrimination experiences attenuated observed associations between psychiatric morbidity and sexual orientation. Conclusions.  Higher levels of discrimination may underlie recent observations of greater psychiatric morbidity risk among lesbian, gay, and bisexual individuals.","DOI":"10.2105/AJPH.91.11.1869","ISSN":"0090-0036","journalAbbreviation":"Am J Public Health","author":[{"family":"Mays","given":"Vickie M."},{"family":"Cochran","given":"Susan D."}],"issued":{"date-parts":[["2001",11,1]]}}},{"id":"A4nDS9l3/dDAyi3tE","uris":["http://zotero.org/users/446899/items/P7UBA54H"],"uri":["http://zotero.org/users/446899/items/P7UBA54H"],"itemData":{"id":5794,"type":"article-journal","title":"Effects of Perceived Discrimination on Mental Health and Mental Health Services Utilization Among Gay, Lesbian, Bisexual and Transgender Persons","container-title":"Journal of LGBT Health Research","page":"1-14","volume":"3","issue":"4","source":"Taylor and Francis+NEJM","abstract":"Objectives. Previous research has found that lesbian, gay, bisexual and transgender (LGBT) individuals are at risk for a variety of mental health disorders. We examined the extent to which a recent experience of a major discriminatory event may contribute to poor mental health among LGBT persons. Methods. Data were derived from a cross-sectional strata-cluster survey of adults in Hennepin County, Minnesota, who identified as LGBT (n = 472) or heterosexual (n = 7,412). Results. Compared to heterosexuals, LGBT individuals had poorer mental health (higher levels of psychological distress, greater likelihood of having a diagnosis of depression or anxiety, greater perceived mental health needs, and greater use of mental health services), more substance use (higher levels of binge drinking, greater likelihood of being a smoker and greater number of cigarettes smoked per day), and were more likely to report unmet mental healthcare needs. LGBT individuals were also more likely to report having experienced a major incident of discrimination over the past year than heterosexual individuals. Although perceived discrimination was associated with almost all of the indicators of mental health and utilization of mental health care that we examined, adjusting for discrimination did not significantly reduce mental health disparities between heterosexual and LGBT persons. Conclusion. LGBT individuals experienced more major discrimination and reported worse mental health than heterosexuals, but discrimination did not account for this disparity. Future research should explore additional forms of discrimination and additional stressors associated with minority sexual orientation that may account for these disparities.","DOI":"10.1080/15574090802226626","ISSN":"1557-4091","note":"PMID: 19042907","author":[{"family":"Burgess","given":"Diana"},{"family":"Lee","given":"Richard"},{"family":"Tran","given":"Alisia"},{"family":"Ryn","given":"Michelle","dropping-particle":"van"}],"issued":{"date-parts":[["2007",9,1]]}}},{"id":"A4nDS9l3/OIVsgQ4L","uris":["http://zotero.org/users/446899/items/ERMD9SD8"],"uri":["http://zotero.org/users/446899/items/ERMD9SD8"],"itemData":{"id":5842,"type":"article-journal","title":"The impact of homophobia, poverty, and racism on the mental health of gay and bisexual Latino men: findings from 3 US cities.","container-title":"American Journal of Public Health","page":"927-932","volume":"91","issue":"6","source":"PubMed Central","abstract":"OBJECTIVES: This study assessed the relation between experiences of social discrimination (homophobia, racism, and financial hardship) and symptoms of psychologic distress (anxiety, depression, and suicidal ideation) among self-identified gay and bisexual Latino men in the United States. METHODS: Data were collected from a probability sample of 912 men (self-identified as both Latino and nonheterosexual) recruited from the venues and public social spaces identified as both Latino and gay in the cities of Miami, Los Angeles, and New York. RESULTS: The study showed high prevalence rates of psychologic symptoms of distress in the population of gay Latino men during the 6 months before the interview, including suicidal ideation (17% prevalence), anxiety (44%), and depressed mood (80%). In both univariate and multivariate analyses, experiences of social discrimination were strong predictors of psychologic symptoms. CONCLUSIONS: The mental health difficulties experienced by many gay and bisexual Latino men in the United States are directly related to a social context of oppression that leads to social alienation, low self-esteem, and symptoms of psychologic distress.","ISSN":"0090-0036","note":"PMID: 11392936\nPMCID: PMC1446470","shortTitle":"The impact of homophobia, poverty, and racism on the mental health of gay and bisexual Latino men","journalAbbreviation":"Am J Public Health","author":[{"family":"Díaz","given":"R M"},{"family":"Ayala","given":"G"},{"family":"Bein","given":"E"},{"family":"Henne","given":"J"},{"family":"Marin","given":"B V"}],"issued":{"date-parts":[["2001",6]]}}}],"schema":"https://github.com/citation-style-language/schema/raw/master/csl-citation.json"} </w:instrText>
      </w:r>
      <w:r w:rsidR="008877A4" w:rsidRPr="005C6EAE">
        <w:fldChar w:fldCharType="separate"/>
      </w:r>
      <w:r w:rsidR="002B2DE9" w:rsidRPr="002B2DE9">
        <w:rPr>
          <w:rFonts w:ascii="Calibri" w:hAnsi="Calibri" w:cs="Calibri"/>
        </w:rPr>
        <w:t>(14,23,39)</w:t>
      </w:r>
      <w:r w:rsidR="008877A4" w:rsidRPr="005C6EAE">
        <w:fldChar w:fldCharType="end"/>
      </w:r>
      <w:r w:rsidR="008877A4">
        <w:t xml:space="preserve">, </w:t>
      </w:r>
      <w:r w:rsidR="00CF1E51">
        <w:t xml:space="preserve">participants reporting </w:t>
      </w:r>
      <w:r w:rsidR="007F7750">
        <w:t xml:space="preserve">perceived </w:t>
      </w:r>
      <w:r w:rsidR="00D02C49">
        <w:t xml:space="preserve">everyday </w:t>
      </w:r>
      <w:r w:rsidR="00CF1E51">
        <w:t xml:space="preserve">discrimination in our sample had more than double the </w:t>
      </w:r>
      <w:r w:rsidR="00CF1E51">
        <w:lastRenderedPageBreak/>
        <w:t xml:space="preserve">odds of </w:t>
      </w:r>
      <w:r w:rsidR="00BA210E">
        <w:t>depressive symptoms above the th</w:t>
      </w:r>
      <w:r w:rsidR="00E2654E">
        <w:t>reshold for clinical relevance</w:t>
      </w:r>
      <w:r w:rsidR="00C25A7B">
        <w:t xml:space="preserve"> in cross-sectional analyses</w:t>
      </w:r>
      <w:r w:rsidR="00E2654E">
        <w:t>.</w:t>
      </w:r>
      <w:r w:rsidR="00F26CAB">
        <w:t xml:space="preserve"> However, there was no prospective association between perceived </w:t>
      </w:r>
      <w:r w:rsidR="00D02C49">
        <w:t xml:space="preserve">everyday </w:t>
      </w:r>
      <w:r w:rsidR="00F26CAB">
        <w:t>discrimination and depressive symptoms over six-year follow-up.</w:t>
      </w:r>
      <w:r w:rsidR="004C5F53">
        <w:t xml:space="preserve"> It is possible that </w:t>
      </w:r>
      <w:r w:rsidR="00EB25A4">
        <w:t xml:space="preserve">the impact of ongoing discrimination across the lifespan on </w:t>
      </w:r>
      <w:r w:rsidR="00BC2A23">
        <w:t>mood</w:t>
      </w:r>
      <w:r w:rsidR="00EB25A4">
        <w:t xml:space="preserve"> had already become evident by t</w:t>
      </w:r>
      <w:r w:rsidR="0052422A">
        <w:t>he time of the baseline survey, limiting scope for further deterioration over time</w:t>
      </w:r>
      <w:r w:rsidR="00872013">
        <w:t>, or that the instrument used to measure depressive symptoms was not sensitive to change</w:t>
      </w:r>
      <w:r w:rsidR="0052422A">
        <w:t>.</w:t>
      </w:r>
    </w:p>
    <w:p w14:paraId="0215349E" w14:textId="1BEFD1B2" w:rsidR="003429DA" w:rsidRDefault="000018C3" w:rsidP="00FE7851">
      <w:pPr>
        <w:tabs>
          <w:tab w:val="left" w:pos="2805"/>
        </w:tabs>
        <w:jc w:val="both"/>
      </w:pPr>
      <w:r>
        <w:t>In</w:t>
      </w:r>
      <w:r w:rsidR="0058410F">
        <w:t xml:space="preserve"> contrast, </w:t>
      </w:r>
      <w:r>
        <w:t>we observed</w:t>
      </w:r>
      <w:r w:rsidR="0058410F">
        <w:t xml:space="preserve"> significant associations between perceived </w:t>
      </w:r>
      <w:r w:rsidR="00D02C49">
        <w:t xml:space="preserve">everyday </w:t>
      </w:r>
      <w:r w:rsidR="0058410F">
        <w:t>discrimination and loneliness in both cross-sectional and prospective models.</w:t>
      </w:r>
      <w:r w:rsidR="005A157C">
        <w:t xml:space="preserve"> </w:t>
      </w:r>
      <w:r w:rsidR="00970649">
        <w:t>Middle-aged and o</w:t>
      </w:r>
      <w:r w:rsidR="00DA2CDA">
        <w:t xml:space="preserve">lder LGB people who reported </w:t>
      </w:r>
      <w:r w:rsidR="007F7750">
        <w:t xml:space="preserve">perceived </w:t>
      </w:r>
      <w:r w:rsidR="00DA2CDA">
        <w:t>discrimination</w:t>
      </w:r>
      <w:r w:rsidR="00D02C49">
        <w:t xml:space="preserve"> (based on any attribute)</w:t>
      </w:r>
      <w:r w:rsidR="00DA2CDA">
        <w:t xml:space="preserve"> had over three times higher odds of being lonely cross-sectionally and over six-year follow-up.</w:t>
      </w:r>
      <w:r w:rsidR="005300DB">
        <w:t xml:space="preserve"> </w:t>
      </w:r>
      <w:r w:rsidR="003B3797">
        <w:t xml:space="preserve">Previous studies have shown that older LGB people tend to be more likely than older heterosexual people to live alone, be childless, and </w:t>
      </w:r>
      <w:r w:rsidR="003B3797" w:rsidRPr="00CF4D3A">
        <w:t>grow old without a life partner or “significant other”</w:t>
      </w:r>
      <w:r w:rsidR="00CF4D3A" w:rsidRPr="00CF4D3A">
        <w:t xml:space="preserve"> </w:t>
      </w:r>
      <w:r w:rsidR="00CF4D3A" w:rsidRPr="00CF4D3A">
        <w:fldChar w:fldCharType="begin"/>
      </w:r>
      <w:r w:rsidR="002B2DE9">
        <w:instrText xml:space="preserve"> ADDIN ZOTERO_ITEM CSL_CITATION {"citationID":"KIXJN5h4","properties":{"formattedCitation":"(40)","plainCitation":"(40)","noteIndex":0},"citationItems":[{"id":"A4nDS9l3/CP0AqPlv","uris":["http://zotero.org/users/446899/items/IFWDH8ZX"],"uri":["http://zotero.org/users/446899/items/IFWDH8ZX"],"itemData":{"id":5880,"type":"report","title":"Assistive housing for elderly gays and lesbians in New York city: extent of need and the preferences of elderly Gays and Lesbians","publisher":"Hunter College and SAGE","publisher-place":"New York, NY","event-place":"New York, NY","author":[{"family":"Brookdale Center on Aging &amp; Services and Advocacy for Gay, Lesbian, Bisexual, and Transgender Elders","given":""}],"issued":{"date-parts":[["1999"]]}}}],"schema":"https://github.com/citation-style-language/schema/raw/master/csl-citation.json"} </w:instrText>
      </w:r>
      <w:r w:rsidR="00CF4D3A" w:rsidRPr="00CF4D3A">
        <w:fldChar w:fldCharType="separate"/>
      </w:r>
      <w:r w:rsidR="002B2DE9" w:rsidRPr="002B2DE9">
        <w:rPr>
          <w:rFonts w:ascii="Calibri" w:hAnsi="Calibri" w:cs="Calibri"/>
        </w:rPr>
        <w:t>(40)</w:t>
      </w:r>
      <w:r w:rsidR="00CF4D3A" w:rsidRPr="00CF4D3A">
        <w:fldChar w:fldCharType="end"/>
      </w:r>
      <w:r w:rsidR="003B3797" w:rsidRPr="00CF4D3A">
        <w:t>.</w:t>
      </w:r>
      <w:r w:rsidR="001F1F93" w:rsidRPr="00CF4D3A">
        <w:t xml:space="preserve"> </w:t>
      </w:r>
      <w:r w:rsidR="003429DA">
        <w:t xml:space="preserve">The Civil Partnership Act legalised same-sex unions in 2004, and the Marriage (Same Sex Couples) Act legalised same-sex marriage in 2013, when participants were on average in their 50s and 60s. The inability to form legal partnerships </w:t>
      </w:r>
      <w:r w:rsidR="00CE3242">
        <w:t xml:space="preserve">until later in life </w:t>
      </w:r>
      <w:r w:rsidR="003429DA">
        <w:t>likely contributed to greater loneliness and poorer wellbeing among</w:t>
      </w:r>
      <w:r w:rsidR="00B23B03">
        <w:t xml:space="preserve"> older</w:t>
      </w:r>
      <w:r w:rsidR="003429DA">
        <w:t xml:space="preserve"> LGB people. </w:t>
      </w:r>
      <w:r w:rsidR="004F3A4C" w:rsidRPr="00CF4D3A">
        <w:t xml:space="preserve">Perceived discrimination </w:t>
      </w:r>
      <w:r w:rsidR="00D02C49">
        <w:t xml:space="preserve">(based on any attribute) </w:t>
      </w:r>
      <w:r w:rsidR="004F3A4C" w:rsidRPr="00CF4D3A">
        <w:t xml:space="preserve">may exacerbate </w:t>
      </w:r>
      <w:r w:rsidR="004F3A4C">
        <w:t>loneliness among older LGB people by making them feel less accepted by society and causing them to avoid social situations where they anticipate they may encounter discrimination</w:t>
      </w:r>
      <w:r w:rsidR="005631F8">
        <w:t xml:space="preserve"> </w:t>
      </w:r>
      <w:r w:rsidR="005631F8">
        <w:fldChar w:fldCharType="begin"/>
      </w:r>
      <w:r w:rsidR="002B2DE9">
        <w:instrText xml:space="preserve"> ADDIN ZOTERO_ITEM CSL_CITATION {"citationID":"mvLoNL0Q","properties":{"formattedCitation":"(13)","plainCitation":"(13)","noteIndex":0},"citationItems":[{"id":"A4nDS9l3/Z9Bel4qv","uris":["http://zotero.org/users/446899/items/2FIM3TGV"],"uri":["http://zotero.org/users/446899/items/2FIM3TGV"],"itemData":{"id":5797,"type":"article-journal","title":"Prejudice, Social Stress, and Mental Health in Lesbian, Gay, and Bisexual Populations: Conceptual Issues and Research Evidence","container-title":"Psychological bulletin","page":"674-697","volume":"129","issue":"5","source":"PubMed Central","abstract":"In this article the author reviews research evidence on the prevalence of mental disorders in lesbians, gay men, and bisexuals (LGBs) and shows, using meta-analyses, that LGBs have a higher prevalence of mental disorders than heterosexuals. The author offers a conceptual framework for understanding this excess in prevalence of disorder in terms of minority stress—explaining that stigma, prejudice, and discrimination create a hostile and stressful social environment that causes mental health problems. The model describes stress processes, including the experience of prejudice events, expectations of rejection, hiding and concealing, internalized homophobia, and ameliorative coping processes. This conceptual framework is the basis for the review of research evidence, suggestions for future research directions, and exploration of public policy implications.","DOI":"10.1037/0033-2909.129.5.674","ISSN":"0033-2909","note":"PMID: 12956539\nPMCID: PMC2072932","shortTitle":"Prejudice, Social Stress, and Mental Health in Lesbian, Gay, and Bisexual Populations","journalAbbreviation":"Psychol Bull","author":[{"family":"Meyer","given":"Ilan H."}],"issued":{"date-parts":[["2003",9]]}}}],"schema":"https://github.com/citation-style-language/schema/raw/master/csl-citation.json"} </w:instrText>
      </w:r>
      <w:r w:rsidR="005631F8">
        <w:fldChar w:fldCharType="separate"/>
      </w:r>
      <w:r w:rsidR="00436849" w:rsidRPr="00436849">
        <w:rPr>
          <w:rFonts w:ascii="Calibri" w:hAnsi="Calibri" w:cs="Calibri"/>
        </w:rPr>
        <w:t>(13)</w:t>
      </w:r>
      <w:r w:rsidR="005631F8">
        <w:fldChar w:fldCharType="end"/>
      </w:r>
      <w:r w:rsidR="004F3A4C">
        <w:t>.</w:t>
      </w:r>
      <w:r w:rsidR="001273E4">
        <w:t xml:space="preserve"> </w:t>
      </w:r>
      <w:r w:rsidR="000E0918">
        <w:t xml:space="preserve">Feelings of loneliness among older LGB people </w:t>
      </w:r>
      <w:r w:rsidR="001D0B4A">
        <w:t xml:space="preserve">may be </w:t>
      </w:r>
      <w:r w:rsidR="000E0918">
        <w:t xml:space="preserve">exacerbated by the </w:t>
      </w:r>
      <w:r w:rsidR="00EB7683">
        <w:t>prominent</w:t>
      </w:r>
      <w:r w:rsidR="000E0918">
        <w:t xml:space="preserve"> youth </w:t>
      </w:r>
      <w:r w:rsidR="00FD0447">
        <w:t xml:space="preserve">culture </w:t>
      </w:r>
      <w:r w:rsidR="000E0918">
        <w:t xml:space="preserve">in the LGBT community </w:t>
      </w:r>
      <w:r w:rsidR="000E0918">
        <w:fldChar w:fldCharType="begin"/>
      </w:r>
      <w:r w:rsidR="002B2DE9">
        <w:instrText xml:space="preserve"> ADDIN ZOTERO_ITEM CSL_CITATION {"citationID":"JJyk0f2E","properties":{"formattedCitation":"(22)","plainCitation":"(22)","noteIndex":0},"citationItems":[{"id":"A4nDS9l3/Kx7AKOZM","uris":["http://zotero.org/users/446899/items/VBDUWY8C"],"uri":["http://zotero.org/users/446899/items/VBDUWY8C"],"itemData":{"id":5939,"type":"article-journal","title":"Reported Effects of Masculine Ideals on Gay Men","container-title":"Psychology of men &amp; masculinity","page":"73-87","volume":"10","issue":"1","source":"PubMed Central","abstract":"This exploratory study used consensual qualitative research methodology () to analyze what gay men associate with masculinity and femininity, how they feel masculine ideals affect their self-image, and how masculine ideals affect their same-sex relationships. Written responses were collected from 547 self-identified gay men in the U.S. via an Internet-based survey. Findings supported previous reports that perceptions of gender roles among gay men appear based on masculine and feminine stereotypes. Additionally, more adverse versus positive effects on self-image and same-sex romantic relationships were reported including difficulty being emotional and affectionate, pressure to be physically attractive, and pressure to appear masculine in order to be accepted by society and to be seen as desirable by other gay men. While research on gay men’s experience with masculinity continues, psychologists should consider the possible influence of traditional masculine ideals when conceptualizing their gay male clients.","DOI":"10.1037/a0013513","ISSN":"1524-9220","note":"PMID: 20628534\nPMCID: PMC2902177","journalAbbreviation":"Psychol Men Masc","author":[{"family":"Sánchez","given":"Francisco J."},{"family":"Greenberg","given":"Stefanie T."},{"family":"Liu","given":"William Ming"},{"family":"Vilain","given":"Eric"}],"issued":{"date-parts":[["2009",1]]}}}],"schema":"https://github.com/citation-style-language/schema/raw/master/csl-citation.json"} </w:instrText>
      </w:r>
      <w:r w:rsidR="000E0918">
        <w:fldChar w:fldCharType="separate"/>
      </w:r>
      <w:r w:rsidR="000E0918" w:rsidRPr="001859D4">
        <w:rPr>
          <w:rFonts w:ascii="Calibri" w:hAnsi="Calibri" w:cs="Calibri"/>
        </w:rPr>
        <w:t>(22)</w:t>
      </w:r>
      <w:r w:rsidR="000E0918">
        <w:fldChar w:fldCharType="end"/>
      </w:r>
      <w:r w:rsidR="000E0918">
        <w:t xml:space="preserve">. </w:t>
      </w:r>
      <w:r w:rsidR="00FD0447">
        <w:t xml:space="preserve">The LGBT community is particularly tight-knit </w:t>
      </w:r>
      <w:r w:rsidR="00FD0447">
        <w:fldChar w:fldCharType="begin"/>
      </w:r>
      <w:r w:rsidR="002B2DE9">
        <w:instrText xml:space="preserve"> ADDIN ZOTERO_ITEM CSL_CITATION {"citationID":"xx6LCCYq","properties":{"formattedCitation":"(41)","plainCitation":"(41)","noteIndex":0},"citationItems":[{"id":"A4nDS9l3/i7opxyAJ","uris":["http://zotero.org/users/446899/items/Y36R775W"],"uri":["http://zotero.org/users/446899/items/Y36R775W"],"itemData":{"id":5933,"type":"book","title":"The handbook of lesbian, gay, bisexual, and transgender public health: A practitioner's guide to service","publisher":"Routledge","source":"Google Scholar","shortTitle":"The handbook of lesbian, gay, bisexual, and transgender public health","author":[{"family":"Shankle","given":"Michael"}],"issued":{"date-parts":[["2013"]]}}}],"schema":"https://github.com/citation-style-language/schema/raw/master/csl-citation.json"} </w:instrText>
      </w:r>
      <w:r w:rsidR="00FD0447">
        <w:fldChar w:fldCharType="separate"/>
      </w:r>
      <w:r w:rsidR="002B2DE9" w:rsidRPr="002B2DE9">
        <w:rPr>
          <w:rFonts w:ascii="Calibri" w:hAnsi="Calibri" w:cs="Calibri"/>
        </w:rPr>
        <w:t>(41)</w:t>
      </w:r>
      <w:r w:rsidR="00FD0447">
        <w:fldChar w:fldCharType="end"/>
      </w:r>
      <w:r w:rsidR="00FD0447">
        <w:t xml:space="preserve">, and studies have found that LGB individuals who report a greater feeling of belonging to a community of identity also possess an increased sense of social and psychological wellbeing </w:t>
      </w:r>
      <w:r w:rsidR="00FD0447">
        <w:fldChar w:fldCharType="begin"/>
      </w:r>
      <w:r w:rsidR="002B2DE9">
        <w:instrText xml:space="preserve"> ADDIN ZOTERO_ITEM CSL_CITATION {"citationID":"ptgDHtsT","properties":{"formattedCitation":"(42)","plainCitation":"(42)","noteIndex":0},"citationItems":[{"id":"A4nDS9l3/nXy4ln2u","uris":["http://zotero.org/users/446899/items/5E632UNH"],"uri":["http://zotero.org/users/446899/items/5E632UNH"],"itemData":{"id":5937,"type":"article-journal","title":"Social and psychological well-being in lesbians, gay men, and bisexuals: the effects of race, gender, age, and sexual identity","container-title":"The American Journal of Orthopsychiatry","page":"500-510","volume":"79","issue":"4","source":"PubMed","abstract":"Using a social stress perspective, the authors studied the mental health effects of added burden related to socially disadvantaged status (being African American or Latino, female, young, and identifying as bisexual vs. gay or lesbian) in a community sample of 396 self-identified lesbian, gay, and bisexual (LGB) adults. Mental health outcomes were social and psychological well-being contrasted with depressive symptoms. When mental health deficiencies by disadvantaged social status were detected, the authors examined whether LGB community connectedness and positive sexual identity valence played a mediating role, reducing the social status disparity in outcome. The authors found different patterns when looking at social versus psychological well-being and positive versus negative mental health outcomes. Bisexuality and young age, but not gender and racial/ethnic minority status, were associated with decreased social well-being. In bisexuals, this relationship was mediated by community connectedness and sexual identity valence. Although no differences in social or psychological well-being were found by gender, female gender was associated with depressed mood. The authors conclude that there is limited support for an additive stress model.","DOI":"10.1037/a0016848","ISSN":"1939-0025","note":"PMID: 20099941\nPMCID: PMC2853758","shortTitle":"Social and psychological well-being in lesbians, gay men, and bisexuals","journalAbbreviation":"Am J Orthopsychiatry","language":"eng","author":[{"family":"Kertzner","given":"Robert M."},{"family":"Meyer","given":"Ilan H."},{"family":"Frost","given":"David M."},{"family":"Stirratt","given":"Michael J."}],"issued":{"date-parts":[["2009",10]]}}}],"schema":"https://github.com/citation-style-language/schema/raw/master/csl-citation.json"} </w:instrText>
      </w:r>
      <w:r w:rsidR="00FD0447">
        <w:fldChar w:fldCharType="separate"/>
      </w:r>
      <w:r w:rsidR="002B2DE9" w:rsidRPr="002B2DE9">
        <w:rPr>
          <w:rFonts w:ascii="Calibri" w:hAnsi="Calibri" w:cs="Calibri"/>
        </w:rPr>
        <w:t>(42)</w:t>
      </w:r>
      <w:r w:rsidR="00FD0447">
        <w:fldChar w:fldCharType="end"/>
      </w:r>
      <w:r w:rsidR="00FD0447">
        <w:t>.</w:t>
      </w:r>
      <w:r w:rsidR="00EB7683">
        <w:t xml:space="preserve"> Older LGB people, who have likely spent much of their lives feeling excluded from society,</w:t>
      </w:r>
      <w:r w:rsidR="00FD0447">
        <w:t xml:space="preserve"> </w:t>
      </w:r>
      <w:r w:rsidR="00EB7683">
        <w:t>now live in a world where this side of their lives can be (to a degree) freely expressed. However, with its strong emphasis on youth, they may find themselves rejected by the LGBT community</w:t>
      </w:r>
      <w:r w:rsidR="0086046E">
        <w:t>, worsening loneliness and depressive symptoms</w:t>
      </w:r>
      <w:r w:rsidR="00EB7683">
        <w:t xml:space="preserve">. </w:t>
      </w:r>
      <w:r w:rsidR="00D23787" w:rsidRPr="007A5054">
        <w:t>Our results also provide prospective evidence of associations between perceived discrimination and lower quality of life and life satisfaction</w:t>
      </w:r>
      <w:r w:rsidR="00C24991">
        <w:t xml:space="preserve">, </w:t>
      </w:r>
      <w:r w:rsidR="00CD7160">
        <w:t>suggestive of</w:t>
      </w:r>
      <w:r w:rsidR="001273E4">
        <w:t xml:space="preserve"> a potential causal role of discrimination in the association between LGB sexual orientation and these </w:t>
      </w:r>
      <w:r w:rsidR="00083360">
        <w:t>experiences</w:t>
      </w:r>
      <w:r w:rsidR="001273E4">
        <w:t>.</w:t>
      </w:r>
      <w:r w:rsidR="008559B9">
        <w:t xml:space="preserve"> </w:t>
      </w:r>
    </w:p>
    <w:p w14:paraId="1BBEAB62" w14:textId="6176EA99" w:rsidR="00DA511D" w:rsidRDefault="00572A38" w:rsidP="00FE7851">
      <w:pPr>
        <w:jc w:val="both"/>
      </w:pPr>
      <w:r w:rsidRPr="00572A38">
        <w:t xml:space="preserve">Interestingly, just </w:t>
      </w:r>
      <w:r>
        <w:t>one in eight of those who reported perceived discrimination attributed these experiences to their sexual orientation.</w:t>
      </w:r>
      <w:r w:rsidR="00EB1A70">
        <w:t xml:space="preserve"> </w:t>
      </w:r>
      <w:r w:rsidR="00414B03">
        <w:t>While this figure may seem surprisingly l</w:t>
      </w:r>
      <w:r w:rsidR="009A404F">
        <w:t xml:space="preserve">ow, particularly in comparison with the 42% of LGB adults in a previous survey </w:t>
      </w:r>
      <w:r w:rsidR="00EE0492">
        <w:t xml:space="preserve">in the USA </w:t>
      </w:r>
      <w:r w:rsidR="0069151E">
        <w:t>of 25-74 year-olds</w:t>
      </w:r>
      <w:r w:rsidR="002A259B">
        <w:t xml:space="preserve"> (77.5% &lt;45 years)</w:t>
      </w:r>
      <w:r w:rsidR="0069151E">
        <w:t xml:space="preserve"> </w:t>
      </w:r>
      <w:r w:rsidR="009A404F">
        <w:t xml:space="preserve">reporting sexual orientation as the basis for experiences of </w:t>
      </w:r>
      <w:r w:rsidR="007F7750">
        <w:t xml:space="preserve">perceived </w:t>
      </w:r>
      <w:r w:rsidR="009A404F">
        <w:t>discrimination</w:t>
      </w:r>
      <w:r w:rsidR="008126E4">
        <w:t xml:space="preserve"> </w:t>
      </w:r>
      <w:r w:rsidR="008126E4">
        <w:fldChar w:fldCharType="begin"/>
      </w:r>
      <w:r w:rsidR="002B2DE9">
        <w:instrText xml:space="preserve"> ADDIN ZOTERO_ITEM CSL_CITATION {"citationID":"drY6xURM","properties":{"formattedCitation":"(14)","plainCitation":"(14)","noteIndex":0},"citationItems":[{"id":"A4nDS9l3/Zjgo4MBo","uris":["http://zotero.org/users/446899/items/QTGIX7JP"],"uri":["http://zotero.org/users/446899/items/QTGIX7JP"],"itemData":{"id":5795,"type":"article-journal","title":"Mental Health Correlates of Perceived Discrimination Among Lesbian, Gay, and Bisexual Adults in the United States","container-title":"American Journal of Public Health","page":"1869-1876","volume":"91","issue":"11","source":"ajph.aphapublications.org (Atypon)","abstract":"Objectives. Recent studies suggest that lesbians and gay men are at higher risk for stress-sensitive psychiatric disorders than are heterosexual persons. We examined the possible role of perceived discrimination in generating that risk. Methods.  The National Survey of Midlife Development in the United States, a nationally representative sample of adults aged 25 to 74 years, surveyed individuals self-identifying as homosexual or bisexual (n = 73) or heterosexual (n = 2844) about their lifetime and day-to-day experiences with discrimination. Also assessed were 1-year prevalence of depressive, anxiety, and substance dependence disorders; current psychologic distress; and self-rated mental health. Results.  Homosexual and bisexual individuals more frequently than heterosexual persons reported both lifetime and day-to-day experiences with discrimination. Approximately 42% attributed this to their sexual orientation, in whole or part. Perceived discrimination was positively associated with both harmful effects on quality of life and indicators of psychiatric morbidity in the total sample. Controlling for differences in discrimination experiences attenuated observed associations between psychiatric morbidity and sexual orientation. Conclusions.  Higher levels of discrimination may underlie recent observations of greater psychiatric morbidity risk among lesbian, gay, and bisexual individuals.","DOI":"10.2105/AJPH.91.11.1869","ISSN":"0090-0036","journalAbbreviation":"Am J Public Health","author":[{"family":"Mays","given":"Vickie M."},{"family":"Cochran","given":"Susan D."}],"issued":{"date-parts":[["2001",11,1]]}}}],"schema":"https://github.com/citation-style-language/schema/raw/master/csl-citation.json"} </w:instrText>
      </w:r>
      <w:r w:rsidR="008126E4">
        <w:fldChar w:fldCharType="separate"/>
      </w:r>
      <w:r w:rsidR="00436849" w:rsidRPr="00436849">
        <w:rPr>
          <w:rFonts w:ascii="Calibri" w:hAnsi="Calibri" w:cs="Calibri"/>
        </w:rPr>
        <w:t>(14)</w:t>
      </w:r>
      <w:r w:rsidR="008126E4">
        <w:fldChar w:fldCharType="end"/>
      </w:r>
      <w:r w:rsidR="00414B03">
        <w:t xml:space="preserve">, in the context of the older age of the sample it is understandable. </w:t>
      </w:r>
      <w:r w:rsidR="00DA511D">
        <w:t xml:space="preserve">As an internal dimension of diversity, sexual orientation may be more difficult to recognise </w:t>
      </w:r>
      <w:r w:rsidR="00DA511D" w:rsidRPr="00DA511D">
        <w:t xml:space="preserve">than other </w:t>
      </w:r>
      <w:r w:rsidR="00DA511D">
        <w:t xml:space="preserve">frequently </w:t>
      </w:r>
      <w:r w:rsidR="00DA511D" w:rsidRPr="00062C38">
        <w:t>discriminated characteristics, such as race, age or disability</w:t>
      </w:r>
      <w:r w:rsidR="00062C38" w:rsidRPr="00062C38">
        <w:t xml:space="preserve"> </w:t>
      </w:r>
      <w:r w:rsidR="00062C38" w:rsidRPr="00062C38">
        <w:fldChar w:fldCharType="begin"/>
      </w:r>
      <w:r w:rsidR="002B2DE9">
        <w:instrText xml:space="preserve"> ADDIN ZOTERO_ITEM CSL_CITATION {"citationID":"Kb2lbt2C","properties":{"formattedCitation":"(43)","plainCitation":"(43)","noteIndex":0},"citationItems":[{"id":"A4nDS9l3/6gHi711q","uris":["http://zotero.org/users/446899/items/H2M2TWF6"],"uri":["http://zotero.org/users/446899/items/H2M2TWF6"],"itemData":{"id":5849,"type":"article-journal","title":"Gaydar: Eye-gaze as identity recognition among gay men and lesbians","container-title":"Sexuality and Culture","page":"60-86","volume":"8","issue":"1","source":"Springer Link","abstract":"This paper examines eye-gaze associated with identity recognition among gay men and lesbians. Eye-gaze is argued to be crucial to forces that either trigger or reinforce one gay person’s perception of another person’s gay identity during social encounters. “Gaydar” is the folk concept used within the gay and lesbian culture to name this identity recognition device. An ethnography on Gaydar conducted over a period of three years reveals that eye-gaze in relation to Gaydar includes two different variations of visual contact, the direct and the broken stare. These types of gaze can be accentuated by the presence of other forms of nonverbal communication such as posture, gestures, and smiles. Consciousness in relation to eye-gaze is also discussed to be a distinct trigger and reinforcer of gay and lesbian identity recognition.","DOI":"10.1007/s12119-004-1006-1","ISSN":"1936-4822","shortTitle":"Gaydar","journalAbbreviation":"Sex Cult","language":"en","author":[{"family":"Nicholas","given":"Cheryl L."}],"issued":{"date-parts":[["2004",3,1]]}}}],"schema":"https://github.com/citation-style-language/schema/raw/master/csl-citation.json"} </w:instrText>
      </w:r>
      <w:r w:rsidR="00062C38" w:rsidRPr="00062C38">
        <w:fldChar w:fldCharType="separate"/>
      </w:r>
      <w:r w:rsidR="002B2DE9" w:rsidRPr="002B2DE9">
        <w:rPr>
          <w:rFonts w:ascii="Calibri" w:hAnsi="Calibri" w:cs="Calibri"/>
        </w:rPr>
        <w:t>(43)</w:t>
      </w:r>
      <w:r w:rsidR="00062C38" w:rsidRPr="00062C38">
        <w:fldChar w:fldCharType="end"/>
      </w:r>
      <w:r w:rsidR="00DA511D" w:rsidRPr="00062C38">
        <w:t xml:space="preserve">. </w:t>
      </w:r>
      <w:r w:rsidR="009B4735" w:rsidRPr="00062C38">
        <w:t xml:space="preserve">For example, </w:t>
      </w:r>
      <w:r w:rsidR="009B4735" w:rsidRPr="00062C38">
        <w:lastRenderedPageBreak/>
        <w:t xml:space="preserve">a person might not </w:t>
      </w:r>
      <w:r w:rsidR="009B4735">
        <w:t xml:space="preserve">necessarily reveal their sexual orientation during a medical appointment, but they cannot hide their </w:t>
      </w:r>
      <w:r w:rsidR="00FC7638">
        <w:t>age</w:t>
      </w:r>
      <w:r w:rsidR="009B4735">
        <w:t xml:space="preserve">. </w:t>
      </w:r>
      <w:r w:rsidR="00DA511D">
        <w:t>With older people rarely considered to be sexual beings</w:t>
      </w:r>
      <w:r w:rsidR="00792B8A">
        <w:t xml:space="preserve"> </w:t>
      </w:r>
      <w:r w:rsidR="00792B8A">
        <w:fldChar w:fldCharType="begin"/>
      </w:r>
      <w:r w:rsidR="002B2DE9">
        <w:instrText xml:space="preserve"> ADDIN ZOTERO_ITEM CSL_CITATION {"citationID":"mFh35edi","properties":{"formattedCitation":"(44)","plainCitation":"(44)","noteIndex":0},"citationItems":[{"id":"A4nDS9l3/JhhCRTPl","uris":["http://zotero.org/users/446899/items/HB9PYW5Q"],"uri":["http://zotero.org/users/446899/items/HB9PYW5Q"],"itemData":{"id":5846,"type":"article-journal","title":"Sexuality in the older person","container-title":"Age and Ageing","page":"121-124","volume":"30","issue":"2","source":"academic.oup.com","abstract":"Belinda Kessel;  Sexuality in the older person, Age and Ageing, Volume 30, Issue 2, 1 March 2001, Pages 121–124, https://doi.org/10.1093/ageing/30.2.121","DOI":"10.1093/ageing/30.2.121","ISSN":"0002-0729","journalAbbreviation":"Age Ageing","language":"en","author":[{"family":"Kessel","given":"Belinda"}],"issued":{"date-parts":[["2001",3,1]]}}}],"schema":"https://github.com/citation-style-language/schema/raw/master/csl-citation.json"} </w:instrText>
      </w:r>
      <w:r w:rsidR="00792B8A">
        <w:fldChar w:fldCharType="separate"/>
      </w:r>
      <w:r w:rsidR="002B2DE9" w:rsidRPr="002B2DE9">
        <w:rPr>
          <w:rFonts w:ascii="Calibri" w:hAnsi="Calibri" w:cs="Calibri"/>
        </w:rPr>
        <w:t>(44)</w:t>
      </w:r>
      <w:r w:rsidR="00792B8A">
        <w:fldChar w:fldCharType="end"/>
      </w:r>
      <w:r w:rsidR="00DA511D">
        <w:t xml:space="preserve">, sexual orientation, a key aspect of sexuality, may </w:t>
      </w:r>
      <w:r w:rsidR="00E41A6B">
        <w:t>be even less likely to attract</w:t>
      </w:r>
      <w:r w:rsidR="00DA511D">
        <w:t xml:space="preserve"> discriminatory behaviour from others</w:t>
      </w:r>
      <w:r w:rsidR="00E41A6B">
        <w:t xml:space="preserve"> than it would in younger LGB individuals</w:t>
      </w:r>
      <w:r w:rsidR="00572309">
        <w:t>.</w:t>
      </w:r>
    </w:p>
    <w:p w14:paraId="118D4B0E" w14:textId="6D8D7164" w:rsidR="00A95298" w:rsidRDefault="00AC6220" w:rsidP="00FE7851">
      <w:pPr>
        <w:jc w:val="both"/>
      </w:pPr>
      <w:r>
        <w:t xml:space="preserve">When we compared associations between perceived discrimination and health and wellbeing outcomes in those who attributed experiences of </w:t>
      </w:r>
      <w:r w:rsidR="007F7750">
        <w:t xml:space="preserve">perceived </w:t>
      </w:r>
      <w:r>
        <w:t xml:space="preserve">discrimination to their sexual orientation </w:t>
      </w:r>
      <w:r w:rsidR="00070B57">
        <w:t>with</w:t>
      </w:r>
      <w:r>
        <w:t xml:space="preserve"> those who did not, we observed substantially larger effect sizes for the group who </w:t>
      </w:r>
      <w:r w:rsidR="00C378AB">
        <w:t>reported</w:t>
      </w:r>
      <w:r>
        <w:t xml:space="preserve"> </w:t>
      </w:r>
      <w:r w:rsidR="007F7750">
        <w:t xml:space="preserve">perceived </w:t>
      </w:r>
      <w:r>
        <w:t xml:space="preserve">discrimination </w:t>
      </w:r>
      <w:proofErr w:type="gramStart"/>
      <w:r>
        <w:t>on the basis of</w:t>
      </w:r>
      <w:proofErr w:type="gramEnd"/>
      <w:r>
        <w:t xml:space="preserve"> their sexual orientation.</w:t>
      </w:r>
      <w:r w:rsidR="00F67A10">
        <w:t xml:space="preserve"> </w:t>
      </w:r>
      <w:bookmarkStart w:id="6" w:name="_Hlk5906800"/>
      <w:r w:rsidR="006A6534">
        <w:t>Compared with those who did not perceive discrimination,</w:t>
      </w:r>
      <w:r w:rsidR="00970649">
        <w:t xml:space="preserve"> middle-aged and</w:t>
      </w:r>
      <w:r w:rsidR="006A6534">
        <w:t xml:space="preserve"> </w:t>
      </w:r>
      <w:r w:rsidR="00C006AE">
        <w:t xml:space="preserve">older </w:t>
      </w:r>
      <w:r w:rsidR="006A6534">
        <w:t xml:space="preserve">LGB adults who </w:t>
      </w:r>
      <w:r w:rsidR="005F512E">
        <w:t>reported</w:t>
      </w:r>
      <w:r w:rsidR="006A6534">
        <w:t xml:space="preserve"> </w:t>
      </w:r>
      <w:r w:rsidR="007F7750">
        <w:t xml:space="preserve">perceived </w:t>
      </w:r>
      <w:r w:rsidR="006A6534">
        <w:t xml:space="preserve">discrimination </w:t>
      </w:r>
      <w:proofErr w:type="gramStart"/>
      <w:r w:rsidR="006A6534">
        <w:t>on the basis of</w:t>
      </w:r>
      <w:proofErr w:type="gramEnd"/>
      <w:r w:rsidR="006A6534">
        <w:t xml:space="preserve"> their sexual orientation had more than six times higher odds of loneliness and more than nine times higher odds of depressive symptoms</w:t>
      </w:r>
      <w:r w:rsidR="00161670">
        <w:t xml:space="preserve"> in cross-sectional analyses</w:t>
      </w:r>
      <w:r w:rsidR="006A6534">
        <w:t>; statistically significant differences despite the very small sample size.</w:t>
      </w:r>
      <w:r w:rsidR="00D12EB3">
        <w:t xml:space="preserve"> </w:t>
      </w:r>
      <w:r w:rsidR="00925E91">
        <w:t xml:space="preserve">The small size of this subgroup and the large confidence intervals mean that these results should be interpreted cautiously. </w:t>
      </w:r>
      <w:bookmarkEnd w:id="6"/>
      <w:r w:rsidR="00502F19">
        <w:t xml:space="preserve">They also had more than six times higher odds of fair/poor self-rated health; a significant difference that was not observed </w:t>
      </w:r>
      <w:r w:rsidR="00AB25FD">
        <w:t xml:space="preserve">in the adjusted model </w:t>
      </w:r>
      <w:r w:rsidR="007403D9">
        <w:t>when</w:t>
      </w:r>
      <w:r w:rsidR="00502F19">
        <w:t xml:space="preserve"> the groups who did and did not attribute </w:t>
      </w:r>
      <w:r w:rsidR="007F7750">
        <w:t xml:space="preserve">perceived </w:t>
      </w:r>
      <w:r w:rsidR="00502F19">
        <w:t>discriminatory experiences to their sexual orientation were combined.</w:t>
      </w:r>
      <w:r w:rsidR="000C1E56">
        <w:t xml:space="preserve"> </w:t>
      </w:r>
      <w:r w:rsidR="00D12EB3">
        <w:t xml:space="preserve">Prospectively, </w:t>
      </w:r>
      <w:r w:rsidR="00CA78FF">
        <w:t xml:space="preserve">middle-aged and </w:t>
      </w:r>
      <w:r w:rsidR="007657F5">
        <w:t xml:space="preserve">older LGB people who reported </w:t>
      </w:r>
      <w:r w:rsidR="00DE5A6D">
        <w:t xml:space="preserve">perceived </w:t>
      </w:r>
      <w:r w:rsidR="007657F5">
        <w:t>discrimination</w:t>
      </w:r>
      <w:r w:rsidR="00D12EB3">
        <w:t xml:space="preserve"> </w:t>
      </w:r>
      <w:r w:rsidR="007657F5">
        <w:t>had</w:t>
      </w:r>
      <w:r w:rsidR="00D12EB3">
        <w:t xml:space="preserve"> significantly lower mean quality of life and had more than seven times higher odds of being lonely.</w:t>
      </w:r>
      <w:r w:rsidR="005F5595">
        <w:t xml:space="preserve"> </w:t>
      </w:r>
      <w:r w:rsidR="006B3FB6" w:rsidRPr="00AF2318">
        <w:t xml:space="preserve">These results indicate that perception of discrimination </w:t>
      </w:r>
      <w:proofErr w:type="gramStart"/>
      <w:r w:rsidR="006B3FB6" w:rsidRPr="00AF2318">
        <w:t>on the basis of</w:t>
      </w:r>
      <w:proofErr w:type="gramEnd"/>
      <w:r w:rsidR="006B3FB6" w:rsidRPr="00AF2318">
        <w:t xml:space="preserve"> sexual orientation was more strongly linked with health and wellbeing outcomes than was discrimination attributed to other characteristics. </w:t>
      </w:r>
      <w:r w:rsidR="0004561A">
        <w:t xml:space="preserve">It may be that group identity – in this case, as </w:t>
      </w:r>
      <w:proofErr w:type="gramStart"/>
      <w:r w:rsidR="0004561A">
        <w:t>a</w:t>
      </w:r>
      <w:proofErr w:type="gramEnd"/>
      <w:r w:rsidR="0004561A">
        <w:t xml:space="preserve"> LGB person – has an important influence on the impact of </w:t>
      </w:r>
      <w:r w:rsidR="007F7750">
        <w:t xml:space="preserve">perceived </w:t>
      </w:r>
      <w:r w:rsidR="0004561A">
        <w:t xml:space="preserve">discrimination on health and wellbeing. </w:t>
      </w:r>
      <w:r w:rsidR="00FB69D1">
        <w:t xml:space="preserve">It is possible that </w:t>
      </w:r>
      <w:r w:rsidR="007F7750">
        <w:t xml:space="preserve">perceived </w:t>
      </w:r>
      <w:r w:rsidR="00FB69D1">
        <w:t>d</w:t>
      </w:r>
      <w:r w:rsidR="00FB6D9D">
        <w:t xml:space="preserve">iscrimination </w:t>
      </w:r>
      <w:proofErr w:type="gramStart"/>
      <w:r w:rsidR="00FB6D9D">
        <w:t>on the basis of</w:t>
      </w:r>
      <w:proofErr w:type="gramEnd"/>
      <w:r w:rsidR="00FB6D9D">
        <w:t xml:space="preserve"> this core aspect of identity may have a more detrimental impact upon health and wellbeing than other personal characteristics, such as age or sex.</w:t>
      </w:r>
    </w:p>
    <w:p w14:paraId="0EE32F9B" w14:textId="6688B5E4" w:rsidR="00EB52CF" w:rsidRDefault="00883F2C" w:rsidP="00FE7851">
      <w:pPr>
        <w:jc w:val="both"/>
      </w:pPr>
      <w:r>
        <w:t xml:space="preserve">These findings have important implications for the health and wellbeing of a substantial proportion of the older population. </w:t>
      </w:r>
      <w:r w:rsidR="00EB52CF">
        <w:t xml:space="preserve">The best available estimate of the size of the LGB population in England is 2.5% (range 2.5% to 5.89%) </w:t>
      </w:r>
      <w:r w:rsidR="00EB52CF">
        <w:fldChar w:fldCharType="begin"/>
      </w:r>
      <w:r w:rsidR="002B2DE9">
        <w:instrText xml:space="preserve"> ADDIN ZOTERO_ITEM CSL_CITATION {"citationID":"vhBmEN2w","properties":{"formattedCitation":"(45)","plainCitation":"(45)","noteIndex":0},"citationItems":[{"id":"A4nDS9l3/tyBJHagi","uris":["http://zotero.org/users/446899/items/MDFAKFE9"],"uri":["http://zotero.org/users/446899/items/MDFAKFE9"],"itemData":{"id":5830,"type":"webpage","title":"Producing modelled estimates of the size of the LGB population of England: Final Report","container-title":"GOV.UK","abstract":"This report establishes a new robust estimate of the size of the lesbian, gay and bisexual (LGB) population of England.","URL":"https://www.gov.uk/government/publications/producing-estimates-of-the-size-of-the-lgb-population-of-england","language":"en","author":[{"family":"Public Health England","given":""}],"issued":{"date-parts":[["2017"]]},"accessed":{"date-parts":[["2018",11,6]]}}}],"schema":"https://github.com/citation-style-language/schema/raw/master/csl-citation.json"} </w:instrText>
      </w:r>
      <w:r w:rsidR="00EB52CF">
        <w:fldChar w:fldCharType="separate"/>
      </w:r>
      <w:r w:rsidR="002B2DE9" w:rsidRPr="002B2DE9">
        <w:rPr>
          <w:rFonts w:ascii="Calibri" w:hAnsi="Calibri" w:cs="Calibri"/>
        </w:rPr>
        <w:t>(45)</w:t>
      </w:r>
      <w:r w:rsidR="00EB52CF">
        <w:fldChar w:fldCharType="end"/>
      </w:r>
      <w:r w:rsidR="00EB52CF">
        <w:t xml:space="preserve">. Based on population estimates provided by the Office for National Statistics </w:t>
      </w:r>
      <w:r w:rsidR="00EB52CF">
        <w:fldChar w:fldCharType="begin"/>
      </w:r>
      <w:r w:rsidR="002B2DE9">
        <w:instrText xml:space="preserve"> ADDIN ZOTERO_ITEM CSL_CITATION {"citationID":"qtyjh41t","properties":{"formattedCitation":"(46)","plainCitation":"(46)","noteIndex":0},"citationItems":[{"id":"A4nDS9l3/mhU2MuuE","uris":["http://zotero.org/users/446899/items/2ISAN654"],"uri":["http://zotero.org/users/446899/items/2ISAN654"],"itemData":{"id":5832,"type":"report","title":"Overview of the UK population: November 2018","URL":"https://www.ons.gov.uk/peoplepopulationandcommunity/populationandmigration/populationestimates/articles/overviewoftheukpopulation/november2018","author":[{"family":"Office for National Statistics","given":""}],"issued":{"date-parts":[["2018"]]},"accessed":{"date-parts":[["2018",6,11]]}}}],"schema":"https://github.com/citation-style-language/schema/raw/master/csl-citation.json"} </w:instrText>
      </w:r>
      <w:r w:rsidR="00EB52CF">
        <w:fldChar w:fldCharType="separate"/>
      </w:r>
      <w:r w:rsidR="002B2DE9" w:rsidRPr="002B2DE9">
        <w:rPr>
          <w:rFonts w:ascii="Calibri" w:hAnsi="Calibri" w:cs="Calibri"/>
        </w:rPr>
        <w:t>(46)</w:t>
      </w:r>
      <w:r w:rsidR="00EB52CF">
        <w:fldChar w:fldCharType="end"/>
      </w:r>
      <w:r w:rsidR="00EB52CF">
        <w:t xml:space="preserve">, this equates to </w:t>
      </w:r>
      <w:r w:rsidR="00EB52CF" w:rsidRPr="00FA154E">
        <w:t xml:space="preserve">approximately </w:t>
      </w:r>
      <w:r w:rsidR="00EB52CF">
        <w:t>1.13 million</w:t>
      </w:r>
      <w:r w:rsidR="00EB52CF" w:rsidRPr="00FA154E">
        <w:t xml:space="preserve"> LGB adults in England, of whom </w:t>
      </w:r>
      <w:r w:rsidR="00EB52CF">
        <w:t>around 253,000</w:t>
      </w:r>
      <w:r w:rsidR="00EB52CF" w:rsidRPr="00FA154E">
        <w:t xml:space="preserve"> </w:t>
      </w:r>
      <w:r w:rsidR="00EB52CF">
        <w:t xml:space="preserve">(up to a maximum of 596,000 based on the upper limit) </w:t>
      </w:r>
      <w:r w:rsidR="00EB52CF" w:rsidRPr="00FA154E">
        <w:t>are over the age of 65.</w:t>
      </w:r>
      <w:r w:rsidR="00EB52CF">
        <w:t xml:space="preserve"> With the number of older adults projected to continue to rise substantially over coming years </w:t>
      </w:r>
      <w:r w:rsidR="00EB52CF">
        <w:fldChar w:fldCharType="begin"/>
      </w:r>
      <w:r w:rsidR="002B2DE9">
        <w:instrText xml:space="preserve"> ADDIN ZOTERO_ITEM CSL_CITATION {"citationID":"KpmFiHOL","properties":{"formattedCitation":"(46)","plainCitation":"(46)","noteIndex":0},"citationItems":[{"id":"A4nDS9l3/mhU2MuuE","uris":["http://zotero.org/users/446899/items/2ISAN654"],"uri":["http://zotero.org/users/446899/items/2ISAN654"],"itemData":{"id":5832,"type":"report","title":"Overview of the UK population: November 2018","URL":"https://www.ons.gov.uk/peoplepopulationandcommunity/populationandmigration/populationestimates/articles/overviewoftheukpopulation/november2018","author":[{"family":"Office for National Statistics","given":""}],"issued":{"date-parts":[["2018"]]},"accessed":{"date-parts":[["2018",6,11]]}}}],"schema":"https://github.com/citation-style-language/schema/raw/master/csl-citation.json"} </w:instrText>
      </w:r>
      <w:r w:rsidR="00EB52CF">
        <w:fldChar w:fldCharType="separate"/>
      </w:r>
      <w:r w:rsidR="002B2DE9" w:rsidRPr="002B2DE9">
        <w:rPr>
          <w:rFonts w:ascii="Calibri" w:hAnsi="Calibri" w:cs="Calibri"/>
        </w:rPr>
        <w:t>(46)</w:t>
      </w:r>
      <w:r w:rsidR="00EB52CF">
        <w:fldChar w:fldCharType="end"/>
      </w:r>
      <w:r w:rsidR="00EB52CF">
        <w:t xml:space="preserve">, the number of LGB individuals aged </w:t>
      </w:r>
      <w:r w:rsidR="00EB52CF">
        <w:rPr>
          <w:rFonts w:cstheme="minorHAnsi"/>
        </w:rPr>
        <w:t>≥</w:t>
      </w:r>
      <w:r w:rsidR="00EB52CF">
        <w:t>65 looks set to surpass 500,000 (up to a maximum of 1.2 million) by 2041.</w:t>
      </w:r>
      <w:r w:rsidR="00B34FDB">
        <w:t xml:space="preserve"> </w:t>
      </w:r>
      <w:r w:rsidR="00AD54C5">
        <w:t xml:space="preserve">Initiatives tackling discrimination against LGB people could help to mitigate the increased risk of poor health and wellbeing </w:t>
      </w:r>
      <w:r w:rsidR="000431E2">
        <w:t>in this</w:t>
      </w:r>
      <w:r w:rsidR="000C0311">
        <w:t xml:space="preserve"> rapidly expanding</w:t>
      </w:r>
      <w:r w:rsidR="000431E2">
        <w:t xml:space="preserve"> population group</w:t>
      </w:r>
      <w:r w:rsidR="00AD54C5">
        <w:t>.</w:t>
      </w:r>
      <w:r w:rsidR="00F256D2">
        <w:t xml:space="preserve"> </w:t>
      </w:r>
      <w:r w:rsidR="00D02C49">
        <w:t xml:space="preserve">These initiatives should recognise that individuals might hold multiple marginal identities and as such the primary </w:t>
      </w:r>
      <w:r w:rsidR="00D02C49">
        <w:lastRenderedPageBreak/>
        <w:t xml:space="preserve">attribution for discrimination in this group may not be solely based on their sexual orientation. </w:t>
      </w:r>
      <w:r w:rsidR="00841046">
        <w:t>A</w:t>
      </w:r>
      <w:r w:rsidR="006E78CC">
        <w:t>ddressing stigma and discrimination in healthcare settings may be particularly relevant to improving health outcomes</w:t>
      </w:r>
      <w:r w:rsidR="00D02C49">
        <w:t xml:space="preserve"> in middle aged and older LBG people</w:t>
      </w:r>
      <w:r w:rsidR="006E78CC">
        <w:t xml:space="preserve">. </w:t>
      </w:r>
      <w:r w:rsidR="00341154">
        <w:t>Previous literature has noted important differences between LGB and heterosexuals in health insurance coverage, access to healthcare, and use of preventive services</w:t>
      </w:r>
      <w:r w:rsidR="00CC3F1D">
        <w:t xml:space="preserve">  </w:t>
      </w:r>
      <w:r w:rsidR="00CC3F1D">
        <w:fldChar w:fldCharType="begin"/>
      </w:r>
      <w:r w:rsidR="002B2DE9">
        <w:instrText xml:space="preserve"> ADDIN ZOTERO_ITEM CSL_CITATION {"citationID":"HQuNd9mL","properties":{"formattedCitation":"(47,48)","plainCitation":"(47,48)","noteIndex":0},"citationItems":[{"id":"A4nDS9l3/oEltnVFt","uris":["http://zotero.org/users/446899/items/T2634XC2"],"uri":["http://zotero.org/users/446899/items/T2634XC2"],"itemData":{"id":7336,"type":"article-journal","title":"Disparities in health insurance coverage, access, and outcomes for individuals in same-sex versus different-sex relationships, 2000-2007.","container-title":"American journal of public health","page":"489-495","volume":"100","issue":"3","source":"europepmc.org","abstract":"Abstract: OBJECTIVES: We used data from the Behavioral Risk Factor Surveillance System to compare health insurance coverage, access to care, and women's...","DOI":"10.2105/AJPH.2009.160804","ISSN":"0090-0036","note":"PMID: 20075319","journalAbbreviation":"Am J Public Health","language":"eng","author":[{"family":"Buchmueller","given":"T."},{"family":"Carpenter","given":"C. S."}],"issued":{"date-parts":[["2010",3]]}}},{"id":"A4nDS9l3/bSGiXpvw","uris":["http://zotero.org/users/446899/items/5LY2MMGN"],"uri":["http://zotero.org/users/446899/items/5LY2MMGN"],"itemData":{"id":7333,"type":"article-journal","title":"Health care access among individuals involved in same-sex relationships.","container-title":"American journal of public health","page":"1111-1118","volume":"96","issue":"6","source":"europepmc.org","abstract":"Abstract: OBJECTIVES: We used data from the National Health Interview Survey to compare health care access among individuals involved in same-sex versus...","DOI":"10.2105/AJPH.2005.062661","ISSN":"0090-0036","note":"PMID: 16670230","journalAbbreviation":"Am J Public Health","language":"eng","author":[{"family":"Heck","given":"J. E."},{"family":"Sell","given":"R. L."},{"family":"Gorin","given":"S. S."}],"issued":{"date-parts":[["2006",6]]}}}],"schema":"https://github.com/citation-style-language/schema/raw/master/csl-citation.json"} </w:instrText>
      </w:r>
      <w:r w:rsidR="00CC3F1D">
        <w:fldChar w:fldCharType="separate"/>
      </w:r>
      <w:r w:rsidR="002B2DE9" w:rsidRPr="002B2DE9">
        <w:rPr>
          <w:rFonts w:ascii="Calibri" w:hAnsi="Calibri" w:cs="Calibri"/>
        </w:rPr>
        <w:t>(47,48)</w:t>
      </w:r>
      <w:r w:rsidR="00CC3F1D">
        <w:fldChar w:fldCharType="end"/>
      </w:r>
      <w:r w:rsidR="00FF7F63">
        <w:t>, which may have a direct impact on health</w:t>
      </w:r>
      <w:r w:rsidR="00CC3F1D">
        <w:t>.</w:t>
      </w:r>
      <w:r w:rsidR="00341154">
        <w:t xml:space="preserve"> </w:t>
      </w:r>
      <w:r w:rsidR="00CC3F1D">
        <w:t>I</w:t>
      </w:r>
      <w:r w:rsidR="00341154">
        <w:t>n the present study</w:t>
      </w:r>
      <w:r w:rsidR="006E78CC">
        <w:t xml:space="preserve"> one in four participants reported receiving poorer treat</w:t>
      </w:r>
      <w:r w:rsidR="00341154">
        <w:t>ment from doctors and hospitals.</w:t>
      </w:r>
      <w:r w:rsidR="00305F16">
        <w:t xml:space="preserve"> Addressing the issue of LGB bias in medical training, where </w:t>
      </w:r>
      <w:proofErr w:type="spellStart"/>
      <w:r w:rsidR="00305F16">
        <w:t>heterosexism</w:t>
      </w:r>
      <w:proofErr w:type="spellEnd"/>
      <w:r w:rsidR="00305F16">
        <w:t xml:space="preserve"> and anti-LGB discrimination occurs frequently </w:t>
      </w:r>
      <w:r w:rsidR="00305F16">
        <w:fldChar w:fldCharType="begin"/>
      </w:r>
      <w:r w:rsidR="002B2DE9">
        <w:instrText xml:space="preserve"> ADDIN ZOTERO_ITEM CSL_CITATION {"citationID":"nIf35Owz","properties":{"formattedCitation":"(49)","plainCitation":"(49)","noteIndex":0},"citationItems":[{"id":"A4nDS9l3/XIl1J9aw","uris":["http://zotero.org/users/446899/items/HXVC8CZC"],"uri":["http://zotero.org/users/446899/items/HXVC8CZC"],"itemData":{"id":7329,"type":"article-journal","title":"Medical students' perception of lesbian, gay, bisexual, and transgender (LGBT) discrimination in their learning environment and their self-reported comfort level for caring for LGBT patients: a survey study.","container-title":"Medical education online","page":"1368850-1368850","volume":"22","issue":"1","source":"europepmc.org","abstract":"Background: Historically, medical students who are lesbian, gay, bisexual or transgendered (LGBT) report higher rates of social stress, depression, and anxiety, while LGBT patients have reported discrimination and poorer access to healthcare.\nObjective: ...","DOI":"10.1080/10872981.2017.1368850","ISSN":"1087-2981","note":"PMID: 28853327","shortTitle":"Medical students' perception of lesbian, gay, bisexual, and transgender (LGBT) discrimination in their learning environment and their self-reported comfort level for caring for LGBT patients","journalAbbreviation":"Med Educ Online","language":"eng","author":[{"family":"Nama","given":"N."},{"family":"MacPherson","given":"P."},{"family":"Sampson","given":"M."},{"family":"McMillan","given":"H. J."}],"issued":{"date-parts":[["2017"]]}}}],"schema":"https://github.com/citation-style-language/schema/raw/master/csl-citation.json"} </w:instrText>
      </w:r>
      <w:r w:rsidR="00305F16">
        <w:fldChar w:fldCharType="separate"/>
      </w:r>
      <w:r w:rsidR="002B2DE9" w:rsidRPr="002B2DE9">
        <w:rPr>
          <w:rFonts w:ascii="Calibri" w:hAnsi="Calibri" w:cs="Calibri"/>
        </w:rPr>
        <w:t>(49)</w:t>
      </w:r>
      <w:r w:rsidR="00305F16">
        <w:fldChar w:fldCharType="end"/>
      </w:r>
      <w:r w:rsidR="00305F16">
        <w:t>, may help to promote a more equal health service for future generations.</w:t>
      </w:r>
    </w:p>
    <w:p w14:paraId="217EA645" w14:textId="72734424" w:rsidR="009C48CB" w:rsidRDefault="009C48CB" w:rsidP="00FE7851">
      <w:pPr>
        <w:jc w:val="both"/>
      </w:pPr>
      <w:r>
        <w:t xml:space="preserve">Strengths of this </w:t>
      </w:r>
      <w:r w:rsidRPr="000C460D">
        <w:t xml:space="preserve">study include the prospective design and </w:t>
      </w:r>
      <w:r w:rsidR="000C460D" w:rsidRPr="000C460D">
        <w:t>inclusion of a variety of validated measures of health and wellbeing</w:t>
      </w:r>
      <w:r w:rsidRPr="000C460D">
        <w:t xml:space="preserve">. </w:t>
      </w:r>
      <w:r w:rsidR="0053546B" w:rsidRPr="000C460D">
        <w:t>The</w:t>
      </w:r>
      <w:r w:rsidR="0053546B" w:rsidRPr="001F7CA9">
        <w:rPr>
          <w:rFonts w:eastAsiaTheme="majorEastAsia" w:cstheme="minorHAnsi"/>
        </w:rPr>
        <w:t xml:space="preserve"> majority of previous studies</w:t>
      </w:r>
      <w:r w:rsidR="0053546B">
        <w:rPr>
          <w:rFonts w:eastAsiaTheme="majorEastAsia" w:cstheme="minorHAnsi"/>
        </w:rPr>
        <w:t xml:space="preserve"> investigating the health impacts of other forms of discrimination </w:t>
      </w:r>
      <w:r w:rsidR="0053546B" w:rsidRPr="001F7CA9">
        <w:rPr>
          <w:rFonts w:eastAsiaTheme="majorEastAsia" w:cstheme="minorHAnsi"/>
        </w:rPr>
        <w:t xml:space="preserve">have relied on cross-sectional designs and convenience sampling </w:t>
      </w:r>
      <w:r w:rsidR="0053546B" w:rsidRPr="001F7CA9">
        <w:rPr>
          <w:rFonts w:eastAsiaTheme="majorEastAsia" w:cstheme="minorHAnsi"/>
        </w:rPr>
        <w:fldChar w:fldCharType="begin"/>
      </w:r>
      <w:r w:rsidR="002B2DE9">
        <w:rPr>
          <w:rFonts w:eastAsiaTheme="majorEastAsia" w:cstheme="minorHAnsi"/>
        </w:rPr>
        <w:instrText xml:space="preserve"> ADDIN ZOTERO_ITEM CSL_CITATION {"citationID":"8eoHINUp","properties":{"formattedCitation":"(15)","plainCitation":"(15)","noteIndex":0},"citationItems":[{"id":"A4nDS9l3/nihhcNdu","uris":["http://zotero.org/users/446899/items/KGTQXDRE"],"uri":["http://zotero.org/users/446899/items/KGTQXDRE"],"itemData":{"id":1390,"type":"article-journal","title":"Perceived discrimination and health: A meta-analytic review","container-title":"Psychological Bulletin","page":"531-554","volume":"135","issue":"4","source":"APA PsycNET","abstract":"Perceived discrimination has been studied with regard to its impact on several types of health effects. This meta-analysis provides a comprehensive account of the relationships between multiple forms of perceived discrimination and both mental and physical health outcomes. In addition, this meta-analysis examines potential mechanisms by which perceiving discrimination may affect health, including through psychological and physiological stress responses and health behaviors. Analysis of 134 samples suggests that when weighting each study’s contribution by sample size, perceived discrimination has a significant negative effect on both mental and physical health. Perceived discrimination also produces significantly heightened stress responses and is related to participation in unhealthy and nonparticipation in healthy behaviors. These findings suggest potential pathways linking perceived discrimination to negative health outcomes.","DOI":"10.1037/a0016059","ISSN":"1939-1455(Electronic);0033-2909(Print)","shortTitle":"Perceived discrimination and health","author":[{"family":"Pascoe","given":"Elizabeth A."},{"family":"Smart Richman","given":"Laura"}],"issued":{"date-parts":[["2009"]]}}}],"schema":"https://github.com/citation-style-language/schema/raw/master/csl-citation.json"} </w:instrText>
      </w:r>
      <w:r w:rsidR="0053546B" w:rsidRPr="001F7CA9">
        <w:rPr>
          <w:rFonts w:eastAsiaTheme="majorEastAsia" w:cstheme="minorHAnsi"/>
        </w:rPr>
        <w:fldChar w:fldCharType="separate"/>
      </w:r>
      <w:r w:rsidR="00436849" w:rsidRPr="00436849">
        <w:rPr>
          <w:rFonts w:ascii="Calibri" w:hAnsi="Calibri" w:cs="Calibri"/>
        </w:rPr>
        <w:t>(15)</w:t>
      </w:r>
      <w:r w:rsidR="0053546B" w:rsidRPr="001F7CA9">
        <w:rPr>
          <w:rFonts w:eastAsiaTheme="majorEastAsia" w:cstheme="minorHAnsi"/>
        </w:rPr>
        <w:fldChar w:fldCharType="end"/>
      </w:r>
      <w:r w:rsidR="0053546B" w:rsidRPr="001F7CA9">
        <w:rPr>
          <w:rFonts w:eastAsiaTheme="majorEastAsia" w:cstheme="minorHAnsi"/>
        </w:rPr>
        <w:t>.</w:t>
      </w:r>
      <w:r w:rsidR="0053546B">
        <w:rPr>
          <w:rFonts w:eastAsiaTheme="majorEastAsia" w:cstheme="minorHAnsi"/>
        </w:rPr>
        <w:t xml:space="preserve"> </w:t>
      </w:r>
      <w:r w:rsidR="0044544B">
        <w:rPr>
          <w:rFonts w:eastAsiaTheme="majorEastAsia" w:cstheme="minorHAnsi"/>
        </w:rPr>
        <w:t xml:space="preserve">Additionally, the questions on sexual orientation were drawn from a questionnaire that was based on Britain’s </w:t>
      </w:r>
      <w:r w:rsidR="0044544B">
        <w:rPr>
          <w:color w:val="000000"/>
          <w:shd w:val="clear" w:color="auto" w:fill="FFFFFF"/>
        </w:rPr>
        <w:t>National Survey of Sexual Attitudes and Lifestyles</w:t>
      </w:r>
      <w:r w:rsidR="00C432EA">
        <w:rPr>
          <w:color w:val="000000"/>
          <w:shd w:val="clear" w:color="auto" w:fill="FFFFFF"/>
        </w:rPr>
        <w:t xml:space="preserve"> (</w:t>
      </w:r>
      <w:proofErr w:type="spellStart"/>
      <w:r w:rsidR="00C432EA">
        <w:rPr>
          <w:color w:val="000000"/>
          <w:shd w:val="clear" w:color="auto" w:fill="FFFFFF"/>
        </w:rPr>
        <w:t>Natsal</w:t>
      </w:r>
      <w:proofErr w:type="spellEnd"/>
      <w:r w:rsidR="00C432EA">
        <w:rPr>
          <w:color w:val="000000"/>
          <w:shd w:val="clear" w:color="auto" w:fill="FFFFFF"/>
        </w:rPr>
        <w:t>)</w:t>
      </w:r>
      <w:r w:rsidR="0044544B">
        <w:rPr>
          <w:color w:val="000000"/>
          <w:shd w:val="clear" w:color="auto" w:fill="FFFFFF"/>
        </w:rPr>
        <w:t xml:space="preserve"> and other studies where reliability and validity have been extensively assessed</w:t>
      </w:r>
      <w:r w:rsidR="00C432EA">
        <w:rPr>
          <w:color w:val="000000"/>
          <w:shd w:val="clear" w:color="auto" w:fill="FFFFFF"/>
        </w:rPr>
        <w:t xml:space="preserve"> </w:t>
      </w:r>
      <w:r w:rsidR="00C432EA">
        <w:rPr>
          <w:color w:val="000000"/>
          <w:shd w:val="clear" w:color="auto" w:fill="FFFFFF"/>
        </w:rPr>
        <w:fldChar w:fldCharType="begin"/>
      </w:r>
      <w:r w:rsidR="002B2DE9">
        <w:rPr>
          <w:color w:val="000000"/>
          <w:shd w:val="clear" w:color="auto" w:fill="FFFFFF"/>
        </w:rPr>
        <w:instrText xml:space="preserve"> ADDIN ZOTERO_ITEM CSL_CITATION {"citationID":"tNsB1fe5","properties":{"formattedCitation":"(50)","plainCitation":"(50)","noteIndex":0},"citationItems":[{"id":"A4nDS9l3/3u63vtnu","uris":["http://zotero.org/users/446899/items/JR8D7Q6X"],"uri":["http://zotero.org/users/446899/items/JR8D7Q6X"],"itemData":{"id":1711,"type":"article-journal","title":"Changes in sexual attitudes and lifestyles in Britain through the life course and over time: findings from the National Surveys of Sexual Attitudes and Lifestyles (Natsal)","container-title":"The Lancet","page":"1781-1794","volume":"382","issue":"9907","source":"CrossRef","DOI":"10.1016/S0140-6736(13)62035-8","ISSN":"01406736","shortTitle":"Changes in sexual attitudes and lifestyles in Britain through the life course and over time","language":"en","author":[{"family":"Mercer","given":"Catherine H"},{"family":"Tanton","given":"Clare"},{"family":"Prah","given":"Philip"},{"family":"Erens","given":"Bob"},{"family":"Sonnenberg","given":"Pam"},{"family":"Clifton","given":"Soazig"},{"family":"Macdowall","given":"Wendy"},{"family":"Lewis","given":"Ruth"},{"family":"Field","given":"Nigel"},{"family":"Datta","given":"Jessica"},{"family":"Copas","given":"Andrew J"},{"family":"Phelps","given":"Andrew"},{"family":"Wellings","given":"Kaye"},{"family":"Johnson","given":"Anne M"}],"issued":{"date-parts":[["2013",11]]}}}],"schema":"https://github.com/citation-style-language/schema/raw/master/csl-citation.json"} </w:instrText>
      </w:r>
      <w:r w:rsidR="00C432EA">
        <w:rPr>
          <w:color w:val="000000"/>
          <w:shd w:val="clear" w:color="auto" w:fill="FFFFFF"/>
        </w:rPr>
        <w:fldChar w:fldCharType="separate"/>
      </w:r>
      <w:r w:rsidR="002B2DE9" w:rsidRPr="002B2DE9">
        <w:rPr>
          <w:rFonts w:ascii="Calibri" w:hAnsi="Calibri" w:cs="Calibri"/>
        </w:rPr>
        <w:t>(50)</w:t>
      </w:r>
      <w:r w:rsidR="00C432EA">
        <w:rPr>
          <w:color w:val="000000"/>
          <w:shd w:val="clear" w:color="auto" w:fill="FFFFFF"/>
        </w:rPr>
        <w:fldChar w:fldCharType="end"/>
      </w:r>
      <w:r w:rsidR="0044544B">
        <w:rPr>
          <w:color w:val="000000"/>
          <w:shd w:val="clear" w:color="auto" w:fill="FFFFFF"/>
        </w:rPr>
        <w:t xml:space="preserve">. </w:t>
      </w:r>
      <w:r w:rsidRPr="00A465FD">
        <w:t>However, there were also</w:t>
      </w:r>
      <w:r w:rsidR="00457F0F" w:rsidRPr="00A465FD">
        <w:t xml:space="preserve"> several</w:t>
      </w:r>
      <w:r w:rsidRPr="00A465FD">
        <w:t xml:space="preserve"> limitations. </w:t>
      </w:r>
      <w:r w:rsidR="002329E5">
        <w:t xml:space="preserve">Previous studies have indicated reluctance of LGB people to come out to </w:t>
      </w:r>
      <w:r w:rsidR="002329E5" w:rsidRPr="002329E5">
        <w:t xml:space="preserve">researchers </w:t>
      </w:r>
      <w:r w:rsidR="007F1B44">
        <w:rPr>
          <w:color w:val="FF0000"/>
        </w:rPr>
        <w:fldChar w:fldCharType="begin"/>
      </w:r>
      <w:r w:rsidR="002B2DE9">
        <w:rPr>
          <w:color w:val="FF0000"/>
        </w:rPr>
        <w:instrText xml:space="preserve"> ADDIN ZOTERO_ITEM CSL_CITATION {"citationID":"ZOAPEZ9M","properties":{"formattedCitation":"(4,51)","plainCitation":"(4,51)","noteIndex":0},"citationItems":[{"id":"A4nDS9l3/1QupNAuE","uris":["http://zotero.org/users/446899/items/AGFCU37P"],"uri":["http://zotero.org/users/446899/items/AGFCU37P"],"itemData":{"id":5788,"type":"article-journal","title":"Sexual expression in later life: a review and synthesis","container-title":"Journal of Sex Research","page":"125-141","volume":"49","issue":"2-3","source":"PubMed","abstract":"In the past decade, researchers have begun to study the sexual functioning of typical older persons. This review summarizes literature on the sexuality of men and women over age 50 as researched by social and health scientists. Research on the relationship of biological factors (changes accompanying aging), health (physical, mental, and medication use), psychological factors (attitudes, information about sex), relationship factors (status, satisfaction), and sexual functioning (desire, dysfunctions, treatment) to sexual behavior is reviewed. The review suggests that (a) men and women remain sexually active into their 70s and 80s, (b) aging-related physical changes do not necessarily lead to decline in sexual functioning, and (c) good physical and mental health, positive attitudes toward sex in later life, and access to a healthy partner are associated with continued sexual activity. In turn, regular sexual expression is associated with good physical and mental health. Progress in understanding later life sexuality requires development of comprehensive theoretical models, a broad focus on intimacy, attention to measures and samples, and research on couples. Progress in understanding is especially important, given the aging of populations.","DOI":"10.1080/00224499.2011.603168","ISSN":"1559-8519","note":"PMID: 22380585","shortTitle":"Sexual expression in later life","journalAbbreviation":"J Sex Res","language":"eng","author":[{"family":"DeLamater","given":"John"}],"issued":{"date-parts":[["2012"]]}}},{"id":"A4nDS9l3/lxpdZwkw","uris":["http://zotero.org/users/446899/items/APCXF6UE"],"uri":["http://zotero.org/users/446899/items/APCXF6UE"],"itemData":{"id":5787,"type":"book","title":"The Health of Lesbian, Gay, Bisexual, and Transgender People: Building a Foundation for Better Understanding","collection-title":"The National Academies Collection: Reports funded by National Institutes of Health","publisher":"National Academies Press (US)","publisher-place":"Washington (DC)","source":"PubMed","event-place":"Washington (DC)","abstract":"Lesbian, gay, bisexual, and transgender (LGBT) individuals experience unique health disparities. Although the acronym LGBT is used as an umbrella term, and the health needs of this community are often grouped together, each of these letters represents a distinct population with its own health concerns. Furthermore, among lesbians, gay men, bisexual men and women, and transgender people, there are subpopulations based on race, ethnicity, socioeconomic status, geographic location, age, and other factors. Although a modest body of knowledge on LGBT health has been developed, these populations, stigmatized as sexual and gender minorities, have been the subject of relatively little health research. As a result, a number of questions arise: What is currently known about the health status of LGBT populations? Where do gaps in the research exist? What are the priorities for a research agenda to address these gaps? At the request of the National Institutes of Health (NIH), the Institute of Medicine convened a consensus committee to answer these questions. The 17-member Committee on Lesbian, Gay, Bisexual, and Transgender Health Issues and Research Gaps and Opportunities comprised experts in the fields of mental health, biostatistics, clinical medicine, adolescent health and development, aging, parenting, behavioral sciences, HIV research, demography, racial and ethnic disparities, and health services. The committee was asked to conduct a review and prepare a report assessing the state of the science on the health status of lesbian, gay, bisexual, and transgender populations; identify research gaps and opportunities; and outline a research agenda that will assist NIH in enhancing its research efforts in this area.","URL":"http://www.ncbi.nlm.nih.gov/books/NBK64806/","ISBN":"978-0-309-21061-4","call-number":"NBK64806","note":"PMID: 22013611","shortTitle":"The Health of Lesbian, Gay, Bisexual, and Transgender People","language":"eng","author":[{"literal":"Institute of Medicine (US) Committee on Lesbian, Gay, Bisexual, and Transgender Health Issues and Research Gaps and Opportunities"}],"issued":{"date-parts":[["2011"]]},"accessed":{"date-parts":[["2018",11,5]]}}}],"schema":"https://github.com/citation-style-language/schema/raw/master/csl-citation.json"} </w:instrText>
      </w:r>
      <w:r w:rsidR="007F1B44">
        <w:rPr>
          <w:color w:val="FF0000"/>
        </w:rPr>
        <w:fldChar w:fldCharType="separate"/>
      </w:r>
      <w:r w:rsidR="002B2DE9" w:rsidRPr="002B2DE9">
        <w:rPr>
          <w:rFonts w:ascii="Calibri" w:hAnsi="Calibri" w:cs="Calibri"/>
        </w:rPr>
        <w:t>(4,51)</w:t>
      </w:r>
      <w:r w:rsidR="007F1B44">
        <w:rPr>
          <w:color w:val="FF0000"/>
        </w:rPr>
        <w:fldChar w:fldCharType="end"/>
      </w:r>
      <w:r w:rsidR="002329E5" w:rsidRPr="002329E5">
        <w:t>, so</w:t>
      </w:r>
      <w:r w:rsidR="002329E5">
        <w:t xml:space="preserve"> it is possible that LGB participants were more likely than heterosexual participants to choose not to answer the questions on sexual orientation used to identify the present study sample. </w:t>
      </w:r>
      <w:r w:rsidR="007025C7">
        <w:t xml:space="preserve">There were no data available on whether participants were “out”. Those who are not out </w:t>
      </w:r>
      <w:r w:rsidR="001C11AA">
        <w:t xml:space="preserve">are </w:t>
      </w:r>
      <w:r w:rsidR="007025C7">
        <w:t xml:space="preserve">often plagued by internalised homonegativity and self-hatred, which may influence both the perception of discrimination and health and wellbeing </w:t>
      </w:r>
      <w:r w:rsidR="002660B3">
        <w:fldChar w:fldCharType="begin"/>
      </w:r>
      <w:r w:rsidR="002B2DE9">
        <w:instrText xml:space="preserve"> ADDIN ZOTERO_ITEM CSL_CITATION {"citationID":"Q3DLX2Dl","properties":{"formattedCitation":"(52)","plainCitation":"(52)","noteIndex":0},"citationItems":[{"id":"A4nDS9l3/y1uqIfva","uris":["http://zotero.org/users/446899/items/CDEWQBCY"],"uri":["http://zotero.org/users/446899/items/CDEWQBCY"],"itemData":{"id":5930,"type":"article-journal","title":"Internalized Homonegativity: A Systematic Mapping Review of Empirical Research","container-title":"Journal of Homosexuality","page":"541-558","volume":"63","issue":"4","source":"PubMed Central","abstract":"Internalized homonegativity (IH) is an important variable affecting the wellbeing of lesbian, gay, and bisexual (LGB) persons. We included 201 studies in a systematic mapping review of IH. Most studies were conducted in North America and examined IH as a predictor of poor health. The primary focus of 14 studies was IH scale measurement, and, in total, these studies detailed nine distinct scales. Eighteen studies compared levels of IH in LGB populations, four described prevention programs, and one investigated IH using qualitative methods. Our review indicates that further research is needed, particularly qualitative research and ways to ameliorate IH.","DOI":"10.1080/00918369.2015.1083788","ISSN":"0091-8369","note":"PMID: 26436322\nPMCID: PMC4867879","shortTitle":"Internalized Homonegativity","journalAbbreviation":"J Homosex","author":[{"family":"Berg","given":"Rigmor C."},{"family":"Munthe-Kaas","given":"Heather M."},{"family":"Ross","given":"Michael W."}],"issued":{"date-parts":[["2016",4,2]]}}}],"schema":"https://github.com/citation-style-language/schema/raw/master/csl-citation.json"} </w:instrText>
      </w:r>
      <w:r w:rsidR="002660B3">
        <w:fldChar w:fldCharType="separate"/>
      </w:r>
      <w:r w:rsidR="002B2DE9" w:rsidRPr="002B2DE9">
        <w:rPr>
          <w:rFonts w:ascii="Calibri" w:hAnsi="Calibri" w:cs="Calibri"/>
        </w:rPr>
        <w:t>(52)</w:t>
      </w:r>
      <w:r w:rsidR="002660B3">
        <w:fldChar w:fldCharType="end"/>
      </w:r>
      <w:r w:rsidR="007025C7">
        <w:t xml:space="preserve">. </w:t>
      </w:r>
      <w:r w:rsidR="002868BB">
        <w:t>In addition, the measure of sexual orientation asked about</w:t>
      </w:r>
      <w:r w:rsidR="00E62AC9">
        <w:t xml:space="preserve"> same-sex preference over the life course</w:t>
      </w:r>
      <w:r w:rsidR="0066537D">
        <w:t>,</w:t>
      </w:r>
      <w:r w:rsidR="002868BB">
        <w:t xml:space="preserve"> </w:t>
      </w:r>
      <w:r w:rsidR="005C563C">
        <w:t>which may not necessarily equate to LGB identity</w:t>
      </w:r>
      <w:r w:rsidR="0066537D">
        <w:t xml:space="preserve">. </w:t>
      </w:r>
      <w:bookmarkStart w:id="7" w:name="_Hlk5907007"/>
      <w:r w:rsidR="00C966C3" w:rsidRPr="00A465FD">
        <w:t xml:space="preserve">Although the sample was drawn from a large, representative sample of </w:t>
      </w:r>
      <w:r w:rsidR="00FB3CC6">
        <w:t xml:space="preserve">middle-aged and </w:t>
      </w:r>
      <w:r w:rsidR="00C966C3" w:rsidRPr="00A465FD">
        <w:t xml:space="preserve">older adults in England, the prevalence of LGB sexual orientation was </w:t>
      </w:r>
      <w:r w:rsidR="005148C8">
        <w:t xml:space="preserve">just 2.1% </w:t>
      </w:r>
      <w:r w:rsidR="00521973">
        <w:t xml:space="preserve">(in the same region as estimates from </w:t>
      </w:r>
      <w:proofErr w:type="spellStart"/>
      <w:r w:rsidR="00DF38FA">
        <w:t>Natsal</w:t>
      </w:r>
      <w:proofErr w:type="spellEnd"/>
      <w:r w:rsidR="00521973">
        <w:rPr>
          <w:color w:val="000000"/>
          <w:shd w:val="clear" w:color="auto" w:fill="FFFFFF"/>
        </w:rPr>
        <w:t xml:space="preserve"> </w:t>
      </w:r>
      <w:r w:rsidR="00521973">
        <w:rPr>
          <w:color w:val="000000"/>
          <w:shd w:val="clear" w:color="auto" w:fill="FFFFFF"/>
        </w:rPr>
        <w:fldChar w:fldCharType="begin"/>
      </w:r>
      <w:r w:rsidR="002B2DE9">
        <w:rPr>
          <w:color w:val="000000"/>
          <w:shd w:val="clear" w:color="auto" w:fill="FFFFFF"/>
        </w:rPr>
        <w:instrText xml:space="preserve"> ADDIN ZOTERO_ITEM CSL_CITATION {"citationID":"GcBRnfaA","properties":{"formattedCitation":"(53)","plainCitation":"(53)","noteIndex":0},"citationItems":[{"id":"A4nDS9l3/GkYgrE2w","uris":["http://zotero.org/users/446899/items/SIK7L4IH"],"uri":["http://zotero.org/users/446899/items/SIK7L4IH"],"itemData":{"id":6019,"type":"article-journal","title":"Sexual identity, attraction and behaviour in Britain: The implications of using different dimensions of sexual orientation to estimate the size of sexual minority populations and inform public health interventions","container-title":"PLoS ONE","volume":"13","issue":"1","source":"PubMed Central","abstract":"Background\nSexual orientation encompasses three dimensions: sexual identity, attraction and behaviour. There is increasing demand for data on sexual orientation to meet equality legislation, monitor potential inequalities and address public health needs. We present estimates of all three dimensions and their overlap in British men and women, and consider the implications for health services, research and the development and evaluation of public health interventions.\n\nMethods\nAnalyses of data from Britain’s third National Survey of Sexual Attitudes and Lifestyles, a probability sample survey (15,162 people aged 16–74 years) undertaken in 2010–2012.\n\nFindings\nA lesbian, gay or bisexual (LGB) identity was reported by 2·5% of men and 2·4% of women, whilst 6·5% of men and 11·5% of women reported any same-sex attraction and 5·5% of men and 6·1% of women reported ever experience of same-sex sex. This equates to approximately 547,000 men and 546,000 women aged 16–74 in Britain self-identifying as LGB and 1,204,000 men and 1,389,000 women ever having experience of same-sex sex. Of those reporting same-sex sex in the past 5 years, 28% of men and 45% of women identified as heterosexual.\n\nInterpretation\nThere is large variation in the size of sexual minority populations depending on the dimension applied, with implications for the design of epidemiological studies, targeting and monitoring of public health interventions and estimating population-based denominators. There is also substantial diversity on an individual level between identity, behaviour and attraction, adding to the complexity of delivering appropriate services and interventions.","URL":"https://www.ncbi.nlm.nih.gov/pmc/articles/PMC5749676/","DOI":"10.1371/journal.pone.0189607","ISSN":"1932-6203","note":"PMID: 29293516\nPMCID: PMC5749676","shortTitle":"Sexual identity, attraction and behaviour in Britain","journalAbbreviation":"PLoS One","author":[{"family":"Geary","given":"Rebecca S."},{"family":"Tanton","given":"Clare"},{"family":"Erens","given":"Bob"},{"family":"Clifton","given":"Soazig"},{"family":"Prah","given":"Philip"},{"family":"Wellings","given":"Kaye"},{"family":"Mitchell","given":"Kirstin R."},{"family":"Datta","given":"Jessica"},{"family":"Gravningen","given":"Kirsten"},{"family":"Fuller","given":"Elizabeth"},{"family":"Johnson","given":"Anne M."},{"family":"Sonnenberg","given":"Pam"},{"family":"Mercer","given":"Catherine H."}],"issued":{"date-parts":[["2018",1,2]]},"accessed":{"date-parts":[["2018",11,13]]}}}],"schema":"https://github.com/citation-style-language/schema/raw/master/csl-citation.json"} </w:instrText>
      </w:r>
      <w:r w:rsidR="00521973">
        <w:rPr>
          <w:color w:val="000000"/>
          <w:shd w:val="clear" w:color="auto" w:fill="FFFFFF"/>
        </w:rPr>
        <w:fldChar w:fldCharType="separate"/>
      </w:r>
      <w:r w:rsidR="002B2DE9" w:rsidRPr="002B2DE9">
        <w:rPr>
          <w:rFonts w:ascii="Calibri" w:hAnsi="Calibri" w:cs="Calibri"/>
        </w:rPr>
        <w:t>(53)</w:t>
      </w:r>
      <w:r w:rsidR="00521973">
        <w:rPr>
          <w:color w:val="000000"/>
          <w:shd w:val="clear" w:color="auto" w:fill="FFFFFF"/>
        </w:rPr>
        <w:fldChar w:fldCharType="end"/>
      </w:r>
      <w:r w:rsidR="00521973">
        <w:rPr>
          <w:color w:val="000000"/>
          <w:shd w:val="clear" w:color="auto" w:fill="FFFFFF"/>
        </w:rPr>
        <w:t>)</w:t>
      </w:r>
      <w:r w:rsidR="00C966C3" w:rsidRPr="00A465FD">
        <w:t xml:space="preserve"> so our sample was small</w:t>
      </w:r>
      <w:r w:rsidR="00C966C3">
        <w:t>, limiting statistical power to detect significant associations.</w:t>
      </w:r>
      <w:r w:rsidR="00BC352E">
        <w:t xml:space="preserve"> T</w:t>
      </w:r>
      <w:r w:rsidR="00C966C3">
        <w:t xml:space="preserve">hat we observed a number of statistically significant differences between LGB individuals who did and did not </w:t>
      </w:r>
      <w:r w:rsidR="00C966C3" w:rsidRPr="000E4F69">
        <w:t xml:space="preserve">report perceived discrimination </w:t>
      </w:r>
      <w:r w:rsidR="00841046">
        <w:t xml:space="preserve">(based on any attribute) </w:t>
      </w:r>
      <w:r w:rsidR="00C966C3" w:rsidRPr="000E4F69">
        <w:t xml:space="preserve">despite the small sample size attests to the strength of these associations. </w:t>
      </w:r>
      <w:r w:rsidR="00BC352E">
        <w:t>However, the stability of the estimates relating to sexual orientation discrimination is likely to be low given the small sample size</w:t>
      </w:r>
      <w:r w:rsidR="00C36599">
        <w:t>. R</w:t>
      </w:r>
      <w:r w:rsidR="00BC352E">
        <w:t>eplication in a larger sample is required to confirm these findings</w:t>
      </w:r>
      <w:r w:rsidR="00C36599">
        <w:t xml:space="preserve"> and provide more reliable estimates of effect size</w:t>
      </w:r>
      <w:r w:rsidR="00BC352E">
        <w:t xml:space="preserve">. </w:t>
      </w:r>
      <w:bookmarkEnd w:id="7"/>
      <w:r w:rsidRPr="000E4F69">
        <w:t xml:space="preserve">Perceived discrimination was determined by self-reports of past experiences, </w:t>
      </w:r>
      <w:r w:rsidR="000E4F69" w:rsidRPr="000E4F69">
        <w:t xml:space="preserve">introducing scope for bias. In addition, because reports of discrimination were subjective, the results estimate the impact of believing that one has been a target of discrimination as opposed to the impact of discrimination per se. </w:t>
      </w:r>
      <w:r w:rsidRPr="000E4F69">
        <w:t xml:space="preserve">The discrimination questions asked about five situations, but there may be </w:t>
      </w:r>
      <w:r w:rsidRPr="000E4F69">
        <w:lastRenderedPageBreak/>
        <w:t xml:space="preserve">others that are relevant to LGB individuals that were not assessed. Prospective analyses were restricted to participants who had data at six-year follow-up. </w:t>
      </w:r>
      <w:r w:rsidR="0053546B" w:rsidRPr="000E4F69">
        <w:t>Attrition between data</w:t>
      </w:r>
      <w:r w:rsidR="0053546B">
        <w:rPr>
          <w:rFonts w:eastAsiaTheme="majorEastAsia" w:cstheme="minorHAnsi"/>
        </w:rPr>
        <w:t xml:space="preserve"> collection waves meant that</w:t>
      </w:r>
      <w:r w:rsidR="0040452F">
        <w:rPr>
          <w:rFonts w:eastAsiaTheme="majorEastAsia" w:cstheme="minorHAnsi"/>
        </w:rPr>
        <w:t xml:space="preserve"> there </w:t>
      </w:r>
      <w:r w:rsidR="0040452F" w:rsidRPr="00CA27BA">
        <w:rPr>
          <w:rFonts w:eastAsiaTheme="majorEastAsia" w:cstheme="minorHAnsi"/>
        </w:rPr>
        <w:t>were no follow-up data available for</w:t>
      </w:r>
      <w:r w:rsidR="0053546B" w:rsidRPr="00CA27BA">
        <w:rPr>
          <w:rFonts w:eastAsiaTheme="majorEastAsia" w:cstheme="minorHAnsi"/>
        </w:rPr>
        <w:t xml:space="preserve"> </w:t>
      </w:r>
      <w:r w:rsidR="00CA27BA" w:rsidRPr="00CA27BA">
        <w:rPr>
          <w:rFonts w:eastAsiaTheme="majorEastAsia" w:cstheme="minorHAnsi"/>
        </w:rPr>
        <w:t>50</w:t>
      </w:r>
      <w:r w:rsidR="0040452F" w:rsidRPr="00CA27BA">
        <w:rPr>
          <w:rFonts w:eastAsiaTheme="majorEastAsia" w:cstheme="minorHAnsi"/>
        </w:rPr>
        <w:t xml:space="preserve"> of the</w:t>
      </w:r>
      <w:r w:rsidR="0053546B" w:rsidRPr="00CA27BA">
        <w:rPr>
          <w:rFonts w:eastAsiaTheme="majorEastAsia" w:cstheme="minorHAnsi"/>
        </w:rPr>
        <w:t xml:space="preserve"> </w:t>
      </w:r>
      <w:r w:rsidR="0053546B" w:rsidRPr="00CA27BA">
        <w:t xml:space="preserve">participants included in </w:t>
      </w:r>
      <w:r w:rsidR="0040452F" w:rsidRPr="00CA27BA">
        <w:t>the</w:t>
      </w:r>
      <w:r w:rsidR="0053546B" w:rsidRPr="00CA27BA">
        <w:t xml:space="preserve"> cross-sectional analyses.</w:t>
      </w:r>
      <w:r w:rsidR="0040452F" w:rsidRPr="00CA27BA">
        <w:t xml:space="preserve"> </w:t>
      </w:r>
      <w:r w:rsidR="000E4F69" w:rsidRPr="00CA27BA">
        <w:t>The</w:t>
      </w:r>
      <w:r w:rsidRPr="00CA27BA">
        <w:t xml:space="preserve"> </w:t>
      </w:r>
      <w:r w:rsidRPr="00B5428E">
        <w:t xml:space="preserve">analysed sample was slightly younger and wealthier </w:t>
      </w:r>
      <w:r w:rsidR="000E4F69" w:rsidRPr="00B5428E">
        <w:t>as compared with</w:t>
      </w:r>
      <w:r w:rsidRPr="00B5428E">
        <w:t xml:space="preserve"> the total ELSA sample, so re</w:t>
      </w:r>
      <w:r w:rsidR="00506786">
        <w:t>sults may not be representative.</w:t>
      </w:r>
    </w:p>
    <w:p w14:paraId="7B100C3C" w14:textId="326D3FF4" w:rsidR="009C48CB" w:rsidRPr="009C48CB" w:rsidRDefault="007C33A4" w:rsidP="00FE7851">
      <w:pPr>
        <w:jc w:val="both"/>
        <w:rPr>
          <w:rFonts w:eastAsiaTheme="majorEastAsia" w:cstheme="minorHAnsi"/>
          <w:b/>
          <w:bCs/>
          <w:sz w:val="26"/>
          <w:szCs w:val="26"/>
        </w:rPr>
      </w:pPr>
      <w:r>
        <w:t>In conclusion,</w:t>
      </w:r>
      <w:r w:rsidR="003F6D64">
        <w:t xml:space="preserve"> these results indicate that</w:t>
      </w:r>
      <w:r w:rsidR="00216944">
        <w:t xml:space="preserve"> among</w:t>
      </w:r>
      <w:r w:rsidR="00D06546">
        <w:t xml:space="preserve"> middle-aged and</w:t>
      </w:r>
      <w:r w:rsidR="003F6D64">
        <w:t xml:space="preserve"> older LGB adults in England</w:t>
      </w:r>
      <w:r w:rsidR="00216944">
        <w:t>,</w:t>
      </w:r>
      <w:r w:rsidR="003F6D64">
        <w:t xml:space="preserve"> perceive</w:t>
      </w:r>
      <w:r w:rsidR="00216944">
        <w:t>d</w:t>
      </w:r>
      <w:r w:rsidR="003F6D64">
        <w:t xml:space="preserve"> discrimination</w:t>
      </w:r>
      <w:r w:rsidR="00841046">
        <w:t xml:space="preserve"> </w:t>
      </w:r>
      <w:proofErr w:type="gramStart"/>
      <w:r w:rsidR="00841046">
        <w:t>on the basis of</w:t>
      </w:r>
      <w:proofErr w:type="gramEnd"/>
      <w:r w:rsidR="00841046">
        <w:t xml:space="preserve"> any attribution</w:t>
      </w:r>
      <w:r w:rsidR="003F6D64">
        <w:t xml:space="preserve"> </w:t>
      </w:r>
      <w:r w:rsidR="00216944">
        <w:t xml:space="preserve">is associated with </w:t>
      </w:r>
      <w:r w:rsidR="00CF2714">
        <w:t>deficits in a range of measures of</w:t>
      </w:r>
      <w:r w:rsidR="004A47A4">
        <w:t xml:space="preserve"> health and wellbeing</w:t>
      </w:r>
      <w:r w:rsidR="00A2663A">
        <w:t>.</w:t>
      </w:r>
      <w:r w:rsidR="00ED2D20">
        <w:t xml:space="preserve"> While significant progress has been made in reducing institutional discrimination through legislation that offers greater equality</w:t>
      </w:r>
      <w:r w:rsidR="00165F87">
        <w:t xml:space="preserve"> to sexual minorities</w:t>
      </w:r>
      <w:r w:rsidR="00841046">
        <w:t xml:space="preserve"> and other protected groups</w:t>
      </w:r>
      <w:r w:rsidR="00165F87">
        <w:t xml:space="preserve">, </w:t>
      </w:r>
      <w:r w:rsidR="00575C81">
        <w:t>a substantial proportion of LGB people experience discrimination in their everyday lives.</w:t>
      </w:r>
      <w:r w:rsidR="000557DA">
        <w:t xml:space="preserve"> </w:t>
      </w:r>
      <w:r w:rsidR="0075618E">
        <w:t xml:space="preserve">The present findings underscore the need for further action to address discrimination against sexual minorities </w:t>
      </w:r>
      <w:r w:rsidR="00711AB3">
        <w:t xml:space="preserve">on a societal level </w:t>
      </w:r>
      <w:proofErr w:type="gramStart"/>
      <w:r w:rsidR="0075618E">
        <w:t>in order to</w:t>
      </w:r>
      <w:proofErr w:type="gramEnd"/>
      <w:r w:rsidR="0075618E">
        <w:t xml:space="preserve"> address demonstrated disparities in health and wellbeing between LGB and heterosexual people. </w:t>
      </w:r>
      <w:r w:rsidR="00A328E2">
        <w:t xml:space="preserve">Given they are already at increased risk of </w:t>
      </w:r>
      <w:r w:rsidR="00E37D69">
        <w:t xml:space="preserve">age-associated </w:t>
      </w:r>
      <w:r w:rsidR="00A328E2">
        <w:t xml:space="preserve">health complications, older LGB people </w:t>
      </w:r>
      <w:r w:rsidR="00E37D69">
        <w:t xml:space="preserve">may be particularly vulnerable to the detrimental impact of </w:t>
      </w:r>
      <w:r w:rsidR="007F7750">
        <w:t xml:space="preserve">perceived </w:t>
      </w:r>
      <w:r w:rsidR="00841046">
        <w:t xml:space="preserve">everyday </w:t>
      </w:r>
      <w:r w:rsidR="00E37D69">
        <w:t>discrimination</w:t>
      </w:r>
      <w:r w:rsidR="00841046">
        <w:t>, particularly as they may hold multiple marginalised identities</w:t>
      </w:r>
      <w:r w:rsidR="00E37D69">
        <w:t>.</w:t>
      </w:r>
      <w:r w:rsidR="00C623D4">
        <w:t xml:space="preserve"> </w:t>
      </w:r>
      <w:r w:rsidR="0013143D">
        <w:t xml:space="preserve">Tackling ageism within the LGBT community could </w:t>
      </w:r>
      <w:r w:rsidR="00415A0A">
        <w:t xml:space="preserve">further </w:t>
      </w:r>
      <w:r w:rsidR="0013143D">
        <w:t>help to improve outcomes for this population group.</w:t>
      </w:r>
    </w:p>
    <w:p w14:paraId="191E2BDA" w14:textId="77777777" w:rsidR="00323EE3" w:rsidRDefault="00323EE3" w:rsidP="00323EE3">
      <w:pPr>
        <w:spacing w:after="200" w:line="276" w:lineRule="auto"/>
      </w:pPr>
    </w:p>
    <w:p w14:paraId="21112B7F" w14:textId="02808FED" w:rsidR="00323EE3" w:rsidRPr="00323EE3" w:rsidRDefault="00323EE3" w:rsidP="00323EE3">
      <w:pPr>
        <w:spacing w:after="200" w:line="276" w:lineRule="auto"/>
        <w:rPr>
          <w:rFonts w:eastAsiaTheme="majorEastAsia" w:cstheme="minorHAnsi"/>
          <w:b/>
          <w:bCs/>
          <w:sz w:val="26"/>
          <w:szCs w:val="26"/>
        </w:rPr>
      </w:pPr>
      <w:r>
        <w:br w:type="page"/>
      </w:r>
    </w:p>
    <w:p w14:paraId="4E91C601" w14:textId="09A52F38" w:rsidR="004F27FB" w:rsidRPr="00D55BAF" w:rsidRDefault="004F27FB" w:rsidP="00D55BAF">
      <w:pPr>
        <w:pStyle w:val="Heading2"/>
      </w:pPr>
      <w:r w:rsidRPr="00D55BAF">
        <w:lastRenderedPageBreak/>
        <w:t>References</w:t>
      </w:r>
    </w:p>
    <w:p w14:paraId="2BC2654D" w14:textId="1C32EEF3" w:rsidR="00841046" w:rsidRDefault="00E82B97" w:rsidP="00303B06">
      <w:pPr>
        <w:pStyle w:val="Bibliography"/>
        <w:rPr>
          <w:rFonts w:ascii="Times New Roman" w:hAnsi="Times New Roman" w:cs="Times New Roman"/>
          <w:sz w:val="24"/>
          <w:szCs w:val="24"/>
        </w:rPr>
      </w:pPr>
      <w:r w:rsidRPr="00D55BAF">
        <w:fldChar w:fldCharType="begin"/>
      </w:r>
      <w:r w:rsidR="00841046">
        <w:instrText xml:space="preserve"> ADDIN ZOTERO_BIBL {"uncited":[],"omitted":[],"custom":[]} CSL_BIBLIOGRAPHY </w:instrText>
      </w:r>
      <w:r w:rsidRPr="00D55BAF">
        <w:fldChar w:fldCharType="separate"/>
      </w:r>
      <w:r w:rsidR="00841046">
        <w:rPr>
          <w:rFonts w:ascii="Times New Roman" w:hAnsi="Times New Roman" w:cs="Times New Roman"/>
          <w:sz w:val="24"/>
          <w:szCs w:val="24"/>
        </w:rPr>
        <w:t xml:space="preserve">1. </w:t>
      </w:r>
      <w:r w:rsidR="00841046">
        <w:rPr>
          <w:rFonts w:ascii="Times New Roman" w:hAnsi="Times New Roman" w:cs="Times New Roman"/>
          <w:sz w:val="24"/>
          <w:szCs w:val="24"/>
        </w:rPr>
        <w:tab/>
        <w:t xml:space="preserve">Harper S. Economic and social implications of aging societies. Science. 2014 Oct 31;346(6209):587–91. </w:t>
      </w:r>
    </w:p>
    <w:p w14:paraId="5BB50A9F"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sz w:val="24"/>
          <w:szCs w:val="24"/>
        </w:rPr>
        <w:tab/>
        <w:t>Office for National Statistics. Living longer - how our population is changing and why it matters [Internet]. 2018 [cited 2018 Jun 11]. Available from: https://www.ons.gov.uk/peoplepopulationandcommunity/birthsdeathsandmarriages/ageing/articles/livinglongerhowourpopulationischangingandwhyitmatters/2018-08-13</w:t>
      </w:r>
    </w:p>
    <w:p w14:paraId="4B6552D3"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sz w:val="24"/>
          <w:szCs w:val="24"/>
        </w:rPr>
        <w:tab/>
        <w:t xml:space="preserve">Baltes PB, Smith J. New Frontiers in the Future of Aging: From Successful Aging of the Young Old to the Dilemmas of the Fourth Age. Gerontology. 2003;49(2):123–35. </w:t>
      </w:r>
    </w:p>
    <w:p w14:paraId="0927330F"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sz w:val="24"/>
          <w:szCs w:val="24"/>
        </w:rPr>
        <w:tab/>
        <w:t>Institute of Medicine (US) Committee on Lesbian, Gay, Bisexual, and Transgender Health Issues and Research Gaps and Opportunities. The Health of Lesbian, Gay, Bisexual, and Transgender People: Building a Foundation for Better Understanding [Internet]. Washington (DC): National Academies Press (US); 2011 [cited 2018 Nov 5]. (The National Academies Collection: Reports funded by National Institutes of Health). Available from: http://www.ncbi.nlm.nih.gov/books/NBK64806/</w:t>
      </w:r>
    </w:p>
    <w:p w14:paraId="3FDE8816"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sz w:val="24"/>
          <w:szCs w:val="24"/>
        </w:rPr>
        <w:tab/>
        <w:t>British Medical Association. Growing older in the UK [Internet]. 2016 [cited 2018 Oct 24]. Available from: https://www.bma.org.uk/collective-voice/policy-and-research/public-and-population-health/healthy-ageing</w:t>
      </w:r>
    </w:p>
    <w:p w14:paraId="57179253"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sz w:val="24"/>
          <w:szCs w:val="24"/>
        </w:rPr>
        <w:tab/>
        <w:t>Department of Health and Social Care. Wellbeing and health policy [Internet]. GOV.UK. 2014 [cited 2018 Oct 24]. Available from: https://www.gov.uk/government/publications/wellbeing-and-health-policy</w:t>
      </w:r>
    </w:p>
    <w:p w14:paraId="3E556E4B"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7. </w:t>
      </w:r>
      <w:r>
        <w:rPr>
          <w:rFonts w:ascii="Times New Roman" w:hAnsi="Times New Roman" w:cs="Times New Roman"/>
          <w:sz w:val="24"/>
          <w:szCs w:val="24"/>
        </w:rPr>
        <w:tab/>
        <w:t>Zeeman L, Sherriff N, Browne K, McGlynn N, Mirandola M, Gios L, et al. A review of lesbian, gay, bisexual, trans and intersex (LGBTI) health and healthcare inequalities. Eur J Public Health [Internet]. [cited 2018 Nov 7]; Available from: https://academic.oup.com/eurpub/advance-article/doi/10.1093/eurpub/cky226/5151209</w:t>
      </w:r>
    </w:p>
    <w:p w14:paraId="6E74FB8D"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8. </w:t>
      </w:r>
      <w:r>
        <w:rPr>
          <w:rFonts w:ascii="Times New Roman" w:hAnsi="Times New Roman" w:cs="Times New Roman"/>
          <w:sz w:val="24"/>
          <w:szCs w:val="24"/>
        </w:rPr>
        <w:tab/>
        <w:t xml:space="preserve">King M, Semlyen J, Tai SS, Killaspy H, Osborn D, Popelyuk D, et al. A systematic review of mental disorder, suicide, and deliberate self harm in lesbian, gay and bisexual people. BMC Psychiatry. 2008 Aug 18;8(1):70. </w:t>
      </w:r>
    </w:p>
    <w:p w14:paraId="18E334EE"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9. </w:t>
      </w:r>
      <w:r>
        <w:rPr>
          <w:rFonts w:ascii="Times New Roman" w:hAnsi="Times New Roman" w:cs="Times New Roman"/>
          <w:sz w:val="24"/>
          <w:szCs w:val="24"/>
        </w:rPr>
        <w:tab/>
        <w:t xml:space="preserve">Semlyen J, King M, Varney J, Hagger-Johnson G. Sexual orientation and symptoms of common mental disorder or low wellbeing: combined meta-analysis of 12 UK population health surveys. BMC Psychiatry. 2016 Mar 24;16:67. </w:t>
      </w:r>
    </w:p>
    <w:p w14:paraId="5F7246BB"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10. </w:t>
      </w:r>
      <w:r>
        <w:rPr>
          <w:rFonts w:ascii="Times New Roman" w:hAnsi="Times New Roman" w:cs="Times New Roman"/>
          <w:sz w:val="24"/>
          <w:szCs w:val="24"/>
        </w:rPr>
        <w:tab/>
        <w:t>Meads C, Kelly MP, Carmona C. Lesbian, gay and bisexual people</w:t>
      </w:r>
      <w:r>
        <w:rPr>
          <w:rFonts w:ascii="Tahoma" w:hAnsi="Tahoma" w:cs="Tahoma"/>
          <w:sz w:val="24"/>
          <w:szCs w:val="24"/>
        </w:rPr>
        <w:t>�</w:t>
      </w:r>
      <w:r>
        <w:rPr>
          <w:rFonts w:ascii="Times New Roman" w:hAnsi="Times New Roman" w:cs="Times New Roman"/>
          <w:sz w:val="24"/>
          <w:szCs w:val="24"/>
        </w:rPr>
        <w:t>s health in the UK: a theoretical critique and systematic review. Divers Equal Health Care [Internet]. 2012 [cited 2018 Nov 7];9(1). Available from: http://diversityhealthcare.imedpub.com/abstract/lesbian-gay-and-bisexual-peoples-health-in-the-uk-a-theoretical-critique-and-systematic-review-1826.html</w:t>
      </w:r>
    </w:p>
    <w:p w14:paraId="3E105D95"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lastRenderedPageBreak/>
        <w:t xml:space="preserve">11. </w:t>
      </w:r>
      <w:r>
        <w:rPr>
          <w:rFonts w:ascii="Times New Roman" w:hAnsi="Times New Roman" w:cs="Times New Roman"/>
          <w:sz w:val="24"/>
          <w:szCs w:val="24"/>
        </w:rPr>
        <w:tab/>
        <w:t xml:space="preserve">Elliott MN, Kanouse DE, Burkhart Q, Abel GA, Lyratzopoulos G, Beckett MK, et al. Sexual minorities in England have poorer health and worse health care experiences: a national survey. J Gen Intern Med. 2015 Jan;30(1):9–16. </w:t>
      </w:r>
    </w:p>
    <w:p w14:paraId="14E2FB51"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12. </w:t>
      </w:r>
      <w:r>
        <w:rPr>
          <w:rFonts w:ascii="Times New Roman" w:hAnsi="Times New Roman" w:cs="Times New Roman"/>
          <w:sz w:val="24"/>
          <w:szCs w:val="24"/>
        </w:rPr>
        <w:tab/>
        <w:t xml:space="preserve">Conron KJ, Mimiaga MJ, Landers SJ. A Population-Based Study of Sexual Orientation Identity and Gender Differences in Adult Health. Am J Public Health. 2010 Oct 1;100(10):1953–60. </w:t>
      </w:r>
    </w:p>
    <w:p w14:paraId="62D01243"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13. </w:t>
      </w:r>
      <w:r>
        <w:rPr>
          <w:rFonts w:ascii="Times New Roman" w:hAnsi="Times New Roman" w:cs="Times New Roman"/>
          <w:sz w:val="24"/>
          <w:szCs w:val="24"/>
        </w:rPr>
        <w:tab/>
        <w:t xml:space="preserve">Meyer IH. Prejudice, Social Stress, and Mental Health in Lesbian, Gay, and Bisexual Populations: Conceptual Issues and Research Evidence. Psychol Bull. 2003 Sep;129(5):674–97. </w:t>
      </w:r>
    </w:p>
    <w:p w14:paraId="63598B40"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14. </w:t>
      </w:r>
      <w:r>
        <w:rPr>
          <w:rFonts w:ascii="Times New Roman" w:hAnsi="Times New Roman" w:cs="Times New Roman"/>
          <w:sz w:val="24"/>
          <w:szCs w:val="24"/>
        </w:rPr>
        <w:tab/>
        <w:t xml:space="preserve">Mays VM, Cochran SD. Mental Health Correlates of Perceived Discrimination Among Lesbian, Gay, and Bisexual Adults in the United States. Am J Public Health. 2001 Nov 1;91(11):1869–76. </w:t>
      </w:r>
    </w:p>
    <w:p w14:paraId="7D3FFA33"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15. </w:t>
      </w:r>
      <w:r>
        <w:rPr>
          <w:rFonts w:ascii="Times New Roman" w:hAnsi="Times New Roman" w:cs="Times New Roman"/>
          <w:sz w:val="24"/>
          <w:szCs w:val="24"/>
        </w:rPr>
        <w:tab/>
        <w:t xml:space="preserve">Pascoe EA, Smart Richman L. Perceived discrimination and health: A meta-analytic review. Psychol Bull. 2009;135(4):531–54. </w:t>
      </w:r>
    </w:p>
    <w:p w14:paraId="1A6E8292"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16. </w:t>
      </w:r>
      <w:r>
        <w:rPr>
          <w:rFonts w:ascii="Times New Roman" w:hAnsi="Times New Roman" w:cs="Times New Roman"/>
          <w:sz w:val="24"/>
          <w:szCs w:val="24"/>
        </w:rPr>
        <w:tab/>
        <w:t xml:space="preserve">Addis S, Davies M, Greene G, MacBride‐Stewart S, Shepherd M. The health, social care and housing needs of lesbian, gay, bisexual and transgender older people: a review of the literature. Health Soc Care Community. 2009 Nov 1;17(6):647–58. </w:t>
      </w:r>
    </w:p>
    <w:p w14:paraId="1C93E140"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17. </w:t>
      </w:r>
      <w:r>
        <w:rPr>
          <w:rFonts w:ascii="Times New Roman" w:hAnsi="Times New Roman" w:cs="Times New Roman"/>
          <w:sz w:val="24"/>
          <w:szCs w:val="24"/>
        </w:rPr>
        <w:tab/>
        <w:t xml:space="preserve">Katz-Wise SL, Hyde JS. Victimization experiences of lesbian, gay, and bisexual individuals: a meta-analysis. J Sex Res. 2012;49(2–3):142–67. </w:t>
      </w:r>
    </w:p>
    <w:p w14:paraId="70350F4A"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18. </w:t>
      </w:r>
      <w:r>
        <w:rPr>
          <w:rFonts w:ascii="Times New Roman" w:hAnsi="Times New Roman" w:cs="Times New Roman"/>
          <w:sz w:val="24"/>
          <w:szCs w:val="24"/>
        </w:rPr>
        <w:tab/>
        <w:t xml:space="preserve">Haas AP, Eliason M, Mays VM, Mathy RM, Cochran SD, D’Augelli AR, et al. Suicide and suicide risk in lesbian, gay, bisexual, and transgender populations: review and recommendations. J Homosex. 2011;58(1):10–51. </w:t>
      </w:r>
    </w:p>
    <w:p w14:paraId="3E988F2E"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19. </w:t>
      </w:r>
      <w:r>
        <w:rPr>
          <w:rFonts w:ascii="Times New Roman" w:hAnsi="Times New Roman" w:cs="Times New Roman"/>
          <w:sz w:val="24"/>
          <w:szCs w:val="24"/>
        </w:rPr>
        <w:tab/>
        <w:t>Sexual Offences Act 1967 [Internet]. [cited 2018 Nov 7]. Available from: https://www.legislation.gov.uk/ukpga/1967/60</w:t>
      </w:r>
    </w:p>
    <w:p w14:paraId="7DB9B6F1"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20. </w:t>
      </w:r>
      <w:r>
        <w:rPr>
          <w:rFonts w:ascii="Times New Roman" w:hAnsi="Times New Roman" w:cs="Times New Roman"/>
          <w:sz w:val="24"/>
          <w:szCs w:val="24"/>
        </w:rPr>
        <w:tab/>
        <w:t>Civil Partnership Act 2004 [Internet]. [cited 2018 Nov 7]. Available from: http://www.legislation.gov.uk/ukpga/2004/33/contents</w:t>
      </w:r>
    </w:p>
    <w:p w14:paraId="58AC3695"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21. </w:t>
      </w:r>
      <w:r>
        <w:rPr>
          <w:rFonts w:ascii="Times New Roman" w:hAnsi="Times New Roman" w:cs="Times New Roman"/>
          <w:sz w:val="24"/>
          <w:szCs w:val="24"/>
        </w:rPr>
        <w:tab/>
        <w:t xml:space="preserve">European Union. Discrimination in the EU in 2015. 2015. </w:t>
      </w:r>
    </w:p>
    <w:p w14:paraId="61B6D5DB"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22. </w:t>
      </w:r>
      <w:r>
        <w:rPr>
          <w:rFonts w:ascii="Times New Roman" w:hAnsi="Times New Roman" w:cs="Times New Roman"/>
          <w:sz w:val="24"/>
          <w:szCs w:val="24"/>
        </w:rPr>
        <w:tab/>
        <w:t xml:space="preserve">Sánchez FJ, Greenberg ST, Liu WM, Vilain E. Reported Effects of Masculine Ideals on Gay Men. Psychol Men Masculinity. 2009 Jan;10(1):73–87. </w:t>
      </w:r>
    </w:p>
    <w:p w14:paraId="3E3729B2"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23. </w:t>
      </w:r>
      <w:r>
        <w:rPr>
          <w:rFonts w:ascii="Times New Roman" w:hAnsi="Times New Roman" w:cs="Times New Roman"/>
          <w:sz w:val="24"/>
          <w:szCs w:val="24"/>
        </w:rPr>
        <w:tab/>
        <w:t xml:space="preserve">Burgess D, Lee R, Tran A, Ryn M van. Effects of Perceived Discrimination on Mental Health and Mental Health Services Utilization Among Gay, Lesbian, Bisexual and Transgender Persons. J LGBT Health Res. 2007 Sep 1;3(4):1–14. </w:t>
      </w:r>
    </w:p>
    <w:p w14:paraId="65476428"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24. </w:t>
      </w:r>
      <w:r>
        <w:rPr>
          <w:rFonts w:ascii="Times New Roman" w:hAnsi="Times New Roman" w:cs="Times New Roman"/>
          <w:sz w:val="24"/>
          <w:szCs w:val="24"/>
        </w:rPr>
        <w:tab/>
        <w:t xml:space="preserve">Steptoe A, Breeze E, Banks J, Nazroo J. Cohort profile: the English Longitudinal Study of Ageing. Int J Epidemiol. 2013 Dec;42(6):1640–8. </w:t>
      </w:r>
    </w:p>
    <w:p w14:paraId="7EDA5235"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lastRenderedPageBreak/>
        <w:t xml:space="preserve">25. </w:t>
      </w:r>
      <w:r>
        <w:rPr>
          <w:rFonts w:ascii="Times New Roman" w:hAnsi="Times New Roman" w:cs="Times New Roman"/>
          <w:sz w:val="24"/>
          <w:szCs w:val="24"/>
        </w:rPr>
        <w:tab/>
        <w:t xml:space="preserve">Yuan ASV. Perceived Age Discrimination and Mental Health. Soc Forces. 2007 Sep 1;86(1):291–311. </w:t>
      </w:r>
    </w:p>
    <w:p w14:paraId="1890A8E0"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26. </w:t>
      </w:r>
      <w:r>
        <w:rPr>
          <w:rFonts w:ascii="Times New Roman" w:hAnsi="Times New Roman" w:cs="Times New Roman"/>
          <w:sz w:val="24"/>
          <w:szCs w:val="24"/>
        </w:rPr>
        <w:tab/>
        <w:t xml:space="preserve">Luo Y, Xu J, Granberg E, Wentworth WM. A Longitudinal Study of Social Status, Perceived Discrimination, and Physical and Emotional Health Among Older Adults. Res Aging. 2012 May 1;34(3):275–301. </w:t>
      </w:r>
    </w:p>
    <w:p w14:paraId="00AB6954"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27. </w:t>
      </w:r>
      <w:r>
        <w:rPr>
          <w:rFonts w:ascii="Times New Roman" w:hAnsi="Times New Roman" w:cs="Times New Roman"/>
          <w:sz w:val="24"/>
          <w:szCs w:val="24"/>
        </w:rPr>
        <w:tab/>
        <w:t xml:space="preserve">Smith J, Ryan L, Sonnega A, Weir D, The HRS Psychosocial Working Group. Psychosocial and Lifestyle Questionnaire 2006 - 2016. Ann Arbor, MI: Survey Research Center, Institute for Social Research; 2017. </w:t>
      </w:r>
    </w:p>
    <w:p w14:paraId="4AF467B9"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28. </w:t>
      </w:r>
      <w:r>
        <w:rPr>
          <w:rFonts w:ascii="Times New Roman" w:hAnsi="Times New Roman" w:cs="Times New Roman"/>
          <w:sz w:val="24"/>
          <w:szCs w:val="24"/>
        </w:rPr>
        <w:tab/>
        <w:t xml:space="preserve">Rippon I, Kneale D, Oliveira C de, Demakakos P, Steptoe A. Perceived age discrimination in older adults. Age Ageing. 2014 May 1;43(3):379–86. </w:t>
      </w:r>
    </w:p>
    <w:p w14:paraId="1D3C047E"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29. </w:t>
      </w:r>
      <w:r>
        <w:rPr>
          <w:rFonts w:ascii="Times New Roman" w:hAnsi="Times New Roman" w:cs="Times New Roman"/>
          <w:sz w:val="24"/>
          <w:szCs w:val="24"/>
        </w:rPr>
        <w:tab/>
        <w:t xml:space="preserve">Radloff LS. The CES-D scale. Appl Psychol Meas. 1977;1(3):385–401. </w:t>
      </w:r>
    </w:p>
    <w:p w14:paraId="22852460"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30. </w:t>
      </w:r>
      <w:r>
        <w:rPr>
          <w:rFonts w:ascii="Times New Roman" w:hAnsi="Times New Roman" w:cs="Times New Roman"/>
          <w:sz w:val="24"/>
          <w:szCs w:val="24"/>
        </w:rPr>
        <w:tab/>
        <w:t xml:space="preserve">Steffick DE. Documentation of affective functioning measures in the Health and Retirement Study. HRS Documentation Report DR-005; 2000. </w:t>
      </w:r>
    </w:p>
    <w:p w14:paraId="68D13F1B"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31. </w:t>
      </w:r>
      <w:r>
        <w:rPr>
          <w:rFonts w:ascii="Times New Roman" w:hAnsi="Times New Roman" w:cs="Times New Roman"/>
          <w:sz w:val="24"/>
          <w:szCs w:val="24"/>
        </w:rPr>
        <w:tab/>
        <w:t xml:space="preserve">Russell DW. UCLA Loneliness Scale (Version 3): reliability, validity, and factor structure. J Pers Assess. 1996 Feb;66(1):20–40. </w:t>
      </w:r>
    </w:p>
    <w:p w14:paraId="3E6ECC8B"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32. </w:t>
      </w:r>
      <w:r>
        <w:rPr>
          <w:rFonts w:ascii="Times New Roman" w:hAnsi="Times New Roman" w:cs="Times New Roman"/>
          <w:sz w:val="24"/>
          <w:szCs w:val="24"/>
        </w:rPr>
        <w:tab/>
        <w:t xml:space="preserve">Steptoe A, Shankar A, Demakakos P, Wardle J. Social isolation, loneliness, and all-cause mortality in older men and women. Proc Natl Acad Sci U S A. 2013 Apr 9;110(15):5797–801. </w:t>
      </w:r>
    </w:p>
    <w:p w14:paraId="3BA9D341"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33. </w:t>
      </w:r>
      <w:r>
        <w:rPr>
          <w:rFonts w:ascii="Times New Roman" w:hAnsi="Times New Roman" w:cs="Times New Roman"/>
          <w:sz w:val="24"/>
          <w:szCs w:val="24"/>
        </w:rPr>
        <w:tab/>
        <w:t xml:space="preserve">Hyde M, Wiggins RD, Higgs P, Blane DB. A measure of quality of life in early old age: the theory, development and properties of a needs satisfaction model (CASP-19). Aging Ment Health. 2003;7(3):186–194. </w:t>
      </w:r>
    </w:p>
    <w:p w14:paraId="7D1A2785"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34. </w:t>
      </w:r>
      <w:r>
        <w:rPr>
          <w:rFonts w:ascii="Times New Roman" w:hAnsi="Times New Roman" w:cs="Times New Roman"/>
          <w:sz w:val="24"/>
          <w:szCs w:val="24"/>
        </w:rPr>
        <w:tab/>
        <w:t xml:space="preserve">Diener E, Emmons RA, Larsen RJ, Griffin S. The satisfaction with life scale. J Assess. 1985;49(1):71–75. </w:t>
      </w:r>
    </w:p>
    <w:p w14:paraId="6F6B2162"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35. </w:t>
      </w:r>
      <w:r>
        <w:rPr>
          <w:rFonts w:ascii="Times New Roman" w:hAnsi="Times New Roman" w:cs="Times New Roman"/>
          <w:sz w:val="24"/>
          <w:szCs w:val="24"/>
        </w:rPr>
        <w:tab/>
        <w:t xml:space="preserve">Steptoe A, Jackson SE. The Life Skills of Older Americans: Association with Economic, Psychological, Social, and Health Outcomes. Sci Rep. 2018 Jul 5;8(1):9669. </w:t>
      </w:r>
    </w:p>
    <w:p w14:paraId="7BECA768"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36. </w:t>
      </w:r>
      <w:r>
        <w:rPr>
          <w:rFonts w:ascii="Times New Roman" w:hAnsi="Times New Roman" w:cs="Times New Roman"/>
          <w:sz w:val="24"/>
          <w:szCs w:val="24"/>
        </w:rPr>
        <w:tab/>
        <w:t xml:space="preserve">DeSalvo KB, Bloser N, Reynolds K, He J, Muntner P. Mortality prediction with a single general self-rated health question. A meta-analysis. J Gen Intern Med. 2006 Mar;21(3):267–75. </w:t>
      </w:r>
    </w:p>
    <w:p w14:paraId="40DF35E5"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37. </w:t>
      </w:r>
      <w:r>
        <w:rPr>
          <w:rFonts w:ascii="Times New Roman" w:hAnsi="Times New Roman" w:cs="Times New Roman"/>
          <w:sz w:val="24"/>
          <w:szCs w:val="24"/>
        </w:rPr>
        <w:tab/>
        <w:t>Banks J, Karlsen S, Oldfield Z. Socio-economic position. 2003 [cited 2014 Mar 4]; Available from: http://discovery.ucl.ac.uk/15366/1/15366.pdf</w:t>
      </w:r>
    </w:p>
    <w:p w14:paraId="4E23686F"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38. </w:t>
      </w:r>
      <w:r>
        <w:rPr>
          <w:rFonts w:ascii="Times New Roman" w:hAnsi="Times New Roman" w:cs="Times New Roman"/>
          <w:sz w:val="24"/>
          <w:szCs w:val="24"/>
        </w:rPr>
        <w:tab/>
        <w:t xml:space="preserve">Jackson SE, Hackett RA, Steptoe A. Age discrimination predicts impaired health and wellbeing: cross-sectional and prospective findings from the English Longitudinal Study of Ageing. under review; </w:t>
      </w:r>
    </w:p>
    <w:p w14:paraId="3F6A46C9"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39. </w:t>
      </w:r>
      <w:r>
        <w:rPr>
          <w:rFonts w:ascii="Times New Roman" w:hAnsi="Times New Roman" w:cs="Times New Roman"/>
          <w:sz w:val="24"/>
          <w:szCs w:val="24"/>
        </w:rPr>
        <w:tab/>
        <w:t xml:space="preserve">Díaz RM, Ayala G, Bein E, Henne J, Marin BV. The impact of homophobia, poverty, and racism on the mental health of gay and bisexual Latino men: findings from 3 US cities. Am J Public Health. 2001 Jun;91(6):927–32. </w:t>
      </w:r>
    </w:p>
    <w:p w14:paraId="6B2A6C67"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lastRenderedPageBreak/>
        <w:t xml:space="preserve">40. </w:t>
      </w:r>
      <w:r>
        <w:rPr>
          <w:rFonts w:ascii="Times New Roman" w:hAnsi="Times New Roman" w:cs="Times New Roman"/>
          <w:sz w:val="24"/>
          <w:szCs w:val="24"/>
        </w:rPr>
        <w:tab/>
        <w:t xml:space="preserve">Brookdale Center on Aging &amp; Services and Advocacy for Gay, Lesbian, Bisexual, and Transgender Elders. Assistive housing for elderly gays and lesbians in New York city: extent of need and the preferences of elderly Gays and Lesbians. New York, NY: Hunter College and SAGE; 1999. </w:t>
      </w:r>
    </w:p>
    <w:p w14:paraId="558D8E06"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41. </w:t>
      </w:r>
      <w:r>
        <w:rPr>
          <w:rFonts w:ascii="Times New Roman" w:hAnsi="Times New Roman" w:cs="Times New Roman"/>
          <w:sz w:val="24"/>
          <w:szCs w:val="24"/>
        </w:rPr>
        <w:tab/>
        <w:t xml:space="preserve">Shankle M. The handbook of lesbian, gay, bisexual, and transgender public health: A practitioner’s guide to service. Routledge; 2013. </w:t>
      </w:r>
    </w:p>
    <w:p w14:paraId="328E5785"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42. </w:t>
      </w:r>
      <w:r>
        <w:rPr>
          <w:rFonts w:ascii="Times New Roman" w:hAnsi="Times New Roman" w:cs="Times New Roman"/>
          <w:sz w:val="24"/>
          <w:szCs w:val="24"/>
        </w:rPr>
        <w:tab/>
        <w:t xml:space="preserve">Kertzner RM, Meyer IH, Frost DM, Stirratt MJ. Social and psychological well-being in lesbians, gay men, and bisexuals: the effects of race, gender, age, and sexual identity. Am J Orthopsychiatry. 2009 Oct;79(4):500–10. </w:t>
      </w:r>
    </w:p>
    <w:p w14:paraId="19C04CE8"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43. </w:t>
      </w:r>
      <w:r>
        <w:rPr>
          <w:rFonts w:ascii="Times New Roman" w:hAnsi="Times New Roman" w:cs="Times New Roman"/>
          <w:sz w:val="24"/>
          <w:szCs w:val="24"/>
        </w:rPr>
        <w:tab/>
        <w:t xml:space="preserve">Nicholas CL. Gaydar: Eye-gaze as identity recognition among gay men and lesbians. Sex Cult. 2004 Mar 1;8(1):60–86. </w:t>
      </w:r>
    </w:p>
    <w:p w14:paraId="01530D9E"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44. </w:t>
      </w:r>
      <w:r>
        <w:rPr>
          <w:rFonts w:ascii="Times New Roman" w:hAnsi="Times New Roman" w:cs="Times New Roman"/>
          <w:sz w:val="24"/>
          <w:szCs w:val="24"/>
        </w:rPr>
        <w:tab/>
        <w:t xml:space="preserve">Kessel B. Sexuality in the older person. Age Ageing. 2001 Mar 1;30(2):121–4. </w:t>
      </w:r>
    </w:p>
    <w:p w14:paraId="6A3E15C0"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45. </w:t>
      </w:r>
      <w:r>
        <w:rPr>
          <w:rFonts w:ascii="Times New Roman" w:hAnsi="Times New Roman" w:cs="Times New Roman"/>
          <w:sz w:val="24"/>
          <w:szCs w:val="24"/>
        </w:rPr>
        <w:tab/>
        <w:t>Public Health England. Producing modelled estimates of the size of the LGB population of England: Final Report [Internet]. GOV.UK. 2017 [cited 2018 Nov 6]. Available from: https://www.gov.uk/government/publications/producing-estimates-of-the-size-of-the-lgb-population-of-england</w:t>
      </w:r>
    </w:p>
    <w:p w14:paraId="6AD55F29"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46. </w:t>
      </w:r>
      <w:r>
        <w:rPr>
          <w:rFonts w:ascii="Times New Roman" w:hAnsi="Times New Roman" w:cs="Times New Roman"/>
          <w:sz w:val="24"/>
          <w:szCs w:val="24"/>
        </w:rPr>
        <w:tab/>
        <w:t>Office for National Statistics. Overview of the UK population: November 2018 [Internet]. 2018 [cited 2018 Jun 11]. Available from: https://www.ons.gov.uk/peoplepopulationandcommunity/populationandmigration/populationestimates/articles/overviewoftheukpopulation/november2018</w:t>
      </w:r>
    </w:p>
    <w:p w14:paraId="16B0893B"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47. </w:t>
      </w:r>
      <w:r>
        <w:rPr>
          <w:rFonts w:ascii="Times New Roman" w:hAnsi="Times New Roman" w:cs="Times New Roman"/>
          <w:sz w:val="24"/>
          <w:szCs w:val="24"/>
        </w:rPr>
        <w:tab/>
        <w:t xml:space="preserve">Buchmueller T, Carpenter CS. Disparities in health insurance coverage, access, and outcomes for individuals in same-sex versus different-sex relationships, 2000-2007. Am J Public Health. 2010 Mar;100(3):489–95. </w:t>
      </w:r>
    </w:p>
    <w:p w14:paraId="0D8D4E1D"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48. </w:t>
      </w:r>
      <w:r>
        <w:rPr>
          <w:rFonts w:ascii="Times New Roman" w:hAnsi="Times New Roman" w:cs="Times New Roman"/>
          <w:sz w:val="24"/>
          <w:szCs w:val="24"/>
        </w:rPr>
        <w:tab/>
        <w:t xml:space="preserve">Heck JE, Sell RL, Gorin SS. Health care access among individuals involved in same-sex relationships. Am J Public Health. 2006 Jun;96(6):1111–8. </w:t>
      </w:r>
    </w:p>
    <w:p w14:paraId="00FA726D"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49. </w:t>
      </w:r>
      <w:r>
        <w:rPr>
          <w:rFonts w:ascii="Times New Roman" w:hAnsi="Times New Roman" w:cs="Times New Roman"/>
          <w:sz w:val="24"/>
          <w:szCs w:val="24"/>
        </w:rPr>
        <w:tab/>
        <w:t xml:space="preserve">Nama N, MacPherson P, Sampson M, McMillan HJ. Medical students’ perception of lesbian, gay, bisexual, and transgender (LGBT) discrimination in their learning environment and their self-reported comfort level for caring for LGBT patients: a survey study. Med Educ Online. 2017;22(1):1368850–1368850. </w:t>
      </w:r>
    </w:p>
    <w:p w14:paraId="23046271"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50. </w:t>
      </w:r>
      <w:r>
        <w:rPr>
          <w:rFonts w:ascii="Times New Roman" w:hAnsi="Times New Roman" w:cs="Times New Roman"/>
          <w:sz w:val="24"/>
          <w:szCs w:val="24"/>
        </w:rPr>
        <w:tab/>
        <w:t xml:space="preserve">Mercer CH, Tanton C, Prah P, Erens B, Sonnenberg P, Clifton S, et al. Changes in sexual attitudes and lifestyles in Britain through the life course and over time: findings from the National Surveys of Sexual Attitudes and Lifestyles (Natsal). The Lancet. 2013 Nov;382(9907):1781–94. </w:t>
      </w:r>
    </w:p>
    <w:p w14:paraId="7A414E48"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51. </w:t>
      </w:r>
      <w:r>
        <w:rPr>
          <w:rFonts w:ascii="Times New Roman" w:hAnsi="Times New Roman" w:cs="Times New Roman"/>
          <w:sz w:val="24"/>
          <w:szCs w:val="24"/>
        </w:rPr>
        <w:tab/>
        <w:t xml:space="preserve">DeLamater J. Sexual expression in later life: a review and synthesis. J Sex Res. 2012;49(2–3):125–41. </w:t>
      </w:r>
    </w:p>
    <w:p w14:paraId="36652591"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lastRenderedPageBreak/>
        <w:t xml:space="preserve">52. </w:t>
      </w:r>
      <w:r>
        <w:rPr>
          <w:rFonts w:ascii="Times New Roman" w:hAnsi="Times New Roman" w:cs="Times New Roman"/>
          <w:sz w:val="24"/>
          <w:szCs w:val="24"/>
        </w:rPr>
        <w:tab/>
        <w:t xml:space="preserve">Berg RC, Munthe-Kaas HM, Ross MW. Internalized Homonegativity: A Systematic Mapping Review of Empirical Research. J Homosex. 2016 Apr 2;63(4):541–58. </w:t>
      </w:r>
    </w:p>
    <w:p w14:paraId="615F0237" w14:textId="77777777" w:rsidR="00841046" w:rsidRDefault="00841046" w:rsidP="00303B06">
      <w:pPr>
        <w:pStyle w:val="Bibliography"/>
        <w:rPr>
          <w:rFonts w:ascii="Times New Roman" w:hAnsi="Times New Roman" w:cs="Times New Roman"/>
          <w:sz w:val="24"/>
          <w:szCs w:val="24"/>
        </w:rPr>
      </w:pPr>
      <w:r>
        <w:rPr>
          <w:rFonts w:ascii="Times New Roman" w:hAnsi="Times New Roman" w:cs="Times New Roman"/>
          <w:sz w:val="24"/>
          <w:szCs w:val="24"/>
        </w:rPr>
        <w:t xml:space="preserve">53. </w:t>
      </w:r>
      <w:r>
        <w:rPr>
          <w:rFonts w:ascii="Times New Roman" w:hAnsi="Times New Roman" w:cs="Times New Roman"/>
          <w:sz w:val="24"/>
          <w:szCs w:val="24"/>
        </w:rPr>
        <w:tab/>
        <w:t>Geary RS, Tanton C, Erens B, Clifton S, Prah P, Wellings K, et al. Sexual identity, attraction and behaviour in Britain: The implications of using different dimensions of sexual orientation to estimate the size of sexual minority populations and inform public health interventions. PLoS ONE [Internet]. 2018 Jan 2 [cited 2018 Nov 13];13(1). Available from: https://www.ncbi.nlm.nih.gov/pmc/articles/PMC5749676/</w:t>
      </w:r>
    </w:p>
    <w:p w14:paraId="5B1530CC" w14:textId="50940108" w:rsidR="00F4354C" w:rsidRPr="00D55BAF" w:rsidRDefault="00E82B97" w:rsidP="00CA7D88">
      <w:pPr>
        <w:rPr>
          <w:rFonts w:cstheme="minorHAnsi"/>
        </w:rPr>
      </w:pPr>
      <w:r w:rsidRPr="00D55BAF">
        <w:rPr>
          <w:rFonts w:cstheme="minorHAnsi"/>
        </w:rPr>
        <w:fldChar w:fldCharType="end"/>
      </w:r>
    </w:p>
    <w:p w14:paraId="56FDF7F8" w14:textId="77777777" w:rsidR="00F4354C" w:rsidRPr="00D55BAF" w:rsidRDefault="00F4354C" w:rsidP="00CA7D88">
      <w:pPr>
        <w:rPr>
          <w:rFonts w:eastAsiaTheme="majorEastAsia" w:cstheme="minorHAnsi"/>
          <w:sz w:val="26"/>
          <w:szCs w:val="26"/>
        </w:rPr>
      </w:pPr>
      <w:r w:rsidRPr="00D55BAF">
        <w:rPr>
          <w:rFonts w:cstheme="minorHAnsi"/>
        </w:rPr>
        <w:br w:type="page"/>
      </w:r>
    </w:p>
    <w:p w14:paraId="681EDA94" w14:textId="77777777" w:rsidR="00814490" w:rsidRPr="00D55BAF" w:rsidRDefault="00814490" w:rsidP="00D55BAF">
      <w:pPr>
        <w:pStyle w:val="Heading2"/>
        <w:sectPr w:rsidR="00814490" w:rsidRPr="00D55BAF" w:rsidSect="00814490">
          <w:footerReference w:type="default" r:id="rId10"/>
          <w:pgSz w:w="12240" w:h="15840" w:code="1"/>
          <w:pgMar w:top="1440" w:right="1247" w:bottom="1440" w:left="1304" w:header="720" w:footer="720" w:gutter="0"/>
          <w:cols w:space="720"/>
          <w:noEndnote/>
          <w:docGrid w:linePitch="299"/>
        </w:sectPr>
      </w:pPr>
    </w:p>
    <w:p w14:paraId="359BBD31" w14:textId="77777777" w:rsidR="00045C27" w:rsidRDefault="00045C27" w:rsidP="00045C27">
      <w:pPr>
        <w:pStyle w:val="Heading2"/>
      </w:pPr>
      <w:bookmarkStart w:id="8" w:name="_Hlk522091717"/>
      <w:r>
        <w:lastRenderedPageBreak/>
        <w:t>Declarations</w:t>
      </w:r>
    </w:p>
    <w:p w14:paraId="32B5C3A3" w14:textId="77777777" w:rsidR="00045C27" w:rsidRPr="000855A3" w:rsidRDefault="00045C27" w:rsidP="00045C27">
      <w:pPr>
        <w:pStyle w:val="Heading3"/>
      </w:pPr>
      <w:r>
        <w:t>Ethics approval</w:t>
      </w:r>
    </w:p>
    <w:p w14:paraId="7EF34F34" w14:textId="209F2A7A" w:rsidR="00045C27" w:rsidRDefault="00E4604A" w:rsidP="00045C27">
      <w:pPr>
        <w:pStyle w:val="Heading3"/>
      </w:pPr>
      <w:r w:rsidRPr="009756FE">
        <w:t xml:space="preserve">Ethical approval </w:t>
      </w:r>
      <w:r w:rsidRPr="00DD4462">
        <w:t xml:space="preserve">was obtained </w:t>
      </w:r>
      <w:r w:rsidRPr="00CB43F8">
        <w:t xml:space="preserve">from the </w:t>
      </w:r>
      <w:r>
        <w:t>London Multi-Centre Research Ethics Committee. A</w:t>
      </w:r>
      <w:r w:rsidRPr="00CB43F8">
        <w:t xml:space="preserve">ll participants gave full informed </w:t>
      </w:r>
      <w:r>
        <w:t xml:space="preserve">written </w:t>
      </w:r>
      <w:r w:rsidRPr="00CB43F8">
        <w:t>consent.</w:t>
      </w:r>
      <w:r>
        <w:t xml:space="preserve"> </w:t>
      </w:r>
      <w:r w:rsidR="00045C27">
        <w:t>Transparency</w:t>
      </w:r>
    </w:p>
    <w:p w14:paraId="5732728E" w14:textId="77777777" w:rsidR="00045C27" w:rsidRPr="008B734D" w:rsidRDefault="00045C27" w:rsidP="00045C27">
      <w:r w:rsidRPr="008B734D">
        <w:t xml:space="preserve">The lead author </w:t>
      </w:r>
      <w:r>
        <w:t xml:space="preserve">(SEJ) </w:t>
      </w:r>
      <w:r w:rsidRPr="008B734D">
        <w:t>affirms that this manuscript is an honest, accurate, and transparent account of the study being reported; that no important aspects of the study have been omitted; and that any discrepancies from the study as planned have been explained.</w:t>
      </w:r>
    </w:p>
    <w:p w14:paraId="45619B4F" w14:textId="77777777" w:rsidR="00045C27" w:rsidRPr="000855A3" w:rsidRDefault="00045C27" w:rsidP="00045C27">
      <w:pPr>
        <w:pStyle w:val="Heading3"/>
      </w:pPr>
      <w:r w:rsidRPr="000855A3">
        <w:t>Competing interests</w:t>
      </w:r>
    </w:p>
    <w:p w14:paraId="4C900ADA" w14:textId="77777777" w:rsidR="00045C27" w:rsidRPr="000855A3" w:rsidRDefault="00045C27" w:rsidP="00045C27">
      <w:r>
        <w:t>None.</w:t>
      </w:r>
    </w:p>
    <w:p w14:paraId="4CFD2F47" w14:textId="77777777" w:rsidR="00045C27" w:rsidRPr="000855A3" w:rsidRDefault="00045C27" w:rsidP="00045C27">
      <w:pPr>
        <w:pStyle w:val="Heading3"/>
      </w:pPr>
      <w:r w:rsidRPr="000855A3">
        <w:t>Funding</w:t>
      </w:r>
    </w:p>
    <w:p w14:paraId="280B87B8" w14:textId="77777777" w:rsidR="00045C27" w:rsidRPr="00334554" w:rsidRDefault="00045C27" w:rsidP="00045C27">
      <w:r w:rsidRPr="00334554">
        <w:t xml:space="preserve">This research was funded by the Economic and Social Research Council </w:t>
      </w:r>
      <w:r>
        <w:t>(</w:t>
      </w:r>
      <w:r w:rsidRPr="00334554">
        <w:t>https://esrc.ukri.org/</w:t>
      </w:r>
      <w:r>
        <w:t xml:space="preserve">), </w:t>
      </w:r>
      <w:r w:rsidRPr="00334554">
        <w:t xml:space="preserve">grant </w:t>
      </w:r>
      <w:r>
        <w:t xml:space="preserve">number </w:t>
      </w:r>
      <w:r w:rsidRPr="00334554">
        <w:t>ES/R005990/1 awarded to AS and SEJ. The funders had no role in study design, data collection and analysis, decision to publish, or preparation of the manuscript.</w:t>
      </w:r>
    </w:p>
    <w:p w14:paraId="5D6257E9" w14:textId="77777777" w:rsidR="00045C27" w:rsidRPr="00D500FC" w:rsidRDefault="00045C27" w:rsidP="00045C27">
      <w:pPr>
        <w:pStyle w:val="Heading3"/>
      </w:pPr>
      <w:r w:rsidRPr="00D500FC">
        <w:t>Authors’ contributions</w:t>
      </w:r>
    </w:p>
    <w:p w14:paraId="20D37D15" w14:textId="77777777" w:rsidR="00045C27" w:rsidRPr="00D500FC" w:rsidRDefault="00045C27" w:rsidP="00045C27">
      <w:r>
        <w:t>SEJ and AS</w:t>
      </w:r>
      <w:r w:rsidRPr="00D500FC">
        <w:t xml:space="preserve"> conceived of the design of the current study. </w:t>
      </w:r>
      <w:r>
        <w:t>SEJ</w:t>
      </w:r>
      <w:r w:rsidRPr="00D500FC">
        <w:t xml:space="preserve"> performed the data analysis </w:t>
      </w:r>
      <w:r>
        <w:t>and d</w:t>
      </w:r>
      <w:r w:rsidRPr="00D500FC">
        <w:t>rafted the paper</w:t>
      </w:r>
      <w:r>
        <w:t>.</w:t>
      </w:r>
      <w:r w:rsidRPr="00D500FC">
        <w:t xml:space="preserve"> </w:t>
      </w:r>
      <w:r>
        <w:t>A</w:t>
      </w:r>
      <w:r w:rsidRPr="00D500FC">
        <w:t>ll authors provided critical revisions</w:t>
      </w:r>
      <w:r>
        <w:t xml:space="preserve"> and</w:t>
      </w:r>
      <w:r w:rsidRPr="00D500FC">
        <w:t xml:space="preserve"> approved the final version of the paper for submission.</w:t>
      </w:r>
    </w:p>
    <w:p w14:paraId="6C7256A2" w14:textId="77777777" w:rsidR="00045C27" w:rsidRPr="00D500FC" w:rsidRDefault="00045C27" w:rsidP="00045C27">
      <w:pPr>
        <w:pStyle w:val="Heading3"/>
      </w:pPr>
      <w:r w:rsidRPr="00D500FC">
        <w:t>Availability of data and materials</w:t>
      </w:r>
    </w:p>
    <w:p w14:paraId="7972740B" w14:textId="152D4C2F" w:rsidR="00045C27" w:rsidRPr="00D500FC" w:rsidRDefault="00045C27" w:rsidP="00045C27">
      <w:r w:rsidRPr="00D500FC">
        <w:t>The data</w:t>
      </w:r>
      <w:r w:rsidR="00E4604A">
        <w:t xml:space="preserve"> used in the present analyses</w:t>
      </w:r>
      <w:r w:rsidRPr="00D500FC">
        <w:t xml:space="preserve"> </w:t>
      </w:r>
      <w:r>
        <w:t>are</w:t>
      </w:r>
      <w:r w:rsidRPr="00D500FC">
        <w:t xml:space="preserve"> available </w:t>
      </w:r>
      <w:r>
        <w:t>from the UK Data Service</w:t>
      </w:r>
      <w:r w:rsidR="00102A88">
        <w:t xml:space="preserve"> (</w:t>
      </w:r>
      <w:hyperlink r:id="rId11" w:history="1">
        <w:r w:rsidR="00102A88" w:rsidRPr="002F3624">
          <w:rPr>
            <w:rStyle w:val="Hyperlink"/>
          </w:rPr>
          <w:t>https://beta.ukdataservice.ac.uk/datacatalogue/studies/study?id=5050</w:t>
        </w:r>
      </w:hyperlink>
      <w:r w:rsidR="00102A88">
        <w:t>)</w:t>
      </w:r>
      <w:r w:rsidR="00AE4ADE">
        <w:t xml:space="preserve"> upon registration</w:t>
      </w:r>
      <w:r w:rsidRPr="00D500FC">
        <w:t>.</w:t>
      </w:r>
    </w:p>
    <w:bookmarkEnd w:id="8"/>
    <w:p w14:paraId="101B63B8" w14:textId="77777777" w:rsidR="00045C27" w:rsidRDefault="00045C27">
      <w:pPr>
        <w:spacing w:after="200" w:line="276" w:lineRule="auto"/>
        <w:rPr>
          <w:rFonts w:eastAsiaTheme="majorEastAsia" w:cstheme="minorHAnsi"/>
          <w:b/>
          <w:bCs/>
          <w:sz w:val="26"/>
          <w:szCs w:val="26"/>
        </w:rPr>
      </w:pPr>
      <w:r>
        <w:br w:type="page"/>
      </w:r>
    </w:p>
    <w:p w14:paraId="02B458C7" w14:textId="1F761549" w:rsidR="00F20161" w:rsidRPr="00D55BAF" w:rsidRDefault="00F20161" w:rsidP="00D55BAF">
      <w:pPr>
        <w:pStyle w:val="Heading2"/>
      </w:pPr>
      <w:r w:rsidRPr="00D55BAF">
        <w:lastRenderedPageBreak/>
        <w:t>Tables</w:t>
      </w:r>
    </w:p>
    <w:tbl>
      <w:tblPr>
        <w:tblStyle w:val="TableGrid"/>
        <w:tblW w:w="6764" w:type="dxa"/>
        <w:tblInd w:w="-142"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80"/>
        <w:gridCol w:w="135"/>
        <w:gridCol w:w="1658"/>
        <w:gridCol w:w="196"/>
        <w:gridCol w:w="44"/>
        <w:gridCol w:w="1893"/>
        <w:gridCol w:w="7"/>
        <w:gridCol w:w="1514"/>
        <w:gridCol w:w="33"/>
        <w:gridCol w:w="997"/>
        <w:gridCol w:w="7"/>
      </w:tblGrid>
      <w:tr w:rsidR="00A902B0" w:rsidRPr="00375C08" w14:paraId="37EE4918" w14:textId="77777777" w:rsidTr="0056614F">
        <w:trPr>
          <w:gridAfter w:val="1"/>
          <w:wAfter w:w="7" w:type="dxa"/>
          <w:trHeight w:val="242"/>
        </w:trPr>
        <w:tc>
          <w:tcPr>
            <w:tcW w:w="6757" w:type="dxa"/>
            <w:gridSpan w:val="10"/>
            <w:tcBorders>
              <w:top w:val="nil"/>
              <w:bottom w:val="single" w:sz="4" w:space="0" w:color="auto"/>
              <w:right w:val="nil"/>
            </w:tcBorders>
          </w:tcPr>
          <w:p w14:paraId="5BBE8B2E" w14:textId="77777777" w:rsidR="00A902B0" w:rsidRDefault="00A902B0" w:rsidP="00A902B0">
            <w:pPr>
              <w:pStyle w:val="Beforetables"/>
              <w:spacing w:line="276" w:lineRule="auto"/>
              <w:ind w:left="720" w:hanging="720"/>
              <w:rPr>
                <w:rFonts w:cs="Arial"/>
                <w:b/>
                <w:sz w:val="20"/>
              </w:rPr>
            </w:pPr>
            <w:r>
              <w:rPr>
                <w:rFonts w:cs="Arial"/>
                <w:b/>
                <w:sz w:val="20"/>
              </w:rPr>
              <w:t>Table 1</w:t>
            </w:r>
            <w:r w:rsidRPr="00375C08">
              <w:rPr>
                <w:rFonts w:cs="Arial"/>
                <w:sz w:val="20"/>
              </w:rPr>
              <w:t xml:space="preserve"> </w:t>
            </w:r>
            <w:r>
              <w:rPr>
                <w:rFonts w:cs="Arial"/>
                <w:sz w:val="20"/>
              </w:rPr>
              <w:t>Sample characteristics at baseline in relation to perceived discrimination</w:t>
            </w:r>
          </w:p>
        </w:tc>
      </w:tr>
      <w:tr w:rsidR="00A902B0" w:rsidRPr="00375C08" w14:paraId="6F6DAFAB" w14:textId="77777777" w:rsidTr="007025C7">
        <w:tc>
          <w:tcPr>
            <w:tcW w:w="415" w:type="dxa"/>
            <w:gridSpan w:val="2"/>
            <w:tcBorders>
              <w:top w:val="nil"/>
              <w:bottom w:val="single" w:sz="4" w:space="0" w:color="auto"/>
              <w:right w:val="nil"/>
            </w:tcBorders>
            <w:vAlign w:val="center"/>
          </w:tcPr>
          <w:p w14:paraId="4B76DEFB" w14:textId="77777777" w:rsidR="00A902B0" w:rsidRPr="00375C08" w:rsidRDefault="00A902B0" w:rsidP="00091D1C">
            <w:pPr>
              <w:spacing w:after="0" w:line="276" w:lineRule="auto"/>
              <w:contextualSpacing/>
              <w:jc w:val="center"/>
              <w:rPr>
                <w:rFonts w:cs="Arial"/>
                <w:sz w:val="20"/>
              </w:rPr>
            </w:pPr>
          </w:p>
        </w:tc>
        <w:tc>
          <w:tcPr>
            <w:tcW w:w="1658" w:type="dxa"/>
            <w:tcBorders>
              <w:top w:val="nil"/>
              <w:left w:val="nil"/>
              <w:bottom w:val="single" w:sz="4" w:space="0" w:color="auto"/>
              <w:right w:val="nil"/>
            </w:tcBorders>
            <w:vAlign w:val="center"/>
          </w:tcPr>
          <w:p w14:paraId="2A55250B" w14:textId="77777777" w:rsidR="00A902B0" w:rsidRPr="00375C08" w:rsidRDefault="00A902B0" w:rsidP="00091D1C">
            <w:pPr>
              <w:spacing w:after="0" w:line="276" w:lineRule="auto"/>
              <w:contextualSpacing/>
              <w:jc w:val="center"/>
              <w:rPr>
                <w:rFonts w:cs="Arial"/>
                <w:sz w:val="20"/>
              </w:rPr>
            </w:pPr>
          </w:p>
        </w:tc>
        <w:tc>
          <w:tcPr>
            <w:tcW w:w="240" w:type="dxa"/>
            <w:gridSpan w:val="2"/>
            <w:tcBorders>
              <w:top w:val="nil"/>
              <w:left w:val="nil"/>
              <w:bottom w:val="single" w:sz="4" w:space="0" w:color="auto"/>
              <w:right w:val="nil"/>
            </w:tcBorders>
            <w:vAlign w:val="center"/>
          </w:tcPr>
          <w:p w14:paraId="1F7AD304" w14:textId="77777777" w:rsidR="00A902B0" w:rsidRPr="00375C08" w:rsidRDefault="00A902B0" w:rsidP="00091D1C">
            <w:pPr>
              <w:spacing w:after="0" w:line="276" w:lineRule="auto"/>
              <w:contextualSpacing/>
              <w:jc w:val="center"/>
              <w:rPr>
                <w:rFonts w:cs="Arial"/>
                <w:sz w:val="20"/>
              </w:rPr>
            </w:pPr>
          </w:p>
        </w:tc>
        <w:tc>
          <w:tcPr>
            <w:tcW w:w="1900" w:type="dxa"/>
            <w:gridSpan w:val="2"/>
            <w:tcBorders>
              <w:top w:val="single" w:sz="4" w:space="0" w:color="auto"/>
              <w:left w:val="nil"/>
              <w:bottom w:val="single" w:sz="4" w:space="0" w:color="auto"/>
              <w:right w:val="nil"/>
            </w:tcBorders>
            <w:vAlign w:val="center"/>
          </w:tcPr>
          <w:p w14:paraId="45FE06E3" w14:textId="77777777" w:rsidR="00A902B0" w:rsidRDefault="00A902B0" w:rsidP="00091D1C">
            <w:pPr>
              <w:spacing w:after="0" w:line="276" w:lineRule="auto"/>
              <w:jc w:val="center"/>
              <w:rPr>
                <w:rFonts w:cs="Arial"/>
                <w:b/>
                <w:sz w:val="20"/>
              </w:rPr>
            </w:pPr>
            <w:r>
              <w:rPr>
                <w:rFonts w:cs="Arial"/>
                <w:b/>
                <w:sz w:val="20"/>
              </w:rPr>
              <w:t>Perceived discrimination</w:t>
            </w:r>
          </w:p>
          <w:p w14:paraId="3D5B026A" w14:textId="77777777" w:rsidR="00A902B0" w:rsidRPr="00C520BB" w:rsidRDefault="00A902B0" w:rsidP="00A902B0">
            <w:pPr>
              <w:spacing w:after="0" w:line="276" w:lineRule="auto"/>
              <w:jc w:val="center"/>
              <w:rPr>
                <w:rFonts w:cs="Arial"/>
                <w:b/>
                <w:sz w:val="20"/>
              </w:rPr>
            </w:pPr>
            <w:r w:rsidRPr="001756A4">
              <w:rPr>
                <w:rFonts w:cs="Arial"/>
                <w:b/>
                <w:sz w:val="20"/>
              </w:rPr>
              <w:t>(</w:t>
            </w:r>
            <w:r w:rsidRPr="001756A4">
              <w:rPr>
                <w:rFonts w:cs="Arial"/>
                <w:b/>
                <w:i/>
                <w:sz w:val="20"/>
              </w:rPr>
              <w:t>n</w:t>
            </w:r>
            <w:r>
              <w:rPr>
                <w:rFonts w:cs="Arial"/>
                <w:b/>
                <w:sz w:val="20"/>
              </w:rPr>
              <w:t>=</w:t>
            </w:r>
            <w:r w:rsidR="00D610CE">
              <w:rPr>
                <w:rFonts w:cs="Arial"/>
                <w:b/>
                <w:sz w:val="20"/>
              </w:rPr>
              <w:t>144</w:t>
            </w:r>
            <w:r w:rsidRPr="001756A4">
              <w:rPr>
                <w:rFonts w:cs="Arial"/>
                <w:b/>
                <w:sz w:val="20"/>
              </w:rPr>
              <w:t>)</w:t>
            </w:r>
            <w:r w:rsidRPr="001756A4">
              <w:rPr>
                <w:rFonts w:cs="Arial"/>
                <w:b/>
                <w:sz w:val="20"/>
                <w:vertAlign w:val="superscript"/>
              </w:rPr>
              <w:t>1</w:t>
            </w:r>
          </w:p>
        </w:tc>
        <w:tc>
          <w:tcPr>
            <w:tcW w:w="1514" w:type="dxa"/>
            <w:tcBorders>
              <w:top w:val="single" w:sz="4" w:space="0" w:color="auto"/>
              <w:left w:val="nil"/>
              <w:bottom w:val="single" w:sz="4" w:space="0" w:color="auto"/>
              <w:right w:val="nil"/>
            </w:tcBorders>
            <w:vAlign w:val="center"/>
          </w:tcPr>
          <w:p w14:paraId="67786F14" w14:textId="77777777" w:rsidR="00A902B0" w:rsidRDefault="00A902B0" w:rsidP="00091D1C">
            <w:pPr>
              <w:spacing w:after="0" w:line="276" w:lineRule="auto"/>
              <w:contextualSpacing/>
              <w:jc w:val="center"/>
              <w:rPr>
                <w:rFonts w:cs="Arial"/>
                <w:b/>
                <w:sz w:val="20"/>
              </w:rPr>
            </w:pPr>
            <w:r>
              <w:rPr>
                <w:rFonts w:cs="Arial"/>
                <w:b/>
                <w:sz w:val="20"/>
              </w:rPr>
              <w:t>No perceived discrimination</w:t>
            </w:r>
          </w:p>
          <w:p w14:paraId="124A328D" w14:textId="77777777" w:rsidR="00A902B0" w:rsidRPr="00C520BB" w:rsidRDefault="00A902B0" w:rsidP="00A902B0">
            <w:pPr>
              <w:spacing w:after="0" w:line="276" w:lineRule="auto"/>
              <w:contextualSpacing/>
              <w:jc w:val="center"/>
              <w:rPr>
                <w:rFonts w:cs="Arial"/>
                <w:b/>
                <w:sz w:val="20"/>
              </w:rPr>
            </w:pPr>
            <w:r w:rsidRPr="001756A4">
              <w:rPr>
                <w:rFonts w:cs="Arial"/>
                <w:b/>
                <w:sz w:val="20"/>
              </w:rPr>
              <w:t>(</w:t>
            </w:r>
            <w:r w:rsidRPr="001756A4">
              <w:rPr>
                <w:rFonts w:cs="Arial"/>
                <w:b/>
                <w:i/>
                <w:sz w:val="20"/>
              </w:rPr>
              <w:t>n</w:t>
            </w:r>
            <w:r w:rsidRPr="001756A4">
              <w:rPr>
                <w:rFonts w:cs="Arial"/>
                <w:b/>
                <w:sz w:val="20"/>
              </w:rPr>
              <w:t>=</w:t>
            </w:r>
            <w:r w:rsidR="00D610CE">
              <w:rPr>
                <w:rFonts w:cs="Arial"/>
                <w:b/>
                <w:sz w:val="20"/>
              </w:rPr>
              <w:t>160</w:t>
            </w:r>
            <w:r w:rsidRPr="001756A4">
              <w:rPr>
                <w:rFonts w:cs="Arial"/>
                <w:b/>
                <w:sz w:val="20"/>
              </w:rPr>
              <w:t>)</w:t>
            </w:r>
          </w:p>
        </w:tc>
        <w:tc>
          <w:tcPr>
            <w:tcW w:w="1037" w:type="dxa"/>
            <w:gridSpan w:val="3"/>
            <w:tcBorders>
              <w:top w:val="single" w:sz="4" w:space="0" w:color="auto"/>
              <w:left w:val="nil"/>
              <w:bottom w:val="single" w:sz="4" w:space="0" w:color="auto"/>
              <w:right w:val="nil"/>
            </w:tcBorders>
            <w:vAlign w:val="center"/>
          </w:tcPr>
          <w:p w14:paraId="43820E5C" w14:textId="77777777" w:rsidR="00A902B0" w:rsidRPr="00B875E6" w:rsidRDefault="00A902B0" w:rsidP="00091D1C">
            <w:pPr>
              <w:spacing w:after="0" w:line="276" w:lineRule="auto"/>
              <w:contextualSpacing/>
              <w:jc w:val="center"/>
              <w:rPr>
                <w:rFonts w:cs="Arial"/>
                <w:b/>
                <w:i/>
                <w:sz w:val="20"/>
              </w:rPr>
            </w:pPr>
            <w:r>
              <w:rPr>
                <w:rFonts w:cs="Arial"/>
                <w:b/>
                <w:i/>
                <w:sz w:val="20"/>
              </w:rPr>
              <w:t>p</w:t>
            </w:r>
          </w:p>
        </w:tc>
      </w:tr>
      <w:tr w:rsidR="00A902B0" w:rsidRPr="00375C08" w14:paraId="5BFED87D" w14:textId="77777777" w:rsidTr="0056614F">
        <w:trPr>
          <w:gridAfter w:val="1"/>
          <w:wAfter w:w="7" w:type="dxa"/>
        </w:trPr>
        <w:tc>
          <w:tcPr>
            <w:tcW w:w="2269" w:type="dxa"/>
            <w:gridSpan w:val="4"/>
            <w:tcBorders>
              <w:top w:val="single" w:sz="4" w:space="0" w:color="auto"/>
              <w:bottom w:val="single" w:sz="4" w:space="0" w:color="auto"/>
              <w:right w:val="nil"/>
            </w:tcBorders>
            <w:vAlign w:val="center"/>
          </w:tcPr>
          <w:p w14:paraId="5DF92190" w14:textId="77777777" w:rsidR="00A902B0" w:rsidRPr="00FE3F99" w:rsidRDefault="00A902B0" w:rsidP="007A38E4">
            <w:pPr>
              <w:spacing w:after="0" w:line="276" w:lineRule="auto"/>
              <w:contextualSpacing/>
              <w:rPr>
                <w:rFonts w:cs="Arial"/>
                <w:sz w:val="20"/>
              </w:rPr>
            </w:pPr>
            <w:r>
              <w:rPr>
                <w:rFonts w:cs="Arial"/>
                <w:sz w:val="20"/>
              </w:rPr>
              <w:t>Age (years), mean (S</w:t>
            </w:r>
            <w:r w:rsidR="007A38E4">
              <w:rPr>
                <w:rFonts w:cs="Arial"/>
                <w:sz w:val="20"/>
              </w:rPr>
              <w:t>E</w:t>
            </w:r>
            <w:r>
              <w:rPr>
                <w:rFonts w:cs="Arial"/>
                <w:sz w:val="20"/>
              </w:rPr>
              <w:t>)</w:t>
            </w:r>
          </w:p>
        </w:tc>
        <w:tc>
          <w:tcPr>
            <w:tcW w:w="1937" w:type="dxa"/>
            <w:gridSpan w:val="2"/>
            <w:tcBorders>
              <w:top w:val="single" w:sz="4" w:space="0" w:color="auto"/>
              <w:bottom w:val="single" w:sz="4" w:space="0" w:color="auto"/>
            </w:tcBorders>
            <w:vAlign w:val="center"/>
          </w:tcPr>
          <w:p w14:paraId="398987A0" w14:textId="77777777" w:rsidR="00A902B0" w:rsidRPr="006E1B17" w:rsidRDefault="007A38E4" w:rsidP="00091D1C">
            <w:pPr>
              <w:spacing w:after="0" w:line="276" w:lineRule="auto"/>
              <w:contextualSpacing/>
              <w:jc w:val="center"/>
              <w:rPr>
                <w:rFonts w:cs="Arial"/>
                <w:sz w:val="20"/>
              </w:rPr>
            </w:pPr>
            <w:r>
              <w:rPr>
                <w:rFonts w:cs="Arial"/>
                <w:sz w:val="20"/>
              </w:rPr>
              <w:t>61.30 (0.52)</w:t>
            </w:r>
          </w:p>
        </w:tc>
        <w:tc>
          <w:tcPr>
            <w:tcW w:w="1554" w:type="dxa"/>
            <w:gridSpan w:val="3"/>
            <w:tcBorders>
              <w:top w:val="single" w:sz="4" w:space="0" w:color="auto"/>
              <w:bottom w:val="single" w:sz="4" w:space="0" w:color="auto"/>
            </w:tcBorders>
            <w:vAlign w:val="center"/>
          </w:tcPr>
          <w:p w14:paraId="6C24D7B2" w14:textId="77777777" w:rsidR="00A902B0" w:rsidRPr="006E1B17" w:rsidRDefault="007A38E4" w:rsidP="00091D1C">
            <w:pPr>
              <w:spacing w:after="0" w:line="276" w:lineRule="auto"/>
              <w:contextualSpacing/>
              <w:jc w:val="center"/>
              <w:rPr>
                <w:rFonts w:cs="Arial"/>
                <w:sz w:val="20"/>
              </w:rPr>
            </w:pPr>
            <w:r>
              <w:rPr>
                <w:rFonts w:cs="Arial"/>
                <w:sz w:val="20"/>
              </w:rPr>
              <w:t>65.34 (0.71)</w:t>
            </w:r>
          </w:p>
        </w:tc>
        <w:tc>
          <w:tcPr>
            <w:tcW w:w="997" w:type="dxa"/>
            <w:tcBorders>
              <w:top w:val="single" w:sz="4" w:space="0" w:color="auto"/>
              <w:bottom w:val="single" w:sz="4" w:space="0" w:color="auto"/>
            </w:tcBorders>
            <w:vAlign w:val="center"/>
          </w:tcPr>
          <w:p w14:paraId="5C73A7F2" w14:textId="77777777" w:rsidR="00A902B0" w:rsidRPr="006E1B17" w:rsidRDefault="007A38E4" w:rsidP="00091D1C">
            <w:pPr>
              <w:spacing w:after="0" w:line="276" w:lineRule="auto"/>
              <w:contextualSpacing/>
              <w:jc w:val="center"/>
              <w:rPr>
                <w:rFonts w:cs="Arial"/>
                <w:sz w:val="20"/>
              </w:rPr>
            </w:pPr>
            <w:r>
              <w:rPr>
                <w:rFonts w:cs="Arial"/>
                <w:sz w:val="20"/>
              </w:rPr>
              <w:t>&lt;0.001</w:t>
            </w:r>
          </w:p>
        </w:tc>
      </w:tr>
      <w:tr w:rsidR="00A902B0" w:rsidRPr="00375C08" w14:paraId="7BBA6E08" w14:textId="77777777" w:rsidTr="0056614F">
        <w:trPr>
          <w:gridAfter w:val="1"/>
          <w:wAfter w:w="7" w:type="dxa"/>
        </w:trPr>
        <w:tc>
          <w:tcPr>
            <w:tcW w:w="2269" w:type="dxa"/>
            <w:gridSpan w:val="4"/>
            <w:tcBorders>
              <w:top w:val="single" w:sz="4" w:space="0" w:color="auto"/>
              <w:bottom w:val="nil"/>
              <w:right w:val="nil"/>
            </w:tcBorders>
          </w:tcPr>
          <w:p w14:paraId="5AC40AA0" w14:textId="77777777" w:rsidR="00A902B0" w:rsidRDefault="00A902B0" w:rsidP="00091D1C">
            <w:pPr>
              <w:spacing w:after="0" w:line="276" w:lineRule="auto"/>
              <w:contextualSpacing/>
              <w:rPr>
                <w:rFonts w:cs="Arial"/>
                <w:sz w:val="20"/>
              </w:rPr>
            </w:pPr>
            <w:r>
              <w:rPr>
                <w:rFonts w:cs="Arial"/>
                <w:sz w:val="20"/>
              </w:rPr>
              <w:t>Sex</w:t>
            </w:r>
          </w:p>
        </w:tc>
        <w:tc>
          <w:tcPr>
            <w:tcW w:w="1937" w:type="dxa"/>
            <w:gridSpan w:val="2"/>
            <w:tcBorders>
              <w:top w:val="single" w:sz="4" w:space="0" w:color="auto"/>
              <w:bottom w:val="nil"/>
            </w:tcBorders>
            <w:vAlign w:val="center"/>
          </w:tcPr>
          <w:p w14:paraId="2DD88673" w14:textId="77777777" w:rsidR="00A902B0" w:rsidRPr="006E1B17" w:rsidRDefault="00A902B0" w:rsidP="00091D1C">
            <w:pPr>
              <w:spacing w:after="0" w:line="276" w:lineRule="auto"/>
              <w:contextualSpacing/>
              <w:jc w:val="center"/>
              <w:rPr>
                <w:rFonts w:cs="Arial"/>
                <w:sz w:val="20"/>
              </w:rPr>
            </w:pPr>
          </w:p>
        </w:tc>
        <w:tc>
          <w:tcPr>
            <w:tcW w:w="1554" w:type="dxa"/>
            <w:gridSpan w:val="3"/>
            <w:tcBorders>
              <w:top w:val="single" w:sz="4" w:space="0" w:color="auto"/>
              <w:bottom w:val="nil"/>
            </w:tcBorders>
            <w:vAlign w:val="center"/>
          </w:tcPr>
          <w:p w14:paraId="66AAB9F3" w14:textId="77777777" w:rsidR="00A902B0" w:rsidRPr="006E1B17" w:rsidRDefault="00A902B0" w:rsidP="00091D1C">
            <w:pPr>
              <w:spacing w:after="0" w:line="276" w:lineRule="auto"/>
              <w:contextualSpacing/>
              <w:jc w:val="center"/>
              <w:rPr>
                <w:rFonts w:cs="Arial"/>
                <w:sz w:val="20"/>
              </w:rPr>
            </w:pPr>
          </w:p>
        </w:tc>
        <w:tc>
          <w:tcPr>
            <w:tcW w:w="997" w:type="dxa"/>
            <w:tcBorders>
              <w:top w:val="single" w:sz="4" w:space="0" w:color="auto"/>
              <w:bottom w:val="nil"/>
            </w:tcBorders>
            <w:vAlign w:val="center"/>
          </w:tcPr>
          <w:p w14:paraId="3EAC86C1" w14:textId="77777777" w:rsidR="00A902B0" w:rsidRPr="006E1B17" w:rsidRDefault="00A902B0" w:rsidP="00091D1C">
            <w:pPr>
              <w:spacing w:after="0" w:line="276" w:lineRule="auto"/>
              <w:contextualSpacing/>
              <w:jc w:val="center"/>
              <w:rPr>
                <w:rFonts w:cs="Arial"/>
                <w:sz w:val="20"/>
              </w:rPr>
            </w:pPr>
          </w:p>
        </w:tc>
      </w:tr>
      <w:tr w:rsidR="00A902B0" w:rsidRPr="00375C08" w14:paraId="783C263D" w14:textId="77777777" w:rsidTr="0056614F">
        <w:trPr>
          <w:gridAfter w:val="1"/>
          <w:wAfter w:w="7" w:type="dxa"/>
        </w:trPr>
        <w:tc>
          <w:tcPr>
            <w:tcW w:w="280" w:type="dxa"/>
            <w:tcBorders>
              <w:top w:val="nil"/>
              <w:bottom w:val="nil"/>
              <w:right w:val="nil"/>
            </w:tcBorders>
          </w:tcPr>
          <w:p w14:paraId="3A1C1388" w14:textId="77777777" w:rsidR="00A902B0" w:rsidRPr="00375C08" w:rsidRDefault="00A902B0" w:rsidP="00091D1C">
            <w:pPr>
              <w:spacing w:after="0" w:line="276" w:lineRule="auto"/>
              <w:contextualSpacing/>
              <w:rPr>
                <w:rFonts w:cs="Arial"/>
                <w:color w:val="FF0000"/>
                <w:sz w:val="20"/>
              </w:rPr>
            </w:pPr>
          </w:p>
        </w:tc>
        <w:tc>
          <w:tcPr>
            <w:tcW w:w="1989" w:type="dxa"/>
            <w:gridSpan w:val="3"/>
            <w:tcBorders>
              <w:top w:val="nil"/>
              <w:left w:val="nil"/>
              <w:bottom w:val="single" w:sz="4" w:space="0" w:color="auto"/>
              <w:right w:val="nil"/>
            </w:tcBorders>
            <w:vAlign w:val="center"/>
          </w:tcPr>
          <w:p w14:paraId="62260E2A" w14:textId="77777777" w:rsidR="00A902B0" w:rsidRPr="00375C08" w:rsidRDefault="00A902B0" w:rsidP="00091D1C">
            <w:pPr>
              <w:spacing w:after="0" w:line="276" w:lineRule="auto"/>
              <w:contextualSpacing/>
              <w:rPr>
                <w:rFonts w:cs="Arial"/>
                <w:sz w:val="20"/>
              </w:rPr>
            </w:pPr>
            <w:r>
              <w:rPr>
                <w:rFonts w:cs="Arial"/>
                <w:sz w:val="20"/>
              </w:rPr>
              <w:t>Men</w:t>
            </w:r>
          </w:p>
        </w:tc>
        <w:tc>
          <w:tcPr>
            <w:tcW w:w="1937" w:type="dxa"/>
            <w:gridSpan w:val="2"/>
            <w:tcBorders>
              <w:top w:val="nil"/>
              <w:left w:val="nil"/>
              <w:bottom w:val="single" w:sz="4" w:space="0" w:color="auto"/>
              <w:right w:val="nil"/>
            </w:tcBorders>
            <w:vAlign w:val="center"/>
          </w:tcPr>
          <w:p w14:paraId="68FA3F37" w14:textId="77777777" w:rsidR="00A902B0" w:rsidRPr="006E1B17" w:rsidRDefault="00B94B7F" w:rsidP="00091D1C">
            <w:pPr>
              <w:spacing w:after="0" w:line="276" w:lineRule="auto"/>
              <w:contextualSpacing/>
              <w:jc w:val="center"/>
              <w:rPr>
                <w:rFonts w:cs="Arial"/>
                <w:sz w:val="20"/>
              </w:rPr>
            </w:pPr>
            <w:r>
              <w:rPr>
                <w:rFonts w:cs="Arial"/>
                <w:sz w:val="20"/>
              </w:rPr>
              <w:t>44.6</w:t>
            </w:r>
          </w:p>
        </w:tc>
        <w:tc>
          <w:tcPr>
            <w:tcW w:w="1554" w:type="dxa"/>
            <w:gridSpan w:val="3"/>
            <w:tcBorders>
              <w:top w:val="nil"/>
              <w:left w:val="nil"/>
              <w:bottom w:val="single" w:sz="4" w:space="0" w:color="auto"/>
              <w:right w:val="nil"/>
            </w:tcBorders>
            <w:vAlign w:val="center"/>
          </w:tcPr>
          <w:p w14:paraId="635818A4" w14:textId="77777777" w:rsidR="00A902B0" w:rsidRPr="006E1B17" w:rsidRDefault="00B94B7F" w:rsidP="00091D1C">
            <w:pPr>
              <w:spacing w:after="0" w:line="276" w:lineRule="auto"/>
              <w:contextualSpacing/>
              <w:jc w:val="center"/>
              <w:rPr>
                <w:rFonts w:cs="Arial"/>
                <w:sz w:val="20"/>
              </w:rPr>
            </w:pPr>
            <w:r>
              <w:rPr>
                <w:rFonts w:cs="Arial"/>
                <w:sz w:val="20"/>
              </w:rPr>
              <w:t>34.3</w:t>
            </w:r>
          </w:p>
        </w:tc>
        <w:tc>
          <w:tcPr>
            <w:tcW w:w="997" w:type="dxa"/>
            <w:tcBorders>
              <w:top w:val="nil"/>
              <w:left w:val="nil"/>
              <w:bottom w:val="single" w:sz="4" w:space="0" w:color="auto"/>
              <w:right w:val="nil"/>
            </w:tcBorders>
            <w:vAlign w:val="center"/>
          </w:tcPr>
          <w:p w14:paraId="45B6287D" w14:textId="77777777" w:rsidR="00A902B0" w:rsidRPr="006E1B17" w:rsidRDefault="00B94B7F" w:rsidP="00091D1C">
            <w:pPr>
              <w:spacing w:after="0" w:line="276" w:lineRule="auto"/>
              <w:contextualSpacing/>
              <w:jc w:val="center"/>
              <w:rPr>
                <w:rFonts w:cs="Arial"/>
                <w:sz w:val="20"/>
              </w:rPr>
            </w:pPr>
            <w:r>
              <w:rPr>
                <w:rFonts w:cs="Arial"/>
                <w:sz w:val="20"/>
              </w:rPr>
              <w:t>0.093</w:t>
            </w:r>
          </w:p>
        </w:tc>
      </w:tr>
      <w:tr w:rsidR="00A902B0" w:rsidRPr="00375C08" w14:paraId="32B1A4C5" w14:textId="77777777" w:rsidTr="0056614F">
        <w:trPr>
          <w:gridAfter w:val="1"/>
          <w:wAfter w:w="7" w:type="dxa"/>
        </w:trPr>
        <w:tc>
          <w:tcPr>
            <w:tcW w:w="280" w:type="dxa"/>
            <w:tcBorders>
              <w:top w:val="nil"/>
              <w:bottom w:val="single" w:sz="4" w:space="0" w:color="auto"/>
              <w:right w:val="nil"/>
            </w:tcBorders>
          </w:tcPr>
          <w:p w14:paraId="3693E267" w14:textId="77777777" w:rsidR="00A902B0" w:rsidRPr="00375C08" w:rsidRDefault="00A902B0" w:rsidP="00091D1C">
            <w:pPr>
              <w:spacing w:after="0" w:line="276" w:lineRule="auto"/>
              <w:contextualSpacing/>
              <w:rPr>
                <w:rFonts w:cs="Arial"/>
                <w:color w:val="FF0000"/>
                <w:sz w:val="20"/>
              </w:rPr>
            </w:pPr>
          </w:p>
        </w:tc>
        <w:tc>
          <w:tcPr>
            <w:tcW w:w="1989" w:type="dxa"/>
            <w:gridSpan w:val="3"/>
            <w:tcBorders>
              <w:top w:val="single" w:sz="4" w:space="0" w:color="auto"/>
              <w:left w:val="nil"/>
              <w:bottom w:val="single" w:sz="4" w:space="0" w:color="auto"/>
              <w:right w:val="nil"/>
            </w:tcBorders>
            <w:vAlign w:val="center"/>
          </w:tcPr>
          <w:p w14:paraId="62616727" w14:textId="77777777" w:rsidR="00A902B0" w:rsidRDefault="00A902B0" w:rsidP="00091D1C">
            <w:pPr>
              <w:spacing w:after="0" w:line="276" w:lineRule="auto"/>
              <w:contextualSpacing/>
              <w:rPr>
                <w:rFonts w:cs="Arial"/>
                <w:sz w:val="20"/>
              </w:rPr>
            </w:pPr>
            <w:r>
              <w:rPr>
                <w:rFonts w:cs="Arial"/>
                <w:sz w:val="20"/>
              </w:rPr>
              <w:t>Women</w:t>
            </w:r>
          </w:p>
        </w:tc>
        <w:tc>
          <w:tcPr>
            <w:tcW w:w="1937" w:type="dxa"/>
            <w:gridSpan w:val="2"/>
            <w:tcBorders>
              <w:top w:val="single" w:sz="4" w:space="0" w:color="auto"/>
              <w:left w:val="nil"/>
              <w:bottom w:val="single" w:sz="4" w:space="0" w:color="auto"/>
              <w:right w:val="nil"/>
            </w:tcBorders>
            <w:vAlign w:val="center"/>
          </w:tcPr>
          <w:p w14:paraId="4DBF25EC" w14:textId="77777777" w:rsidR="00A902B0" w:rsidRPr="006E1B17" w:rsidRDefault="00B94B7F" w:rsidP="00091D1C">
            <w:pPr>
              <w:spacing w:after="0" w:line="276" w:lineRule="auto"/>
              <w:contextualSpacing/>
              <w:jc w:val="center"/>
              <w:rPr>
                <w:rFonts w:cs="Arial"/>
                <w:sz w:val="20"/>
              </w:rPr>
            </w:pPr>
            <w:r>
              <w:rPr>
                <w:rFonts w:cs="Arial"/>
                <w:sz w:val="20"/>
              </w:rPr>
              <w:t>55.4</w:t>
            </w:r>
          </w:p>
        </w:tc>
        <w:tc>
          <w:tcPr>
            <w:tcW w:w="1554" w:type="dxa"/>
            <w:gridSpan w:val="3"/>
            <w:tcBorders>
              <w:top w:val="single" w:sz="4" w:space="0" w:color="auto"/>
              <w:left w:val="nil"/>
              <w:bottom w:val="single" w:sz="4" w:space="0" w:color="auto"/>
              <w:right w:val="nil"/>
            </w:tcBorders>
            <w:vAlign w:val="center"/>
          </w:tcPr>
          <w:p w14:paraId="391EB802" w14:textId="77777777" w:rsidR="00A902B0" w:rsidRPr="006E1B17" w:rsidRDefault="00B94B7F" w:rsidP="00091D1C">
            <w:pPr>
              <w:spacing w:after="0" w:line="276" w:lineRule="auto"/>
              <w:contextualSpacing/>
              <w:jc w:val="center"/>
              <w:rPr>
                <w:rFonts w:cs="Arial"/>
                <w:sz w:val="20"/>
              </w:rPr>
            </w:pPr>
            <w:r>
              <w:rPr>
                <w:rFonts w:cs="Arial"/>
                <w:sz w:val="20"/>
              </w:rPr>
              <w:t>65.7</w:t>
            </w:r>
          </w:p>
        </w:tc>
        <w:tc>
          <w:tcPr>
            <w:tcW w:w="997" w:type="dxa"/>
            <w:tcBorders>
              <w:top w:val="single" w:sz="4" w:space="0" w:color="auto"/>
              <w:left w:val="nil"/>
              <w:bottom w:val="single" w:sz="4" w:space="0" w:color="auto"/>
              <w:right w:val="nil"/>
            </w:tcBorders>
            <w:vAlign w:val="center"/>
          </w:tcPr>
          <w:p w14:paraId="6A86066E" w14:textId="77777777" w:rsidR="00A902B0" w:rsidRPr="006E1B17" w:rsidRDefault="00B94B7F" w:rsidP="00091D1C">
            <w:pPr>
              <w:spacing w:after="0" w:line="276" w:lineRule="auto"/>
              <w:contextualSpacing/>
              <w:jc w:val="center"/>
              <w:rPr>
                <w:rFonts w:cs="Arial"/>
                <w:sz w:val="20"/>
              </w:rPr>
            </w:pPr>
            <w:r>
              <w:rPr>
                <w:rFonts w:cs="Arial"/>
                <w:sz w:val="20"/>
              </w:rPr>
              <w:t>-</w:t>
            </w:r>
          </w:p>
        </w:tc>
      </w:tr>
      <w:tr w:rsidR="00A902B0" w:rsidRPr="00375C08" w14:paraId="3A9684B3" w14:textId="77777777" w:rsidTr="0056614F">
        <w:trPr>
          <w:gridAfter w:val="1"/>
          <w:wAfter w:w="7" w:type="dxa"/>
        </w:trPr>
        <w:tc>
          <w:tcPr>
            <w:tcW w:w="2269" w:type="dxa"/>
            <w:gridSpan w:val="4"/>
            <w:tcBorders>
              <w:top w:val="single" w:sz="4" w:space="0" w:color="auto"/>
              <w:bottom w:val="nil"/>
              <w:right w:val="nil"/>
            </w:tcBorders>
          </w:tcPr>
          <w:p w14:paraId="640AE83D" w14:textId="77777777" w:rsidR="00A902B0" w:rsidRDefault="00A902B0" w:rsidP="00091D1C">
            <w:pPr>
              <w:spacing w:after="0" w:line="276" w:lineRule="auto"/>
              <w:contextualSpacing/>
              <w:rPr>
                <w:rFonts w:cs="Arial"/>
                <w:sz w:val="20"/>
              </w:rPr>
            </w:pPr>
            <w:r>
              <w:rPr>
                <w:rFonts w:cs="Arial"/>
                <w:sz w:val="20"/>
              </w:rPr>
              <w:t xml:space="preserve">Ethnicity </w:t>
            </w:r>
          </w:p>
        </w:tc>
        <w:tc>
          <w:tcPr>
            <w:tcW w:w="1937" w:type="dxa"/>
            <w:gridSpan w:val="2"/>
            <w:tcBorders>
              <w:top w:val="single" w:sz="4" w:space="0" w:color="auto"/>
              <w:bottom w:val="nil"/>
            </w:tcBorders>
            <w:vAlign w:val="center"/>
          </w:tcPr>
          <w:p w14:paraId="117C61BA" w14:textId="77777777" w:rsidR="00A902B0" w:rsidRPr="006E1B17" w:rsidRDefault="00A902B0" w:rsidP="00091D1C">
            <w:pPr>
              <w:spacing w:after="0" w:line="276" w:lineRule="auto"/>
              <w:contextualSpacing/>
              <w:jc w:val="center"/>
              <w:rPr>
                <w:rFonts w:cs="Arial"/>
                <w:sz w:val="20"/>
              </w:rPr>
            </w:pPr>
          </w:p>
        </w:tc>
        <w:tc>
          <w:tcPr>
            <w:tcW w:w="1554" w:type="dxa"/>
            <w:gridSpan w:val="3"/>
            <w:tcBorders>
              <w:top w:val="single" w:sz="4" w:space="0" w:color="auto"/>
              <w:bottom w:val="nil"/>
            </w:tcBorders>
            <w:vAlign w:val="center"/>
          </w:tcPr>
          <w:p w14:paraId="6BBDCFD2" w14:textId="77777777" w:rsidR="00A902B0" w:rsidRPr="006E1B17" w:rsidRDefault="00A902B0" w:rsidP="00091D1C">
            <w:pPr>
              <w:spacing w:after="0" w:line="276" w:lineRule="auto"/>
              <w:contextualSpacing/>
              <w:jc w:val="center"/>
              <w:rPr>
                <w:rFonts w:cs="Arial"/>
                <w:sz w:val="20"/>
              </w:rPr>
            </w:pPr>
          </w:p>
        </w:tc>
        <w:tc>
          <w:tcPr>
            <w:tcW w:w="997" w:type="dxa"/>
            <w:tcBorders>
              <w:top w:val="single" w:sz="4" w:space="0" w:color="auto"/>
              <w:bottom w:val="nil"/>
            </w:tcBorders>
            <w:vAlign w:val="center"/>
          </w:tcPr>
          <w:p w14:paraId="6BDA8E6B" w14:textId="77777777" w:rsidR="00A902B0" w:rsidRPr="006E1B17" w:rsidRDefault="00A902B0" w:rsidP="00091D1C">
            <w:pPr>
              <w:spacing w:after="0" w:line="276" w:lineRule="auto"/>
              <w:contextualSpacing/>
              <w:jc w:val="center"/>
              <w:rPr>
                <w:rFonts w:cs="Arial"/>
                <w:sz w:val="20"/>
              </w:rPr>
            </w:pPr>
          </w:p>
        </w:tc>
      </w:tr>
      <w:tr w:rsidR="00A902B0" w:rsidRPr="00375C08" w14:paraId="08CB7788" w14:textId="77777777" w:rsidTr="0056614F">
        <w:trPr>
          <w:gridAfter w:val="1"/>
          <w:wAfter w:w="7" w:type="dxa"/>
        </w:trPr>
        <w:tc>
          <w:tcPr>
            <w:tcW w:w="280" w:type="dxa"/>
            <w:tcBorders>
              <w:top w:val="nil"/>
              <w:bottom w:val="nil"/>
              <w:right w:val="nil"/>
            </w:tcBorders>
          </w:tcPr>
          <w:p w14:paraId="3B6D9B2C" w14:textId="77777777" w:rsidR="00A902B0" w:rsidRPr="00375C08" w:rsidRDefault="00A902B0" w:rsidP="00091D1C">
            <w:pPr>
              <w:spacing w:after="0" w:line="276" w:lineRule="auto"/>
              <w:contextualSpacing/>
              <w:rPr>
                <w:rFonts w:cs="Arial"/>
                <w:color w:val="FF0000"/>
                <w:sz w:val="20"/>
              </w:rPr>
            </w:pPr>
          </w:p>
        </w:tc>
        <w:tc>
          <w:tcPr>
            <w:tcW w:w="1989" w:type="dxa"/>
            <w:gridSpan w:val="3"/>
            <w:tcBorders>
              <w:top w:val="nil"/>
              <w:left w:val="nil"/>
              <w:bottom w:val="single" w:sz="4" w:space="0" w:color="auto"/>
              <w:right w:val="nil"/>
            </w:tcBorders>
            <w:vAlign w:val="center"/>
          </w:tcPr>
          <w:p w14:paraId="76E6C025" w14:textId="77777777" w:rsidR="00A902B0" w:rsidRPr="00375C08" w:rsidRDefault="00A902B0" w:rsidP="00091D1C">
            <w:pPr>
              <w:spacing w:after="0" w:line="276" w:lineRule="auto"/>
              <w:contextualSpacing/>
              <w:rPr>
                <w:rFonts w:cs="Arial"/>
                <w:sz w:val="20"/>
              </w:rPr>
            </w:pPr>
            <w:r>
              <w:rPr>
                <w:rFonts w:cs="Arial"/>
                <w:sz w:val="20"/>
              </w:rPr>
              <w:t>White</w:t>
            </w:r>
          </w:p>
        </w:tc>
        <w:tc>
          <w:tcPr>
            <w:tcW w:w="1937" w:type="dxa"/>
            <w:gridSpan w:val="2"/>
            <w:tcBorders>
              <w:top w:val="nil"/>
              <w:left w:val="nil"/>
              <w:bottom w:val="single" w:sz="4" w:space="0" w:color="auto"/>
              <w:right w:val="nil"/>
            </w:tcBorders>
            <w:vAlign w:val="center"/>
          </w:tcPr>
          <w:p w14:paraId="0D66517E" w14:textId="77777777" w:rsidR="00A902B0" w:rsidRPr="006E1B17" w:rsidRDefault="005955A4" w:rsidP="00091D1C">
            <w:pPr>
              <w:spacing w:after="0" w:line="276" w:lineRule="auto"/>
              <w:contextualSpacing/>
              <w:jc w:val="center"/>
              <w:rPr>
                <w:rFonts w:cs="Arial"/>
                <w:sz w:val="20"/>
              </w:rPr>
            </w:pPr>
            <w:r>
              <w:rPr>
                <w:rFonts w:cs="Arial"/>
                <w:sz w:val="20"/>
              </w:rPr>
              <w:t>92.6</w:t>
            </w:r>
          </w:p>
        </w:tc>
        <w:tc>
          <w:tcPr>
            <w:tcW w:w="1554" w:type="dxa"/>
            <w:gridSpan w:val="3"/>
            <w:tcBorders>
              <w:top w:val="nil"/>
              <w:left w:val="nil"/>
              <w:bottom w:val="single" w:sz="4" w:space="0" w:color="auto"/>
              <w:right w:val="nil"/>
            </w:tcBorders>
            <w:vAlign w:val="center"/>
          </w:tcPr>
          <w:p w14:paraId="2951009A" w14:textId="77777777" w:rsidR="00A902B0" w:rsidRPr="006E1B17" w:rsidRDefault="005955A4" w:rsidP="00091D1C">
            <w:pPr>
              <w:spacing w:after="0" w:line="276" w:lineRule="auto"/>
              <w:contextualSpacing/>
              <w:jc w:val="center"/>
              <w:rPr>
                <w:rFonts w:cs="Arial"/>
                <w:sz w:val="20"/>
              </w:rPr>
            </w:pPr>
            <w:r>
              <w:rPr>
                <w:rFonts w:cs="Arial"/>
                <w:sz w:val="20"/>
              </w:rPr>
              <w:t>99.3</w:t>
            </w:r>
          </w:p>
        </w:tc>
        <w:tc>
          <w:tcPr>
            <w:tcW w:w="997" w:type="dxa"/>
            <w:tcBorders>
              <w:top w:val="nil"/>
              <w:left w:val="nil"/>
              <w:bottom w:val="single" w:sz="4" w:space="0" w:color="auto"/>
              <w:right w:val="nil"/>
            </w:tcBorders>
            <w:vAlign w:val="center"/>
          </w:tcPr>
          <w:p w14:paraId="2390E5C5" w14:textId="77777777" w:rsidR="00A902B0" w:rsidRPr="006E1B17" w:rsidRDefault="004164D2" w:rsidP="00091D1C">
            <w:pPr>
              <w:spacing w:after="0" w:line="276" w:lineRule="auto"/>
              <w:contextualSpacing/>
              <w:jc w:val="center"/>
              <w:rPr>
                <w:rFonts w:cs="Arial"/>
                <w:sz w:val="20"/>
              </w:rPr>
            </w:pPr>
            <w:r>
              <w:rPr>
                <w:rFonts w:cs="Arial"/>
                <w:sz w:val="20"/>
              </w:rPr>
              <w:t>0.003</w:t>
            </w:r>
          </w:p>
        </w:tc>
      </w:tr>
      <w:tr w:rsidR="00A902B0" w:rsidRPr="00375C08" w14:paraId="1C3CB865" w14:textId="77777777" w:rsidTr="0056614F">
        <w:trPr>
          <w:gridAfter w:val="1"/>
          <w:wAfter w:w="7" w:type="dxa"/>
        </w:trPr>
        <w:tc>
          <w:tcPr>
            <w:tcW w:w="280" w:type="dxa"/>
            <w:tcBorders>
              <w:top w:val="nil"/>
              <w:bottom w:val="single" w:sz="4" w:space="0" w:color="auto"/>
              <w:right w:val="nil"/>
            </w:tcBorders>
          </w:tcPr>
          <w:p w14:paraId="00B56265" w14:textId="77777777" w:rsidR="00A902B0" w:rsidRPr="00375C08" w:rsidRDefault="00A902B0" w:rsidP="00091D1C">
            <w:pPr>
              <w:spacing w:after="0" w:line="276" w:lineRule="auto"/>
              <w:contextualSpacing/>
              <w:rPr>
                <w:rFonts w:cs="Arial"/>
                <w:color w:val="FF0000"/>
                <w:sz w:val="20"/>
              </w:rPr>
            </w:pPr>
          </w:p>
        </w:tc>
        <w:tc>
          <w:tcPr>
            <w:tcW w:w="1989" w:type="dxa"/>
            <w:gridSpan w:val="3"/>
            <w:tcBorders>
              <w:top w:val="single" w:sz="4" w:space="0" w:color="auto"/>
              <w:left w:val="nil"/>
              <w:bottom w:val="single" w:sz="4" w:space="0" w:color="auto"/>
              <w:right w:val="nil"/>
            </w:tcBorders>
            <w:vAlign w:val="center"/>
          </w:tcPr>
          <w:p w14:paraId="498C62D4" w14:textId="77777777" w:rsidR="00A902B0" w:rsidRDefault="00A902B0" w:rsidP="00091D1C">
            <w:pPr>
              <w:spacing w:after="0" w:line="276" w:lineRule="auto"/>
              <w:contextualSpacing/>
              <w:rPr>
                <w:rFonts w:cs="Arial"/>
                <w:sz w:val="20"/>
              </w:rPr>
            </w:pPr>
            <w:r>
              <w:rPr>
                <w:rFonts w:cs="Arial"/>
                <w:sz w:val="20"/>
              </w:rPr>
              <w:t>Non-white</w:t>
            </w:r>
          </w:p>
        </w:tc>
        <w:tc>
          <w:tcPr>
            <w:tcW w:w="1937" w:type="dxa"/>
            <w:gridSpan w:val="2"/>
            <w:tcBorders>
              <w:top w:val="single" w:sz="4" w:space="0" w:color="auto"/>
              <w:left w:val="nil"/>
              <w:bottom w:val="single" w:sz="4" w:space="0" w:color="auto"/>
              <w:right w:val="nil"/>
            </w:tcBorders>
            <w:vAlign w:val="center"/>
          </w:tcPr>
          <w:p w14:paraId="29B84A51" w14:textId="77777777" w:rsidR="00A902B0" w:rsidRPr="006E1B17" w:rsidRDefault="005955A4" w:rsidP="00091D1C">
            <w:pPr>
              <w:spacing w:after="0" w:line="276" w:lineRule="auto"/>
              <w:contextualSpacing/>
              <w:jc w:val="center"/>
              <w:rPr>
                <w:rFonts w:cs="Arial"/>
                <w:sz w:val="20"/>
              </w:rPr>
            </w:pPr>
            <w:r>
              <w:rPr>
                <w:rFonts w:cs="Arial"/>
                <w:sz w:val="20"/>
              </w:rPr>
              <w:t>7.4</w:t>
            </w:r>
          </w:p>
        </w:tc>
        <w:tc>
          <w:tcPr>
            <w:tcW w:w="1554" w:type="dxa"/>
            <w:gridSpan w:val="3"/>
            <w:tcBorders>
              <w:top w:val="single" w:sz="4" w:space="0" w:color="auto"/>
              <w:left w:val="nil"/>
              <w:bottom w:val="single" w:sz="4" w:space="0" w:color="auto"/>
              <w:right w:val="nil"/>
            </w:tcBorders>
            <w:vAlign w:val="center"/>
          </w:tcPr>
          <w:p w14:paraId="1E07C890" w14:textId="77777777" w:rsidR="00A902B0" w:rsidRPr="006E1B17" w:rsidRDefault="005955A4" w:rsidP="00091D1C">
            <w:pPr>
              <w:spacing w:after="0" w:line="276" w:lineRule="auto"/>
              <w:contextualSpacing/>
              <w:jc w:val="center"/>
              <w:rPr>
                <w:rFonts w:cs="Arial"/>
                <w:sz w:val="20"/>
              </w:rPr>
            </w:pPr>
            <w:r>
              <w:rPr>
                <w:rFonts w:cs="Arial"/>
                <w:sz w:val="20"/>
              </w:rPr>
              <w:t>0.7</w:t>
            </w:r>
          </w:p>
        </w:tc>
        <w:tc>
          <w:tcPr>
            <w:tcW w:w="997" w:type="dxa"/>
            <w:tcBorders>
              <w:top w:val="single" w:sz="4" w:space="0" w:color="auto"/>
              <w:left w:val="nil"/>
              <w:bottom w:val="single" w:sz="4" w:space="0" w:color="auto"/>
              <w:right w:val="nil"/>
            </w:tcBorders>
            <w:vAlign w:val="center"/>
          </w:tcPr>
          <w:p w14:paraId="2BA60C90" w14:textId="77777777" w:rsidR="00A902B0" w:rsidRPr="006E1B17" w:rsidRDefault="005955A4" w:rsidP="00091D1C">
            <w:pPr>
              <w:spacing w:after="0" w:line="276" w:lineRule="auto"/>
              <w:contextualSpacing/>
              <w:jc w:val="center"/>
              <w:rPr>
                <w:rFonts w:cs="Arial"/>
                <w:sz w:val="20"/>
              </w:rPr>
            </w:pPr>
            <w:r>
              <w:rPr>
                <w:rFonts w:cs="Arial"/>
                <w:sz w:val="20"/>
              </w:rPr>
              <w:t>-</w:t>
            </w:r>
          </w:p>
        </w:tc>
      </w:tr>
      <w:tr w:rsidR="00A902B0" w:rsidRPr="00375C08" w14:paraId="6CEDCE48" w14:textId="77777777" w:rsidTr="0056614F">
        <w:trPr>
          <w:gridAfter w:val="1"/>
          <w:wAfter w:w="7" w:type="dxa"/>
        </w:trPr>
        <w:tc>
          <w:tcPr>
            <w:tcW w:w="2269" w:type="dxa"/>
            <w:gridSpan w:val="4"/>
            <w:tcBorders>
              <w:top w:val="single" w:sz="4" w:space="0" w:color="auto"/>
              <w:bottom w:val="nil"/>
              <w:right w:val="nil"/>
            </w:tcBorders>
          </w:tcPr>
          <w:p w14:paraId="607ACA7D" w14:textId="77777777" w:rsidR="00A902B0" w:rsidRDefault="00A902B0" w:rsidP="00091D1C">
            <w:pPr>
              <w:spacing w:after="0" w:line="276" w:lineRule="auto"/>
              <w:contextualSpacing/>
              <w:rPr>
                <w:rFonts w:cs="Arial"/>
                <w:sz w:val="20"/>
              </w:rPr>
            </w:pPr>
            <w:r>
              <w:rPr>
                <w:rFonts w:cs="Arial"/>
                <w:sz w:val="20"/>
              </w:rPr>
              <w:t>Partnership status</w:t>
            </w:r>
          </w:p>
        </w:tc>
        <w:tc>
          <w:tcPr>
            <w:tcW w:w="1937" w:type="dxa"/>
            <w:gridSpan w:val="2"/>
            <w:tcBorders>
              <w:top w:val="single" w:sz="4" w:space="0" w:color="auto"/>
              <w:bottom w:val="nil"/>
            </w:tcBorders>
            <w:vAlign w:val="center"/>
          </w:tcPr>
          <w:p w14:paraId="61B70868" w14:textId="77777777" w:rsidR="00A902B0" w:rsidRPr="006E1B17" w:rsidRDefault="00A902B0" w:rsidP="00091D1C">
            <w:pPr>
              <w:spacing w:after="0" w:line="276" w:lineRule="auto"/>
              <w:contextualSpacing/>
              <w:jc w:val="center"/>
              <w:rPr>
                <w:rFonts w:cs="Arial"/>
                <w:sz w:val="20"/>
              </w:rPr>
            </w:pPr>
          </w:p>
        </w:tc>
        <w:tc>
          <w:tcPr>
            <w:tcW w:w="1554" w:type="dxa"/>
            <w:gridSpan w:val="3"/>
            <w:tcBorders>
              <w:top w:val="single" w:sz="4" w:space="0" w:color="auto"/>
              <w:bottom w:val="nil"/>
            </w:tcBorders>
            <w:vAlign w:val="center"/>
          </w:tcPr>
          <w:p w14:paraId="45CA664E" w14:textId="77777777" w:rsidR="00A902B0" w:rsidRPr="006E1B17" w:rsidRDefault="00A902B0" w:rsidP="00091D1C">
            <w:pPr>
              <w:spacing w:after="0" w:line="276" w:lineRule="auto"/>
              <w:contextualSpacing/>
              <w:jc w:val="center"/>
              <w:rPr>
                <w:rFonts w:cs="Arial"/>
                <w:sz w:val="20"/>
              </w:rPr>
            </w:pPr>
          </w:p>
        </w:tc>
        <w:tc>
          <w:tcPr>
            <w:tcW w:w="997" w:type="dxa"/>
            <w:tcBorders>
              <w:top w:val="single" w:sz="4" w:space="0" w:color="auto"/>
              <w:bottom w:val="nil"/>
            </w:tcBorders>
            <w:vAlign w:val="center"/>
          </w:tcPr>
          <w:p w14:paraId="00C3A717" w14:textId="77777777" w:rsidR="00A902B0" w:rsidRPr="006E1B17" w:rsidRDefault="00A902B0" w:rsidP="00091D1C">
            <w:pPr>
              <w:spacing w:after="0" w:line="276" w:lineRule="auto"/>
              <w:contextualSpacing/>
              <w:jc w:val="center"/>
              <w:rPr>
                <w:rFonts w:cs="Arial"/>
                <w:sz w:val="20"/>
              </w:rPr>
            </w:pPr>
          </w:p>
        </w:tc>
      </w:tr>
      <w:tr w:rsidR="00A902B0" w:rsidRPr="00375C08" w14:paraId="6AAED6D2" w14:textId="77777777" w:rsidTr="0056614F">
        <w:trPr>
          <w:gridAfter w:val="1"/>
          <w:wAfter w:w="7" w:type="dxa"/>
        </w:trPr>
        <w:tc>
          <w:tcPr>
            <w:tcW w:w="280" w:type="dxa"/>
            <w:tcBorders>
              <w:top w:val="nil"/>
              <w:bottom w:val="nil"/>
              <w:right w:val="nil"/>
            </w:tcBorders>
          </w:tcPr>
          <w:p w14:paraId="7A0F9172" w14:textId="77777777" w:rsidR="00A902B0" w:rsidRPr="00375C08" w:rsidRDefault="00A902B0" w:rsidP="00091D1C">
            <w:pPr>
              <w:spacing w:after="0" w:line="276" w:lineRule="auto"/>
              <w:contextualSpacing/>
              <w:rPr>
                <w:rFonts w:cs="Arial"/>
                <w:color w:val="FF0000"/>
                <w:sz w:val="20"/>
              </w:rPr>
            </w:pPr>
          </w:p>
        </w:tc>
        <w:tc>
          <w:tcPr>
            <w:tcW w:w="1989" w:type="dxa"/>
            <w:gridSpan w:val="3"/>
            <w:tcBorders>
              <w:top w:val="nil"/>
              <w:left w:val="nil"/>
              <w:bottom w:val="single" w:sz="4" w:space="0" w:color="auto"/>
              <w:right w:val="nil"/>
            </w:tcBorders>
            <w:vAlign w:val="center"/>
          </w:tcPr>
          <w:p w14:paraId="424BC05E" w14:textId="77777777" w:rsidR="00A902B0" w:rsidRPr="00375C08" w:rsidRDefault="00A902B0" w:rsidP="00091D1C">
            <w:pPr>
              <w:spacing w:after="0" w:line="276" w:lineRule="auto"/>
              <w:contextualSpacing/>
              <w:rPr>
                <w:rFonts w:cs="Arial"/>
                <w:sz w:val="20"/>
              </w:rPr>
            </w:pPr>
            <w:r>
              <w:rPr>
                <w:rFonts w:cs="Arial"/>
                <w:sz w:val="20"/>
              </w:rPr>
              <w:t>Married/cohabiting</w:t>
            </w:r>
          </w:p>
        </w:tc>
        <w:tc>
          <w:tcPr>
            <w:tcW w:w="1937" w:type="dxa"/>
            <w:gridSpan w:val="2"/>
            <w:tcBorders>
              <w:top w:val="nil"/>
              <w:left w:val="nil"/>
              <w:bottom w:val="single" w:sz="4" w:space="0" w:color="auto"/>
              <w:right w:val="nil"/>
            </w:tcBorders>
            <w:vAlign w:val="center"/>
          </w:tcPr>
          <w:p w14:paraId="6F1FBD06" w14:textId="77777777" w:rsidR="00A902B0" w:rsidRPr="006E1B17" w:rsidRDefault="002B18A4" w:rsidP="00091D1C">
            <w:pPr>
              <w:spacing w:after="0" w:line="276" w:lineRule="auto"/>
              <w:contextualSpacing/>
              <w:jc w:val="center"/>
              <w:rPr>
                <w:rFonts w:cs="Arial"/>
                <w:sz w:val="20"/>
              </w:rPr>
            </w:pPr>
            <w:r>
              <w:rPr>
                <w:rFonts w:cs="Arial"/>
                <w:sz w:val="20"/>
              </w:rPr>
              <w:t>63.3</w:t>
            </w:r>
          </w:p>
        </w:tc>
        <w:tc>
          <w:tcPr>
            <w:tcW w:w="1554" w:type="dxa"/>
            <w:gridSpan w:val="3"/>
            <w:tcBorders>
              <w:top w:val="nil"/>
              <w:left w:val="nil"/>
              <w:bottom w:val="single" w:sz="4" w:space="0" w:color="auto"/>
              <w:right w:val="nil"/>
            </w:tcBorders>
            <w:vAlign w:val="center"/>
          </w:tcPr>
          <w:p w14:paraId="2FA37815" w14:textId="77777777" w:rsidR="00A902B0" w:rsidRPr="006E1B17" w:rsidRDefault="002B18A4" w:rsidP="00091D1C">
            <w:pPr>
              <w:spacing w:after="0" w:line="276" w:lineRule="auto"/>
              <w:contextualSpacing/>
              <w:jc w:val="center"/>
              <w:rPr>
                <w:rFonts w:cs="Arial"/>
                <w:sz w:val="20"/>
              </w:rPr>
            </w:pPr>
            <w:r>
              <w:rPr>
                <w:rFonts w:cs="Arial"/>
                <w:sz w:val="20"/>
              </w:rPr>
              <w:t>64.4</w:t>
            </w:r>
          </w:p>
        </w:tc>
        <w:tc>
          <w:tcPr>
            <w:tcW w:w="997" w:type="dxa"/>
            <w:tcBorders>
              <w:top w:val="nil"/>
              <w:left w:val="nil"/>
              <w:bottom w:val="single" w:sz="4" w:space="0" w:color="auto"/>
              <w:right w:val="nil"/>
            </w:tcBorders>
            <w:vAlign w:val="center"/>
          </w:tcPr>
          <w:p w14:paraId="2D427C7F" w14:textId="77777777" w:rsidR="00A902B0" w:rsidRPr="006E1B17" w:rsidRDefault="004164D2" w:rsidP="00091D1C">
            <w:pPr>
              <w:spacing w:after="0" w:line="276" w:lineRule="auto"/>
              <w:contextualSpacing/>
              <w:jc w:val="center"/>
              <w:rPr>
                <w:rFonts w:cs="Arial"/>
                <w:sz w:val="20"/>
              </w:rPr>
            </w:pPr>
            <w:r>
              <w:rPr>
                <w:rFonts w:cs="Arial"/>
                <w:sz w:val="20"/>
              </w:rPr>
              <w:t>0.854</w:t>
            </w:r>
          </w:p>
        </w:tc>
      </w:tr>
      <w:tr w:rsidR="00A902B0" w:rsidRPr="00375C08" w14:paraId="031F35AE" w14:textId="77777777" w:rsidTr="0056614F">
        <w:trPr>
          <w:gridAfter w:val="1"/>
          <w:wAfter w:w="7" w:type="dxa"/>
        </w:trPr>
        <w:tc>
          <w:tcPr>
            <w:tcW w:w="280" w:type="dxa"/>
            <w:tcBorders>
              <w:top w:val="nil"/>
              <w:bottom w:val="single" w:sz="4" w:space="0" w:color="auto"/>
              <w:right w:val="nil"/>
            </w:tcBorders>
          </w:tcPr>
          <w:p w14:paraId="50742974" w14:textId="77777777" w:rsidR="00A902B0" w:rsidRPr="00375C08" w:rsidRDefault="00A902B0" w:rsidP="00091D1C">
            <w:pPr>
              <w:spacing w:after="0" w:line="276" w:lineRule="auto"/>
              <w:contextualSpacing/>
              <w:rPr>
                <w:rFonts w:cs="Arial"/>
                <w:color w:val="FF0000"/>
                <w:sz w:val="20"/>
              </w:rPr>
            </w:pPr>
          </w:p>
        </w:tc>
        <w:tc>
          <w:tcPr>
            <w:tcW w:w="1989" w:type="dxa"/>
            <w:gridSpan w:val="3"/>
            <w:tcBorders>
              <w:top w:val="single" w:sz="4" w:space="0" w:color="auto"/>
              <w:left w:val="nil"/>
              <w:bottom w:val="single" w:sz="4" w:space="0" w:color="auto"/>
              <w:right w:val="nil"/>
            </w:tcBorders>
            <w:vAlign w:val="center"/>
          </w:tcPr>
          <w:p w14:paraId="136727F3" w14:textId="77777777" w:rsidR="00A902B0" w:rsidRDefault="00092396" w:rsidP="00091D1C">
            <w:pPr>
              <w:spacing w:after="0" w:line="276" w:lineRule="auto"/>
              <w:contextualSpacing/>
              <w:rPr>
                <w:rFonts w:cs="Arial"/>
                <w:sz w:val="20"/>
              </w:rPr>
            </w:pPr>
            <w:r>
              <w:rPr>
                <w:rFonts w:cs="Arial"/>
                <w:sz w:val="20"/>
              </w:rPr>
              <w:t>Other</w:t>
            </w:r>
          </w:p>
        </w:tc>
        <w:tc>
          <w:tcPr>
            <w:tcW w:w="1937" w:type="dxa"/>
            <w:gridSpan w:val="2"/>
            <w:tcBorders>
              <w:top w:val="single" w:sz="4" w:space="0" w:color="auto"/>
              <w:left w:val="nil"/>
              <w:bottom w:val="single" w:sz="4" w:space="0" w:color="auto"/>
              <w:right w:val="nil"/>
            </w:tcBorders>
            <w:vAlign w:val="center"/>
          </w:tcPr>
          <w:p w14:paraId="777462D3" w14:textId="77777777" w:rsidR="00A902B0" w:rsidRPr="006E1B17" w:rsidRDefault="002B18A4" w:rsidP="00091D1C">
            <w:pPr>
              <w:spacing w:after="0" w:line="276" w:lineRule="auto"/>
              <w:contextualSpacing/>
              <w:jc w:val="center"/>
              <w:rPr>
                <w:rFonts w:cs="Arial"/>
                <w:sz w:val="20"/>
              </w:rPr>
            </w:pPr>
            <w:r>
              <w:rPr>
                <w:rFonts w:cs="Arial"/>
                <w:sz w:val="20"/>
              </w:rPr>
              <w:t>36.7</w:t>
            </w:r>
          </w:p>
        </w:tc>
        <w:tc>
          <w:tcPr>
            <w:tcW w:w="1554" w:type="dxa"/>
            <w:gridSpan w:val="3"/>
            <w:tcBorders>
              <w:top w:val="single" w:sz="4" w:space="0" w:color="auto"/>
              <w:left w:val="nil"/>
              <w:bottom w:val="single" w:sz="4" w:space="0" w:color="auto"/>
              <w:right w:val="nil"/>
            </w:tcBorders>
            <w:vAlign w:val="center"/>
          </w:tcPr>
          <w:p w14:paraId="470038C8" w14:textId="77777777" w:rsidR="00A902B0" w:rsidRPr="006E1B17" w:rsidRDefault="002B18A4" w:rsidP="00091D1C">
            <w:pPr>
              <w:spacing w:after="0" w:line="276" w:lineRule="auto"/>
              <w:contextualSpacing/>
              <w:jc w:val="center"/>
              <w:rPr>
                <w:rFonts w:cs="Arial"/>
                <w:sz w:val="20"/>
              </w:rPr>
            </w:pPr>
            <w:r>
              <w:rPr>
                <w:rFonts w:cs="Arial"/>
                <w:sz w:val="20"/>
              </w:rPr>
              <w:t>35.6</w:t>
            </w:r>
          </w:p>
        </w:tc>
        <w:tc>
          <w:tcPr>
            <w:tcW w:w="997" w:type="dxa"/>
            <w:tcBorders>
              <w:top w:val="single" w:sz="4" w:space="0" w:color="auto"/>
              <w:left w:val="nil"/>
              <w:bottom w:val="single" w:sz="4" w:space="0" w:color="auto"/>
              <w:right w:val="nil"/>
            </w:tcBorders>
            <w:vAlign w:val="center"/>
          </w:tcPr>
          <w:p w14:paraId="6E8F1B82" w14:textId="77777777" w:rsidR="00A902B0" w:rsidRPr="006E1B17" w:rsidRDefault="004164D2" w:rsidP="00091D1C">
            <w:pPr>
              <w:spacing w:after="0" w:line="276" w:lineRule="auto"/>
              <w:contextualSpacing/>
              <w:jc w:val="center"/>
              <w:rPr>
                <w:rFonts w:cs="Arial"/>
                <w:sz w:val="20"/>
              </w:rPr>
            </w:pPr>
            <w:r>
              <w:rPr>
                <w:rFonts w:cs="Arial"/>
                <w:sz w:val="20"/>
              </w:rPr>
              <w:t>-</w:t>
            </w:r>
          </w:p>
        </w:tc>
      </w:tr>
      <w:tr w:rsidR="00A902B0" w:rsidRPr="00375C08" w14:paraId="35CCEAEE" w14:textId="77777777" w:rsidTr="0056614F">
        <w:trPr>
          <w:gridAfter w:val="1"/>
          <w:wAfter w:w="7" w:type="dxa"/>
        </w:trPr>
        <w:tc>
          <w:tcPr>
            <w:tcW w:w="2269" w:type="dxa"/>
            <w:gridSpan w:val="4"/>
            <w:tcBorders>
              <w:top w:val="single" w:sz="4" w:space="0" w:color="auto"/>
              <w:bottom w:val="nil"/>
              <w:right w:val="nil"/>
            </w:tcBorders>
          </w:tcPr>
          <w:p w14:paraId="5F5AF39B" w14:textId="77777777" w:rsidR="00A902B0" w:rsidRDefault="00A902B0" w:rsidP="00091D1C">
            <w:pPr>
              <w:spacing w:after="0" w:line="276" w:lineRule="auto"/>
              <w:contextualSpacing/>
              <w:rPr>
                <w:rFonts w:cs="Arial"/>
                <w:sz w:val="20"/>
              </w:rPr>
            </w:pPr>
            <w:r>
              <w:rPr>
                <w:rFonts w:cs="Arial"/>
                <w:sz w:val="20"/>
              </w:rPr>
              <w:t>Wealth quintile</w:t>
            </w:r>
          </w:p>
        </w:tc>
        <w:tc>
          <w:tcPr>
            <w:tcW w:w="1937" w:type="dxa"/>
            <w:gridSpan w:val="2"/>
            <w:tcBorders>
              <w:top w:val="single" w:sz="4" w:space="0" w:color="auto"/>
              <w:bottom w:val="nil"/>
            </w:tcBorders>
            <w:vAlign w:val="center"/>
          </w:tcPr>
          <w:p w14:paraId="3F405F45" w14:textId="77777777" w:rsidR="00A902B0" w:rsidRPr="006E1B17" w:rsidRDefault="00A902B0" w:rsidP="00091D1C">
            <w:pPr>
              <w:spacing w:after="0" w:line="276" w:lineRule="auto"/>
              <w:contextualSpacing/>
              <w:jc w:val="center"/>
              <w:rPr>
                <w:rFonts w:cs="Arial"/>
                <w:sz w:val="20"/>
              </w:rPr>
            </w:pPr>
          </w:p>
        </w:tc>
        <w:tc>
          <w:tcPr>
            <w:tcW w:w="1554" w:type="dxa"/>
            <w:gridSpan w:val="3"/>
            <w:tcBorders>
              <w:top w:val="single" w:sz="4" w:space="0" w:color="auto"/>
              <w:bottom w:val="nil"/>
            </w:tcBorders>
            <w:vAlign w:val="center"/>
          </w:tcPr>
          <w:p w14:paraId="2393C25E" w14:textId="77777777" w:rsidR="00A902B0" w:rsidRPr="006E1B17" w:rsidRDefault="00A902B0" w:rsidP="00091D1C">
            <w:pPr>
              <w:spacing w:after="0" w:line="276" w:lineRule="auto"/>
              <w:contextualSpacing/>
              <w:jc w:val="center"/>
              <w:rPr>
                <w:rFonts w:cs="Arial"/>
                <w:sz w:val="20"/>
              </w:rPr>
            </w:pPr>
          </w:p>
        </w:tc>
        <w:tc>
          <w:tcPr>
            <w:tcW w:w="997" w:type="dxa"/>
            <w:tcBorders>
              <w:top w:val="single" w:sz="4" w:space="0" w:color="auto"/>
              <w:bottom w:val="nil"/>
            </w:tcBorders>
            <w:vAlign w:val="center"/>
          </w:tcPr>
          <w:p w14:paraId="769463FD" w14:textId="77777777" w:rsidR="00A902B0" w:rsidRPr="006E1B17" w:rsidRDefault="00A902B0" w:rsidP="00091D1C">
            <w:pPr>
              <w:spacing w:after="0" w:line="276" w:lineRule="auto"/>
              <w:contextualSpacing/>
              <w:jc w:val="center"/>
              <w:rPr>
                <w:rFonts w:cs="Arial"/>
                <w:sz w:val="20"/>
              </w:rPr>
            </w:pPr>
          </w:p>
        </w:tc>
      </w:tr>
      <w:tr w:rsidR="00A902B0" w:rsidRPr="00375C08" w14:paraId="00386E21" w14:textId="77777777" w:rsidTr="0056614F">
        <w:trPr>
          <w:gridAfter w:val="1"/>
          <w:wAfter w:w="7" w:type="dxa"/>
        </w:trPr>
        <w:tc>
          <w:tcPr>
            <w:tcW w:w="280" w:type="dxa"/>
            <w:tcBorders>
              <w:top w:val="nil"/>
              <w:bottom w:val="nil"/>
              <w:right w:val="nil"/>
            </w:tcBorders>
          </w:tcPr>
          <w:p w14:paraId="115D766B" w14:textId="77777777" w:rsidR="00A902B0" w:rsidRPr="00375C08" w:rsidRDefault="00A902B0" w:rsidP="00091D1C">
            <w:pPr>
              <w:spacing w:after="0" w:line="276" w:lineRule="auto"/>
              <w:contextualSpacing/>
              <w:rPr>
                <w:rFonts w:cs="Arial"/>
                <w:color w:val="FF0000"/>
                <w:sz w:val="20"/>
              </w:rPr>
            </w:pPr>
          </w:p>
        </w:tc>
        <w:tc>
          <w:tcPr>
            <w:tcW w:w="1989" w:type="dxa"/>
            <w:gridSpan w:val="3"/>
            <w:tcBorders>
              <w:top w:val="nil"/>
              <w:left w:val="nil"/>
              <w:bottom w:val="single" w:sz="4" w:space="0" w:color="auto"/>
              <w:right w:val="nil"/>
            </w:tcBorders>
            <w:vAlign w:val="center"/>
          </w:tcPr>
          <w:p w14:paraId="4994A510" w14:textId="77777777" w:rsidR="00A902B0" w:rsidRPr="00375C08" w:rsidRDefault="00A902B0" w:rsidP="00091D1C">
            <w:pPr>
              <w:spacing w:after="0" w:line="276" w:lineRule="auto"/>
              <w:contextualSpacing/>
              <w:rPr>
                <w:rFonts w:cs="Arial"/>
                <w:sz w:val="20"/>
              </w:rPr>
            </w:pPr>
            <w:r>
              <w:rPr>
                <w:rFonts w:cs="Arial"/>
                <w:sz w:val="20"/>
              </w:rPr>
              <w:t>1 (poorest)</w:t>
            </w:r>
          </w:p>
        </w:tc>
        <w:tc>
          <w:tcPr>
            <w:tcW w:w="1937" w:type="dxa"/>
            <w:gridSpan w:val="2"/>
            <w:tcBorders>
              <w:top w:val="nil"/>
              <w:left w:val="nil"/>
              <w:bottom w:val="single" w:sz="4" w:space="0" w:color="auto"/>
              <w:right w:val="nil"/>
            </w:tcBorders>
            <w:vAlign w:val="center"/>
          </w:tcPr>
          <w:p w14:paraId="668D2782" w14:textId="77777777" w:rsidR="00A902B0" w:rsidRPr="006E1B17" w:rsidRDefault="00F22C94" w:rsidP="00091D1C">
            <w:pPr>
              <w:spacing w:after="0" w:line="276" w:lineRule="auto"/>
              <w:contextualSpacing/>
              <w:jc w:val="center"/>
              <w:rPr>
                <w:rFonts w:cs="Arial"/>
                <w:sz w:val="20"/>
              </w:rPr>
            </w:pPr>
            <w:r>
              <w:rPr>
                <w:rFonts w:cs="Arial"/>
                <w:sz w:val="20"/>
              </w:rPr>
              <w:t>24.5</w:t>
            </w:r>
          </w:p>
        </w:tc>
        <w:tc>
          <w:tcPr>
            <w:tcW w:w="1554" w:type="dxa"/>
            <w:gridSpan w:val="3"/>
            <w:tcBorders>
              <w:top w:val="nil"/>
              <w:left w:val="nil"/>
              <w:bottom w:val="single" w:sz="4" w:space="0" w:color="auto"/>
              <w:right w:val="nil"/>
            </w:tcBorders>
            <w:vAlign w:val="center"/>
          </w:tcPr>
          <w:p w14:paraId="5031981E" w14:textId="77777777" w:rsidR="00A902B0" w:rsidRPr="006E1B17" w:rsidRDefault="007A4770" w:rsidP="00091D1C">
            <w:pPr>
              <w:spacing w:after="0" w:line="276" w:lineRule="auto"/>
              <w:contextualSpacing/>
              <w:jc w:val="center"/>
              <w:rPr>
                <w:rFonts w:cs="Arial"/>
                <w:sz w:val="20"/>
              </w:rPr>
            </w:pPr>
            <w:r>
              <w:rPr>
                <w:rFonts w:cs="Arial"/>
                <w:sz w:val="20"/>
              </w:rPr>
              <w:t>9.0</w:t>
            </w:r>
          </w:p>
        </w:tc>
        <w:tc>
          <w:tcPr>
            <w:tcW w:w="997" w:type="dxa"/>
            <w:tcBorders>
              <w:top w:val="nil"/>
              <w:left w:val="nil"/>
              <w:bottom w:val="single" w:sz="4" w:space="0" w:color="auto"/>
              <w:right w:val="nil"/>
            </w:tcBorders>
            <w:vAlign w:val="center"/>
          </w:tcPr>
          <w:p w14:paraId="19A59456" w14:textId="77777777" w:rsidR="00A902B0" w:rsidRPr="006E1B17" w:rsidRDefault="005955A4" w:rsidP="00091D1C">
            <w:pPr>
              <w:spacing w:after="0" w:line="276" w:lineRule="auto"/>
              <w:contextualSpacing/>
              <w:jc w:val="center"/>
              <w:rPr>
                <w:rFonts w:cs="Arial"/>
                <w:sz w:val="20"/>
              </w:rPr>
            </w:pPr>
            <w:r>
              <w:rPr>
                <w:rFonts w:cs="Arial"/>
                <w:sz w:val="20"/>
              </w:rPr>
              <w:t>0.017</w:t>
            </w:r>
          </w:p>
        </w:tc>
      </w:tr>
      <w:tr w:rsidR="00A902B0" w:rsidRPr="00375C08" w14:paraId="369A7993" w14:textId="77777777" w:rsidTr="0056614F">
        <w:trPr>
          <w:gridAfter w:val="1"/>
          <w:wAfter w:w="7" w:type="dxa"/>
        </w:trPr>
        <w:tc>
          <w:tcPr>
            <w:tcW w:w="280" w:type="dxa"/>
            <w:tcBorders>
              <w:top w:val="nil"/>
              <w:bottom w:val="nil"/>
              <w:right w:val="nil"/>
            </w:tcBorders>
          </w:tcPr>
          <w:p w14:paraId="0FE59506" w14:textId="77777777" w:rsidR="00A902B0" w:rsidRPr="00375C08" w:rsidRDefault="00A902B0" w:rsidP="00091D1C">
            <w:pPr>
              <w:spacing w:after="0" w:line="276" w:lineRule="auto"/>
              <w:contextualSpacing/>
              <w:rPr>
                <w:rFonts w:cs="Arial"/>
                <w:color w:val="FF0000"/>
                <w:sz w:val="20"/>
              </w:rPr>
            </w:pPr>
          </w:p>
        </w:tc>
        <w:tc>
          <w:tcPr>
            <w:tcW w:w="1989" w:type="dxa"/>
            <w:gridSpan w:val="3"/>
            <w:tcBorders>
              <w:top w:val="single" w:sz="4" w:space="0" w:color="auto"/>
              <w:left w:val="nil"/>
              <w:bottom w:val="single" w:sz="4" w:space="0" w:color="auto"/>
              <w:right w:val="nil"/>
            </w:tcBorders>
            <w:vAlign w:val="center"/>
          </w:tcPr>
          <w:p w14:paraId="7592C106" w14:textId="77777777" w:rsidR="00A902B0" w:rsidRDefault="00A902B0" w:rsidP="00091D1C">
            <w:pPr>
              <w:spacing w:after="0" w:line="276" w:lineRule="auto"/>
              <w:contextualSpacing/>
              <w:rPr>
                <w:rFonts w:cs="Arial"/>
                <w:sz w:val="20"/>
              </w:rPr>
            </w:pPr>
            <w:r>
              <w:rPr>
                <w:rFonts w:cs="Arial"/>
                <w:sz w:val="20"/>
              </w:rPr>
              <w:t>2</w:t>
            </w:r>
          </w:p>
        </w:tc>
        <w:tc>
          <w:tcPr>
            <w:tcW w:w="1937" w:type="dxa"/>
            <w:gridSpan w:val="2"/>
            <w:tcBorders>
              <w:top w:val="single" w:sz="4" w:space="0" w:color="auto"/>
              <w:left w:val="nil"/>
              <w:bottom w:val="single" w:sz="4" w:space="0" w:color="auto"/>
              <w:right w:val="nil"/>
            </w:tcBorders>
            <w:vAlign w:val="center"/>
          </w:tcPr>
          <w:p w14:paraId="1A03F415" w14:textId="77777777" w:rsidR="00A902B0" w:rsidRPr="006E1B17" w:rsidRDefault="00F22C94" w:rsidP="00091D1C">
            <w:pPr>
              <w:spacing w:after="0" w:line="276" w:lineRule="auto"/>
              <w:contextualSpacing/>
              <w:jc w:val="center"/>
              <w:rPr>
                <w:rFonts w:cs="Arial"/>
                <w:sz w:val="20"/>
              </w:rPr>
            </w:pPr>
            <w:r>
              <w:rPr>
                <w:rFonts w:cs="Arial"/>
                <w:sz w:val="20"/>
              </w:rPr>
              <w:t>16.0</w:t>
            </w:r>
          </w:p>
        </w:tc>
        <w:tc>
          <w:tcPr>
            <w:tcW w:w="1554" w:type="dxa"/>
            <w:gridSpan w:val="3"/>
            <w:tcBorders>
              <w:top w:val="single" w:sz="4" w:space="0" w:color="auto"/>
              <w:left w:val="nil"/>
              <w:bottom w:val="single" w:sz="4" w:space="0" w:color="auto"/>
              <w:right w:val="nil"/>
            </w:tcBorders>
            <w:vAlign w:val="center"/>
          </w:tcPr>
          <w:p w14:paraId="24B77AB5" w14:textId="77777777" w:rsidR="00A902B0" w:rsidRPr="006E1B17" w:rsidRDefault="007A4770" w:rsidP="00091D1C">
            <w:pPr>
              <w:spacing w:after="0" w:line="276" w:lineRule="auto"/>
              <w:contextualSpacing/>
              <w:jc w:val="center"/>
              <w:rPr>
                <w:rFonts w:cs="Arial"/>
                <w:sz w:val="20"/>
              </w:rPr>
            </w:pPr>
            <w:r>
              <w:rPr>
                <w:rFonts w:cs="Arial"/>
                <w:sz w:val="20"/>
              </w:rPr>
              <w:t>20.9</w:t>
            </w:r>
          </w:p>
        </w:tc>
        <w:tc>
          <w:tcPr>
            <w:tcW w:w="997" w:type="dxa"/>
            <w:tcBorders>
              <w:top w:val="single" w:sz="4" w:space="0" w:color="auto"/>
              <w:left w:val="nil"/>
              <w:bottom w:val="single" w:sz="4" w:space="0" w:color="auto"/>
              <w:right w:val="nil"/>
            </w:tcBorders>
            <w:vAlign w:val="center"/>
          </w:tcPr>
          <w:p w14:paraId="2DEB4A9F" w14:textId="77777777" w:rsidR="00A902B0" w:rsidRPr="006E1B17" w:rsidRDefault="005955A4" w:rsidP="00091D1C">
            <w:pPr>
              <w:spacing w:after="0" w:line="276" w:lineRule="auto"/>
              <w:contextualSpacing/>
              <w:jc w:val="center"/>
              <w:rPr>
                <w:rFonts w:cs="Arial"/>
                <w:sz w:val="20"/>
              </w:rPr>
            </w:pPr>
            <w:r>
              <w:rPr>
                <w:rFonts w:cs="Arial"/>
                <w:sz w:val="20"/>
              </w:rPr>
              <w:t>-</w:t>
            </w:r>
          </w:p>
        </w:tc>
      </w:tr>
      <w:tr w:rsidR="00A902B0" w:rsidRPr="00375C08" w14:paraId="0EC860D3" w14:textId="77777777" w:rsidTr="0056614F">
        <w:trPr>
          <w:gridAfter w:val="1"/>
          <w:wAfter w:w="7" w:type="dxa"/>
        </w:trPr>
        <w:tc>
          <w:tcPr>
            <w:tcW w:w="280" w:type="dxa"/>
            <w:tcBorders>
              <w:top w:val="nil"/>
              <w:bottom w:val="nil"/>
              <w:right w:val="nil"/>
            </w:tcBorders>
          </w:tcPr>
          <w:p w14:paraId="5F36BEA3" w14:textId="77777777" w:rsidR="00A902B0" w:rsidRPr="00375C08" w:rsidRDefault="00A902B0" w:rsidP="00091D1C">
            <w:pPr>
              <w:spacing w:after="0" w:line="276" w:lineRule="auto"/>
              <w:contextualSpacing/>
              <w:rPr>
                <w:rFonts w:cs="Arial"/>
                <w:color w:val="FF0000"/>
                <w:sz w:val="20"/>
              </w:rPr>
            </w:pPr>
          </w:p>
        </w:tc>
        <w:tc>
          <w:tcPr>
            <w:tcW w:w="1989" w:type="dxa"/>
            <w:gridSpan w:val="3"/>
            <w:tcBorders>
              <w:top w:val="single" w:sz="4" w:space="0" w:color="auto"/>
              <w:left w:val="nil"/>
              <w:bottom w:val="single" w:sz="4" w:space="0" w:color="auto"/>
              <w:right w:val="nil"/>
            </w:tcBorders>
            <w:vAlign w:val="center"/>
          </w:tcPr>
          <w:p w14:paraId="523C62EF" w14:textId="77777777" w:rsidR="00A902B0" w:rsidRDefault="00A902B0" w:rsidP="00091D1C">
            <w:pPr>
              <w:spacing w:after="0" w:line="276" w:lineRule="auto"/>
              <w:contextualSpacing/>
              <w:rPr>
                <w:rFonts w:cs="Arial"/>
                <w:sz w:val="20"/>
              </w:rPr>
            </w:pPr>
            <w:r>
              <w:rPr>
                <w:rFonts w:cs="Arial"/>
                <w:sz w:val="20"/>
              </w:rPr>
              <w:t>3</w:t>
            </w:r>
          </w:p>
        </w:tc>
        <w:tc>
          <w:tcPr>
            <w:tcW w:w="1937" w:type="dxa"/>
            <w:gridSpan w:val="2"/>
            <w:tcBorders>
              <w:top w:val="single" w:sz="4" w:space="0" w:color="auto"/>
              <w:left w:val="nil"/>
              <w:bottom w:val="single" w:sz="4" w:space="0" w:color="auto"/>
              <w:right w:val="nil"/>
            </w:tcBorders>
            <w:vAlign w:val="center"/>
          </w:tcPr>
          <w:p w14:paraId="71AC3DFE" w14:textId="77777777" w:rsidR="00A902B0" w:rsidRPr="006E1B17" w:rsidRDefault="00F22C94" w:rsidP="00091D1C">
            <w:pPr>
              <w:spacing w:after="0" w:line="276" w:lineRule="auto"/>
              <w:contextualSpacing/>
              <w:jc w:val="center"/>
              <w:rPr>
                <w:rFonts w:cs="Arial"/>
                <w:sz w:val="20"/>
              </w:rPr>
            </w:pPr>
            <w:r>
              <w:rPr>
                <w:rFonts w:cs="Arial"/>
                <w:sz w:val="20"/>
              </w:rPr>
              <w:t>18.3</w:t>
            </w:r>
          </w:p>
        </w:tc>
        <w:tc>
          <w:tcPr>
            <w:tcW w:w="1554" w:type="dxa"/>
            <w:gridSpan w:val="3"/>
            <w:tcBorders>
              <w:top w:val="single" w:sz="4" w:space="0" w:color="auto"/>
              <w:left w:val="nil"/>
              <w:bottom w:val="single" w:sz="4" w:space="0" w:color="auto"/>
              <w:right w:val="nil"/>
            </w:tcBorders>
            <w:vAlign w:val="center"/>
          </w:tcPr>
          <w:p w14:paraId="77D32AF0" w14:textId="77777777" w:rsidR="00A902B0" w:rsidRPr="006E1B17" w:rsidRDefault="007A4770" w:rsidP="00091D1C">
            <w:pPr>
              <w:spacing w:after="0" w:line="276" w:lineRule="auto"/>
              <w:contextualSpacing/>
              <w:jc w:val="center"/>
              <w:rPr>
                <w:rFonts w:cs="Arial"/>
                <w:sz w:val="20"/>
              </w:rPr>
            </w:pPr>
            <w:r>
              <w:rPr>
                <w:rFonts w:cs="Arial"/>
                <w:sz w:val="20"/>
              </w:rPr>
              <w:t>17.2</w:t>
            </w:r>
          </w:p>
        </w:tc>
        <w:tc>
          <w:tcPr>
            <w:tcW w:w="997" w:type="dxa"/>
            <w:tcBorders>
              <w:top w:val="single" w:sz="4" w:space="0" w:color="auto"/>
              <w:left w:val="nil"/>
              <w:bottom w:val="single" w:sz="4" w:space="0" w:color="auto"/>
              <w:right w:val="nil"/>
            </w:tcBorders>
            <w:vAlign w:val="center"/>
          </w:tcPr>
          <w:p w14:paraId="7B232827" w14:textId="77777777" w:rsidR="00A902B0" w:rsidRPr="006E1B17" w:rsidRDefault="005955A4" w:rsidP="00091D1C">
            <w:pPr>
              <w:spacing w:after="0" w:line="276" w:lineRule="auto"/>
              <w:contextualSpacing/>
              <w:jc w:val="center"/>
              <w:rPr>
                <w:rFonts w:cs="Arial"/>
                <w:sz w:val="20"/>
              </w:rPr>
            </w:pPr>
            <w:r>
              <w:rPr>
                <w:rFonts w:cs="Arial"/>
                <w:sz w:val="20"/>
              </w:rPr>
              <w:t>-</w:t>
            </w:r>
          </w:p>
        </w:tc>
      </w:tr>
      <w:tr w:rsidR="00A902B0" w:rsidRPr="00375C08" w14:paraId="5BEF655B" w14:textId="77777777" w:rsidTr="0056614F">
        <w:trPr>
          <w:gridAfter w:val="1"/>
          <w:wAfter w:w="7" w:type="dxa"/>
        </w:trPr>
        <w:tc>
          <w:tcPr>
            <w:tcW w:w="280" w:type="dxa"/>
            <w:tcBorders>
              <w:top w:val="nil"/>
              <w:bottom w:val="nil"/>
              <w:right w:val="nil"/>
            </w:tcBorders>
          </w:tcPr>
          <w:p w14:paraId="38372D7C" w14:textId="77777777" w:rsidR="00A902B0" w:rsidRPr="00375C08" w:rsidRDefault="00A902B0" w:rsidP="00091D1C">
            <w:pPr>
              <w:spacing w:after="0" w:line="276" w:lineRule="auto"/>
              <w:contextualSpacing/>
              <w:rPr>
                <w:rFonts w:cs="Arial"/>
                <w:color w:val="FF0000"/>
                <w:sz w:val="20"/>
              </w:rPr>
            </w:pPr>
          </w:p>
        </w:tc>
        <w:tc>
          <w:tcPr>
            <w:tcW w:w="1989" w:type="dxa"/>
            <w:gridSpan w:val="3"/>
            <w:tcBorders>
              <w:top w:val="single" w:sz="4" w:space="0" w:color="auto"/>
              <w:left w:val="nil"/>
              <w:bottom w:val="single" w:sz="4" w:space="0" w:color="auto"/>
              <w:right w:val="nil"/>
            </w:tcBorders>
            <w:vAlign w:val="center"/>
          </w:tcPr>
          <w:p w14:paraId="37D8B5AE" w14:textId="77777777" w:rsidR="00A902B0" w:rsidRDefault="00A902B0" w:rsidP="00091D1C">
            <w:pPr>
              <w:spacing w:after="0" w:line="276" w:lineRule="auto"/>
              <w:contextualSpacing/>
              <w:rPr>
                <w:rFonts w:cs="Arial"/>
                <w:sz w:val="20"/>
              </w:rPr>
            </w:pPr>
            <w:r>
              <w:rPr>
                <w:rFonts w:cs="Arial"/>
                <w:sz w:val="20"/>
              </w:rPr>
              <w:t>4</w:t>
            </w:r>
          </w:p>
        </w:tc>
        <w:tc>
          <w:tcPr>
            <w:tcW w:w="1937" w:type="dxa"/>
            <w:gridSpan w:val="2"/>
            <w:tcBorders>
              <w:top w:val="single" w:sz="4" w:space="0" w:color="auto"/>
              <w:left w:val="nil"/>
              <w:bottom w:val="single" w:sz="4" w:space="0" w:color="auto"/>
              <w:right w:val="nil"/>
            </w:tcBorders>
            <w:vAlign w:val="center"/>
          </w:tcPr>
          <w:p w14:paraId="0FBEA091" w14:textId="77777777" w:rsidR="00A902B0" w:rsidRPr="006E1B17" w:rsidRDefault="00F22C94" w:rsidP="00091D1C">
            <w:pPr>
              <w:spacing w:after="0" w:line="276" w:lineRule="auto"/>
              <w:contextualSpacing/>
              <w:jc w:val="center"/>
              <w:rPr>
                <w:rFonts w:cs="Arial"/>
                <w:sz w:val="20"/>
              </w:rPr>
            </w:pPr>
            <w:r>
              <w:rPr>
                <w:rFonts w:cs="Arial"/>
                <w:sz w:val="20"/>
              </w:rPr>
              <w:t>20.5</w:t>
            </w:r>
          </w:p>
        </w:tc>
        <w:tc>
          <w:tcPr>
            <w:tcW w:w="1554" w:type="dxa"/>
            <w:gridSpan w:val="3"/>
            <w:tcBorders>
              <w:top w:val="single" w:sz="4" w:space="0" w:color="auto"/>
              <w:left w:val="nil"/>
              <w:bottom w:val="single" w:sz="4" w:space="0" w:color="auto"/>
              <w:right w:val="nil"/>
            </w:tcBorders>
            <w:vAlign w:val="center"/>
          </w:tcPr>
          <w:p w14:paraId="1F2291AD" w14:textId="77777777" w:rsidR="00A902B0" w:rsidRPr="006E1B17" w:rsidRDefault="007A4770" w:rsidP="00091D1C">
            <w:pPr>
              <w:spacing w:after="0" w:line="276" w:lineRule="auto"/>
              <w:contextualSpacing/>
              <w:jc w:val="center"/>
              <w:rPr>
                <w:rFonts w:cs="Arial"/>
                <w:sz w:val="20"/>
              </w:rPr>
            </w:pPr>
            <w:r>
              <w:rPr>
                <w:rFonts w:cs="Arial"/>
                <w:sz w:val="20"/>
              </w:rPr>
              <w:t>24.6</w:t>
            </w:r>
          </w:p>
        </w:tc>
        <w:tc>
          <w:tcPr>
            <w:tcW w:w="997" w:type="dxa"/>
            <w:tcBorders>
              <w:top w:val="single" w:sz="4" w:space="0" w:color="auto"/>
              <w:left w:val="nil"/>
              <w:bottom w:val="single" w:sz="4" w:space="0" w:color="auto"/>
              <w:right w:val="nil"/>
            </w:tcBorders>
            <w:vAlign w:val="center"/>
          </w:tcPr>
          <w:p w14:paraId="0C3B59C4" w14:textId="77777777" w:rsidR="00A902B0" w:rsidRPr="006E1B17" w:rsidRDefault="005955A4" w:rsidP="00091D1C">
            <w:pPr>
              <w:spacing w:after="0" w:line="276" w:lineRule="auto"/>
              <w:contextualSpacing/>
              <w:jc w:val="center"/>
              <w:rPr>
                <w:rFonts w:cs="Arial"/>
                <w:sz w:val="20"/>
              </w:rPr>
            </w:pPr>
            <w:r>
              <w:rPr>
                <w:rFonts w:cs="Arial"/>
                <w:sz w:val="20"/>
              </w:rPr>
              <w:t>-</w:t>
            </w:r>
          </w:p>
        </w:tc>
      </w:tr>
      <w:tr w:rsidR="00A902B0" w:rsidRPr="00375C08" w14:paraId="48544373" w14:textId="77777777" w:rsidTr="0056614F">
        <w:trPr>
          <w:gridAfter w:val="1"/>
          <w:wAfter w:w="7" w:type="dxa"/>
        </w:trPr>
        <w:tc>
          <w:tcPr>
            <w:tcW w:w="280" w:type="dxa"/>
            <w:tcBorders>
              <w:top w:val="nil"/>
              <w:bottom w:val="single" w:sz="4" w:space="0" w:color="auto"/>
              <w:right w:val="nil"/>
            </w:tcBorders>
          </w:tcPr>
          <w:p w14:paraId="0A1033E5" w14:textId="77777777" w:rsidR="00A902B0" w:rsidRPr="00375C08" w:rsidRDefault="00A902B0" w:rsidP="00091D1C">
            <w:pPr>
              <w:spacing w:after="0" w:line="276" w:lineRule="auto"/>
              <w:contextualSpacing/>
              <w:rPr>
                <w:rFonts w:cs="Arial"/>
                <w:color w:val="FF0000"/>
                <w:sz w:val="20"/>
              </w:rPr>
            </w:pPr>
          </w:p>
        </w:tc>
        <w:tc>
          <w:tcPr>
            <w:tcW w:w="1989" w:type="dxa"/>
            <w:gridSpan w:val="3"/>
            <w:tcBorders>
              <w:top w:val="single" w:sz="4" w:space="0" w:color="auto"/>
              <w:left w:val="nil"/>
              <w:bottom w:val="single" w:sz="4" w:space="0" w:color="auto"/>
              <w:right w:val="nil"/>
            </w:tcBorders>
            <w:vAlign w:val="center"/>
          </w:tcPr>
          <w:p w14:paraId="2AA397E2" w14:textId="77777777" w:rsidR="00A902B0" w:rsidRDefault="00A902B0" w:rsidP="00091D1C">
            <w:pPr>
              <w:spacing w:after="0" w:line="276" w:lineRule="auto"/>
              <w:contextualSpacing/>
              <w:rPr>
                <w:rFonts w:cs="Arial"/>
                <w:sz w:val="20"/>
              </w:rPr>
            </w:pPr>
            <w:r>
              <w:rPr>
                <w:rFonts w:cs="Arial"/>
                <w:sz w:val="20"/>
              </w:rPr>
              <w:t>5 (richest)</w:t>
            </w:r>
          </w:p>
        </w:tc>
        <w:tc>
          <w:tcPr>
            <w:tcW w:w="1937" w:type="dxa"/>
            <w:gridSpan w:val="2"/>
            <w:tcBorders>
              <w:top w:val="single" w:sz="4" w:space="0" w:color="auto"/>
              <w:left w:val="nil"/>
              <w:bottom w:val="single" w:sz="4" w:space="0" w:color="auto"/>
              <w:right w:val="nil"/>
            </w:tcBorders>
            <w:vAlign w:val="center"/>
          </w:tcPr>
          <w:p w14:paraId="61067BB6" w14:textId="77777777" w:rsidR="00A902B0" w:rsidRPr="006E1B17" w:rsidRDefault="00F22C94" w:rsidP="00091D1C">
            <w:pPr>
              <w:spacing w:after="0" w:line="276" w:lineRule="auto"/>
              <w:contextualSpacing/>
              <w:jc w:val="center"/>
              <w:rPr>
                <w:rFonts w:cs="Arial"/>
                <w:sz w:val="20"/>
              </w:rPr>
            </w:pPr>
            <w:r>
              <w:rPr>
                <w:rFonts w:cs="Arial"/>
                <w:sz w:val="20"/>
              </w:rPr>
              <w:t>20.8</w:t>
            </w:r>
          </w:p>
        </w:tc>
        <w:tc>
          <w:tcPr>
            <w:tcW w:w="1554" w:type="dxa"/>
            <w:gridSpan w:val="3"/>
            <w:tcBorders>
              <w:top w:val="single" w:sz="4" w:space="0" w:color="auto"/>
              <w:left w:val="nil"/>
              <w:bottom w:val="single" w:sz="4" w:space="0" w:color="auto"/>
              <w:right w:val="nil"/>
            </w:tcBorders>
            <w:vAlign w:val="center"/>
          </w:tcPr>
          <w:p w14:paraId="50C4E150" w14:textId="77777777" w:rsidR="00A902B0" w:rsidRPr="006E1B17" w:rsidRDefault="007A4770" w:rsidP="00091D1C">
            <w:pPr>
              <w:spacing w:after="0" w:line="276" w:lineRule="auto"/>
              <w:contextualSpacing/>
              <w:jc w:val="center"/>
              <w:rPr>
                <w:rFonts w:cs="Arial"/>
                <w:sz w:val="20"/>
              </w:rPr>
            </w:pPr>
            <w:r>
              <w:rPr>
                <w:rFonts w:cs="Arial"/>
                <w:sz w:val="20"/>
              </w:rPr>
              <w:t>28.4</w:t>
            </w:r>
          </w:p>
        </w:tc>
        <w:tc>
          <w:tcPr>
            <w:tcW w:w="997" w:type="dxa"/>
            <w:tcBorders>
              <w:top w:val="single" w:sz="4" w:space="0" w:color="auto"/>
              <w:left w:val="nil"/>
              <w:bottom w:val="single" w:sz="4" w:space="0" w:color="auto"/>
              <w:right w:val="nil"/>
            </w:tcBorders>
            <w:vAlign w:val="center"/>
          </w:tcPr>
          <w:p w14:paraId="2C049EFE" w14:textId="77777777" w:rsidR="00A902B0" w:rsidRPr="006E1B17" w:rsidRDefault="005955A4" w:rsidP="00091D1C">
            <w:pPr>
              <w:spacing w:after="0" w:line="276" w:lineRule="auto"/>
              <w:contextualSpacing/>
              <w:jc w:val="center"/>
              <w:rPr>
                <w:rFonts w:cs="Arial"/>
                <w:sz w:val="20"/>
              </w:rPr>
            </w:pPr>
            <w:r>
              <w:rPr>
                <w:rFonts w:cs="Arial"/>
                <w:sz w:val="20"/>
              </w:rPr>
              <w:t>-</w:t>
            </w:r>
          </w:p>
        </w:tc>
      </w:tr>
      <w:tr w:rsidR="00CD36C4" w:rsidRPr="00375C08" w14:paraId="1145999A" w14:textId="77777777" w:rsidTr="00E4604A">
        <w:trPr>
          <w:gridAfter w:val="1"/>
          <w:wAfter w:w="7" w:type="dxa"/>
        </w:trPr>
        <w:tc>
          <w:tcPr>
            <w:tcW w:w="2269" w:type="dxa"/>
            <w:gridSpan w:val="4"/>
            <w:tcBorders>
              <w:top w:val="single" w:sz="4" w:space="0" w:color="auto"/>
              <w:bottom w:val="nil"/>
              <w:right w:val="nil"/>
            </w:tcBorders>
          </w:tcPr>
          <w:p w14:paraId="00B0DADD" w14:textId="30945C84" w:rsidR="00CD36C4" w:rsidRDefault="00CD36C4" w:rsidP="00E4604A">
            <w:pPr>
              <w:spacing w:after="0" w:line="276" w:lineRule="auto"/>
              <w:contextualSpacing/>
              <w:rPr>
                <w:rFonts w:cs="Arial"/>
                <w:sz w:val="20"/>
              </w:rPr>
            </w:pPr>
            <w:r>
              <w:rPr>
                <w:rFonts w:cs="Arial"/>
                <w:sz w:val="20"/>
              </w:rPr>
              <w:t>Sexual orientation</w:t>
            </w:r>
          </w:p>
        </w:tc>
        <w:tc>
          <w:tcPr>
            <w:tcW w:w="1937" w:type="dxa"/>
            <w:gridSpan w:val="2"/>
            <w:tcBorders>
              <w:top w:val="single" w:sz="4" w:space="0" w:color="auto"/>
              <w:bottom w:val="nil"/>
            </w:tcBorders>
            <w:vAlign w:val="center"/>
          </w:tcPr>
          <w:p w14:paraId="1BC8F4A1" w14:textId="77777777" w:rsidR="00CD36C4" w:rsidRPr="006E1B17" w:rsidRDefault="00CD36C4" w:rsidP="00E4604A">
            <w:pPr>
              <w:spacing w:after="0" w:line="276" w:lineRule="auto"/>
              <w:contextualSpacing/>
              <w:jc w:val="center"/>
              <w:rPr>
                <w:rFonts w:cs="Arial"/>
                <w:sz w:val="20"/>
              </w:rPr>
            </w:pPr>
          </w:p>
        </w:tc>
        <w:tc>
          <w:tcPr>
            <w:tcW w:w="1554" w:type="dxa"/>
            <w:gridSpan w:val="3"/>
            <w:tcBorders>
              <w:top w:val="single" w:sz="4" w:space="0" w:color="auto"/>
              <w:bottom w:val="nil"/>
            </w:tcBorders>
            <w:vAlign w:val="center"/>
          </w:tcPr>
          <w:p w14:paraId="075D7BA4" w14:textId="77777777" w:rsidR="00CD36C4" w:rsidRPr="006E1B17" w:rsidRDefault="00CD36C4" w:rsidP="00E4604A">
            <w:pPr>
              <w:spacing w:after="0" w:line="276" w:lineRule="auto"/>
              <w:contextualSpacing/>
              <w:jc w:val="center"/>
              <w:rPr>
                <w:rFonts w:cs="Arial"/>
                <w:sz w:val="20"/>
              </w:rPr>
            </w:pPr>
          </w:p>
        </w:tc>
        <w:tc>
          <w:tcPr>
            <w:tcW w:w="997" w:type="dxa"/>
            <w:tcBorders>
              <w:top w:val="single" w:sz="4" w:space="0" w:color="auto"/>
              <w:bottom w:val="nil"/>
            </w:tcBorders>
            <w:vAlign w:val="center"/>
          </w:tcPr>
          <w:p w14:paraId="285CF592" w14:textId="77777777" w:rsidR="00CD36C4" w:rsidRPr="006E1B17" w:rsidRDefault="00CD36C4" w:rsidP="00E4604A">
            <w:pPr>
              <w:spacing w:after="0" w:line="276" w:lineRule="auto"/>
              <w:contextualSpacing/>
              <w:jc w:val="center"/>
              <w:rPr>
                <w:rFonts w:cs="Arial"/>
                <w:sz w:val="20"/>
              </w:rPr>
            </w:pPr>
          </w:p>
        </w:tc>
      </w:tr>
      <w:tr w:rsidR="00CD36C4" w:rsidRPr="00375C08" w14:paraId="79F0D691" w14:textId="77777777" w:rsidTr="00E4604A">
        <w:trPr>
          <w:gridAfter w:val="1"/>
          <w:wAfter w:w="7" w:type="dxa"/>
        </w:trPr>
        <w:tc>
          <w:tcPr>
            <w:tcW w:w="280" w:type="dxa"/>
            <w:tcBorders>
              <w:top w:val="nil"/>
              <w:bottom w:val="nil"/>
              <w:right w:val="nil"/>
            </w:tcBorders>
          </w:tcPr>
          <w:p w14:paraId="7E63131F" w14:textId="77777777" w:rsidR="00CD36C4" w:rsidRPr="00375C08" w:rsidRDefault="00CD36C4" w:rsidP="00E4604A">
            <w:pPr>
              <w:spacing w:after="0" w:line="276" w:lineRule="auto"/>
              <w:contextualSpacing/>
              <w:rPr>
                <w:rFonts w:cs="Arial"/>
                <w:color w:val="FF0000"/>
                <w:sz w:val="20"/>
              </w:rPr>
            </w:pPr>
          </w:p>
        </w:tc>
        <w:tc>
          <w:tcPr>
            <w:tcW w:w="1989" w:type="dxa"/>
            <w:gridSpan w:val="3"/>
            <w:tcBorders>
              <w:top w:val="nil"/>
              <w:left w:val="nil"/>
              <w:bottom w:val="single" w:sz="4" w:space="0" w:color="auto"/>
              <w:right w:val="nil"/>
            </w:tcBorders>
            <w:vAlign w:val="center"/>
          </w:tcPr>
          <w:p w14:paraId="39E17670" w14:textId="34EFACF9" w:rsidR="00CD36C4" w:rsidRPr="00375C08" w:rsidRDefault="00CD36C4" w:rsidP="00E4604A">
            <w:pPr>
              <w:spacing w:after="0" w:line="276" w:lineRule="auto"/>
              <w:contextualSpacing/>
              <w:rPr>
                <w:rFonts w:cs="Arial"/>
                <w:sz w:val="20"/>
              </w:rPr>
            </w:pPr>
            <w:r>
              <w:rPr>
                <w:rFonts w:cs="Arial"/>
                <w:sz w:val="20"/>
              </w:rPr>
              <w:t>Lesbian</w:t>
            </w:r>
          </w:p>
        </w:tc>
        <w:tc>
          <w:tcPr>
            <w:tcW w:w="1937" w:type="dxa"/>
            <w:gridSpan w:val="2"/>
            <w:tcBorders>
              <w:top w:val="nil"/>
              <w:left w:val="nil"/>
              <w:bottom w:val="single" w:sz="4" w:space="0" w:color="auto"/>
              <w:right w:val="nil"/>
            </w:tcBorders>
            <w:vAlign w:val="center"/>
          </w:tcPr>
          <w:p w14:paraId="19896900" w14:textId="5A52B67C" w:rsidR="00CD36C4" w:rsidRPr="006E1B17" w:rsidRDefault="00970CE7" w:rsidP="00E4604A">
            <w:pPr>
              <w:spacing w:after="0" w:line="276" w:lineRule="auto"/>
              <w:contextualSpacing/>
              <w:jc w:val="center"/>
              <w:rPr>
                <w:rFonts w:cs="Arial"/>
                <w:sz w:val="20"/>
              </w:rPr>
            </w:pPr>
            <w:r>
              <w:rPr>
                <w:rFonts w:cs="Arial"/>
                <w:sz w:val="20"/>
              </w:rPr>
              <w:t>3.3</w:t>
            </w:r>
          </w:p>
        </w:tc>
        <w:tc>
          <w:tcPr>
            <w:tcW w:w="1554" w:type="dxa"/>
            <w:gridSpan w:val="3"/>
            <w:tcBorders>
              <w:top w:val="nil"/>
              <w:left w:val="nil"/>
              <w:bottom w:val="single" w:sz="4" w:space="0" w:color="auto"/>
              <w:right w:val="nil"/>
            </w:tcBorders>
            <w:vAlign w:val="center"/>
          </w:tcPr>
          <w:p w14:paraId="478DF553" w14:textId="6E88C380" w:rsidR="00CD36C4" w:rsidRPr="006E1B17" w:rsidRDefault="00970CE7" w:rsidP="00E4604A">
            <w:pPr>
              <w:spacing w:after="0" w:line="276" w:lineRule="auto"/>
              <w:contextualSpacing/>
              <w:jc w:val="center"/>
              <w:rPr>
                <w:rFonts w:cs="Arial"/>
                <w:sz w:val="20"/>
              </w:rPr>
            </w:pPr>
            <w:r>
              <w:rPr>
                <w:rFonts w:cs="Arial"/>
                <w:sz w:val="20"/>
              </w:rPr>
              <w:t>3.7</w:t>
            </w:r>
          </w:p>
        </w:tc>
        <w:tc>
          <w:tcPr>
            <w:tcW w:w="997" w:type="dxa"/>
            <w:tcBorders>
              <w:top w:val="nil"/>
              <w:left w:val="nil"/>
              <w:bottom w:val="single" w:sz="4" w:space="0" w:color="auto"/>
              <w:right w:val="nil"/>
            </w:tcBorders>
            <w:vAlign w:val="center"/>
          </w:tcPr>
          <w:p w14:paraId="2C094034" w14:textId="6063A205" w:rsidR="00CD36C4" w:rsidRPr="006E1B17" w:rsidRDefault="00970CE7" w:rsidP="00E4604A">
            <w:pPr>
              <w:spacing w:after="0" w:line="276" w:lineRule="auto"/>
              <w:contextualSpacing/>
              <w:jc w:val="center"/>
              <w:rPr>
                <w:rFonts w:cs="Arial"/>
                <w:sz w:val="20"/>
              </w:rPr>
            </w:pPr>
            <w:r>
              <w:rPr>
                <w:rFonts w:cs="Arial"/>
                <w:sz w:val="20"/>
              </w:rPr>
              <w:t>0.334</w:t>
            </w:r>
          </w:p>
        </w:tc>
      </w:tr>
      <w:tr w:rsidR="00CD36C4" w:rsidRPr="00375C08" w14:paraId="34F2A29B" w14:textId="77777777" w:rsidTr="00E4604A">
        <w:trPr>
          <w:gridAfter w:val="1"/>
          <w:wAfter w:w="7" w:type="dxa"/>
        </w:trPr>
        <w:tc>
          <w:tcPr>
            <w:tcW w:w="280" w:type="dxa"/>
            <w:tcBorders>
              <w:top w:val="nil"/>
              <w:bottom w:val="nil"/>
              <w:right w:val="nil"/>
            </w:tcBorders>
          </w:tcPr>
          <w:p w14:paraId="36226394" w14:textId="77777777" w:rsidR="00CD36C4" w:rsidRPr="00375C08" w:rsidRDefault="00CD36C4" w:rsidP="00E4604A">
            <w:pPr>
              <w:spacing w:after="0" w:line="276" w:lineRule="auto"/>
              <w:contextualSpacing/>
              <w:rPr>
                <w:rFonts w:cs="Arial"/>
                <w:color w:val="FF0000"/>
                <w:sz w:val="20"/>
              </w:rPr>
            </w:pPr>
          </w:p>
        </w:tc>
        <w:tc>
          <w:tcPr>
            <w:tcW w:w="1989" w:type="dxa"/>
            <w:gridSpan w:val="3"/>
            <w:tcBorders>
              <w:top w:val="nil"/>
              <w:left w:val="nil"/>
              <w:bottom w:val="single" w:sz="4" w:space="0" w:color="auto"/>
              <w:right w:val="nil"/>
            </w:tcBorders>
            <w:vAlign w:val="center"/>
          </w:tcPr>
          <w:p w14:paraId="6052F08E" w14:textId="0CAE0007" w:rsidR="00CD36C4" w:rsidRPr="00375C08" w:rsidRDefault="00CD36C4" w:rsidP="00E4604A">
            <w:pPr>
              <w:spacing w:after="0" w:line="276" w:lineRule="auto"/>
              <w:contextualSpacing/>
              <w:rPr>
                <w:rFonts w:cs="Arial"/>
                <w:sz w:val="20"/>
              </w:rPr>
            </w:pPr>
            <w:r>
              <w:rPr>
                <w:rFonts w:cs="Arial"/>
                <w:sz w:val="20"/>
              </w:rPr>
              <w:t>Gay</w:t>
            </w:r>
          </w:p>
        </w:tc>
        <w:tc>
          <w:tcPr>
            <w:tcW w:w="1937" w:type="dxa"/>
            <w:gridSpan w:val="2"/>
            <w:tcBorders>
              <w:top w:val="nil"/>
              <w:left w:val="nil"/>
              <w:bottom w:val="single" w:sz="4" w:space="0" w:color="auto"/>
              <w:right w:val="nil"/>
            </w:tcBorders>
            <w:vAlign w:val="center"/>
          </w:tcPr>
          <w:p w14:paraId="68E35A30" w14:textId="40A22A20" w:rsidR="00CD36C4" w:rsidRPr="006E1B17" w:rsidRDefault="00970CE7" w:rsidP="00E4604A">
            <w:pPr>
              <w:spacing w:after="0" w:line="276" w:lineRule="auto"/>
              <w:contextualSpacing/>
              <w:jc w:val="center"/>
              <w:rPr>
                <w:rFonts w:cs="Arial"/>
                <w:sz w:val="20"/>
              </w:rPr>
            </w:pPr>
            <w:r>
              <w:rPr>
                <w:rFonts w:cs="Arial"/>
                <w:sz w:val="20"/>
              </w:rPr>
              <w:t>6.6</w:t>
            </w:r>
          </w:p>
        </w:tc>
        <w:tc>
          <w:tcPr>
            <w:tcW w:w="1554" w:type="dxa"/>
            <w:gridSpan w:val="3"/>
            <w:tcBorders>
              <w:top w:val="nil"/>
              <w:left w:val="nil"/>
              <w:bottom w:val="single" w:sz="4" w:space="0" w:color="auto"/>
              <w:right w:val="nil"/>
            </w:tcBorders>
            <w:vAlign w:val="center"/>
          </w:tcPr>
          <w:p w14:paraId="7507E523" w14:textId="7007A57A" w:rsidR="00CD36C4" w:rsidRPr="006E1B17" w:rsidRDefault="00970CE7" w:rsidP="00E4604A">
            <w:pPr>
              <w:spacing w:after="0" w:line="276" w:lineRule="auto"/>
              <w:contextualSpacing/>
              <w:jc w:val="center"/>
              <w:rPr>
                <w:rFonts w:cs="Arial"/>
                <w:sz w:val="20"/>
              </w:rPr>
            </w:pPr>
            <w:r>
              <w:rPr>
                <w:rFonts w:cs="Arial"/>
                <w:sz w:val="20"/>
              </w:rPr>
              <w:t>11.9</w:t>
            </w:r>
          </w:p>
        </w:tc>
        <w:tc>
          <w:tcPr>
            <w:tcW w:w="997" w:type="dxa"/>
            <w:tcBorders>
              <w:top w:val="nil"/>
              <w:left w:val="nil"/>
              <w:bottom w:val="single" w:sz="4" w:space="0" w:color="auto"/>
              <w:right w:val="nil"/>
            </w:tcBorders>
            <w:vAlign w:val="center"/>
          </w:tcPr>
          <w:p w14:paraId="4AEE59AA" w14:textId="210A57F9" w:rsidR="00CD36C4" w:rsidRPr="006E1B17" w:rsidRDefault="00CD36C4" w:rsidP="00E4604A">
            <w:pPr>
              <w:spacing w:after="0" w:line="276" w:lineRule="auto"/>
              <w:contextualSpacing/>
              <w:jc w:val="center"/>
              <w:rPr>
                <w:rFonts w:cs="Arial"/>
                <w:sz w:val="20"/>
              </w:rPr>
            </w:pPr>
            <w:r>
              <w:rPr>
                <w:rFonts w:cs="Arial"/>
                <w:sz w:val="20"/>
              </w:rPr>
              <w:t>-</w:t>
            </w:r>
          </w:p>
        </w:tc>
      </w:tr>
      <w:tr w:rsidR="00CD36C4" w:rsidRPr="00375C08" w14:paraId="0D82C2D5" w14:textId="77777777" w:rsidTr="00E4604A">
        <w:trPr>
          <w:gridAfter w:val="1"/>
          <w:wAfter w:w="7" w:type="dxa"/>
        </w:trPr>
        <w:tc>
          <w:tcPr>
            <w:tcW w:w="280" w:type="dxa"/>
            <w:tcBorders>
              <w:top w:val="nil"/>
              <w:bottom w:val="single" w:sz="4" w:space="0" w:color="auto"/>
              <w:right w:val="nil"/>
            </w:tcBorders>
          </w:tcPr>
          <w:p w14:paraId="5B54D199" w14:textId="77777777" w:rsidR="00CD36C4" w:rsidRPr="00375C08" w:rsidRDefault="00CD36C4" w:rsidP="00E4604A">
            <w:pPr>
              <w:spacing w:after="0" w:line="276" w:lineRule="auto"/>
              <w:contextualSpacing/>
              <w:rPr>
                <w:rFonts w:cs="Arial"/>
                <w:color w:val="FF0000"/>
                <w:sz w:val="20"/>
              </w:rPr>
            </w:pPr>
          </w:p>
        </w:tc>
        <w:tc>
          <w:tcPr>
            <w:tcW w:w="1989" w:type="dxa"/>
            <w:gridSpan w:val="3"/>
            <w:tcBorders>
              <w:top w:val="single" w:sz="4" w:space="0" w:color="auto"/>
              <w:left w:val="nil"/>
              <w:bottom w:val="single" w:sz="4" w:space="0" w:color="auto"/>
              <w:right w:val="nil"/>
            </w:tcBorders>
            <w:vAlign w:val="center"/>
          </w:tcPr>
          <w:p w14:paraId="5FF9CAC0" w14:textId="59BB55DF" w:rsidR="00CD36C4" w:rsidRDefault="00CD36C4" w:rsidP="00E4604A">
            <w:pPr>
              <w:spacing w:after="0" w:line="276" w:lineRule="auto"/>
              <w:contextualSpacing/>
              <w:rPr>
                <w:rFonts w:cs="Arial"/>
                <w:sz w:val="20"/>
              </w:rPr>
            </w:pPr>
            <w:r>
              <w:rPr>
                <w:rFonts w:cs="Arial"/>
                <w:sz w:val="20"/>
              </w:rPr>
              <w:t>Bisexual</w:t>
            </w:r>
          </w:p>
        </w:tc>
        <w:tc>
          <w:tcPr>
            <w:tcW w:w="1937" w:type="dxa"/>
            <w:gridSpan w:val="2"/>
            <w:tcBorders>
              <w:top w:val="single" w:sz="4" w:space="0" w:color="auto"/>
              <w:left w:val="nil"/>
              <w:bottom w:val="single" w:sz="4" w:space="0" w:color="auto"/>
              <w:right w:val="nil"/>
            </w:tcBorders>
            <w:vAlign w:val="center"/>
          </w:tcPr>
          <w:p w14:paraId="0CE3FE5F" w14:textId="1526FC45" w:rsidR="00CD36C4" w:rsidRPr="006E1B17" w:rsidRDefault="00970CE7" w:rsidP="00E4604A">
            <w:pPr>
              <w:spacing w:after="0" w:line="276" w:lineRule="auto"/>
              <w:contextualSpacing/>
              <w:jc w:val="center"/>
              <w:rPr>
                <w:rFonts w:cs="Arial"/>
                <w:sz w:val="20"/>
              </w:rPr>
            </w:pPr>
            <w:r>
              <w:rPr>
                <w:rFonts w:cs="Arial"/>
                <w:sz w:val="20"/>
              </w:rPr>
              <w:t>90.1</w:t>
            </w:r>
          </w:p>
        </w:tc>
        <w:tc>
          <w:tcPr>
            <w:tcW w:w="1554" w:type="dxa"/>
            <w:gridSpan w:val="3"/>
            <w:tcBorders>
              <w:top w:val="single" w:sz="4" w:space="0" w:color="auto"/>
              <w:left w:val="nil"/>
              <w:bottom w:val="single" w:sz="4" w:space="0" w:color="auto"/>
              <w:right w:val="nil"/>
            </w:tcBorders>
            <w:vAlign w:val="center"/>
          </w:tcPr>
          <w:p w14:paraId="21A23517" w14:textId="58280789" w:rsidR="00CD36C4" w:rsidRPr="006E1B17" w:rsidRDefault="00970CE7" w:rsidP="00E4604A">
            <w:pPr>
              <w:spacing w:after="0" w:line="276" w:lineRule="auto"/>
              <w:contextualSpacing/>
              <w:jc w:val="center"/>
              <w:rPr>
                <w:rFonts w:cs="Arial"/>
                <w:sz w:val="20"/>
              </w:rPr>
            </w:pPr>
            <w:r>
              <w:rPr>
                <w:rFonts w:cs="Arial"/>
                <w:sz w:val="20"/>
              </w:rPr>
              <w:t>84.3</w:t>
            </w:r>
          </w:p>
        </w:tc>
        <w:tc>
          <w:tcPr>
            <w:tcW w:w="997" w:type="dxa"/>
            <w:tcBorders>
              <w:top w:val="single" w:sz="4" w:space="0" w:color="auto"/>
              <w:left w:val="nil"/>
              <w:bottom w:val="single" w:sz="4" w:space="0" w:color="auto"/>
              <w:right w:val="nil"/>
            </w:tcBorders>
            <w:vAlign w:val="center"/>
          </w:tcPr>
          <w:p w14:paraId="66DB7E22" w14:textId="07286614" w:rsidR="00CD36C4" w:rsidRPr="006E1B17" w:rsidRDefault="00CD36C4" w:rsidP="00E4604A">
            <w:pPr>
              <w:spacing w:after="0" w:line="276" w:lineRule="auto"/>
              <w:contextualSpacing/>
              <w:jc w:val="center"/>
              <w:rPr>
                <w:rFonts w:cs="Arial"/>
                <w:sz w:val="20"/>
              </w:rPr>
            </w:pPr>
            <w:r>
              <w:rPr>
                <w:rFonts w:cs="Arial"/>
                <w:sz w:val="20"/>
              </w:rPr>
              <w:t>-</w:t>
            </w:r>
          </w:p>
        </w:tc>
      </w:tr>
      <w:tr w:rsidR="00A902B0" w:rsidRPr="00375C08" w14:paraId="437340AA" w14:textId="77777777" w:rsidTr="0056614F">
        <w:trPr>
          <w:gridAfter w:val="1"/>
          <w:wAfter w:w="7" w:type="dxa"/>
        </w:trPr>
        <w:tc>
          <w:tcPr>
            <w:tcW w:w="6757" w:type="dxa"/>
            <w:gridSpan w:val="10"/>
            <w:tcBorders>
              <w:top w:val="single" w:sz="4" w:space="0" w:color="auto"/>
              <w:bottom w:val="nil"/>
              <w:right w:val="nil"/>
            </w:tcBorders>
          </w:tcPr>
          <w:p w14:paraId="63AC7010" w14:textId="77777777" w:rsidR="00A902B0" w:rsidRPr="008B2DB5" w:rsidRDefault="00A902B0" w:rsidP="00091D1C">
            <w:pPr>
              <w:spacing w:after="0" w:line="240" w:lineRule="auto"/>
              <w:rPr>
                <w:rFonts w:cs="Arial"/>
                <w:sz w:val="20"/>
                <w:szCs w:val="18"/>
                <w:lang w:val="en-US"/>
              </w:rPr>
            </w:pPr>
            <w:r w:rsidRPr="008B2DB5">
              <w:rPr>
                <w:rFonts w:cs="Arial"/>
                <w:sz w:val="20"/>
                <w:szCs w:val="18"/>
                <w:vertAlign w:val="superscript"/>
                <w:lang w:val="en-US"/>
              </w:rPr>
              <w:t>1</w:t>
            </w:r>
            <w:r w:rsidRPr="008B2DB5">
              <w:rPr>
                <w:rFonts w:cs="Arial"/>
                <w:sz w:val="20"/>
                <w:szCs w:val="18"/>
                <w:lang w:val="en-US"/>
              </w:rPr>
              <w:t xml:space="preserve"> Unweighted sample sizes.</w:t>
            </w:r>
          </w:p>
          <w:p w14:paraId="6953F51E" w14:textId="77777777" w:rsidR="00A902B0" w:rsidRPr="008B2DB5" w:rsidRDefault="00A902B0" w:rsidP="00091D1C">
            <w:pPr>
              <w:spacing w:after="0" w:line="240" w:lineRule="auto"/>
              <w:rPr>
                <w:rFonts w:cs="Arial"/>
                <w:sz w:val="20"/>
                <w:szCs w:val="18"/>
                <w:lang w:val="en-US"/>
              </w:rPr>
            </w:pPr>
            <w:r w:rsidRPr="008B2DB5">
              <w:rPr>
                <w:rFonts w:cs="Arial"/>
                <w:sz w:val="20"/>
                <w:szCs w:val="18"/>
                <w:lang w:val="en-US"/>
              </w:rPr>
              <w:t>All figures are weighted for sampling probabilities and differential non-response.</w:t>
            </w:r>
          </w:p>
          <w:p w14:paraId="54EF81E6" w14:textId="77777777" w:rsidR="00A902B0" w:rsidRPr="008B2DB5" w:rsidRDefault="00A902B0" w:rsidP="00091D1C">
            <w:pPr>
              <w:spacing w:after="0" w:line="240" w:lineRule="auto"/>
              <w:rPr>
                <w:rFonts w:cs="Arial"/>
                <w:sz w:val="20"/>
                <w:szCs w:val="18"/>
                <w:lang w:val="en-US"/>
              </w:rPr>
            </w:pPr>
            <w:r w:rsidRPr="008B2DB5">
              <w:rPr>
                <w:rFonts w:cs="Arial"/>
                <w:sz w:val="20"/>
                <w:szCs w:val="18"/>
                <w:lang w:val="en-US"/>
              </w:rPr>
              <w:t xml:space="preserve">Values are percentages unless otherwise stated. </w:t>
            </w:r>
          </w:p>
          <w:p w14:paraId="03573404" w14:textId="77777777" w:rsidR="00A902B0" w:rsidRPr="008B2DB5" w:rsidRDefault="007A38E4" w:rsidP="00091D1C">
            <w:pPr>
              <w:spacing w:after="0" w:line="240" w:lineRule="auto"/>
              <w:rPr>
                <w:rFonts w:cs="Arial"/>
                <w:sz w:val="20"/>
                <w:szCs w:val="18"/>
                <w:vertAlign w:val="superscript"/>
                <w:lang w:val="en-US"/>
              </w:rPr>
            </w:pPr>
            <w:r>
              <w:rPr>
                <w:rFonts w:cs="Arial"/>
                <w:sz w:val="20"/>
                <w:szCs w:val="18"/>
                <w:lang w:val="en-US"/>
              </w:rPr>
              <w:t>SE</w:t>
            </w:r>
            <w:r w:rsidR="00A902B0" w:rsidRPr="008B2DB5">
              <w:rPr>
                <w:rFonts w:cs="Arial"/>
                <w:sz w:val="20"/>
                <w:szCs w:val="18"/>
                <w:lang w:val="en-US"/>
              </w:rPr>
              <w:t xml:space="preserve"> = standard deviation.</w:t>
            </w:r>
          </w:p>
        </w:tc>
      </w:tr>
    </w:tbl>
    <w:p w14:paraId="378490FA" w14:textId="77777777" w:rsidR="00982F31" w:rsidRPr="00D55BAF" w:rsidRDefault="00982F31" w:rsidP="00982F31">
      <w:pPr>
        <w:pStyle w:val="Beforetables"/>
        <w:rPr>
          <w:rFonts w:cstheme="minorHAnsi"/>
        </w:rPr>
      </w:pPr>
    </w:p>
    <w:p w14:paraId="73BA8AC7" w14:textId="77777777" w:rsidR="00D41E5A" w:rsidRDefault="00D41E5A">
      <w:pPr>
        <w:spacing w:after="200" w:line="276" w:lineRule="auto"/>
        <w:rPr>
          <w:rFonts w:cstheme="minorHAnsi"/>
        </w:rPr>
      </w:pPr>
      <w:r>
        <w:rPr>
          <w:rFonts w:cstheme="minorHAnsi"/>
        </w:rPr>
        <w:br w:type="page"/>
      </w:r>
    </w:p>
    <w:p w14:paraId="566AEAD4" w14:textId="77777777" w:rsidR="000A356C" w:rsidRPr="00D55BAF" w:rsidRDefault="000A356C">
      <w:pPr>
        <w:spacing w:after="200" w:line="276" w:lineRule="auto"/>
        <w:rPr>
          <w:rFonts w:cstheme="minorHAnsi"/>
        </w:rPr>
      </w:pPr>
    </w:p>
    <w:tbl>
      <w:tblPr>
        <w:tblStyle w:val="TableGrid"/>
        <w:tblW w:w="9923" w:type="dxa"/>
        <w:tblInd w:w="-142"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83"/>
        <w:gridCol w:w="138"/>
        <w:gridCol w:w="1661"/>
        <w:gridCol w:w="470"/>
        <w:gridCol w:w="1419"/>
        <w:gridCol w:w="2125"/>
        <w:gridCol w:w="282"/>
        <w:gridCol w:w="1560"/>
        <w:gridCol w:w="1985"/>
      </w:tblGrid>
      <w:tr w:rsidR="008B26A5" w14:paraId="7A9BAB6E" w14:textId="77777777" w:rsidTr="00E832C0">
        <w:trPr>
          <w:trHeight w:val="242"/>
        </w:trPr>
        <w:tc>
          <w:tcPr>
            <w:tcW w:w="9923" w:type="dxa"/>
            <w:gridSpan w:val="9"/>
            <w:tcBorders>
              <w:top w:val="nil"/>
              <w:bottom w:val="single" w:sz="4" w:space="0" w:color="auto"/>
              <w:right w:val="nil"/>
            </w:tcBorders>
          </w:tcPr>
          <w:p w14:paraId="5EBFAEA4" w14:textId="77777777" w:rsidR="008B26A5" w:rsidRDefault="008B26A5" w:rsidP="008B26A5">
            <w:pPr>
              <w:pStyle w:val="Beforetables"/>
              <w:spacing w:line="276" w:lineRule="auto"/>
              <w:rPr>
                <w:rFonts w:cs="Arial"/>
                <w:b/>
                <w:sz w:val="20"/>
              </w:rPr>
            </w:pPr>
            <w:r>
              <w:br w:type="page"/>
            </w:r>
            <w:r>
              <w:rPr>
                <w:rFonts w:cs="Arial"/>
                <w:b/>
                <w:sz w:val="20"/>
              </w:rPr>
              <w:t>Table 2</w:t>
            </w:r>
            <w:r w:rsidRPr="00375C08">
              <w:rPr>
                <w:rFonts w:cs="Arial"/>
                <w:sz w:val="20"/>
              </w:rPr>
              <w:t xml:space="preserve"> </w:t>
            </w:r>
            <w:r>
              <w:rPr>
                <w:rFonts w:cs="Arial"/>
                <w:sz w:val="20"/>
              </w:rPr>
              <w:t>Cross-sectional and prospective associations between perceived discrimination and health and wellbeing outcomes</w:t>
            </w:r>
          </w:p>
        </w:tc>
      </w:tr>
      <w:tr w:rsidR="008B26A5" w:rsidRPr="00B50C2E" w14:paraId="709623DC" w14:textId="77777777" w:rsidTr="00E832C0">
        <w:tc>
          <w:tcPr>
            <w:tcW w:w="421" w:type="dxa"/>
            <w:gridSpan w:val="2"/>
            <w:tcBorders>
              <w:top w:val="nil"/>
              <w:bottom w:val="nil"/>
              <w:right w:val="nil"/>
            </w:tcBorders>
            <w:vAlign w:val="center"/>
          </w:tcPr>
          <w:p w14:paraId="410CA3B5" w14:textId="77777777" w:rsidR="008B26A5" w:rsidRPr="00375C08" w:rsidRDefault="008B26A5" w:rsidP="00091D1C">
            <w:pPr>
              <w:spacing w:after="0" w:line="276" w:lineRule="auto"/>
              <w:contextualSpacing/>
              <w:jc w:val="center"/>
              <w:rPr>
                <w:rFonts w:cs="Arial"/>
                <w:sz w:val="20"/>
              </w:rPr>
            </w:pPr>
          </w:p>
        </w:tc>
        <w:tc>
          <w:tcPr>
            <w:tcW w:w="1661" w:type="dxa"/>
            <w:tcBorders>
              <w:top w:val="nil"/>
              <w:left w:val="nil"/>
              <w:bottom w:val="nil"/>
              <w:right w:val="nil"/>
            </w:tcBorders>
            <w:vAlign w:val="center"/>
          </w:tcPr>
          <w:p w14:paraId="1CF11D44" w14:textId="77777777" w:rsidR="008B26A5" w:rsidRPr="00375C08" w:rsidRDefault="008B26A5" w:rsidP="00091D1C">
            <w:pPr>
              <w:spacing w:after="0" w:line="276" w:lineRule="auto"/>
              <w:contextualSpacing/>
              <w:jc w:val="center"/>
              <w:rPr>
                <w:rFonts w:cs="Arial"/>
                <w:sz w:val="20"/>
              </w:rPr>
            </w:pPr>
          </w:p>
        </w:tc>
        <w:tc>
          <w:tcPr>
            <w:tcW w:w="470" w:type="dxa"/>
            <w:tcBorders>
              <w:top w:val="nil"/>
              <w:left w:val="nil"/>
              <w:bottom w:val="nil"/>
              <w:right w:val="nil"/>
            </w:tcBorders>
            <w:vAlign w:val="center"/>
          </w:tcPr>
          <w:p w14:paraId="68FC6A41" w14:textId="77777777" w:rsidR="008B26A5" w:rsidRPr="00375C08" w:rsidRDefault="008B26A5" w:rsidP="00091D1C">
            <w:pPr>
              <w:spacing w:after="0" w:line="276" w:lineRule="auto"/>
              <w:contextualSpacing/>
              <w:jc w:val="center"/>
              <w:rPr>
                <w:rFonts w:cs="Arial"/>
                <w:sz w:val="20"/>
              </w:rPr>
            </w:pPr>
          </w:p>
        </w:tc>
        <w:tc>
          <w:tcPr>
            <w:tcW w:w="3544" w:type="dxa"/>
            <w:gridSpan w:val="2"/>
            <w:tcBorders>
              <w:top w:val="single" w:sz="4" w:space="0" w:color="auto"/>
              <w:left w:val="nil"/>
              <w:bottom w:val="single" w:sz="4" w:space="0" w:color="auto"/>
              <w:right w:val="nil"/>
            </w:tcBorders>
            <w:vAlign w:val="center"/>
          </w:tcPr>
          <w:p w14:paraId="3685346D" w14:textId="77777777" w:rsidR="008B26A5" w:rsidRPr="00C520BB" w:rsidRDefault="008B26A5" w:rsidP="00091D1C">
            <w:pPr>
              <w:spacing w:after="0" w:line="276" w:lineRule="auto"/>
              <w:contextualSpacing/>
              <w:jc w:val="center"/>
              <w:rPr>
                <w:rFonts w:cs="Arial"/>
                <w:b/>
                <w:sz w:val="20"/>
              </w:rPr>
            </w:pPr>
            <w:r>
              <w:rPr>
                <w:rFonts w:cs="Arial"/>
                <w:b/>
                <w:sz w:val="20"/>
              </w:rPr>
              <w:t>Cross-sectional</w:t>
            </w:r>
          </w:p>
        </w:tc>
        <w:tc>
          <w:tcPr>
            <w:tcW w:w="282" w:type="dxa"/>
            <w:tcBorders>
              <w:top w:val="single" w:sz="4" w:space="0" w:color="auto"/>
              <w:left w:val="nil"/>
              <w:bottom w:val="nil"/>
              <w:right w:val="nil"/>
            </w:tcBorders>
            <w:vAlign w:val="center"/>
          </w:tcPr>
          <w:p w14:paraId="2F391A42" w14:textId="77777777" w:rsidR="008B26A5" w:rsidRPr="00B875E6" w:rsidRDefault="008B26A5" w:rsidP="00091D1C">
            <w:pPr>
              <w:spacing w:after="0" w:line="276" w:lineRule="auto"/>
              <w:contextualSpacing/>
              <w:jc w:val="center"/>
              <w:rPr>
                <w:rFonts w:cs="Arial"/>
                <w:b/>
                <w:i/>
                <w:sz w:val="20"/>
              </w:rPr>
            </w:pPr>
          </w:p>
        </w:tc>
        <w:tc>
          <w:tcPr>
            <w:tcW w:w="3545" w:type="dxa"/>
            <w:gridSpan w:val="2"/>
            <w:tcBorders>
              <w:top w:val="single" w:sz="4" w:space="0" w:color="auto"/>
              <w:left w:val="nil"/>
              <w:bottom w:val="single" w:sz="4" w:space="0" w:color="auto"/>
              <w:right w:val="nil"/>
            </w:tcBorders>
          </w:tcPr>
          <w:p w14:paraId="3CB11597" w14:textId="77777777" w:rsidR="008B26A5" w:rsidRPr="00B50C2E" w:rsidRDefault="008B26A5" w:rsidP="00091D1C">
            <w:pPr>
              <w:spacing w:after="0" w:line="276" w:lineRule="auto"/>
              <w:contextualSpacing/>
              <w:jc w:val="center"/>
              <w:rPr>
                <w:rFonts w:cs="Arial"/>
                <w:b/>
                <w:sz w:val="20"/>
              </w:rPr>
            </w:pPr>
            <w:r>
              <w:rPr>
                <w:rFonts w:cs="Arial"/>
                <w:b/>
                <w:sz w:val="20"/>
              </w:rPr>
              <w:t>Prospective</w:t>
            </w:r>
          </w:p>
        </w:tc>
      </w:tr>
      <w:tr w:rsidR="008B26A5" w:rsidRPr="00B875E6" w14:paraId="6FA74755" w14:textId="77777777" w:rsidTr="00E832C0">
        <w:tc>
          <w:tcPr>
            <w:tcW w:w="421" w:type="dxa"/>
            <w:gridSpan w:val="2"/>
            <w:tcBorders>
              <w:top w:val="nil"/>
              <w:bottom w:val="single" w:sz="4" w:space="0" w:color="auto"/>
              <w:right w:val="nil"/>
            </w:tcBorders>
            <w:vAlign w:val="center"/>
          </w:tcPr>
          <w:p w14:paraId="4AEA9F3D" w14:textId="77777777" w:rsidR="008B26A5" w:rsidRPr="00375C08" w:rsidRDefault="008B26A5" w:rsidP="00091D1C">
            <w:pPr>
              <w:spacing w:after="0" w:line="276" w:lineRule="auto"/>
              <w:contextualSpacing/>
              <w:jc w:val="center"/>
              <w:rPr>
                <w:rFonts w:cs="Arial"/>
                <w:sz w:val="20"/>
              </w:rPr>
            </w:pPr>
          </w:p>
        </w:tc>
        <w:tc>
          <w:tcPr>
            <w:tcW w:w="1661" w:type="dxa"/>
            <w:tcBorders>
              <w:top w:val="nil"/>
              <w:left w:val="nil"/>
              <w:bottom w:val="single" w:sz="4" w:space="0" w:color="auto"/>
              <w:right w:val="nil"/>
            </w:tcBorders>
            <w:vAlign w:val="center"/>
          </w:tcPr>
          <w:p w14:paraId="25EBCBCA" w14:textId="77777777" w:rsidR="008B26A5" w:rsidRPr="00375C08" w:rsidRDefault="008B26A5" w:rsidP="00091D1C">
            <w:pPr>
              <w:spacing w:after="0" w:line="276" w:lineRule="auto"/>
              <w:contextualSpacing/>
              <w:jc w:val="center"/>
              <w:rPr>
                <w:rFonts w:cs="Arial"/>
                <w:sz w:val="20"/>
              </w:rPr>
            </w:pPr>
          </w:p>
        </w:tc>
        <w:tc>
          <w:tcPr>
            <w:tcW w:w="470" w:type="dxa"/>
            <w:tcBorders>
              <w:top w:val="nil"/>
              <w:left w:val="nil"/>
              <w:bottom w:val="single" w:sz="4" w:space="0" w:color="auto"/>
              <w:right w:val="nil"/>
            </w:tcBorders>
            <w:vAlign w:val="center"/>
          </w:tcPr>
          <w:p w14:paraId="61F5DC0C" w14:textId="77777777" w:rsidR="008B26A5" w:rsidRPr="00375C08" w:rsidRDefault="008B26A5" w:rsidP="00091D1C">
            <w:pPr>
              <w:spacing w:after="0" w:line="276" w:lineRule="auto"/>
              <w:contextualSpacing/>
              <w:jc w:val="center"/>
              <w:rPr>
                <w:rFonts w:cs="Arial"/>
                <w:sz w:val="20"/>
              </w:rPr>
            </w:pPr>
          </w:p>
        </w:tc>
        <w:tc>
          <w:tcPr>
            <w:tcW w:w="1419" w:type="dxa"/>
            <w:tcBorders>
              <w:top w:val="single" w:sz="4" w:space="0" w:color="auto"/>
              <w:left w:val="nil"/>
              <w:bottom w:val="single" w:sz="4" w:space="0" w:color="auto"/>
              <w:right w:val="nil"/>
            </w:tcBorders>
            <w:vAlign w:val="center"/>
          </w:tcPr>
          <w:p w14:paraId="3007A621" w14:textId="77777777" w:rsidR="008B26A5" w:rsidRDefault="008B26A5" w:rsidP="00091D1C">
            <w:pPr>
              <w:spacing w:after="0" w:line="276" w:lineRule="auto"/>
              <w:jc w:val="center"/>
              <w:rPr>
                <w:rFonts w:cs="Arial"/>
                <w:b/>
                <w:sz w:val="20"/>
              </w:rPr>
            </w:pPr>
            <w:r>
              <w:rPr>
                <w:rFonts w:cs="Arial"/>
                <w:b/>
                <w:sz w:val="20"/>
              </w:rPr>
              <w:t>No perceived discrimination</w:t>
            </w:r>
          </w:p>
        </w:tc>
        <w:tc>
          <w:tcPr>
            <w:tcW w:w="2125" w:type="dxa"/>
            <w:tcBorders>
              <w:top w:val="single" w:sz="4" w:space="0" w:color="auto"/>
              <w:left w:val="nil"/>
              <w:bottom w:val="single" w:sz="4" w:space="0" w:color="auto"/>
              <w:right w:val="nil"/>
            </w:tcBorders>
            <w:vAlign w:val="center"/>
          </w:tcPr>
          <w:p w14:paraId="307D1DCD" w14:textId="77777777" w:rsidR="008B26A5" w:rsidRDefault="008B26A5" w:rsidP="00091D1C">
            <w:pPr>
              <w:spacing w:after="0" w:line="276" w:lineRule="auto"/>
              <w:contextualSpacing/>
              <w:jc w:val="center"/>
              <w:rPr>
                <w:rFonts w:cs="Arial"/>
                <w:b/>
                <w:sz w:val="20"/>
              </w:rPr>
            </w:pPr>
            <w:r>
              <w:rPr>
                <w:rFonts w:cs="Arial"/>
                <w:b/>
                <w:sz w:val="20"/>
              </w:rPr>
              <w:t>Perceived discrimination</w:t>
            </w:r>
          </w:p>
        </w:tc>
        <w:tc>
          <w:tcPr>
            <w:tcW w:w="282" w:type="dxa"/>
            <w:tcBorders>
              <w:top w:val="nil"/>
              <w:left w:val="nil"/>
              <w:bottom w:val="single" w:sz="4" w:space="0" w:color="auto"/>
              <w:right w:val="nil"/>
            </w:tcBorders>
            <w:vAlign w:val="center"/>
          </w:tcPr>
          <w:p w14:paraId="4AED04D5" w14:textId="77777777" w:rsidR="008B26A5" w:rsidRPr="00B875E6" w:rsidRDefault="008B26A5" w:rsidP="00091D1C">
            <w:pPr>
              <w:spacing w:after="0" w:line="276" w:lineRule="auto"/>
              <w:contextualSpacing/>
              <w:jc w:val="center"/>
              <w:rPr>
                <w:rFonts w:cs="Arial"/>
                <w:b/>
                <w:i/>
                <w:sz w:val="20"/>
              </w:rPr>
            </w:pPr>
          </w:p>
        </w:tc>
        <w:tc>
          <w:tcPr>
            <w:tcW w:w="1560" w:type="dxa"/>
            <w:tcBorders>
              <w:top w:val="single" w:sz="4" w:space="0" w:color="auto"/>
              <w:left w:val="nil"/>
              <w:bottom w:val="single" w:sz="4" w:space="0" w:color="auto"/>
              <w:right w:val="nil"/>
            </w:tcBorders>
            <w:vAlign w:val="center"/>
          </w:tcPr>
          <w:p w14:paraId="01DF4489" w14:textId="77777777" w:rsidR="008B26A5" w:rsidRPr="00B875E6" w:rsidRDefault="008B26A5" w:rsidP="00091D1C">
            <w:pPr>
              <w:spacing w:after="0" w:line="276" w:lineRule="auto"/>
              <w:contextualSpacing/>
              <w:jc w:val="center"/>
              <w:rPr>
                <w:rFonts w:cs="Arial"/>
                <w:b/>
                <w:i/>
                <w:sz w:val="20"/>
              </w:rPr>
            </w:pPr>
            <w:r>
              <w:rPr>
                <w:rFonts w:cs="Arial"/>
                <w:b/>
                <w:sz w:val="20"/>
              </w:rPr>
              <w:t>No perceived discrimination</w:t>
            </w:r>
          </w:p>
        </w:tc>
        <w:tc>
          <w:tcPr>
            <w:tcW w:w="1985" w:type="dxa"/>
            <w:tcBorders>
              <w:top w:val="single" w:sz="4" w:space="0" w:color="auto"/>
              <w:left w:val="nil"/>
              <w:bottom w:val="single" w:sz="4" w:space="0" w:color="auto"/>
              <w:right w:val="nil"/>
            </w:tcBorders>
            <w:vAlign w:val="center"/>
          </w:tcPr>
          <w:p w14:paraId="6D54F77C" w14:textId="77777777" w:rsidR="008B26A5" w:rsidRPr="00B875E6" w:rsidRDefault="008B26A5" w:rsidP="00091D1C">
            <w:pPr>
              <w:spacing w:after="0" w:line="276" w:lineRule="auto"/>
              <w:contextualSpacing/>
              <w:jc w:val="center"/>
              <w:rPr>
                <w:rFonts w:cs="Arial"/>
                <w:b/>
                <w:i/>
                <w:sz w:val="20"/>
              </w:rPr>
            </w:pPr>
            <w:r>
              <w:rPr>
                <w:rFonts w:cs="Arial"/>
                <w:b/>
                <w:sz w:val="20"/>
              </w:rPr>
              <w:t>Perceived discrimination</w:t>
            </w:r>
          </w:p>
        </w:tc>
      </w:tr>
      <w:tr w:rsidR="008B26A5" w:rsidRPr="006E1B17" w14:paraId="51FF781D" w14:textId="77777777" w:rsidTr="00E832C0">
        <w:tc>
          <w:tcPr>
            <w:tcW w:w="2552" w:type="dxa"/>
            <w:gridSpan w:val="4"/>
            <w:tcBorders>
              <w:top w:val="single" w:sz="4" w:space="0" w:color="auto"/>
              <w:bottom w:val="nil"/>
              <w:right w:val="nil"/>
            </w:tcBorders>
          </w:tcPr>
          <w:p w14:paraId="7C6CD3A7" w14:textId="77777777" w:rsidR="008B26A5" w:rsidRDefault="008B26A5" w:rsidP="00091D1C">
            <w:pPr>
              <w:spacing w:after="0" w:line="276" w:lineRule="auto"/>
              <w:contextualSpacing/>
              <w:rPr>
                <w:rFonts w:cs="Arial"/>
                <w:sz w:val="20"/>
              </w:rPr>
            </w:pPr>
            <w:r>
              <w:rPr>
                <w:rFonts w:cs="Arial"/>
                <w:sz w:val="20"/>
              </w:rPr>
              <w:t>Depressive symptoms above threshold</w:t>
            </w:r>
          </w:p>
        </w:tc>
        <w:tc>
          <w:tcPr>
            <w:tcW w:w="1419" w:type="dxa"/>
            <w:tcBorders>
              <w:top w:val="single" w:sz="4" w:space="0" w:color="auto"/>
              <w:bottom w:val="nil"/>
            </w:tcBorders>
            <w:vAlign w:val="bottom"/>
          </w:tcPr>
          <w:p w14:paraId="7600AE18" w14:textId="77777777" w:rsidR="008B26A5" w:rsidRPr="006E1B17" w:rsidRDefault="008B26A5" w:rsidP="00091D1C">
            <w:pPr>
              <w:spacing w:after="0" w:line="276" w:lineRule="auto"/>
              <w:contextualSpacing/>
              <w:rPr>
                <w:rFonts w:cs="Arial"/>
                <w:sz w:val="20"/>
              </w:rPr>
            </w:pPr>
          </w:p>
        </w:tc>
        <w:tc>
          <w:tcPr>
            <w:tcW w:w="2125" w:type="dxa"/>
            <w:tcBorders>
              <w:top w:val="single" w:sz="4" w:space="0" w:color="auto"/>
              <w:bottom w:val="nil"/>
            </w:tcBorders>
            <w:vAlign w:val="bottom"/>
          </w:tcPr>
          <w:p w14:paraId="1323B573" w14:textId="77777777" w:rsidR="008B26A5" w:rsidRPr="006E1B17" w:rsidRDefault="008B26A5" w:rsidP="00091D1C">
            <w:pPr>
              <w:spacing w:after="0" w:line="276" w:lineRule="auto"/>
              <w:contextualSpacing/>
              <w:rPr>
                <w:rFonts w:cs="Arial"/>
                <w:sz w:val="20"/>
              </w:rPr>
            </w:pPr>
          </w:p>
        </w:tc>
        <w:tc>
          <w:tcPr>
            <w:tcW w:w="282" w:type="dxa"/>
            <w:tcBorders>
              <w:top w:val="single" w:sz="4" w:space="0" w:color="auto"/>
              <w:bottom w:val="nil"/>
            </w:tcBorders>
            <w:vAlign w:val="bottom"/>
          </w:tcPr>
          <w:p w14:paraId="5BF4B173" w14:textId="77777777" w:rsidR="008B26A5" w:rsidRPr="006E1B17" w:rsidRDefault="008B26A5" w:rsidP="00091D1C">
            <w:pPr>
              <w:spacing w:after="0" w:line="276" w:lineRule="auto"/>
              <w:contextualSpacing/>
              <w:rPr>
                <w:rFonts w:cs="Arial"/>
                <w:sz w:val="20"/>
              </w:rPr>
            </w:pPr>
          </w:p>
        </w:tc>
        <w:tc>
          <w:tcPr>
            <w:tcW w:w="1560" w:type="dxa"/>
            <w:tcBorders>
              <w:top w:val="single" w:sz="4" w:space="0" w:color="auto"/>
              <w:bottom w:val="nil"/>
            </w:tcBorders>
          </w:tcPr>
          <w:p w14:paraId="55487D37" w14:textId="77777777" w:rsidR="008B26A5" w:rsidRPr="006E1B17" w:rsidRDefault="008B26A5" w:rsidP="00091D1C">
            <w:pPr>
              <w:spacing w:after="0" w:line="276" w:lineRule="auto"/>
              <w:contextualSpacing/>
              <w:rPr>
                <w:rFonts w:cs="Arial"/>
                <w:sz w:val="20"/>
              </w:rPr>
            </w:pPr>
          </w:p>
        </w:tc>
        <w:tc>
          <w:tcPr>
            <w:tcW w:w="1985" w:type="dxa"/>
            <w:tcBorders>
              <w:top w:val="single" w:sz="4" w:space="0" w:color="auto"/>
              <w:bottom w:val="nil"/>
            </w:tcBorders>
            <w:vAlign w:val="bottom"/>
          </w:tcPr>
          <w:p w14:paraId="58F88B29" w14:textId="77777777" w:rsidR="008B26A5" w:rsidRPr="006E1B17" w:rsidRDefault="008B26A5" w:rsidP="00091D1C">
            <w:pPr>
              <w:spacing w:after="0" w:line="276" w:lineRule="auto"/>
              <w:contextualSpacing/>
              <w:rPr>
                <w:rFonts w:cs="Arial"/>
                <w:sz w:val="20"/>
              </w:rPr>
            </w:pPr>
          </w:p>
        </w:tc>
      </w:tr>
      <w:tr w:rsidR="008B26A5" w:rsidRPr="006E1B17" w14:paraId="68F424D2" w14:textId="77777777" w:rsidTr="00E832C0">
        <w:tc>
          <w:tcPr>
            <w:tcW w:w="283" w:type="dxa"/>
            <w:tcBorders>
              <w:top w:val="nil"/>
              <w:bottom w:val="nil"/>
              <w:right w:val="nil"/>
            </w:tcBorders>
          </w:tcPr>
          <w:p w14:paraId="50AFD0AB" w14:textId="77777777" w:rsidR="008B26A5" w:rsidRPr="00375C08" w:rsidRDefault="008B26A5" w:rsidP="00091D1C">
            <w:pPr>
              <w:spacing w:after="0" w:line="276" w:lineRule="auto"/>
              <w:contextualSpacing/>
              <w:rPr>
                <w:rFonts w:cs="Arial"/>
                <w:color w:val="FF0000"/>
                <w:sz w:val="20"/>
              </w:rPr>
            </w:pPr>
          </w:p>
        </w:tc>
        <w:tc>
          <w:tcPr>
            <w:tcW w:w="2269" w:type="dxa"/>
            <w:gridSpan w:val="3"/>
            <w:tcBorders>
              <w:top w:val="nil"/>
              <w:left w:val="nil"/>
              <w:bottom w:val="single" w:sz="4" w:space="0" w:color="auto"/>
              <w:right w:val="nil"/>
            </w:tcBorders>
            <w:vAlign w:val="center"/>
          </w:tcPr>
          <w:p w14:paraId="03E50BB0" w14:textId="77777777" w:rsidR="008B26A5" w:rsidRPr="00375C08" w:rsidRDefault="008B26A5" w:rsidP="00091D1C">
            <w:pPr>
              <w:spacing w:after="0" w:line="276" w:lineRule="auto"/>
              <w:contextualSpacing/>
              <w:rPr>
                <w:rFonts w:cs="Arial"/>
                <w:sz w:val="20"/>
              </w:rPr>
            </w:pPr>
            <w:r>
              <w:rPr>
                <w:rFonts w:cs="Arial"/>
                <w:sz w:val="20"/>
              </w:rPr>
              <w:t>% (SE)</w:t>
            </w:r>
          </w:p>
        </w:tc>
        <w:tc>
          <w:tcPr>
            <w:tcW w:w="1419" w:type="dxa"/>
            <w:tcBorders>
              <w:top w:val="nil"/>
              <w:left w:val="nil"/>
              <w:bottom w:val="single" w:sz="4" w:space="0" w:color="auto"/>
              <w:right w:val="nil"/>
            </w:tcBorders>
            <w:vAlign w:val="bottom"/>
          </w:tcPr>
          <w:p w14:paraId="04FE1112" w14:textId="77777777" w:rsidR="008B26A5" w:rsidRPr="006E1B17" w:rsidRDefault="003E1D6B" w:rsidP="00091D1C">
            <w:pPr>
              <w:spacing w:after="0" w:line="276" w:lineRule="auto"/>
              <w:contextualSpacing/>
              <w:rPr>
                <w:rFonts w:cs="Arial"/>
                <w:sz w:val="20"/>
              </w:rPr>
            </w:pPr>
            <w:r>
              <w:rPr>
                <w:rFonts w:cs="Arial"/>
                <w:sz w:val="20"/>
              </w:rPr>
              <w:t>13.3 (3.1)</w:t>
            </w:r>
          </w:p>
        </w:tc>
        <w:tc>
          <w:tcPr>
            <w:tcW w:w="2125" w:type="dxa"/>
            <w:tcBorders>
              <w:top w:val="nil"/>
              <w:left w:val="nil"/>
              <w:bottom w:val="single" w:sz="4" w:space="0" w:color="auto"/>
              <w:right w:val="nil"/>
            </w:tcBorders>
            <w:vAlign w:val="bottom"/>
          </w:tcPr>
          <w:p w14:paraId="21E18082" w14:textId="77777777" w:rsidR="008B26A5" w:rsidRPr="006E1B17" w:rsidRDefault="003E1D6B" w:rsidP="00091D1C">
            <w:pPr>
              <w:spacing w:after="0" w:line="276" w:lineRule="auto"/>
              <w:contextualSpacing/>
              <w:rPr>
                <w:rFonts w:cs="Arial"/>
                <w:sz w:val="20"/>
              </w:rPr>
            </w:pPr>
            <w:r>
              <w:rPr>
                <w:rFonts w:cs="Arial"/>
                <w:sz w:val="20"/>
              </w:rPr>
              <w:t>24.5 (3.3)</w:t>
            </w:r>
          </w:p>
        </w:tc>
        <w:tc>
          <w:tcPr>
            <w:tcW w:w="282" w:type="dxa"/>
            <w:tcBorders>
              <w:top w:val="nil"/>
              <w:left w:val="nil"/>
              <w:bottom w:val="single" w:sz="4" w:space="0" w:color="auto"/>
              <w:right w:val="nil"/>
            </w:tcBorders>
            <w:vAlign w:val="bottom"/>
          </w:tcPr>
          <w:p w14:paraId="630BD211" w14:textId="77777777" w:rsidR="008B26A5" w:rsidRPr="006E1B17" w:rsidRDefault="008B26A5" w:rsidP="00091D1C">
            <w:pPr>
              <w:spacing w:after="0" w:line="276" w:lineRule="auto"/>
              <w:contextualSpacing/>
              <w:rPr>
                <w:rFonts w:cs="Arial"/>
                <w:sz w:val="20"/>
              </w:rPr>
            </w:pPr>
          </w:p>
        </w:tc>
        <w:tc>
          <w:tcPr>
            <w:tcW w:w="1560" w:type="dxa"/>
            <w:tcBorders>
              <w:top w:val="nil"/>
              <w:left w:val="nil"/>
              <w:bottom w:val="single" w:sz="4" w:space="0" w:color="auto"/>
              <w:right w:val="nil"/>
            </w:tcBorders>
            <w:vAlign w:val="bottom"/>
          </w:tcPr>
          <w:p w14:paraId="5786C405" w14:textId="77777777" w:rsidR="008B26A5" w:rsidRPr="006E1B17" w:rsidRDefault="009E386D" w:rsidP="00091D1C">
            <w:pPr>
              <w:spacing w:after="0" w:line="276" w:lineRule="auto"/>
              <w:contextualSpacing/>
              <w:rPr>
                <w:rFonts w:cs="Arial"/>
                <w:sz w:val="20"/>
              </w:rPr>
            </w:pPr>
            <w:r>
              <w:rPr>
                <w:rFonts w:cs="Arial"/>
                <w:sz w:val="20"/>
              </w:rPr>
              <w:t>12.4 (2.6)</w:t>
            </w:r>
          </w:p>
        </w:tc>
        <w:tc>
          <w:tcPr>
            <w:tcW w:w="1985" w:type="dxa"/>
            <w:tcBorders>
              <w:top w:val="nil"/>
              <w:left w:val="nil"/>
              <w:bottom w:val="single" w:sz="4" w:space="0" w:color="auto"/>
              <w:right w:val="nil"/>
            </w:tcBorders>
          </w:tcPr>
          <w:p w14:paraId="681AD898" w14:textId="77777777" w:rsidR="008B26A5" w:rsidRPr="006E1B17" w:rsidRDefault="009E386D" w:rsidP="00091D1C">
            <w:pPr>
              <w:spacing w:after="0" w:line="276" w:lineRule="auto"/>
              <w:contextualSpacing/>
              <w:rPr>
                <w:rFonts w:cs="Arial"/>
                <w:sz w:val="20"/>
              </w:rPr>
            </w:pPr>
            <w:r>
              <w:rPr>
                <w:rFonts w:cs="Arial"/>
                <w:sz w:val="20"/>
              </w:rPr>
              <w:t>12.8 (2.9)</w:t>
            </w:r>
          </w:p>
        </w:tc>
      </w:tr>
      <w:tr w:rsidR="008B26A5" w:rsidRPr="006E1B17" w14:paraId="74484355" w14:textId="77777777" w:rsidTr="00E832C0">
        <w:tc>
          <w:tcPr>
            <w:tcW w:w="283" w:type="dxa"/>
            <w:tcBorders>
              <w:top w:val="nil"/>
              <w:bottom w:val="single" w:sz="4" w:space="0" w:color="auto"/>
              <w:right w:val="nil"/>
            </w:tcBorders>
          </w:tcPr>
          <w:p w14:paraId="793571D0" w14:textId="77777777" w:rsidR="008B26A5" w:rsidRPr="00375C08" w:rsidRDefault="008B26A5" w:rsidP="00091D1C">
            <w:pPr>
              <w:spacing w:after="0" w:line="276" w:lineRule="auto"/>
              <w:contextualSpacing/>
              <w:rPr>
                <w:rFonts w:cs="Arial"/>
                <w:color w:val="FF0000"/>
                <w:sz w:val="20"/>
              </w:rPr>
            </w:pPr>
          </w:p>
        </w:tc>
        <w:tc>
          <w:tcPr>
            <w:tcW w:w="2269" w:type="dxa"/>
            <w:gridSpan w:val="3"/>
            <w:tcBorders>
              <w:top w:val="single" w:sz="4" w:space="0" w:color="auto"/>
              <w:left w:val="nil"/>
              <w:bottom w:val="single" w:sz="4" w:space="0" w:color="auto"/>
              <w:right w:val="nil"/>
            </w:tcBorders>
            <w:vAlign w:val="center"/>
          </w:tcPr>
          <w:p w14:paraId="125C3D7D" w14:textId="77777777" w:rsidR="008B26A5" w:rsidRDefault="008B26A5" w:rsidP="00091D1C">
            <w:pPr>
              <w:spacing w:after="0" w:line="276" w:lineRule="auto"/>
              <w:contextualSpacing/>
              <w:rPr>
                <w:rFonts w:cs="Arial"/>
                <w:sz w:val="20"/>
              </w:rPr>
            </w:pPr>
            <w:r>
              <w:rPr>
                <w:rFonts w:cs="Arial"/>
                <w:sz w:val="20"/>
              </w:rPr>
              <w:t>OR [95%CI]</w:t>
            </w:r>
          </w:p>
        </w:tc>
        <w:tc>
          <w:tcPr>
            <w:tcW w:w="1419" w:type="dxa"/>
            <w:tcBorders>
              <w:top w:val="single" w:sz="4" w:space="0" w:color="auto"/>
              <w:left w:val="nil"/>
              <w:bottom w:val="single" w:sz="4" w:space="0" w:color="auto"/>
              <w:right w:val="nil"/>
            </w:tcBorders>
            <w:vAlign w:val="bottom"/>
          </w:tcPr>
          <w:p w14:paraId="77AFA0E0" w14:textId="77777777" w:rsidR="008B26A5" w:rsidRPr="006E1B17" w:rsidRDefault="008B26A5" w:rsidP="00091D1C">
            <w:pPr>
              <w:spacing w:after="0" w:line="276" w:lineRule="auto"/>
              <w:contextualSpacing/>
              <w:rPr>
                <w:rFonts w:cs="Arial"/>
                <w:sz w:val="20"/>
              </w:rPr>
            </w:pPr>
            <w:r>
              <w:rPr>
                <w:rFonts w:cs="Arial"/>
                <w:sz w:val="20"/>
              </w:rPr>
              <w:t>1.00 (Ref)</w:t>
            </w:r>
          </w:p>
        </w:tc>
        <w:tc>
          <w:tcPr>
            <w:tcW w:w="2125" w:type="dxa"/>
            <w:tcBorders>
              <w:top w:val="single" w:sz="4" w:space="0" w:color="auto"/>
              <w:left w:val="nil"/>
              <w:bottom w:val="single" w:sz="4" w:space="0" w:color="auto"/>
              <w:right w:val="nil"/>
            </w:tcBorders>
            <w:vAlign w:val="bottom"/>
          </w:tcPr>
          <w:p w14:paraId="27BBA19F" w14:textId="77777777" w:rsidR="008B26A5" w:rsidRPr="006E1B17" w:rsidRDefault="009C3DCD" w:rsidP="00091D1C">
            <w:pPr>
              <w:spacing w:after="0" w:line="276" w:lineRule="auto"/>
              <w:contextualSpacing/>
              <w:rPr>
                <w:rFonts w:cs="Arial"/>
                <w:sz w:val="20"/>
              </w:rPr>
            </w:pPr>
            <w:r>
              <w:rPr>
                <w:rFonts w:cs="Arial"/>
                <w:sz w:val="20"/>
              </w:rPr>
              <w:t xml:space="preserve">2.30 [1.02; </w:t>
            </w:r>
            <w:proofErr w:type="gramStart"/>
            <w:r>
              <w:rPr>
                <w:rFonts w:cs="Arial"/>
                <w:sz w:val="20"/>
              </w:rPr>
              <w:t>5.21]*</w:t>
            </w:r>
            <w:proofErr w:type="gramEnd"/>
          </w:p>
        </w:tc>
        <w:tc>
          <w:tcPr>
            <w:tcW w:w="282" w:type="dxa"/>
            <w:tcBorders>
              <w:top w:val="single" w:sz="4" w:space="0" w:color="auto"/>
              <w:left w:val="nil"/>
              <w:bottom w:val="single" w:sz="4" w:space="0" w:color="auto"/>
              <w:right w:val="nil"/>
            </w:tcBorders>
            <w:vAlign w:val="bottom"/>
          </w:tcPr>
          <w:p w14:paraId="64340822" w14:textId="77777777" w:rsidR="008B26A5" w:rsidRPr="006E1B17" w:rsidRDefault="008B26A5" w:rsidP="00091D1C">
            <w:pPr>
              <w:spacing w:after="0" w:line="276" w:lineRule="auto"/>
              <w:contextualSpacing/>
              <w:rPr>
                <w:rFonts w:cs="Arial"/>
                <w:sz w:val="20"/>
              </w:rPr>
            </w:pPr>
          </w:p>
        </w:tc>
        <w:tc>
          <w:tcPr>
            <w:tcW w:w="1560" w:type="dxa"/>
            <w:tcBorders>
              <w:top w:val="single" w:sz="4" w:space="0" w:color="auto"/>
              <w:left w:val="nil"/>
              <w:bottom w:val="single" w:sz="4" w:space="0" w:color="auto"/>
              <w:right w:val="nil"/>
            </w:tcBorders>
            <w:vAlign w:val="bottom"/>
          </w:tcPr>
          <w:p w14:paraId="3B28E31C" w14:textId="77777777" w:rsidR="008B26A5" w:rsidRPr="006E1B17" w:rsidRDefault="008B26A5" w:rsidP="00091D1C">
            <w:pPr>
              <w:spacing w:after="0" w:line="276" w:lineRule="auto"/>
              <w:contextualSpacing/>
              <w:rPr>
                <w:rFonts w:cs="Arial"/>
                <w:sz w:val="20"/>
              </w:rPr>
            </w:pPr>
            <w:r>
              <w:rPr>
                <w:rFonts w:cs="Arial"/>
                <w:sz w:val="20"/>
              </w:rPr>
              <w:t>1.00 (Ref)</w:t>
            </w:r>
          </w:p>
        </w:tc>
        <w:tc>
          <w:tcPr>
            <w:tcW w:w="1985" w:type="dxa"/>
            <w:tcBorders>
              <w:top w:val="single" w:sz="4" w:space="0" w:color="auto"/>
              <w:left w:val="nil"/>
              <w:bottom w:val="single" w:sz="4" w:space="0" w:color="auto"/>
              <w:right w:val="nil"/>
            </w:tcBorders>
          </w:tcPr>
          <w:p w14:paraId="2A9D6C16" w14:textId="77777777" w:rsidR="008B26A5" w:rsidRPr="006E1B17" w:rsidRDefault="0086537B" w:rsidP="00091D1C">
            <w:pPr>
              <w:spacing w:after="0" w:line="276" w:lineRule="auto"/>
              <w:contextualSpacing/>
              <w:rPr>
                <w:rFonts w:cs="Arial"/>
                <w:sz w:val="20"/>
              </w:rPr>
            </w:pPr>
            <w:r>
              <w:rPr>
                <w:rFonts w:cs="Arial"/>
                <w:sz w:val="20"/>
              </w:rPr>
              <w:t>1.39 [0.42; 4.66]</w:t>
            </w:r>
          </w:p>
        </w:tc>
      </w:tr>
      <w:tr w:rsidR="00E256AE" w:rsidRPr="006E1B17" w14:paraId="45F1EC13" w14:textId="77777777" w:rsidTr="0077450F">
        <w:tc>
          <w:tcPr>
            <w:tcW w:w="2552" w:type="dxa"/>
            <w:gridSpan w:val="4"/>
            <w:tcBorders>
              <w:top w:val="single" w:sz="4" w:space="0" w:color="auto"/>
              <w:bottom w:val="nil"/>
              <w:right w:val="nil"/>
            </w:tcBorders>
          </w:tcPr>
          <w:p w14:paraId="75941605" w14:textId="77777777" w:rsidR="00E256AE" w:rsidRDefault="00E256AE" w:rsidP="0077450F">
            <w:pPr>
              <w:spacing w:after="0" w:line="276" w:lineRule="auto"/>
              <w:contextualSpacing/>
              <w:rPr>
                <w:rFonts w:cs="Arial"/>
                <w:sz w:val="20"/>
              </w:rPr>
            </w:pPr>
            <w:r>
              <w:rPr>
                <w:rFonts w:cs="Arial"/>
                <w:sz w:val="20"/>
              </w:rPr>
              <w:t>High loneliness</w:t>
            </w:r>
          </w:p>
        </w:tc>
        <w:tc>
          <w:tcPr>
            <w:tcW w:w="1419" w:type="dxa"/>
            <w:tcBorders>
              <w:top w:val="single" w:sz="4" w:space="0" w:color="auto"/>
              <w:bottom w:val="nil"/>
            </w:tcBorders>
            <w:vAlign w:val="bottom"/>
          </w:tcPr>
          <w:p w14:paraId="4D1DB70D" w14:textId="77777777" w:rsidR="00E256AE" w:rsidRPr="006E1B17" w:rsidRDefault="00E256AE" w:rsidP="0077450F">
            <w:pPr>
              <w:spacing w:after="0" w:line="276" w:lineRule="auto"/>
              <w:contextualSpacing/>
              <w:rPr>
                <w:rFonts w:cs="Arial"/>
                <w:sz w:val="20"/>
              </w:rPr>
            </w:pPr>
          </w:p>
        </w:tc>
        <w:tc>
          <w:tcPr>
            <w:tcW w:w="2125" w:type="dxa"/>
            <w:tcBorders>
              <w:top w:val="single" w:sz="4" w:space="0" w:color="auto"/>
              <w:bottom w:val="nil"/>
            </w:tcBorders>
            <w:vAlign w:val="bottom"/>
          </w:tcPr>
          <w:p w14:paraId="080443AB" w14:textId="77777777" w:rsidR="00E256AE" w:rsidRPr="006E1B17" w:rsidRDefault="00E256AE" w:rsidP="0077450F">
            <w:pPr>
              <w:spacing w:after="0" w:line="276" w:lineRule="auto"/>
              <w:contextualSpacing/>
              <w:rPr>
                <w:rFonts w:cs="Arial"/>
                <w:sz w:val="20"/>
              </w:rPr>
            </w:pPr>
          </w:p>
        </w:tc>
        <w:tc>
          <w:tcPr>
            <w:tcW w:w="282" w:type="dxa"/>
            <w:tcBorders>
              <w:top w:val="single" w:sz="4" w:space="0" w:color="auto"/>
              <w:bottom w:val="nil"/>
            </w:tcBorders>
            <w:vAlign w:val="bottom"/>
          </w:tcPr>
          <w:p w14:paraId="26A4B7B6" w14:textId="77777777" w:rsidR="00E256AE" w:rsidRPr="006E1B17" w:rsidRDefault="00E256AE" w:rsidP="0077450F">
            <w:pPr>
              <w:spacing w:after="0" w:line="276" w:lineRule="auto"/>
              <w:contextualSpacing/>
              <w:rPr>
                <w:rFonts w:cs="Arial"/>
                <w:sz w:val="20"/>
              </w:rPr>
            </w:pPr>
          </w:p>
        </w:tc>
        <w:tc>
          <w:tcPr>
            <w:tcW w:w="1560" w:type="dxa"/>
            <w:tcBorders>
              <w:top w:val="single" w:sz="4" w:space="0" w:color="auto"/>
              <w:bottom w:val="nil"/>
            </w:tcBorders>
          </w:tcPr>
          <w:p w14:paraId="18288AA0" w14:textId="77777777" w:rsidR="00E256AE" w:rsidRPr="006E1B17" w:rsidRDefault="00E256AE" w:rsidP="0077450F">
            <w:pPr>
              <w:spacing w:after="0" w:line="276" w:lineRule="auto"/>
              <w:contextualSpacing/>
              <w:rPr>
                <w:rFonts w:cs="Arial"/>
                <w:sz w:val="20"/>
              </w:rPr>
            </w:pPr>
          </w:p>
        </w:tc>
        <w:tc>
          <w:tcPr>
            <w:tcW w:w="1985" w:type="dxa"/>
            <w:tcBorders>
              <w:top w:val="single" w:sz="4" w:space="0" w:color="auto"/>
              <w:bottom w:val="nil"/>
            </w:tcBorders>
            <w:vAlign w:val="bottom"/>
          </w:tcPr>
          <w:p w14:paraId="665AD6DE" w14:textId="77777777" w:rsidR="00E256AE" w:rsidRPr="006E1B17" w:rsidRDefault="00E256AE" w:rsidP="0077450F">
            <w:pPr>
              <w:spacing w:after="0" w:line="276" w:lineRule="auto"/>
              <w:contextualSpacing/>
              <w:rPr>
                <w:rFonts w:cs="Arial"/>
                <w:sz w:val="20"/>
              </w:rPr>
            </w:pPr>
          </w:p>
        </w:tc>
      </w:tr>
      <w:tr w:rsidR="00E256AE" w:rsidRPr="006E1B17" w14:paraId="49CC49C8" w14:textId="77777777" w:rsidTr="0077450F">
        <w:tc>
          <w:tcPr>
            <w:tcW w:w="283" w:type="dxa"/>
            <w:tcBorders>
              <w:top w:val="nil"/>
              <w:bottom w:val="nil"/>
              <w:right w:val="nil"/>
            </w:tcBorders>
          </w:tcPr>
          <w:p w14:paraId="6CFA5E2E" w14:textId="77777777" w:rsidR="00E256AE" w:rsidRPr="00375C08" w:rsidRDefault="00E256AE" w:rsidP="0077450F">
            <w:pPr>
              <w:spacing w:after="0" w:line="276" w:lineRule="auto"/>
              <w:contextualSpacing/>
              <w:rPr>
                <w:rFonts w:cs="Arial"/>
                <w:color w:val="FF0000"/>
                <w:sz w:val="20"/>
              </w:rPr>
            </w:pPr>
          </w:p>
        </w:tc>
        <w:tc>
          <w:tcPr>
            <w:tcW w:w="2269" w:type="dxa"/>
            <w:gridSpan w:val="3"/>
            <w:tcBorders>
              <w:top w:val="nil"/>
              <w:left w:val="nil"/>
              <w:bottom w:val="single" w:sz="4" w:space="0" w:color="auto"/>
              <w:right w:val="nil"/>
            </w:tcBorders>
            <w:vAlign w:val="center"/>
          </w:tcPr>
          <w:p w14:paraId="5BFBFD46" w14:textId="77777777" w:rsidR="00E256AE" w:rsidRPr="00375C08" w:rsidRDefault="00E256AE" w:rsidP="0077450F">
            <w:pPr>
              <w:spacing w:after="0" w:line="276" w:lineRule="auto"/>
              <w:contextualSpacing/>
              <w:rPr>
                <w:rFonts w:cs="Arial"/>
                <w:sz w:val="20"/>
              </w:rPr>
            </w:pPr>
            <w:r>
              <w:rPr>
                <w:rFonts w:cs="Arial"/>
                <w:sz w:val="20"/>
              </w:rPr>
              <w:t>% (SE)</w:t>
            </w:r>
          </w:p>
        </w:tc>
        <w:tc>
          <w:tcPr>
            <w:tcW w:w="1419" w:type="dxa"/>
            <w:tcBorders>
              <w:top w:val="nil"/>
              <w:left w:val="nil"/>
              <w:bottom w:val="single" w:sz="4" w:space="0" w:color="auto"/>
              <w:right w:val="nil"/>
            </w:tcBorders>
            <w:vAlign w:val="bottom"/>
          </w:tcPr>
          <w:p w14:paraId="6D305C4A" w14:textId="77777777" w:rsidR="00E256AE" w:rsidRPr="006E1B17" w:rsidRDefault="00E256AE" w:rsidP="0077450F">
            <w:pPr>
              <w:spacing w:after="0" w:line="276" w:lineRule="auto"/>
              <w:contextualSpacing/>
              <w:rPr>
                <w:rFonts w:cs="Arial"/>
                <w:sz w:val="20"/>
              </w:rPr>
            </w:pPr>
            <w:r>
              <w:rPr>
                <w:rFonts w:cs="Arial"/>
                <w:sz w:val="20"/>
              </w:rPr>
              <w:t>17.3 (3.3)</w:t>
            </w:r>
          </w:p>
        </w:tc>
        <w:tc>
          <w:tcPr>
            <w:tcW w:w="2125" w:type="dxa"/>
            <w:tcBorders>
              <w:top w:val="nil"/>
              <w:left w:val="nil"/>
              <w:bottom w:val="single" w:sz="4" w:space="0" w:color="auto"/>
              <w:right w:val="nil"/>
            </w:tcBorders>
            <w:vAlign w:val="bottom"/>
          </w:tcPr>
          <w:p w14:paraId="7351785E" w14:textId="77777777" w:rsidR="00E256AE" w:rsidRPr="006E1B17" w:rsidRDefault="00E256AE" w:rsidP="0077450F">
            <w:pPr>
              <w:spacing w:after="0" w:line="276" w:lineRule="auto"/>
              <w:contextualSpacing/>
              <w:rPr>
                <w:rFonts w:cs="Arial"/>
                <w:sz w:val="20"/>
              </w:rPr>
            </w:pPr>
            <w:r>
              <w:rPr>
                <w:rFonts w:cs="Arial"/>
                <w:sz w:val="20"/>
              </w:rPr>
              <w:t>34.8 (3.5)</w:t>
            </w:r>
          </w:p>
        </w:tc>
        <w:tc>
          <w:tcPr>
            <w:tcW w:w="282" w:type="dxa"/>
            <w:tcBorders>
              <w:top w:val="nil"/>
              <w:left w:val="nil"/>
              <w:bottom w:val="single" w:sz="4" w:space="0" w:color="auto"/>
              <w:right w:val="nil"/>
            </w:tcBorders>
            <w:vAlign w:val="bottom"/>
          </w:tcPr>
          <w:p w14:paraId="1783A729" w14:textId="77777777" w:rsidR="00E256AE" w:rsidRPr="006E1B17" w:rsidRDefault="00E256AE" w:rsidP="0077450F">
            <w:pPr>
              <w:spacing w:after="0" w:line="276" w:lineRule="auto"/>
              <w:contextualSpacing/>
              <w:rPr>
                <w:rFonts w:cs="Arial"/>
                <w:sz w:val="20"/>
              </w:rPr>
            </w:pPr>
          </w:p>
        </w:tc>
        <w:tc>
          <w:tcPr>
            <w:tcW w:w="1560" w:type="dxa"/>
            <w:tcBorders>
              <w:top w:val="nil"/>
              <w:left w:val="nil"/>
              <w:bottom w:val="single" w:sz="4" w:space="0" w:color="auto"/>
              <w:right w:val="nil"/>
            </w:tcBorders>
            <w:vAlign w:val="bottom"/>
          </w:tcPr>
          <w:p w14:paraId="30B090DC" w14:textId="77777777" w:rsidR="00E256AE" w:rsidRPr="006E1B17" w:rsidRDefault="00E256AE" w:rsidP="0077450F">
            <w:pPr>
              <w:spacing w:after="0" w:line="276" w:lineRule="auto"/>
              <w:contextualSpacing/>
              <w:rPr>
                <w:rFonts w:cs="Arial"/>
                <w:sz w:val="20"/>
              </w:rPr>
            </w:pPr>
            <w:r>
              <w:rPr>
                <w:rFonts w:cs="Arial"/>
                <w:sz w:val="20"/>
              </w:rPr>
              <w:t>14.8 (3.2)</w:t>
            </w:r>
          </w:p>
        </w:tc>
        <w:tc>
          <w:tcPr>
            <w:tcW w:w="1985" w:type="dxa"/>
            <w:tcBorders>
              <w:top w:val="nil"/>
              <w:left w:val="nil"/>
              <w:bottom w:val="single" w:sz="4" w:space="0" w:color="auto"/>
              <w:right w:val="nil"/>
            </w:tcBorders>
          </w:tcPr>
          <w:p w14:paraId="00B20DE9" w14:textId="77777777" w:rsidR="00E256AE" w:rsidRPr="006E1B17" w:rsidRDefault="00E256AE" w:rsidP="0077450F">
            <w:pPr>
              <w:spacing w:after="0" w:line="276" w:lineRule="auto"/>
              <w:contextualSpacing/>
              <w:rPr>
                <w:rFonts w:cs="Arial"/>
                <w:sz w:val="20"/>
              </w:rPr>
            </w:pPr>
            <w:r>
              <w:rPr>
                <w:rFonts w:cs="Arial"/>
                <w:sz w:val="20"/>
              </w:rPr>
              <w:t>25.7 (3.5)</w:t>
            </w:r>
          </w:p>
        </w:tc>
      </w:tr>
      <w:tr w:rsidR="00E256AE" w:rsidRPr="006E1B17" w14:paraId="6AA5C689" w14:textId="77777777" w:rsidTr="0077450F">
        <w:tc>
          <w:tcPr>
            <w:tcW w:w="283" w:type="dxa"/>
            <w:tcBorders>
              <w:top w:val="nil"/>
              <w:bottom w:val="single" w:sz="4" w:space="0" w:color="auto"/>
              <w:right w:val="nil"/>
            </w:tcBorders>
          </w:tcPr>
          <w:p w14:paraId="3D3768F5" w14:textId="77777777" w:rsidR="00E256AE" w:rsidRPr="00375C08" w:rsidRDefault="00E256AE" w:rsidP="0077450F">
            <w:pPr>
              <w:spacing w:after="0" w:line="276" w:lineRule="auto"/>
              <w:contextualSpacing/>
              <w:rPr>
                <w:rFonts w:cs="Arial"/>
                <w:color w:val="FF0000"/>
                <w:sz w:val="20"/>
              </w:rPr>
            </w:pPr>
          </w:p>
        </w:tc>
        <w:tc>
          <w:tcPr>
            <w:tcW w:w="2269" w:type="dxa"/>
            <w:gridSpan w:val="3"/>
            <w:tcBorders>
              <w:top w:val="single" w:sz="4" w:space="0" w:color="auto"/>
              <w:left w:val="nil"/>
              <w:bottom w:val="single" w:sz="4" w:space="0" w:color="auto"/>
              <w:right w:val="nil"/>
            </w:tcBorders>
            <w:vAlign w:val="center"/>
          </w:tcPr>
          <w:p w14:paraId="11C24225" w14:textId="77777777" w:rsidR="00E256AE" w:rsidRDefault="00E256AE" w:rsidP="0077450F">
            <w:pPr>
              <w:spacing w:after="0" w:line="276" w:lineRule="auto"/>
              <w:contextualSpacing/>
              <w:rPr>
                <w:rFonts w:cs="Arial"/>
                <w:sz w:val="20"/>
              </w:rPr>
            </w:pPr>
            <w:r>
              <w:rPr>
                <w:rFonts w:cs="Arial"/>
                <w:sz w:val="20"/>
              </w:rPr>
              <w:t>OR [95%CI]</w:t>
            </w:r>
          </w:p>
        </w:tc>
        <w:tc>
          <w:tcPr>
            <w:tcW w:w="1419" w:type="dxa"/>
            <w:tcBorders>
              <w:top w:val="single" w:sz="4" w:space="0" w:color="auto"/>
              <w:left w:val="nil"/>
              <w:bottom w:val="single" w:sz="4" w:space="0" w:color="auto"/>
              <w:right w:val="nil"/>
            </w:tcBorders>
            <w:vAlign w:val="bottom"/>
          </w:tcPr>
          <w:p w14:paraId="64702F53" w14:textId="77777777" w:rsidR="00E256AE" w:rsidRPr="006E1B17" w:rsidRDefault="00E256AE" w:rsidP="0077450F">
            <w:pPr>
              <w:spacing w:after="0" w:line="276" w:lineRule="auto"/>
              <w:contextualSpacing/>
              <w:rPr>
                <w:rFonts w:cs="Arial"/>
                <w:sz w:val="20"/>
              </w:rPr>
            </w:pPr>
            <w:r>
              <w:rPr>
                <w:rFonts w:cs="Arial"/>
                <w:sz w:val="20"/>
              </w:rPr>
              <w:t>1.00 (Ref)</w:t>
            </w:r>
          </w:p>
        </w:tc>
        <w:tc>
          <w:tcPr>
            <w:tcW w:w="2125" w:type="dxa"/>
            <w:tcBorders>
              <w:top w:val="single" w:sz="4" w:space="0" w:color="auto"/>
              <w:left w:val="nil"/>
              <w:bottom w:val="single" w:sz="4" w:space="0" w:color="auto"/>
              <w:right w:val="nil"/>
            </w:tcBorders>
            <w:vAlign w:val="bottom"/>
          </w:tcPr>
          <w:p w14:paraId="3ED47199" w14:textId="77777777" w:rsidR="00E256AE" w:rsidRPr="006E1B17" w:rsidRDefault="00E256AE" w:rsidP="0077450F">
            <w:pPr>
              <w:spacing w:after="0" w:line="276" w:lineRule="auto"/>
              <w:contextualSpacing/>
              <w:rPr>
                <w:rFonts w:cs="Arial"/>
                <w:sz w:val="20"/>
              </w:rPr>
            </w:pPr>
            <w:r>
              <w:rPr>
                <w:rFonts w:cs="Arial"/>
                <w:sz w:val="20"/>
              </w:rPr>
              <w:t xml:space="preserve">3.37 [1.60; </w:t>
            </w:r>
            <w:proofErr w:type="gramStart"/>
            <w:r>
              <w:rPr>
                <w:rFonts w:cs="Arial"/>
                <w:sz w:val="20"/>
              </w:rPr>
              <w:t>7.10]*</w:t>
            </w:r>
            <w:proofErr w:type="gramEnd"/>
            <w:r>
              <w:rPr>
                <w:rFonts w:cs="Arial"/>
                <w:sz w:val="20"/>
              </w:rPr>
              <w:t>*</w:t>
            </w:r>
          </w:p>
        </w:tc>
        <w:tc>
          <w:tcPr>
            <w:tcW w:w="282" w:type="dxa"/>
            <w:tcBorders>
              <w:top w:val="single" w:sz="4" w:space="0" w:color="auto"/>
              <w:left w:val="nil"/>
              <w:bottom w:val="single" w:sz="4" w:space="0" w:color="auto"/>
              <w:right w:val="nil"/>
            </w:tcBorders>
            <w:vAlign w:val="bottom"/>
          </w:tcPr>
          <w:p w14:paraId="7716CA61" w14:textId="77777777" w:rsidR="00E256AE" w:rsidRPr="006E1B17" w:rsidRDefault="00E256AE" w:rsidP="0077450F">
            <w:pPr>
              <w:spacing w:after="0" w:line="276" w:lineRule="auto"/>
              <w:contextualSpacing/>
              <w:rPr>
                <w:rFonts w:cs="Arial"/>
                <w:sz w:val="20"/>
              </w:rPr>
            </w:pPr>
          </w:p>
        </w:tc>
        <w:tc>
          <w:tcPr>
            <w:tcW w:w="1560" w:type="dxa"/>
            <w:tcBorders>
              <w:top w:val="single" w:sz="4" w:space="0" w:color="auto"/>
              <w:left w:val="nil"/>
              <w:bottom w:val="single" w:sz="4" w:space="0" w:color="auto"/>
              <w:right w:val="nil"/>
            </w:tcBorders>
            <w:vAlign w:val="bottom"/>
          </w:tcPr>
          <w:p w14:paraId="405ED63C" w14:textId="77777777" w:rsidR="00E256AE" w:rsidRPr="006E1B17" w:rsidRDefault="00E256AE" w:rsidP="0077450F">
            <w:pPr>
              <w:spacing w:after="0" w:line="276" w:lineRule="auto"/>
              <w:contextualSpacing/>
              <w:rPr>
                <w:rFonts w:cs="Arial"/>
                <w:sz w:val="20"/>
              </w:rPr>
            </w:pPr>
            <w:r>
              <w:rPr>
                <w:rFonts w:cs="Arial"/>
                <w:sz w:val="20"/>
              </w:rPr>
              <w:t>1.00 (Ref)</w:t>
            </w:r>
          </w:p>
        </w:tc>
        <w:tc>
          <w:tcPr>
            <w:tcW w:w="1985" w:type="dxa"/>
            <w:tcBorders>
              <w:top w:val="single" w:sz="4" w:space="0" w:color="auto"/>
              <w:left w:val="nil"/>
              <w:bottom w:val="single" w:sz="4" w:space="0" w:color="auto"/>
              <w:right w:val="nil"/>
            </w:tcBorders>
          </w:tcPr>
          <w:p w14:paraId="114DA453" w14:textId="77777777" w:rsidR="00E256AE" w:rsidRPr="006E1B17" w:rsidRDefault="00E256AE" w:rsidP="0077450F">
            <w:pPr>
              <w:spacing w:after="0" w:line="276" w:lineRule="auto"/>
              <w:contextualSpacing/>
              <w:rPr>
                <w:rFonts w:cs="Arial"/>
                <w:sz w:val="20"/>
              </w:rPr>
            </w:pPr>
            <w:r>
              <w:rPr>
                <w:rFonts w:cs="Arial"/>
                <w:sz w:val="20"/>
              </w:rPr>
              <w:t xml:space="preserve">3.12 [1.08; </w:t>
            </w:r>
            <w:proofErr w:type="gramStart"/>
            <w:r>
              <w:rPr>
                <w:rFonts w:cs="Arial"/>
                <w:sz w:val="20"/>
              </w:rPr>
              <w:t>8.99]*</w:t>
            </w:r>
            <w:proofErr w:type="gramEnd"/>
          </w:p>
        </w:tc>
      </w:tr>
      <w:tr w:rsidR="008B26A5" w:rsidRPr="006E1B17" w14:paraId="340B4615" w14:textId="77777777" w:rsidTr="00E832C0">
        <w:tc>
          <w:tcPr>
            <w:tcW w:w="2552" w:type="dxa"/>
            <w:gridSpan w:val="4"/>
            <w:tcBorders>
              <w:top w:val="single" w:sz="4" w:space="0" w:color="auto"/>
              <w:bottom w:val="nil"/>
              <w:right w:val="nil"/>
            </w:tcBorders>
          </w:tcPr>
          <w:p w14:paraId="134C0EB0" w14:textId="77777777" w:rsidR="008B26A5" w:rsidRDefault="008B26A5" w:rsidP="00091D1C">
            <w:pPr>
              <w:spacing w:after="0" w:line="276" w:lineRule="auto"/>
              <w:contextualSpacing/>
              <w:rPr>
                <w:rFonts w:cs="Arial"/>
                <w:sz w:val="20"/>
              </w:rPr>
            </w:pPr>
            <w:r>
              <w:rPr>
                <w:rFonts w:cs="Arial"/>
                <w:sz w:val="20"/>
              </w:rPr>
              <w:t>Quality of life</w:t>
            </w:r>
          </w:p>
        </w:tc>
        <w:tc>
          <w:tcPr>
            <w:tcW w:w="1419" w:type="dxa"/>
            <w:tcBorders>
              <w:top w:val="single" w:sz="4" w:space="0" w:color="auto"/>
              <w:bottom w:val="nil"/>
            </w:tcBorders>
            <w:vAlign w:val="bottom"/>
          </w:tcPr>
          <w:p w14:paraId="67DC44AF" w14:textId="77777777" w:rsidR="008B26A5" w:rsidRPr="006E1B17" w:rsidRDefault="008B26A5" w:rsidP="00091D1C">
            <w:pPr>
              <w:spacing w:after="0" w:line="276" w:lineRule="auto"/>
              <w:contextualSpacing/>
              <w:rPr>
                <w:rFonts w:cs="Arial"/>
                <w:sz w:val="20"/>
              </w:rPr>
            </w:pPr>
          </w:p>
        </w:tc>
        <w:tc>
          <w:tcPr>
            <w:tcW w:w="2125" w:type="dxa"/>
            <w:tcBorders>
              <w:top w:val="single" w:sz="4" w:space="0" w:color="auto"/>
              <w:bottom w:val="nil"/>
            </w:tcBorders>
            <w:vAlign w:val="bottom"/>
          </w:tcPr>
          <w:p w14:paraId="0843EA1C" w14:textId="77777777" w:rsidR="008B26A5" w:rsidRPr="006E1B17" w:rsidRDefault="008B26A5" w:rsidP="00091D1C">
            <w:pPr>
              <w:spacing w:after="0" w:line="276" w:lineRule="auto"/>
              <w:contextualSpacing/>
              <w:rPr>
                <w:rFonts w:cs="Arial"/>
                <w:sz w:val="20"/>
              </w:rPr>
            </w:pPr>
          </w:p>
        </w:tc>
        <w:tc>
          <w:tcPr>
            <w:tcW w:w="282" w:type="dxa"/>
            <w:tcBorders>
              <w:top w:val="single" w:sz="4" w:space="0" w:color="auto"/>
              <w:bottom w:val="nil"/>
            </w:tcBorders>
            <w:vAlign w:val="bottom"/>
          </w:tcPr>
          <w:p w14:paraId="3078E34E" w14:textId="77777777" w:rsidR="008B26A5" w:rsidRPr="006E1B17" w:rsidRDefault="008B26A5" w:rsidP="00091D1C">
            <w:pPr>
              <w:spacing w:after="0" w:line="276" w:lineRule="auto"/>
              <w:contextualSpacing/>
              <w:rPr>
                <w:rFonts w:cs="Arial"/>
                <w:sz w:val="20"/>
              </w:rPr>
            </w:pPr>
          </w:p>
        </w:tc>
        <w:tc>
          <w:tcPr>
            <w:tcW w:w="1560" w:type="dxa"/>
            <w:tcBorders>
              <w:top w:val="single" w:sz="4" w:space="0" w:color="auto"/>
              <w:bottom w:val="nil"/>
            </w:tcBorders>
          </w:tcPr>
          <w:p w14:paraId="28B4E47B" w14:textId="77777777" w:rsidR="008B26A5" w:rsidRPr="006E1B17" w:rsidRDefault="008B26A5" w:rsidP="00091D1C">
            <w:pPr>
              <w:spacing w:after="0" w:line="276" w:lineRule="auto"/>
              <w:contextualSpacing/>
              <w:rPr>
                <w:rFonts w:cs="Arial"/>
                <w:sz w:val="20"/>
              </w:rPr>
            </w:pPr>
          </w:p>
        </w:tc>
        <w:tc>
          <w:tcPr>
            <w:tcW w:w="1985" w:type="dxa"/>
            <w:tcBorders>
              <w:top w:val="single" w:sz="4" w:space="0" w:color="auto"/>
              <w:bottom w:val="nil"/>
            </w:tcBorders>
            <w:vAlign w:val="bottom"/>
          </w:tcPr>
          <w:p w14:paraId="3EADFE8D" w14:textId="77777777" w:rsidR="008B26A5" w:rsidRPr="006E1B17" w:rsidRDefault="008B26A5" w:rsidP="00091D1C">
            <w:pPr>
              <w:spacing w:after="0" w:line="276" w:lineRule="auto"/>
              <w:contextualSpacing/>
              <w:rPr>
                <w:rFonts w:cs="Arial"/>
                <w:sz w:val="20"/>
              </w:rPr>
            </w:pPr>
          </w:p>
        </w:tc>
      </w:tr>
      <w:tr w:rsidR="008B26A5" w:rsidRPr="006E1B17" w14:paraId="16E453F2" w14:textId="77777777" w:rsidTr="00E832C0">
        <w:tc>
          <w:tcPr>
            <w:tcW w:w="283" w:type="dxa"/>
            <w:tcBorders>
              <w:top w:val="nil"/>
              <w:bottom w:val="nil"/>
              <w:right w:val="nil"/>
            </w:tcBorders>
          </w:tcPr>
          <w:p w14:paraId="2F8C6BD2" w14:textId="77777777" w:rsidR="008B26A5" w:rsidRPr="00375C08" w:rsidRDefault="008B26A5" w:rsidP="00091D1C">
            <w:pPr>
              <w:spacing w:after="0" w:line="276" w:lineRule="auto"/>
              <w:contextualSpacing/>
              <w:rPr>
                <w:rFonts w:cs="Arial"/>
                <w:color w:val="FF0000"/>
                <w:sz w:val="20"/>
              </w:rPr>
            </w:pPr>
          </w:p>
        </w:tc>
        <w:tc>
          <w:tcPr>
            <w:tcW w:w="2269" w:type="dxa"/>
            <w:gridSpan w:val="3"/>
            <w:tcBorders>
              <w:top w:val="nil"/>
              <w:left w:val="nil"/>
              <w:bottom w:val="single" w:sz="4" w:space="0" w:color="auto"/>
              <w:right w:val="nil"/>
            </w:tcBorders>
            <w:vAlign w:val="center"/>
          </w:tcPr>
          <w:p w14:paraId="3911291D" w14:textId="77777777" w:rsidR="008B26A5" w:rsidRPr="00375C08" w:rsidRDefault="008B26A5" w:rsidP="00091D1C">
            <w:pPr>
              <w:spacing w:after="0" w:line="276" w:lineRule="auto"/>
              <w:contextualSpacing/>
              <w:rPr>
                <w:rFonts w:cs="Arial"/>
                <w:sz w:val="20"/>
              </w:rPr>
            </w:pPr>
            <w:r>
              <w:rPr>
                <w:rFonts w:cs="Arial"/>
                <w:sz w:val="20"/>
              </w:rPr>
              <w:t>Mean score (SE)</w:t>
            </w:r>
          </w:p>
        </w:tc>
        <w:tc>
          <w:tcPr>
            <w:tcW w:w="1419" w:type="dxa"/>
            <w:tcBorders>
              <w:top w:val="nil"/>
              <w:left w:val="nil"/>
              <w:bottom w:val="single" w:sz="4" w:space="0" w:color="auto"/>
              <w:right w:val="nil"/>
            </w:tcBorders>
            <w:vAlign w:val="bottom"/>
          </w:tcPr>
          <w:p w14:paraId="6262FE7F" w14:textId="77777777" w:rsidR="008B26A5" w:rsidRPr="006E1B17" w:rsidRDefault="003E1D6B" w:rsidP="00091D1C">
            <w:pPr>
              <w:spacing w:after="0" w:line="276" w:lineRule="auto"/>
              <w:contextualSpacing/>
              <w:rPr>
                <w:rFonts w:cs="Arial"/>
                <w:sz w:val="20"/>
              </w:rPr>
            </w:pPr>
            <w:r>
              <w:rPr>
                <w:rFonts w:cs="Arial"/>
                <w:sz w:val="20"/>
              </w:rPr>
              <w:t>43.15 (0.70)</w:t>
            </w:r>
          </w:p>
        </w:tc>
        <w:tc>
          <w:tcPr>
            <w:tcW w:w="2125" w:type="dxa"/>
            <w:tcBorders>
              <w:top w:val="nil"/>
              <w:left w:val="nil"/>
              <w:bottom w:val="single" w:sz="4" w:space="0" w:color="auto"/>
              <w:right w:val="nil"/>
            </w:tcBorders>
            <w:vAlign w:val="bottom"/>
          </w:tcPr>
          <w:p w14:paraId="0ACA3A7D" w14:textId="77777777" w:rsidR="008B26A5" w:rsidRPr="006E1B17" w:rsidRDefault="003E1D6B" w:rsidP="00091D1C">
            <w:pPr>
              <w:spacing w:after="0" w:line="276" w:lineRule="auto"/>
              <w:contextualSpacing/>
              <w:rPr>
                <w:rFonts w:cs="Arial"/>
                <w:sz w:val="20"/>
              </w:rPr>
            </w:pPr>
            <w:r>
              <w:rPr>
                <w:rFonts w:cs="Arial"/>
                <w:sz w:val="20"/>
              </w:rPr>
              <w:t>39.68 (0.76)</w:t>
            </w:r>
          </w:p>
        </w:tc>
        <w:tc>
          <w:tcPr>
            <w:tcW w:w="282" w:type="dxa"/>
            <w:tcBorders>
              <w:top w:val="nil"/>
              <w:left w:val="nil"/>
              <w:bottom w:val="single" w:sz="4" w:space="0" w:color="auto"/>
              <w:right w:val="nil"/>
            </w:tcBorders>
            <w:vAlign w:val="bottom"/>
          </w:tcPr>
          <w:p w14:paraId="0B32738D" w14:textId="77777777" w:rsidR="008B26A5" w:rsidRPr="006E1B17" w:rsidRDefault="008B26A5" w:rsidP="00091D1C">
            <w:pPr>
              <w:spacing w:after="0" w:line="276" w:lineRule="auto"/>
              <w:contextualSpacing/>
              <w:rPr>
                <w:rFonts w:cs="Arial"/>
                <w:sz w:val="20"/>
              </w:rPr>
            </w:pPr>
          </w:p>
        </w:tc>
        <w:tc>
          <w:tcPr>
            <w:tcW w:w="1560" w:type="dxa"/>
            <w:tcBorders>
              <w:top w:val="nil"/>
              <w:left w:val="nil"/>
              <w:bottom w:val="single" w:sz="4" w:space="0" w:color="auto"/>
              <w:right w:val="nil"/>
            </w:tcBorders>
            <w:vAlign w:val="bottom"/>
          </w:tcPr>
          <w:p w14:paraId="2987AD29" w14:textId="77777777" w:rsidR="008B26A5" w:rsidRPr="006E1B17" w:rsidRDefault="009E386D" w:rsidP="00091D1C">
            <w:pPr>
              <w:spacing w:after="0" w:line="276" w:lineRule="auto"/>
              <w:contextualSpacing/>
              <w:rPr>
                <w:rFonts w:cs="Arial"/>
                <w:sz w:val="20"/>
              </w:rPr>
            </w:pPr>
            <w:r>
              <w:rPr>
                <w:rFonts w:cs="Arial"/>
                <w:sz w:val="20"/>
              </w:rPr>
              <w:t>43.21 (0.54)</w:t>
            </w:r>
          </w:p>
        </w:tc>
        <w:tc>
          <w:tcPr>
            <w:tcW w:w="1985" w:type="dxa"/>
            <w:tcBorders>
              <w:top w:val="nil"/>
              <w:left w:val="nil"/>
              <w:bottom w:val="single" w:sz="4" w:space="0" w:color="auto"/>
              <w:right w:val="nil"/>
            </w:tcBorders>
          </w:tcPr>
          <w:p w14:paraId="550AB591" w14:textId="77777777" w:rsidR="008B26A5" w:rsidRPr="006E1B17" w:rsidRDefault="009E386D" w:rsidP="00091D1C">
            <w:pPr>
              <w:spacing w:after="0" w:line="276" w:lineRule="auto"/>
              <w:contextualSpacing/>
              <w:rPr>
                <w:rFonts w:cs="Arial"/>
                <w:sz w:val="20"/>
              </w:rPr>
            </w:pPr>
            <w:r>
              <w:rPr>
                <w:rFonts w:cs="Arial"/>
                <w:sz w:val="20"/>
              </w:rPr>
              <w:t>41.15 (0.59)</w:t>
            </w:r>
          </w:p>
        </w:tc>
      </w:tr>
      <w:tr w:rsidR="008B26A5" w:rsidRPr="006E1B17" w14:paraId="215A5C86" w14:textId="77777777" w:rsidTr="00E832C0">
        <w:tc>
          <w:tcPr>
            <w:tcW w:w="283" w:type="dxa"/>
            <w:tcBorders>
              <w:top w:val="nil"/>
              <w:bottom w:val="single" w:sz="4" w:space="0" w:color="auto"/>
              <w:right w:val="nil"/>
            </w:tcBorders>
          </w:tcPr>
          <w:p w14:paraId="50751D57" w14:textId="77777777" w:rsidR="008B26A5" w:rsidRPr="00375C08" w:rsidRDefault="008B26A5" w:rsidP="00091D1C">
            <w:pPr>
              <w:spacing w:after="0" w:line="276" w:lineRule="auto"/>
              <w:contextualSpacing/>
              <w:rPr>
                <w:rFonts w:cs="Arial"/>
                <w:color w:val="FF0000"/>
                <w:sz w:val="20"/>
              </w:rPr>
            </w:pPr>
          </w:p>
        </w:tc>
        <w:tc>
          <w:tcPr>
            <w:tcW w:w="2269" w:type="dxa"/>
            <w:gridSpan w:val="3"/>
            <w:tcBorders>
              <w:top w:val="single" w:sz="4" w:space="0" w:color="auto"/>
              <w:left w:val="nil"/>
              <w:bottom w:val="single" w:sz="4" w:space="0" w:color="auto"/>
              <w:right w:val="nil"/>
            </w:tcBorders>
            <w:vAlign w:val="center"/>
          </w:tcPr>
          <w:p w14:paraId="37F375D0" w14:textId="77777777" w:rsidR="008B26A5" w:rsidRDefault="008B26A5" w:rsidP="00091D1C">
            <w:pPr>
              <w:spacing w:after="0" w:line="276" w:lineRule="auto"/>
              <w:contextualSpacing/>
              <w:rPr>
                <w:rFonts w:cs="Arial"/>
                <w:sz w:val="20"/>
              </w:rPr>
            </w:pPr>
            <w:proofErr w:type="spellStart"/>
            <w:r>
              <w:rPr>
                <w:rFonts w:cs="Arial"/>
                <w:sz w:val="20"/>
              </w:rPr>
              <w:t>Coeff</w:t>
            </w:r>
            <w:proofErr w:type="spellEnd"/>
            <w:r>
              <w:rPr>
                <w:rFonts w:cs="Arial"/>
                <w:sz w:val="20"/>
              </w:rPr>
              <w:t>. [95%CI]</w:t>
            </w:r>
          </w:p>
        </w:tc>
        <w:tc>
          <w:tcPr>
            <w:tcW w:w="1419" w:type="dxa"/>
            <w:tcBorders>
              <w:top w:val="single" w:sz="4" w:space="0" w:color="auto"/>
              <w:left w:val="nil"/>
              <w:bottom w:val="single" w:sz="4" w:space="0" w:color="auto"/>
              <w:right w:val="nil"/>
            </w:tcBorders>
            <w:vAlign w:val="bottom"/>
          </w:tcPr>
          <w:p w14:paraId="11FB72EC" w14:textId="77777777" w:rsidR="008B26A5" w:rsidRPr="006E1B17" w:rsidRDefault="008B26A5" w:rsidP="00091D1C">
            <w:pPr>
              <w:spacing w:after="0" w:line="276" w:lineRule="auto"/>
              <w:contextualSpacing/>
              <w:rPr>
                <w:rFonts w:cs="Arial"/>
                <w:sz w:val="20"/>
              </w:rPr>
            </w:pPr>
            <w:r>
              <w:rPr>
                <w:rFonts w:cs="Arial"/>
                <w:sz w:val="20"/>
              </w:rPr>
              <w:t>Ref</w:t>
            </w:r>
          </w:p>
        </w:tc>
        <w:tc>
          <w:tcPr>
            <w:tcW w:w="2125" w:type="dxa"/>
            <w:tcBorders>
              <w:top w:val="single" w:sz="4" w:space="0" w:color="auto"/>
              <w:left w:val="nil"/>
              <w:bottom w:val="single" w:sz="4" w:space="0" w:color="auto"/>
              <w:right w:val="nil"/>
            </w:tcBorders>
            <w:vAlign w:val="bottom"/>
          </w:tcPr>
          <w:p w14:paraId="767490B6" w14:textId="77777777" w:rsidR="008B26A5" w:rsidRPr="006E1B17" w:rsidRDefault="00B70914" w:rsidP="00091D1C">
            <w:pPr>
              <w:spacing w:after="0" w:line="276" w:lineRule="auto"/>
              <w:contextualSpacing/>
              <w:rPr>
                <w:rFonts w:cs="Arial"/>
                <w:sz w:val="20"/>
              </w:rPr>
            </w:pPr>
            <w:r>
              <w:rPr>
                <w:rFonts w:cs="Arial"/>
                <w:sz w:val="20"/>
              </w:rPr>
              <w:t>-3.31 [-5.49; -1.</w:t>
            </w:r>
            <w:proofErr w:type="gramStart"/>
            <w:r>
              <w:rPr>
                <w:rFonts w:cs="Arial"/>
                <w:sz w:val="20"/>
              </w:rPr>
              <w:t>12]*</w:t>
            </w:r>
            <w:proofErr w:type="gramEnd"/>
            <w:r>
              <w:rPr>
                <w:rFonts w:cs="Arial"/>
                <w:sz w:val="20"/>
              </w:rPr>
              <w:t>*</w:t>
            </w:r>
          </w:p>
        </w:tc>
        <w:tc>
          <w:tcPr>
            <w:tcW w:w="282" w:type="dxa"/>
            <w:tcBorders>
              <w:top w:val="single" w:sz="4" w:space="0" w:color="auto"/>
              <w:left w:val="nil"/>
              <w:bottom w:val="single" w:sz="4" w:space="0" w:color="auto"/>
              <w:right w:val="nil"/>
            </w:tcBorders>
            <w:vAlign w:val="bottom"/>
          </w:tcPr>
          <w:p w14:paraId="70E0932B" w14:textId="77777777" w:rsidR="008B26A5" w:rsidRPr="006E1B17" w:rsidRDefault="008B26A5" w:rsidP="00091D1C">
            <w:pPr>
              <w:spacing w:after="0" w:line="276" w:lineRule="auto"/>
              <w:contextualSpacing/>
              <w:rPr>
                <w:rFonts w:cs="Arial"/>
                <w:sz w:val="20"/>
              </w:rPr>
            </w:pPr>
          </w:p>
        </w:tc>
        <w:tc>
          <w:tcPr>
            <w:tcW w:w="1560" w:type="dxa"/>
            <w:tcBorders>
              <w:top w:val="single" w:sz="4" w:space="0" w:color="auto"/>
              <w:left w:val="nil"/>
              <w:bottom w:val="single" w:sz="4" w:space="0" w:color="auto"/>
              <w:right w:val="nil"/>
            </w:tcBorders>
            <w:vAlign w:val="bottom"/>
          </w:tcPr>
          <w:p w14:paraId="727ADEF7" w14:textId="77777777" w:rsidR="008B26A5" w:rsidRPr="006E1B17" w:rsidRDefault="008B26A5" w:rsidP="00091D1C">
            <w:pPr>
              <w:spacing w:after="0" w:line="276" w:lineRule="auto"/>
              <w:contextualSpacing/>
              <w:rPr>
                <w:rFonts w:cs="Arial"/>
                <w:sz w:val="20"/>
              </w:rPr>
            </w:pPr>
            <w:r>
              <w:rPr>
                <w:rFonts w:cs="Arial"/>
                <w:sz w:val="20"/>
              </w:rPr>
              <w:t>Ref</w:t>
            </w:r>
          </w:p>
        </w:tc>
        <w:tc>
          <w:tcPr>
            <w:tcW w:w="1985" w:type="dxa"/>
            <w:tcBorders>
              <w:top w:val="single" w:sz="4" w:space="0" w:color="auto"/>
              <w:left w:val="nil"/>
              <w:bottom w:val="single" w:sz="4" w:space="0" w:color="auto"/>
              <w:right w:val="nil"/>
            </w:tcBorders>
          </w:tcPr>
          <w:p w14:paraId="6EC89DCB" w14:textId="77777777" w:rsidR="008B26A5" w:rsidRPr="006E1B17" w:rsidRDefault="0086537B" w:rsidP="00091D1C">
            <w:pPr>
              <w:spacing w:after="0" w:line="276" w:lineRule="auto"/>
              <w:contextualSpacing/>
              <w:rPr>
                <w:rFonts w:cs="Arial"/>
                <w:sz w:val="20"/>
              </w:rPr>
            </w:pPr>
            <w:r>
              <w:rPr>
                <w:rFonts w:cs="Arial"/>
                <w:sz w:val="20"/>
              </w:rPr>
              <w:t>-2.08 [-3.85; -0.</w:t>
            </w:r>
            <w:proofErr w:type="gramStart"/>
            <w:r>
              <w:rPr>
                <w:rFonts w:cs="Arial"/>
                <w:sz w:val="20"/>
              </w:rPr>
              <w:t>31]*</w:t>
            </w:r>
            <w:proofErr w:type="gramEnd"/>
          </w:p>
        </w:tc>
      </w:tr>
      <w:tr w:rsidR="008B26A5" w:rsidRPr="006E1B17" w14:paraId="4A114D90" w14:textId="77777777" w:rsidTr="00E832C0">
        <w:tc>
          <w:tcPr>
            <w:tcW w:w="2552" w:type="dxa"/>
            <w:gridSpan w:val="4"/>
            <w:tcBorders>
              <w:top w:val="single" w:sz="4" w:space="0" w:color="auto"/>
              <w:bottom w:val="nil"/>
              <w:right w:val="nil"/>
            </w:tcBorders>
          </w:tcPr>
          <w:p w14:paraId="229C4A30" w14:textId="77777777" w:rsidR="008B26A5" w:rsidRDefault="008B26A5" w:rsidP="00091D1C">
            <w:pPr>
              <w:spacing w:after="0" w:line="276" w:lineRule="auto"/>
              <w:contextualSpacing/>
              <w:rPr>
                <w:rFonts w:cs="Arial"/>
                <w:sz w:val="20"/>
              </w:rPr>
            </w:pPr>
            <w:r>
              <w:rPr>
                <w:rFonts w:cs="Arial"/>
                <w:sz w:val="20"/>
              </w:rPr>
              <w:t>Life satisfaction</w:t>
            </w:r>
          </w:p>
        </w:tc>
        <w:tc>
          <w:tcPr>
            <w:tcW w:w="1419" w:type="dxa"/>
            <w:tcBorders>
              <w:top w:val="single" w:sz="4" w:space="0" w:color="auto"/>
              <w:bottom w:val="nil"/>
            </w:tcBorders>
            <w:vAlign w:val="bottom"/>
          </w:tcPr>
          <w:p w14:paraId="60D6CE2E" w14:textId="77777777" w:rsidR="008B26A5" w:rsidRPr="006E1B17" w:rsidRDefault="008B26A5" w:rsidP="00091D1C">
            <w:pPr>
              <w:spacing w:after="0" w:line="276" w:lineRule="auto"/>
              <w:contextualSpacing/>
              <w:rPr>
                <w:rFonts w:cs="Arial"/>
                <w:sz w:val="20"/>
              </w:rPr>
            </w:pPr>
          </w:p>
        </w:tc>
        <w:tc>
          <w:tcPr>
            <w:tcW w:w="2125" w:type="dxa"/>
            <w:tcBorders>
              <w:top w:val="single" w:sz="4" w:space="0" w:color="auto"/>
              <w:bottom w:val="nil"/>
            </w:tcBorders>
            <w:vAlign w:val="bottom"/>
          </w:tcPr>
          <w:p w14:paraId="2BB0A423" w14:textId="77777777" w:rsidR="008B26A5" w:rsidRPr="006E1B17" w:rsidRDefault="008B26A5" w:rsidP="00091D1C">
            <w:pPr>
              <w:spacing w:after="0" w:line="276" w:lineRule="auto"/>
              <w:contextualSpacing/>
              <w:rPr>
                <w:rFonts w:cs="Arial"/>
                <w:sz w:val="20"/>
              </w:rPr>
            </w:pPr>
          </w:p>
        </w:tc>
        <w:tc>
          <w:tcPr>
            <w:tcW w:w="282" w:type="dxa"/>
            <w:tcBorders>
              <w:top w:val="single" w:sz="4" w:space="0" w:color="auto"/>
              <w:bottom w:val="nil"/>
            </w:tcBorders>
            <w:vAlign w:val="bottom"/>
          </w:tcPr>
          <w:p w14:paraId="32959BFF" w14:textId="77777777" w:rsidR="008B26A5" w:rsidRPr="006E1B17" w:rsidRDefault="008B26A5" w:rsidP="00091D1C">
            <w:pPr>
              <w:spacing w:after="0" w:line="276" w:lineRule="auto"/>
              <w:contextualSpacing/>
              <w:rPr>
                <w:rFonts w:cs="Arial"/>
                <w:sz w:val="20"/>
              </w:rPr>
            </w:pPr>
          </w:p>
        </w:tc>
        <w:tc>
          <w:tcPr>
            <w:tcW w:w="1560" w:type="dxa"/>
            <w:tcBorders>
              <w:top w:val="single" w:sz="4" w:space="0" w:color="auto"/>
              <w:bottom w:val="nil"/>
            </w:tcBorders>
          </w:tcPr>
          <w:p w14:paraId="308E51D7" w14:textId="77777777" w:rsidR="008B26A5" w:rsidRPr="006E1B17" w:rsidRDefault="008B26A5" w:rsidP="00091D1C">
            <w:pPr>
              <w:spacing w:after="0" w:line="276" w:lineRule="auto"/>
              <w:contextualSpacing/>
              <w:rPr>
                <w:rFonts w:cs="Arial"/>
                <w:sz w:val="20"/>
              </w:rPr>
            </w:pPr>
          </w:p>
        </w:tc>
        <w:tc>
          <w:tcPr>
            <w:tcW w:w="1985" w:type="dxa"/>
            <w:tcBorders>
              <w:top w:val="single" w:sz="4" w:space="0" w:color="auto"/>
              <w:bottom w:val="nil"/>
            </w:tcBorders>
            <w:vAlign w:val="bottom"/>
          </w:tcPr>
          <w:p w14:paraId="5EE67487" w14:textId="77777777" w:rsidR="008B26A5" w:rsidRPr="006E1B17" w:rsidRDefault="008B26A5" w:rsidP="00091D1C">
            <w:pPr>
              <w:spacing w:after="0" w:line="276" w:lineRule="auto"/>
              <w:contextualSpacing/>
              <w:rPr>
                <w:rFonts w:cs="Arial"/>
                <w:sz w:val="20"/>
              </w:rPr>
            </w:pPr>
          </w:p>
        </w:tc>
      </w:tr>
      <w:tr w:rsidR="008B26A5" w:rsidRPr="006E1B17" w14:paraId="7397FAC1" w14:textId="77777777" w:rsidTr="00E832C0">
        <w:tc>
          <w:tcPr>
            <w:tcW w:w="283" w:type="dxa"/>
            <w:tcBorders>
              <w:top w:val="nil"/>
              <w:bottom w:val="nil"/>
              <w:right w:val="nil"/>
            </w:tcBorders>
          </w:tcPr>
          <w:p w14:paraId="14D96415" w14:textId="77777777" w:rsidR="008B26A5" w:rsidRPr="00375C08" w:rsidRDefault="008B26A5" w:rsidP="00091D1C">
            <w:pPr>
              <w:spacing w:after="0" w:line="276" w:lineRule="auto"/>
              <w:contextualSpacing/>
              <w:rPr>
                <w:rFonts w:cs="Arial"/>
                <w:color w:val="FF0000"/>
                <w:sz w:val="20"/>
              </w:rPr>
            </w:pPr>
          </w:p>
        </w:tc>
        <w:tc>
          <w:tcPr>
            <w:tcW w:w="2269" w:type="dxa"/>
            <w:gridSpan w:val="3"/>
            <w:tcBorders>
              <w:top w:val="nil"/>
              <w:left w:val="nil"/>
              <w:bottom w:val="single" w:sz="4" w:space="0" w:color="auto"/>
              <w:right w:val="nil"/>
            </w:tcBorders>
            <w:vAlign w:val="center"/>
          </w:tcPr>
          <w:p w14:paraId="72E13A24" w14:textId="77777777" w:rsidR="008B26A5" w:rsidRPr="00375C08" w:rsidRDefault="008B26A5" w:rsidP="00091D1C">
            <w:pPr>
              <w:spacing w:after="0" w:line="276" w:lineRule="auto"/>
              <w:contextualSpacing/>
              <w:rPr>
                <w:rFonts w:cs="Arial"/>
                <w:sz w:val="20"/>
              </w:rPr>
            </w:pPr>
            <w:r>
              <w:rPr>
                <w:rFonts w:cs="Arial"/>
                <w:sz w:val="20"/>
              </w:rPr>
              <w:t>Mean score (SE)</w:t>
            </w:r>
          </w:p>
        </w:tc>
        <w:tc>
          <w:tcPr>
            <w:tcW w:w="1419" w:type="dxa"/>
            <w:tcBorders>
              <w:top w:val="nil"/>
              <w:left w:val="nil"/>
              <w:bottom w:val="single" w:sz="4" w:space="0" w:color="auto"/>
              <w:right w:val="nil"/>
            </w:tcBorders>
            <w:vAlign w:val="bottom"/>
          </w:tcPr>
          <w:p w14:paraId="45805FFA" w14:textId="77777777" w:rsidR="008B26A5" w:rsidRPr="006E1B17" w:rsidRDefault="003E1D6B" w:rsidP="00091D1C">
            <w:pPr>
              <w:spacing w:after="0" w:line="276" w:lineRule="auto"/>
              <w:contextualSpacing/>
              <w:rPr>
                <w:rFonts w:cs="Arial"/>
                <w:sz w:val="20"/>
              </w:rPr>
            </w:pPr>
            <w:r>
              <w:rPr>
                <w:rFonts w:cs="Arial"/>
                <w:sz w:val="20"/>
              </w:rPr>
              <w:t>20.93 (0.52)</w:t>
            </w:r>
          </w:p>
        </w:tc>
        <w:tc>
          <w:tcPr>
            <w:tcW w:w="2125" w:type="dxa"/>
            <w:tcBorders>
              <w:top w:val="nil"/>
              <w:left w:val="nil"/>
              <w:bottom w:val="single" w:sz="4" w:space="0" w:color="auto"/>
              <w:right w:val="nil"/>
            </w:tcBorders>
            <w:vAlign w:val="bottom"/>
          </w:tcPr>
          <w:p w14:paraId="68EEDF0C" w14:textId="77777777" w:rsidR="008B26A5" w:rsidRPr="006E1B17" w:rsidRDefault="003E1D6B" w:rsidP="00091D1C">
            <w:pPr>
              <w:spacing w:after="0" w:line="276" w:lineRule="auto"/>
              <w:contextualSpacing/>
              <w:rPr>
                <w:rFonts w:cs="Arial"/>
                <w:sz w:val="20"/>
              </w:rPr>
            </w:pPr>
            <w:r>
              <w:rPr>
                <w:rFonts w:cs="Arial"/>
                <w:sz w:val="20"/>
              </w:rPr>
              <w:t>20.00 (0.57)</w:t>
            </w:r>
          </w:p>
        </w:tc>
        <w:tc>
          <w:tcPr>
            <w:tcW w:w="282" w:type="dxa"/>
            <w:tcBorders>
              <w:top w:val="nil"/>
              <w:left w:val="nil"/>
              <w:bottom w:val="single" w:sz="4" w:space="0" w:color="auto"/>
              <w:right w:val="nil"/>
            </w:tcBorders>
            <w:vAlign w:val="bottom"/>
          </w:tcPr>
          <w:p w14:paraId="2EEFB869" w14:textId="77777777" w:rsidR="008B26A5" w:rsidRPr="006E1B17" w:rsidRDefault="008B26A5" w:rsidP="00091D1C">
            <w:pPr>
              <w:spacing w:after="0" w:line="276" w:lineRule="auto"/>
              <w:contextualSpacing/>
              <w:rPr>
                <w:rFonts w:cs="Arial"/>
                <w:sz w:val="20"/>
              </w:rPr>
            </w:pPr>
          </w:p>
        </w:tc>
        <w:tc>
          <w:tcPr>
            <w:tcW w:w="1560" w:type="dxa"/>
            <w:tcBorders>
              <w:top w:val="nil"/>
              <w:left w:val="nil"/>
              <w:bottom w:val="single" w:sz="4" w:space="0" w:color="auto"/>
              <w:right w:val="nil"/>
            </w:tcBorders>
            <w:vAlign w:val="bottom"/>
          </w:tcPr>
          <w:p w14:paraId="3D8260F2" w14:textId="77777777" w:rsidR="008B26A5" w:rsidRPr="006E1B17" w:rsidRDefault="007A23A2" w:rsidP="00091D1C">
            <w:pPr>
              <w:spacing w:after="0" w:line="276" w:lineRule="auto"/>
              <w:contextualSpacing/>
              <w:rPr>
                <w:rFonts w:cs="Arial"/>
                <w:sz w:val="20"/>
              </w:rPr>
            </w:pPr>
            <w:r>
              <w:rPr>
                <w:rFonts w:cs="Arial"/>
                <w:sz w:val="20"/>
              </w:rPr>
              <w:t>21.79 (0.46)</w:t>
            </w:r>
          </w:p>
        </w:tc>
        <w:tc>
          <w:tcPr>
            <w:tcW w:w="1985" w:type="dxa"/>
            <w:tcBorders>
              <w:top w:val="nil"/>
              <w:left w:val="nil"/>
              <w:bottom w:val="single" w:sz="4" w:space="0" w:color="auto"/>
              <w:right w:val="nil"/>
            </w:tcBorders>
          </w:tcPr>
          <w:p w14:paraId="4DCE04B9" w14:textId="77777777" w:rsidR="008B26A5" w:rsidRPr="006E1B17" w:rsidRDefault="007A23A2" w:rsidP="00091D1C">
            <w:pPr>
              <w:spacing w:after="0" w:line="276" w:lineRule="auto"/>
              <w:contextualSpacing/>
              <w:rPr>
                <w:rFonts w:cs="Arial"/>
                <w:sz w:val="20"/>
              </w:rPr>
            </w:pPr>
            <w:r>
              <w:rPr>
                <w:rFonts w:cs="Arial"/>
                <w:sz w:val="20"/>
              </w:rPr>
              <w:t>19.98 (0.51)</w:t>
            </w:r>
          </w:p>
        </w:tc>
      </w:tr>
      <w:tr w:rsidR="008B26A5" w:rsidRPr="006E1B17" w14:paraId="286BA7E7" w14:textId="77777777" w:rsidTr="00E832C0">
        <w:tc>
          <w:tcPr>
            <w:tcW w:w="283" w:type="dxa"/>
            <w:tcBorders>
              <w:top w:val="nil"/>
              <w:bottom w:val="single" w:sz="4" w:space="0" w:color="auto"/>
              <w:right w:val="nil"/>
            </w:tcBorders>
          </w:tcPr>
          <w:p w14:paraId="287BBE3E" w14:textId="77777777" w:rsidR="008B26A5" w:rsidRPr="00375C08" w:rsidRDefault="008B26A5" w:rsidP="00091D1C">
            <w:pPr>
              <w:spacing w:after="0" w:line="276" w:lineRule="auto"/>
              <w:contextualSpacing/>
              <w:rPr>
                <w:rFonts w:cs="Arial"/>
                <w:color w:val="FF0000"/>
                <w:sz w:val="20"/>
              </w:rPr>
            </w:pPr>
          </w:p>
        </w:tc>
        <w:tc>
          <w:tcPr>
            <w:tcW w:w="2269" w:type="dxa"/>
            <w:gridSpan w:val="3"/>
            <w:tcBorders>
              <w:top w:val="single" w:sz="4" w:space="0" w:color="auto"/>
              <w:left w:val="nil"/>
              <w:bottom w:val="single" w:sz="4" w:space="0" w:color="auto"/>
              <w:right w:val="nil"/>
            </w:tcBorders>
            <w:vAlign w:val="center"/>
          </w:tcPr>
          <w:p w14:paraId="2E3E1B61" w14:textId="77777777" w:rsidR="008B26A5" w:rsidRDefault="008B26A5" w:rsidP="00091D1C">
            <w:pPr>
              <w:spacing w:after="0" w:line="276" w:lineRule="auto"/>
              <w:contextualSpacing/>
              <w:rPr>
                <w:rFonts w:cs="Arial"/>
                <w:sz w:val="20"/>
              </w:rPr>
            </w:pPr>
            <w:proofErr w:type="spellStart"/>
            <w:r>
              <w:rPr>
                <w:rFonts w:cs="Arial"/>
                <w:sz w:val="20"/>
              </w:rPr>
              <w:t>Coeff</w:t>
            </w:r>
            <w:proofErr w:type="spellEnd"/>
            <w:r>
              <w:rPr>
                <w:rFonts w:cs="Arial"/>
                <w:sz w:val="20"/>
              </w:rPr>
              <w:t>. [95%CI]</w:t>
            </w:r>
          </w:p>
        </w:tc>
        <w:tc>
          <w:tcPr>
            <w:tcW w:w="1419" w:type="dxa"/>
            <w:tcBorders>
              <w:top w:val="single" w:sz="4" w:space="0" w:color="auto"/>
              <w:left w:val="nil"/>
              <w:bottom w:val="single" w:sz="4" w:space="0" w:color="auto"/>
              <w:right w:val="nil"/>
            </w:tcBorders>
            <w:vAlign w:val="bottom"/>
          </w:tcPr>
          <w:p w14:paraId="1FAD1D53" w14:textId="77777777" w:rsidR="008B26A5" w:rsidRPr="006E1B17" w:rsidRDefault="008B26A5" w:rsidP="00091D1C">
            <w:pPr>
              <w:spacing w:after="0" w:line="276" w:lineRule="auto"/>
              <w:contextualSpacing/>
              <w:rPr>
                <w:rFonts w:cs="Arial"/>
                <w:sz w:val="20"/>
              </w:rPr>
            </w:pPr>
            <w:r>
              <w:rPr>
                <w:rFonts w:cs="Arial"/>
                <w:sz w:val="20"/>
              </w:rPr>
              <w:t>Ref</w:t>
            </w:r>
          </w:p>
        </w:tc>
        <w:tc>
          <w:tcPr>
            <w:tcW w:w="2125" w:type="dxa"/>
            <w:tcBorders>
              <w:top w:val="single" w:sz="4" w:space="0" w:color="auto"/>
              <w:left w:val="nil"/>
              <w:bottom w:val="single" w:sz="4" w:space="0" w:color="auto"/>
              <w:right w:val="nil"/>
            </w:tcBorders>
            <w:vAlign w:val="bottom"/>
          </w:tcPr>
          <w:p w14:paraId="4F4ABEC3" w14:textId="77777777" w:rsidR="008B26A5" w:rsidRPr="006E1B17" w:rsidRDefault="00B70914" w:rsidP="00091D1C">
            <w:pPr>
              <w:spacing w:after="0" w:line="276" w:lineRule="auto"/>
              <w:contextualSpacing/>
              <w:rPr>
                <w:rFonts w:cs="Arial"/>
                <w:sz w:val="20"/>
              </w:rPr>
            </w:pPr>
            <w:r>
              <w:rPr>
                <w:rFonts w:cs="Arial"/>
                <w:sz w:val="20"/>
              </w:rPr>
              <w:t>-0.92 [-2.55; 0.72]</w:t>
            </w:r>
          </w:p>
        </w:tc>
        <w:tc>
          <w:tcPr>
            <w:tcW w:w="282" w:type="dxa"/>
            <w:tcBorders>
              <w:top w:val="single" w:sz="4" w:space="0" w:color="auto"/>
              <w:left w:val="nil"/>
              <w:bottom w:val="single" w:sz="4" w:space="0" w:color="auto"/>
              <w:right w:val="nil"/>
            </w:tcBorders>
            <w:vAlign w:val="bottom"/>
          </w:tcPr>
          <w:p w14:paraId="01850EDE" w14:textId="77777777" w:rsidR="008B26A5" w:rsidRPr="006E1B17" w:rsidRDefault="008B26A5" w:rsidP="00091D1C">
            <w:pPr>
              <w:spacing w:after="0" w:line="276" w:lineRule="auto"/>
              <w:contextualSpacing/>
              <w:rPr>
                <w:rFonts w:cs="Arial"/>
                <w:sz w:val="20"/>
              </w:rPr>
            </w:pPr>
          </w:p>
        </w:tc>
        <w:tc>
          <w:tcPr>
            <w:tcW w:w="1560" w:type="dxa"/>
            <w:tcBorders>
              <w:top w:val="single" w:sz="4" w:space="0" w:color="auto"/>
              <w:left w:val="nil"/>
              <w:bottom w:val="single" w:sz="4" w:space="0" w:color="auto"/>
              <w:right w:val="nil"/>
            </w:tcBorders>
            <w:vAlign w:val="bottom"/>
          </w:tcPr>
          <w:p w14:paraId="68980DD3" w14:textId="77777777" w:rsidR="008B26A5" w:rsidRPr="006E1B17" w:rsidRDefault="008B26A5" w:rsidP="00091D1C">
            <w:pPr>
              <w:spacing w:after="0" w:line="276" w:lineRule="auto"/>
              <w:contextualSpacing/>
              <w:rPr>
                <w:rFonts w:cs="Arial"/>
                <w:sz w:val="20"/>
              </w:rPr>
            </w:pPr>
            <w:r>
              <w:rPr>
                <w:rFonts w:cs="Arial"/>
                <w:sz w:val="20"/>
              </w:rPr>
              <w:t>Ref</w:t>
            </w:r>
          </w:p>
        </w:tc>
        <w:tc>
          <w:tcPr>
            <w:tcW w:w="1985" w:type="dxa"/>
            <w:tcBorders>
              <w:top w:val="single" w:sz="4" w:space="0" w:color="auto"/>
              <w:left w:val="nil"/>
              <w:bottom w:val="single" w:sz="4" w:space="0" w:color="auto"/>
              <w:right w:val="nil"/>
            </w:tcBorders>
          </w:tcPr>
          <w:p w14:paraId="2C5733D1" w14:textId="77777777" w:rsidR="008B26A5" w:rsidRPr="006E1B17" w:rsidRDefault="00E832C0" w:rsidP="00091D1C">
            <w:pPr>
              <w:spacing w:after="0" w:line="276" w:lineRule="auto"/>
              <w:contextualSpacing/>
              <w:rPr>
                <w:rFonts w:cs="Arial"/>
                <w:sz w:val="20"/>
              </w:rPr>
            </w:pPr>
            <w:r>
              <w:rPr>
                <w:rFonts w:cs="Arial"/>
                <w:sz w:val="20"/>
              </w:rPr>
              <w:t>-1.92 [-3.44; -0.</w:t>
            </w:r>
            <w:proofErr w:type="gramStart"/>
            <w:r>
              <w:rPr>
                <w:rFonts w:cs="Arial"/>
                <w:sz w:val="20"/>
              </w:rPr>
              <w:t>39]*</w:t>
            </w:r>
            <w:proofErr w:type="gramEnd"/>
          </w:p>
        </w:tc>
      </w:tr>
      <w:tr w:rsidR="007711D4" w:rsidRPr="006E1B17" w14:paraId="42E64EC3" w14:textId="77777777" w:rsidTr="0077450F">
        <w:tc>
          <w:tcPr>
            <w:tcW w:w="2552" w:type="dxa"/>
            <w:gridSpan w:val="4"/>
            <w:tcBorders>
              <w:top w:val="single" w:sz="4" w:space="0" w:color="auto"/>
              <w:bottom w:val="nil"/>
              <w:right w:val="nil"/>
            </w:tcBorders>
          </w:tcPr>
          <w:p w14:paraId="7C5CFDED" w14:textId="77777777" w:rsidR="007711D4" w:rsidRDefault="007711D4" w:rsidP="0077450F">
            <w:pPr>
              <w:spacing w:after="0" w:line="276" w:lineRule="auto"/>
              <w:contextualSpacing/>
              <w:rPr>
                <w:rFonts w:cs="Arial"/>
                <w:sz w:val="20"/>
              </w:rPr>
            </w:pPr>
            <w:r>
              <w:rPr>
                <w:rFonts w:cs="Arial"/>
                <w:sz w:val="20"/>
              </w:rPr>
              <w:t>Fair/poor self-rated health</w:t>
            </w:r>
          </w:p>
        </w:tc>
        <w:tc>
          <w:tcPr>
            <w:tcW w:w="1419" w:type="dxa"/>
            <w:tcBorders>
              <w:top w:val="single" w:sz="4" w:space="0" w:color="auto"/>
              <w:bottom w:val="nil"/>
            </w:tcBorders>
            <w:vAlign w:val="bottom"/>
          </w:tcPr>
          <w:p w14:paraId="16866536" w14:textId="77777777" w:rsidR="007711D4" w:rsidRPr="006E1B17" w:rsidRDefault="007711D4" w:rsidP="0077450F">
            <w:pPr>
              <w:spacing w:after="0" w:line="276" w:lineRule="auto"/>
              <w:contextualSpacing/>
              <w:rPr>
                <w:rFonts w:cs="Arial"/>
                <w:sz w:val="20"/>
              </w:rPr>
            </w:pPr>
          </w:p>
        </w:tc>
        <w:tc>
          <w:tcPr>
            <w:tcW w:w="2125" w:type="dxa"/>
            <w:tcBorders>
              <w:top w:val="single" w:sz="4" w:space="0" w:color="auto"/>
              <w:bottom w:val="nil"/>
            </w:tcBorders>
            <w:vAlign w:val="bottom"/>
          </w:tcPr>
          <w:p w14:paraId="3CE582B0" w14:textId="77777777" w:rsidR="007711D4" w:rsidRPr="006E1B17" w:rsidRDefault="007711D4" w:rsidP="0077450F">
            <w:pPr>
              <w:spacing w:after="0" w:line="276" w:lineRule="auto"/>
              <w:contextualSpacing/>
              <w:rPr>
                <w:rFonts w:cs="Arial"/>
                <w:sz w:val="20"/>
              </w:rPr>
            </w:pPr>
          </w:p>
        </w:tc>
        <w:tc>
          <w:tcPr>
            <w:tcW w:w="282" w:type="dxa"/>
            <w:tcBorders>
              <w:top w:val="single" w:sz="4" w:space="0" w:color="auto"/>
              <w:bottom w:val="nil"/>
            </w:tcBorders>
            <w:vAlign w:val="bottom"/>
          </w:tcPr>
          <w:p w14:paraId="4BD36B02" w14:textId="77777777" w:rsidR="007711D4" w:rsidRPr="006E1B17" w:rsidRDefault="007711D4" w:rsidP="0077450F">
            <w:pPr>
              <w:spacing w:after="0" w:line="276" w:lineRule="auto"/>
              <w:contextualSpacing/>
              <w:rPr>
                <w:rFonts w:cs="Arial"/>
                <w:sz w:val="20"/>
              </w:rPr>
            </w:pPr>
          </w:p>
        </w:tc>
        <w:tc>
          <w:tcPr>
            <w:tcW w:w="1560" w:type="dxa"/>
            <w:tcBorders>
              <w:top w:val="single" w:sz="4" w:space="0" w:color="auto"/>
              <w:bottom w:val="nil"/>
            </w:tcBorders>
          </w:tcPr>
          <w:p w14:paraId="08BD1A1A" w14:textId="77777777" w:rsidR="007711D4" w:rsidRPr="006E1B17" w:rsidRDefault="007711D4" w:rsidP="0077450F">
            <w:pPr>
              <w:spacing w:after="0" w:line="276" w:lineRule="auto"/>
              <w:contextualSpacing/>
              <w:rPr>
                <w:rFonts w:cs="Arial"/>
                <w:sz w:val="20"/>
              </w:rPr>
            </w:pPr>
          </w:p>
        </w:tc>
        <w:tc>
          <w:tcPr>
            <w:tcW w:w="1985" w:type="dxa"/>
            <w:tcBorders>
              <w:top w:val="single" w:sz="4" w:space="0" w:color="auto"/>
              <w:bottom w:val="nil"/>
            </w:tcBorders>
            <w:vAlign w:val="bottom"/>
          </w:tcPr>
          <w:p w14:paraId="599EF9E9" w14:textId="77777777" w:rsidR="007711D4" w:rsidRPr="006E1B17" w:rsidRDefault="007711D4" w:rsidP="0077450F">
            <w:pPr>
              <w:spacing w:after="0" w:line="276" w:lineRule="auto"/>
              <w:contextualSpacing/>
              <w:rPr>
                <w:rFonts w:cs="Arial"/>
                <w:sz w:val="20"/>
              </w:rPr>
            </w:pPr>
          </w:p>
        </w:tc>
      </w:tr>
      <w:tr w:rsidR="007711D4" w:rsidRPr="006E1B17" w14:paraId="488079FE" w14:textId="77777777" w:rsidTr="0077450F">
        <w:tc>
          <w:tcPr>
            <w:tcW w:w="283" w:type="dxa"/>
            <w:tcBorders>
              <w:top w:val="nil"/>
              <w:bottom w:val="nil"/>
              <w:right w:val="nil"/>
            </w:tcBorders>
          </w:tcPr>
          <w:p w14:paraId="186876FE" w14:textId="77777777" w:rsidR="007711D4" w:rsidRPr="00375C08" w:rsidRDefault="007711D4" w:rsidP="0077450F">
            <w:pPr>
              <w:spacing w:after="0" w:line="276" w:lineRule="auto"/>
              <w:contextualSpacing/>
              <w:rPr>
                <w:rFonts w:cs="Arial"/>
                <w:color w:val="FF0000"/>
                <w:sz w:val="20"/>
              </w:rPr>
            </w:pPr>
          </w:p>
        </w:tc>
        <w:tc>
          <w:tcPr>
            <w:tcW w:w="2269" w:type="dxa"/>
            <w:gridSpan w:val="3"/>
            <w:tcBorders>
              <w:top w:val="nil"/>
              <w:left w:val="nil"/>
              <w:bottom w:val="single" w:sz="4" w:space="0" w:color="auto"/>
              <w:right w:val="nil"/>
            </w:tcBorders>
            <w:vAlign w:val="center"/>
          </w:tcPr>
          <w:p w14:paraId="7AA9B42E" w14:textId="77777777" w:rsidR="007711D4" w:rsidRPr="00375C08" w:rsidRDefault="007711D4" w:rsidP="0077450F">
            <w:pPr>
              <w:spacing w:after="0" w:line="276" w:lineRule="auto"/>
              <w:contextualSpacing/>
              <w:rPr>
                <w:rFonts w:cs="Arial"/>
                <w:sz w:val="20"/>
              </w:rPr>
            </w:pPr>
            <w:r>
              <w:rPr>
                <w:rFonts w:cs="Arial"/>
                <w:sz w:val="20"/>
              </w:rPr>
              <w:t>% (SE)</w:t>
            </w:r>
          </w:p>
        </w:tc>
        <w:tc>
          <w:tcPr>
            <w:tcW w:w="1419" w:type="dxa"/>
            <w:tcBorders>
              <w:top w:val="nil"/>
              <w:left w:val="nil"/>
              <w:bottom w:val="single" w:sz="4" w:space="0" w:color="auto"/>
              <w:right w:val="nil"/>
            </w:tcBorders>
            <w:vAlign w:val="bottom"/>
          </w:tcPr>
          <w:p w14:paraId="5B72349B" w14:textId="77777777" w:rsidR="007711D4" w:rsidRPr="006E1B17" w:rsidRDefault="007711D4" w:rsidP="0077450F">
            <w:pPr>
              <w:spacing w:after="0" w:line="276" w:lineRule="auto"/>
              <w:contextualSpacing/>
              <w:rPr>
                <w:rFonts w:cs="Arial"/>
                <w:sz w:val="20"/>
              </w:rPr>
            </w:pPr>
            <w:r>
              <w:rPr>
                <w:rFonts w:cs="Arial"/>
                <w:sz w:val="20"/>
              </w:rPr>
              <w:t>19.2 (3.2)</w:t>
            </w:r>
          </w:p>
        </w:tc>
        <w:tc>
          <w:tcPr>
            <w:tcW w:w="2125" w:type="dxa"/>
            <w:tcBorders>
              <w:top w:val="nil"/>
              <w:left w:val="nil"/>
              <w:bottom w:val="single" w:sz="4" w:space="0" w:color="auto"/>
              <w:right w:val="nil"/>
            </w:tcBorders>
            <w:vAlign w:val="bottom"/>
          </w:tcPr>
          <w:p w14:paraId="47590DBA" w14:textId="77777777" w:rsidR="007711D4" w:rsidRPr="006E1B17" w:rsidRDefault="007711D4" w:rsidP="0077450F">
            <w:pPr>
              <w:spacing w:after="0" w:line="276" w:lineRule="auto"/>
              <w:contextualSpacing/>
              <w:rPr>
                <w:rFonts w:cs="Arial"/>
                <w:sz w:val="20"/>
              </w:rPr>
            </w:pPr>
            <w:r>
              <w:rPr>
                <w:rFonts w:cs="Arial"/>
                <w:sz w:val="20"/>
              </w:rPr>
              <w:t>28.6 (3.5)</w:t>
            </w:r>
          </w:p>
        </w:tc>
        <w:tc>
          <w:tcPr>
            <w:tcW w:w="282" w:type="dxa"/>
            <w:tcBorders>
              <w:top w:val="nil"/>
              <w:left w:val="nil"/>
              <w:bottom w:val="single" w:sz="4" w:space="0" w:color="auto"/>
              <w:right w:val="nil"/>
            </w:tcBorders>
            <w:vAlign w:val="bottom"/>
          </w:tcPr>
          <w:p w14:paraId="3E70763B" w14:textId="77777777" w:rsidR="007711D4" w:rsidRPr="006E1B17" w:rsidRDefault="007711D4" w:rsidP="0077450F">
            <w:pPr>
              <w:spacing w:after="0" w:line="276" w:lineRule="auto"/>
              <w:contextualSpacing/>
              <w:rPr>
                <w:rFonts w:cs="Arial"/>
                <w:sz w:val="20"/>
              </w:rPr>
            </w:pPr>
          </w:p>
        </w:tc>
        <w:tc>
          <w:tcPr>
            <w:tcW w:w="1560" w:type="dxa"/>
            <w:tcBorders>
              <w:top w:val="nil"/>
              <w:left w:val="nil"/>
              <w:bottom w:val="single" w:sz="4" w:space="0" w:color="auto"/>
              <w:right w:val="nil"/>
            </w:tcBorders>
            <w:vAlign w:val="bottom"/>
          </w:tcPr>
          <w:p w14:paraId="7B749138" w14:textId="77777777" w:rsidR="007711D4" w:rsidRPr="006E1B17" w:rsidRDefault="007711D4" w:rsidP="0077450F">
            <w:pPr>
              <w:spacing w:after="0" w:line="276" w:lineRule="auto"/>
              <w:contextualSpacing/>
              <w:rPr>
                <w:rFonts w:cs="Arial"/>
                <w:sz w:val="20"/>
              </w:rPr>
            </w:pPr>
            <w:r>
              <w:rPr>
                <w:rFonts w:cs="Arial"/>
                <w:sz w:val="20"/>
              </w:rPr>
              <w:t>25.9 (3.2)</w:t>
            </w:r>
          </w:p>
        </w:tc>
        <w:tc>
          <w:tcPr>
            <w:tcW w:w="1985" w:type="dxa"/>
            <w:tcBorders>
              <w:top w:val="nil"/>
              <w:left w:val="nil"/>
              <w:bottom w:val="single" w:sz="4" w:space="0" w:color="auto"/>
              <w:right w:val="nil"/>
            </w:tcBorders>
          </w:tcPr>
          <w:p w14:paraId="41F3FEBD" w14:textId="77777777" w:rsidR="007711D4" w:rsidRPr="006E1B17" w:rsidRDefault="007711D4" w:rsidP="0077450F">
            <w:pPr>
              <w:spacing w:after="0" w:line="276" w:lineRule="auto"/>
              <w:contextualSpacing/>
              <w:rPr>
                <w:rFonts w:cs="Arial"/>
                <w:sz w:val="20"/>
              </w:rPr>
            </w:pPr>
            <w:r>
              <w:rPr>
                <w:rFonts w:cs="Arial"/>
                <w:sz w:val="20"/>
              </w:rPr>
              <w:t>24.4 (3.5)</w:t>
            </w:r>
          </w:p>
        </w:tc>
      </w:tr>
      <w:tr w:rsidR="007711D4" w:rsidRPr="006E1B17" w14:paraId="3A3B6A94" w14:textId="77777777" w:rsidTr="0077450F">
        <w:tc>
          <w:tcPr>
            <w:tcW w:w="283" w:type="dxa"/>
            <w:tcBorders>
              <w:top w:val="nil"/>
              <w:bottom w:val="single" w:sz="4" w:space="0" w:color="auto"/>
              <w:right w:val="nil"/>
            </w:tcBorders>
          </w:tcPr>
          <w:p w14:paraId="03D4DD3E" w14:textId="77777777" w:rsidR="007711D4" w:rsidRPr="00375C08" w:rsidRDefault="007711D4" w:rsidP="0077450F">
            <w:pPr>
              <w:spacing w:after="0" w:line="276" w:lineRule="auto"/>
              <w:contextualSpacing/>
              <w:rPr>
                <w:rFonts w:cs="Arial"/>
                <w:color w:val="FF0000"/>
                <w:sz w:val="20"/>
              </w:rPr>
            </w:pPr>
          </w:p>
        </w:tc>
        <w:tc>
          <w:tcPr>
            <w:tcW w:w="2269" w:type="dxa"/>
            <w:gridSpan w:val="3"/>
            <w:tcBorders>
              <w:top w:val="single" w:sz="4" w:space="0" w:color="auto"/>
              <w:left w:val="nil"/>
              <w:bottom w:val="single" w:sz="4" w:space="0" w:color="auto"/>
              <w:right w:val="nil"/>
            </w:tcBorders>
            <w:vAlign w:val="center"/>
          </w:tcPr>
          <w:p w14:paraId="18385071" w14:textId="77777777" w:rsidR="007711D4" w:rsidRDefault="007711D4" w:rsidP="0077450F">
            <w:pPr>
              <w:spacing w:after="0" w:line="276" w:lineRule="auto"/>
              <w:contextualSpacing/>
              <w:rPr>
                <w:rFonts w:cs="Arial"/>
                <w:sz w:val="20"/>
              </w:rPr>
            </w:pPr>
            <w:r>
              <w:rPr>
                <w:rFonts w:cs="Arial"/>
                <w:sz w:val="20"/>
              </w:rPr>
              <w:t>OR [95%CI]</w:t>
            </w:r>
          </w:p>
        </w:tc>
        <w:tc>
          <w:tcPr>
            <w:tcW w:w="1419" w:type="dxa"/>
            <w:tcBorders>
              <w:top w:val="single" w:sz="4" w:space="0" w:color="auto"/>
              <w:left w:val="nil"/>
              <w:bottom w:val="single" w:sz="4" w:space="0" w:color="auto"/>
              <w:right w:val="nil"/>
            </w:tcBorders>
            <w:vAlign w:val="bottom"/>
          </w:tcPr>
          <w:p w14:paraId="4372CC60" w14:textId="77777777" w:rsidR="007711D4" w:rsidRPr="006E1B17" w:rsidRDefault="007711D4" w:rsidP="0077450F">
            <w:pPr>
              <w:spacing w:after="0" w:line="276" w:lineRule="auto"/>
              <w:contextualSpacing/>
              <w:rPr>
                <w:rFonts w:cs="Arial"/>
                <w:sz w:val="20"/>
              </w:rPr>
            </w:pPr>
            <w:r>
              <w:rPr>
                <w:rFonts w:cs="Arial"/>
                <w:sz w:val="20"/>
              </w:rPr>
              <w:t>1.00 (Ref)</w:t>
            </w:r>
          </w:p>
        </w:tc>
        <w:tc>
          <w:tcPr>
            <w:tcW w:w="2125" w:type="dxa"/>
            <w:tcBorders>
              <w:top w:val="single" w:sz="4" w:space="0" w:color="auto"/>
              <w:left w:val="nil"/>
              <w:bottom w:val="single" w:sz="4" w:space="0" w:color="auto"/>
              <w:right w:val="nil"/>
            </w:tcBorders>
            <w:vAlign w:val="bottom"/>
          </w:tcPr>
          <w:p w14:paraId="26176A19" w14:textId="77777777" w:rsidR="007711D4" w:rsidRPr="006E1B17" w:rsidRDefault="007711D4" w:rsidP="0077450F">
            <w:pPr>
              <w:spacing w:after="0" w:line="276" w:lineRule="auto"/>
              <w:contextualSpacing/>
              <w:rPr>
                <w:rFonts w:cs="Arial"/>
                <w:sz w:val="20"/>
              </w:rPr>
            </w:pPr>
            <w:r>
              <w:rPr>
                <w:rFonts w:cs="Arial"/>
                <w:sz w:val="20"/>
              </w:rPr>
              <w:t>1.95 [0.91; 4.19]</w:t>
            </w:r>
          </w:p>
        </w:tc>
        <w:tc>
          <w:tcPr>
            <w:tcW w:w="282" w:type="dxa"/>
            <w:tcBorders>
              <w:top w:val="single" w:sz="4" w:space="0" w:color="auto"/>
              <w:left w:val="nil"/>
              <w:bottom w:val="single" w:sz="4" w:space="0" w:color="auto"/>
              <w:right w:val="nil"/>
            </w:tcBorders>
            <w:vAlign w:val="bottom"/>
          </w:tcPr>
          <w:p w14:paraId="6B4E1825" w14:textId="77777777" w:rsidR="007711D4" w:rsidRPr="006E1B17" w:rsidRDefault="007711D4" w:rsidP="0077450F">
            <w:pPr>
              <w:spacing w:after="0" w:line="276" w:lineRule="auto"/>
              <w:contextualSpacing/>
              <w:rPr>
                <w:rFonts w:cs="Arial"/>
                <w:sz w:val="20"/>
              </w:rPr>
            </w:pPr>
          </w:p>
        </w:tc>
        <w:tc>
          <w:tcPr>
            <w:tcW w:w="1560" w:type="dxa"/>
            <w:tcBorders>
              <w:top w:val="single" w:sz="4" w:space="0" w:color="auto"/>
              <w:left w:val="nil"/>
              <w:bottom w:val="single" w:sz="4" w:space="0" w:color="auto"/>
              <w:right w:val="nil"/>
            </w:tcBorders>
            <w:vAlign w:val="bottom"/>
          </w:tcPr>
          <w:p w14:paraId="2E014631" w14:textId="77777777" w:rsidR="007711D4" w:rsidRPr="006E1B17" w:rsidRDefault="007711D4" w:rsidP="0077450F">
            <w:pPr>
              <w:spacing w:after="0" w:line="276" w:lineRule="auto"/>
              <w:contextualSpacing/>
              <w:rPr>
                <w:rFonts w:cs="Arial"/>
                <w:sz w:val="20"/>
              </w:rPr>
            </w:pPr>
            <w:r>
              <w:rPr>
                <w:rFonts w:cs="Arial"/>
                <w:sz w:val="20"/>
              </w:rPr>
              <w:t>1.00 (Ref)</w:t>
            </w:r>
          </w:p>
        </w:tc>
        <w:tc>
          <w:tcPr>
            <w:tcW w:w="1985" w:type="dxa"/>
            <w:tcBorders>
              <w:top w:val="single" w:sz="4" w:space="0" w:color="auto"/>
              <w:left w:val="nil"/>
              <w:bottom w:val="single" w:sz="4" w:space="0" w:color="auto"/>
              <w:right w:val="nil"/>
            </w:tcBorders>
          </w:tcPr>
          <w:p w14:paraId="01EE9E4C" w14:textId="77777777" w:rsidR="007711D4" w:rsidRPr="006E1B17" w:rsidRDefault="007711D4" w:rsidP="0077450F">
            <w:pPr>
              <w:spacing w:after="0" w:line="276" w:lineRule="auto"/>
              <w:contextualSpacing/>
              <w:rPr>
                <w:rFonts w:cs="Arial"/>
                <w:sz w:val="20"/>
              </w:rPr>
            </w:pPr>
            <w:r>
              <w:rPr>
                <w:rFonts w:cs="Arial"/>
                <w:sz w:val="20"/>
              </w:rPr>
              <w:t>1.07 [0.43; 2.64]</w:t>
            </w:r>
          </w:p>
        </w:tc>
      </w:tr>
      <w:tr w:rsidR="007711D4" w:rsidRPr="006E1B17" w14:paraId="73ED9E7A" w14:textId="77777777" w:rsidTr="0077450F">
        <w:tc>
          <w:tcPr>
            <w:tcW w:w="2552" w:type="dxa"/>
            <w:gridSpan w:val="4"/>
            <w:tcBorders>
              <w:top w:val="single" w:sz="4" w:space="0" w:color="auto"/>
              <w:bottom w:val="nil"/>
              <w:right w:val="nil"/>
            </w:tcBorders>
          </w:tcPr>
          <w:p w14:paraId="1474869D" w14:textId="77777777" w:rsidR="007711D4" w:rsidRDefault="007711D4" w:rsidP="0077450F">
            <w:pPr>
              <w:spacing w:after="0" w:line="276" w:lineRule="auto"/>
              <w:contextualSpacing/>
              <w:rPr>
                <w:rFonts w:cs="Arial"/>
                <w:sz w:val="20"/>
              </w:rPr>
            </w:pPr>
            <w:r>
              <w:rPr>
                <w:rFonts w:cs="Arial"/>
                <w:sz w:val="20"/>
              </w:rPr>
              <w:t>Limiting long-standing illness</w:t>
            </w:r>
          </w:p>
        </w:tc>
        <w:tc>
          <w:tcPr>
            <w:tcW w:w="1419" w:type="dxa"/>
            <w:tcBorders>
              <w:top w:val="single" w:sz="4" w:space="0" w:color="auto"/>
              <w:bottom w:val="nil"/>
            </w:tcBorders>
            <w:vAlign w:val="bottom"/>
          </w:tcPr>
          <w:p w14:paraId="555CED28" w14:textId="77777777" w:rsidR="007711D4" w:rsidRPr="006E1B17" w:rsidRDefault="007711D4" w:rsidP="0077450F">
            <w:pPr>
              <w:spacing w:after="0" w:line="276" w:lineRule="auto"/>
              <w:contextualSpacing/>
              <w:rPr>
                <w:rFonts w:cs="Arial"/>
                <w:sz w:val="20"/>
              </w:rPr>
            </w:pPr>
          </w:p>
        </w:tc>
        <w:tc>
          <w:tcPr>
            <w:tcW w:w="2125" w:type="dxa"/>
            <w:tcBorders>
              <w:top w:val="single" w:sz="4" w:space="0" w:color="auto"/>
              <w:bottom w:val="nil"/>
            </w:tcBorders>
            <w:vAlign w:val="bottom"/>
          </w:tcPr>
          <w:p w14:paraId="6902F33E" w14:textId="77777777" w:rsidR="007711D4" w:rsidRPr="006E1B17" w:rsidRDefault="007711D4" w:rsidP="0077450F">
            <w:pPr>
              <w:spacing w:after="0" w:line="276" w:lineRule="auto"/>
              <w:contextualSpacing/>
              <w:rPr>
                <w:rFonts w:cs="Arial"/>
                <w:sz w:val="20"/>
              </w:rPr>
            </w:pPr>
          </w:p>
        </w:tc>
        <w:tc>
          <w:tcPr>
            <w:tcW w:w="282" w:type="dxa"/>
            <w:tcBorders>
              <w:top w:val="single" w:sz="4" w:space="0" w:color="auto"/>
              <w:bottom w:val="nil"/>
            </w:tcBorders>
            <w:vAlign w:val="bottom"/>
          </w:tcPr>
          <w:p w14:paraId="313A77F4" w14:textId="77777777" w:rsidR="007711D4" w:rsidRPr="006E1B17" w:rsidRDefault="007711D4" w:rsidP="0077450F">
            <w:pPr>
              <w:spacing w:after="0" w:line="276" w:lineRule="auto"/>
              <w:contextualSpacing/>
              <w:rPr>
                <w:rFonts w:cs="Arial"/>
                <w:sz w:val="20"/>
              </w:rPr>
            </w:pPr>
          </w:p>
        </w:tc>
        <w:tc>
          <w:tcPr>
            <w:tcW w:w="1560" w:type="dxa"/>
            <w:tcBorders>
              <w:top w:val="single" w:sz="4" w:space="0" w:color="auto"/>
              <w:bottom w:val="nil"/>
            </w:tcBorders>
          </w:tcPr>
          <w:p w14:paraId="2B188ABB" w14:textId="77777777" w:rsidR="007711D4" w:rsidRPr="006E1B17" w:rsidRDefault="007711D4" w:rsidP="0077450F">
            <w:pPr>
              <w:spacing w:after="0" w:line="276" w:lineRule="auto"/>
              <w:contextualSpacing/>
              <w:rPr>
                <w:rFonts w:cs="Arial"/>
                <w:sz w:val="20"/>
              </w:rPr>
            </w:pPr>
          </w:p>
        </w:tc>
        <w:tc>
          <w:tcPr>
            <w:tcW w:w="1985" w:type="dxa"/>
            <w:tcBorders>
              <w:top w:val="single" w:sz="4" w:space="0" w:color="auto"/>
              <w:bottom w:val="nil"/>
            </w:tcBorders>
            <w:vAlign w:val="bottom"/>
          </w:tcPr>
          <w:p w14:paraId="678EFF86" w14:textId="77777777" w:rsidR="007711D4" w:rsidRPr="006E1B17" w:rsidRDefault="007711D4" w:rsidP="0077450F">
            <w:pPr>
              <w:spacing w:after="0" w:line="276" w:lineRule="auto"/>
              <w:contextualSpacing/>
              <w:rPr>
                <w:rFonts w:cs="Arial"/>
                <w:sz w:val="20"/>
              </w:rPr>
            </w:pPr>
          </w:p>
        </w:tc>
      </w:tr>
      <w:tr w:rsidR="007711D4" w:rsidRPr="006E1B17" w14:paraId="3C5BA686" w14:textId="77777777" w:rsidTr="0077450F">
        <w:tc>
          <w:tcPr>
            <w:tcW w:w="283" w:type="dxa"/>
            <w:tcBorders>
              <w:top w:val="nil"/>
              <w:bottom w:val="nil"/>
              <w:right w:val="nil"/>
            </w:tcBorders>
          </w:tcPr>
          <w:p w14:paraId="7DE5B69D" w14:textId="77777777" w:rsidR="007711D4" w:rsidRPr="00375C08" w:rsidRDefault="007711D4" w:rsidP="0077450F">
            <w:pPr>
              <w:spacing w:after="0" w:line="276" w:lineRule="auto"/>
              <w:contextualSpacing/>
              <w:rPr>
                <w:rFonts w:cs="Arial"/>
                <w:color w:val="FF0000"/>
                <w:sz w:val="20"/>
              </w:rPr>
            </w:pPr>
          </w:p>
        </w:tc>
        <w:tc>
          <w:tcPr>
            <w:tcW w:w="2269" w:type="dxa"/>
            <w:gridSpan w:val="3"/>
            <w:tcBorders>
              <w:top w:val="nil"/>
              <w:left w:val="nil"/>
              <w:bottom w:val="single" w:sz="4" w:space="0" w:color="auto"/>
              <w:right w:val="nil"/>
            </w:tcBorders>
            <w:vAlign w:val="center"/>
          </w:tcPr>
          <w:p w14:paraId="709B8E75" w14:textId="77777777" w:rsidR="007711D4" w:rsidRPr="00375C08" w:rsidRDefault="007711D4" w:rsidP="0077450F">
            <w:pPr>
              <w:spacing w:after="0" w:line="276" w:lineRule="auto"/>
              <w:contextualSpacing/>
              <w:rPr>
                <w:rFonts w:cs="Arial"/>
                <w:sz w:val="20"/>
              </w:rPr>
            </w:pPr>
            <w:r>
              <w:rPr>
                <w:rFonts w:cs="Arial"/>
                <w:sz w:val="20"/>
              </w:rPr>
              <w:t>% (SE)</w:t>
            </w:r>
          </w:p>
        </w:tc>
        <w:tc>
          <w:tcPr>
            <w:tcW w:w="1419" w:type="dxa"/>
            <w:tcBorders>
              <w:top w:val="nil"/>
              <w:left w:val="nil"/>
              <w:bottom w:val="single" w:sz="4" w:space="0" w:color="auto"/>
              <w:right w:val="nil"/>
            </w:tcBorders>
            <w:vAlign w:val="bottom"/>
          </w:tcPr>
          <w:p w14:paraId="1AB50E39" w14:textId="77777777" w:rsidR="007711D4" w:rsidRPr="006E1B17" w:rsidRDefault="007711D4" w:rsidP="0077450F">
            <w:pPr>
              <w:spacing w:after="0" w:line="276" w:lineRule="auto"/>
              <w:contextualSpacing/>
              <w:rPr>
                <w:rFonts w:cs="Arial"/>
                <w:sz w:val="20"/>
              </w:rPr>
            </w:pPr>
            <w:r>
              <w:rPr>
                <w:rFonts w:cs="Arial"/>
                <w:sz w:val="20"/>
              </w:rPr>
              <w:t>31.0 (3.8)</w:t>
            </w:r>
          </w:p>
        </w:tc>
        <w:tc>
          <w:tcPr>
            <w:tcW w:w="2125" w:type="dxa"/>
            <w:tcBorders>
              <w:top w:val="nil"/>
              <w:left w:val="nil"/>
              <w:bottom w:val="single" w:sz="4" w:space="0" w:color="auto"/>
              <w:right w:val="nil"/>
            </w:tcBorders>
            <w:vAlign w:val="bottom"/>
          </w:tcPr>
          <w:p w14:paraId="2EEF73F4" w14:textId="77777777" w:rsidR="007711D4" w:rsidRPr="006E1B17" w:rsidRDefault="007711D4" w:rsidP="0077450F">
            <w:pPr>
              <w:spacing w:after="0" w:line="276" w:lineRule="auto"/>
              <w:contextualSpacing/>
              <w:rPr>
                <w:rFonts w:cs="Arial"/>
                <w:sz w:val="20"/>
              </w:rPr>
            </w:pPr>
            <w:r>
              <w:rPr>
                <w:rFonts w:cs="Arial"/>
                <w:sz w:val="20"/>
              </w:rPr>
              <w:t>40.0 (4.1)</w:t>
            </w:r>
          </w:p>
        </w:tc>
        <w:tc>
          <w:tcPr>
            <w:tcW w:w="282" w:type="dxa"/>
            <w:tcBorders>
              <w:top w:val="nil"/>
              <w:left w:val="nil"/>
              <w:bottom w:val="single" w:sz="4" w:space="0" w:color="auto"/>
              <w:right w:val="nil"/>
            </w:tcBorders>
            <w:vAlign w:val="bottom"/>
          </w:tcPr>
          <w:p w14:paraId="334029EA" w14:textId="77777777" w:rsidR="007711D4" w:rsidRPr="006E1B17" w:rsidRDefault="007711D4" w:rsidP="0077450F">
            <w:pPr>
              <w:spacing w:after="0" w:line="276" w:lineRule="auto"/>
              <w:contextualSpacing/>
              <w:rPr>
                <w:rFonts w:cs="Arial"/>
                <w:sz w:val="20"/>
              </w:rPr>
            </w:pPr>
          </w:p>
        </w:tc>
        <w:tc>
          <w:tcPr>
            <w:tcW w:w="1560" w:type="dxa"/>
            <w:tcBorders>
              <w:top w:val="nil"/>
              <w:left w:val="nil"/>
              <w:bottom w:val="single" w:sz="4" w:space="0" w:color="auto"/>
              <w:right w:val="nil"/>
            </w:tcBorders>
            <w:vAlign w:val="bottom"/>
          </w:tcPr>
          <w:p w14:paraId="3F94BA6B" w14:textId="77777777" w:rsidR="007711D4" w:rsidRPr="006E1B17" w:rsidRDefault="007711D4" w:rsidP="0077450F">
            <w:pPr>
              <w:spacing w:after="0" w:line="276" w:lineRule="auto"/>
              <w:contextualSpacing/>
              <w:rPr>
                <w:rFonts w:cs="Arial"/>
                <w:sz w:val="20"/>
              </w:rPr>
            </w:pPr>
            <w:r>
              <w:rPr>
                <w:rFonts w:cs="Arial"/>
                <w:sz w:val="20"/>
              </w:rPr>
              <w:t>33.8 (3.5)</w:t>
            </w:r>
          </w:p>
        </w:tc>
        <w:tc>
          <w:tcPr>
            <w:tcW w:w="1985" w:type="dxa"/>
            <w:tcBorders>
              <w:top w:val="nil"/>
              <w:left w:val="nil"/>
              <w:bottom w:val="single" w:sz="4" w:space="0" w:color="auto"/>
              <w:right w:val="nil"/>
            </w:tcBorders>
          </w:tcPr>
          <w:p w14:paraId="47C06E7E" w14:textId="77777777" w:rsidR="007711D4" w:rsidRPr="006E1B17" w:rsidRDefault="007711D4" w:rsidP="0077450F">
            <w:pPr>
              <w:spacing w:after="0" w:line="276" w:lineRule="auto"/>
              <w:contextualSpacing/>
              <w:rPr>
                <w:rFonts w:cs="Arial"/>
                <w:sz w:val="20"/>
              </w:rPr>
            </w:pPr>
            <w:r>
              <w:rPr>
                <w:rFonts w:cs="Arial"/>
                <w:sz w:val="20"/>
              </w:rPr>
              <w:t>36.1 (3.9)</w:t>
            </w:r>
          </w:p>
        </w:tc>
      </w:tr>
      <w:tr w:rsidR="007711D4" w:rsidRPr="006E1B17" w14:paraId="71BE6649" w14:textId="77777777" w:rsidTr="0077450F">
        <w:tc>
          <w:tcPr>
            <w:tcW w:w="283" w:type="dxa"/>
            <w:tcBorders>
              <w:top w:val="nil"/>
              <w:bottom w:val="single" w:sz="4" w:space="0" w:color="auto"/>
              <w:right w:val="nil"/>
            </w:tcBorders>
          </w:tcPr>
          <w:p w14:paraId="231038D9" w14:textId="77777777" w:rsidR="007711D4" w:rsidRPr="00375C08" w:rsidRDefault="007711D4" w:rsidP="0077450F">
            <w:pPr>
              <w:spacing w:after="0" w:line="276" w:lineRule="auto"/>
              <w:contextualSpacing/>
              <w:rPr>
                <w:rFonts w:cs="Arial"/>
                <w:color w:val="FF0000"/>
                <w:sz w:val="20"/>
              </w:rPr>
            </w:pPr>
          </w:p>
        </w:tc>
        <w:tc>
          <w:tcPr>
            <w:tcW w:w="2269" w:type="dxa"/>
            <w:gridSpan w:val="3"/>
            <w:tcBorders>
              <w:top w:val="single" w:sz="4" w:space="0" w:color="auto"/>
              <w:left w:val="nil"/>
              <w:bottom w:val="single" w:sz="4" w:space="0" w:color="auto"/>
              <w:right w:val="nil"/>
            </w:tcBorders>
            <w:vAlign w:val="center"/>
          </w:tcPr>
          <w:p w14:paraId="4061B253" w14:textId="77777777" w:rsidR="007711D4" w:rsidRDefault="007711D4" w:rsidP="0077450F">
            <w:pPr>
              <w:spacing w:after="0" w:line="276" w:lineRule="auto"/>
              <w:contextualSpacing/>
              <w:rPr>
                <w:rFonts w:cs="Arial"/>
                <w:sz w:val="20"/>
              </w:rPr>
            </w:pPr>
            <w:r>
              <w:rPr>
                <w:rFonts w:cs="Arial"/>
                <w:sz w:val="20"/>
              </w:rPr>
              <w:t>OR [95%CI]</w:t>
            </w:r>
          </w:p>
        </w:tc>
        <w:tc>
          <w:tcPr>
            <w:tcW w:w="1419" w:type="dxa"/>
            <w:tcBorders>
              <w:top w:val="single" w:sz="4" w:space="0" w:color="auto"/>
              <w:left w:val="nil"/>
              <w:bottom w:val="single" w:sz="4" w:space="0" w:color="auto"/>
              <w:right w:val="nil"/>
            </w:tcBorders>
            <w:vAlign w:val="bottom"/>
          </w:tcPr>
          <w:p w14:paraId="7F02FDA7" w14:textId="77777777" w:rsidR="007711D4" w:rsidRPr="006E1B17" w:rsidRDefault="007711D4" w:rsidP="0077450F">
            <w:pPr>
              <w:spacing w:after="0" w:line="276" w:lineRule="auto"/>
              <w:contextualSpacing/>
              <w:rPr>
                <w:rFonts w:cs="Arial"/>
                <w:sz w:val="20"/>
              </w:rPr>
            </w:pPr>
            <w:r>
              <w:rPr>
                <w:rFonts w:cs="Arial"/>
                <w:sz w:val="20"/>
              </w:rPr>
              <w:t>1.00 (Ref)</w:t>
            </w:r>
          </w:p>
        </w:tc>
        <w:tc>
          <w:tcPr>
            <w:tcW w:w="2125" w:type="dxa"/>
            <w:tcBorders>
              <w:top w:val="single" w:sz="4" w:space="0" w:color="auto"/>
              <w:left w:val="nil"/>
              <w:bottom w:val="single" w:sz="4" w:space="0" w:color="auto"/>
              <w:right w:val="nil"/>
            </w:tcBorders>
            <w:vAlign w:val="bottom"/>
          </w:tcPr>
          <w:p w14:paraId="30C9F843" w14:textId="77777777" w:rsidR="007711D4" w:rsidRPr="006E1B17" w:rsidRDefault="007711D4" w:rsidP="0077450F">
            <w:pPr>
              <w:spacing w:after="0" w:line="276" w:lineRule="auto"/>
              <w:contextualSpacing/>
              <w:rPr>
                <w:rFonts w:cs="Arial"/>
                <w:sz w:val="20"/>
              </w:rPr>
            </w:pPr>
            <w:r>
              <w:rPr>
                <w:rFonts w:cs="Arial"/>
                <w:sz w:val="20"/>
              </w:rPr>
              <w:t>1.49 [0.80; 2.77]</w:t>
            </w:r>
          </w:p>
        </w:tc>
        <w:tc>
          <w:tcPr>
            <w:tcW w:w="282" w:type="dxa"/>
            <w:tcBorders>
              <w:top w:val="single" w:sz="4" w:space="0" w:color="auto"/>
              <w:left w:val="nil"/>
              <w:bottom w:val="single" w:sz="4" w:space="0" w:color="auto"/>
              <w:right w:val="nil"/>
            </w:tcBorders>
            <w:vAlign w:val="bottom"/>
          </w:tcPr>
          <w:p w14:paraId="4F460146" w14:textId="77777777" w:rsidR="007711D4" w:rsidRPr="006E1B17" w:rsidRDefault="007711D4" w:rsidP="0077450F">
            <w:pPr>
              <w:spacing w:after="0" w:line="276" w:lineRule="auto"/>
              <w:contextualSpacing/>
              <w:rPr>
                <w:rFonts w:cs="Arial"/>
                <w:sz w:val="20"/>
              </w:rPr>
            </w:pPr>
          </w:p>
        </w:tc>
        <w:tc>
          <w:tcPr>
            <w:tcW w:w="1560" w:type="dxa"/>
            <w:tcBorders>
              <w:top w:val="single" w:sz="4" w:space="0" w:color="auto"/>
              <w:left w:val="nil"/>
              <w:bottom w:val="single" w:sz="4" w:space="0" w:color="auto"/>
              <w:right w:val="nil"/>
            </w:tcBorders>
            <w:vAlign w:val="bottom"/>
          </w:tcPr>
          <w:p w14:paraId="4BABB997" w14:textId="77777777" w:rsidR="007711D4" w:rsidRPr="006E1B17" w:rsidRDefault="007711D4" w:rsidP="0077450F">
            <w:pPr>
              <w:spacing w:after="0" w:line="276" w:lineRule="auto"/>
              <w:contextualSpacing/>
              <w:rPr>
                <w:rFonts w:cs="Arial"/>
                <w:sz w:val="20"/>
              </w:rPr>
            </w:pPr>
            <w:r>
              <w:rPr>
                <w:rFonts w:cs="Arial"/>
                <w:sz w:val="20"/>
              </w:rPr>
              <w:t>1.00 (Ref)</w:t>
            </w:r>
          </w:p>
        </w:tc>
        <w:tc>
          <w:tcPr>
            <w:tcW w:w="1985" w:type="dxa"/>
            <w:tcBorders>
              <w:top w:val="single" w:sz="4" w:space="0" w:color="auto"/>
              <w:left w:val="nil"/>
              <w:bottom w:val="single" w:sz="4" w:space="0" w:color="auto"/>
              <w:right w:val="nil"/>
            </w:tcBorders>
          </w:tcPr>
          <w:p w14:paraId="15FBA38F" w14:textId="77777777" w:rsidR="007711D4" w:rsidRPr="006E1B17" w:rsidRDefault="007711D4" w:rsidP="0077450F">
            <w:pPr>
              <w:spacing w:after="0" w:line="276" w:lineRule="auto"/>
              <w:contextualSpacing/>
              <w:rPr>
                <w:rFonts w:cs="Arial"/>
                <w:sz w:val="20"/>
              </w:rPr>
            </w:pPr>
            <w:r>
              <w:rPr>
                <w:rFonts w:cs="Arial"/>
                <w:sz w:val="20"/>
              </w:rPr>
              <w:t>1.24 [0.55; 2.80]</w:t>
            </w:r>
          </w:p>
        </w:tc>
      </w:tr>
      <w:tr w:rsidR="008B26A5" w:rsidRPr="00375C08" w14:paraId="12887997" w14:textId="77777777" w:rsidTr="00E832C0">
        <w:tc>
          <w:tcPr>
            <w:tcW w:w="9923" w:type="dxa"/>
            <w:gridSpan w:val="9"/>
            <w:tcBorders>
              <w:top w:val="single" w:sz="4" w:space="0" w:color="auto"/>
              <w:bottom w:val="nil"/>
              <w:right w:val="nil"/>
            </w:tcBorders>
          </w:tcPr>
          <w:p w14:paraId="2302A333" w14:textId="77777777" w:rsidR="008B26A5" w:rsidRPr="00DC41CA" w:rsidRDefault="008B26A5" w:rsidP="00091D1C">
            <w:pPr>
              <w:spacing w:after="0" w:line="240" w:lineRule="auto"/>
              <w:rPr>
                <w:rFonts w:cs="Arial"/>
                <w:sz w:val="20"/>
                <w:szCs w:val="20"/>
                <w:lang w:val="en-US"/>
              </w:rPr>
            </w:pPr>
            <w:r w:rsidRPr="00DC41CA">
              <w:rPr>
                <w:rFonts w:cs="Arial"/>
                <w:sz w:val="20"/>
                <w:szCs w:val="20"/>
                <w:lang w:val="en-US"/>
              </w:rPr>
              <w:t>All figures are weighted for sampling probabilities and differential non-response</w:t>
            </w:r>
            <w:r>
              <w:rPr>
                <w:rFonts w:cs="Arial"/>
                <w:sz w:val="20"/>
                <w:szCs w:val="20"/>
                <w:lang w:val="en-US"/>
              </w:rPr>
              <w:t xml:space="preserve"> and </w:t>
            </w:r>
            <w:r w:rsidRPr="00DC41CA">
              <w:rPr>
                <w:rFonts w:cs="Arial"/>
                <w:sz w:val="20"/>
                <w:szCs w:val="20"/>
                <w:lang w:val="en-US"/>
              </w:rPr>
              <w:t xml:space="preserve">adjusted for age, sex, ethnicity, </w:t>
            </w:r>
            <w:r w:rsidR="00110A4D">
              <w:rPr>
                <w:rFonts w:cs="Arial"/>
                <w:sz w:val="20"/>
                <w:szCs w:val="20"/>
                <w:lang w:val="en-US"/>
              </w:rPr>
              <w:t>partnership</w:t>
            </w:r>
            <w:r w:rsidRPr="00DC41CA">
              <w:rPr>
                <w:rFonts w:cs="Arial"/>
                <w:sz w:val="20"/>
                <w:szCs w:val="20"/>
                <w:lang w:val="en-US"/>
              </w:rPr>
              <w:t xml:space="preserve"> status and wealth</w:t>
            </w:r>
            <w:r>
              <w:rPr>
                <w:rFonts w:cs="Arial"/>
                <w:sz w:val="20"/>
                <w:szCs w:val="20"/>
                <w:lang w:val="en-US"/>
              </w:rPr>
              <w:t>. Prospective figures are additionally adjusted for baseline status/score.</w:t>
            </w:r>
          </w:p>
          <w:p w14:paraId="373B98F8" w14:textId="2A5005F1" w:rsidR="008B26A5" w:rsidRPr="00DC41CA" w:rsidRDefault="008B26A5" w:rsidP="00091D1C">
            <w:pPr>
              <w:spacing w:after="0" w:line="240" w:lineRule="auto"/>
              <w:rPr>
                <w:rFonts w:cs="Arial"/>
                <w:sz w:val="20"/>
                <w:szCs w:val="20"/>
                <w:lang w:val="en-US"/>
              </w:rPr>
            </w:pPr>
            <w:r w:rsidRPr="00DC41CA">
              <w:rPr>
                <w:rFonts w:cs="Arial"/>
                <w:sz w:val="20"/>
                <w:szCs w:val="20"/>
                <w:lang w:val="en-US"/>
              </w:rPr>
              <w:t>SE = standard error, OR = odds ratio, CI = confidence interval</w:t>
            </w:r>
            <w:r>
              <w:rPr>
                <w:rFonts w:cs="Arial"/>
                <w:sz w:val="20"/>
                <w:szCs w:val="20"/>
                <w:lang w:val="en-US"/>
              </w:rPr>
              <w:t xml:space="preserve">, </w:t>
            </w:r>
            <w:r w:rsidR="003B1C78">
              <w:rPr>
                <w:rFonts w:cs="Arial"/>
                <w:sz w:val="20"/>
                <w:szCs w:val="20"/>
                <w:lang w:val="en-US"/>
              </w:rPr>
              <w:t xml:space="preserve">Ref = reference, </w:t>
            </w:r>
            <w:proofErr w:type="spellStart"/>
            <w:r>
              <w:rPr>
                <w:rFonts w:cs="Arial"/>
                <w:sz w:val="20"/>
                <w:szCs w:val="20"/>
                <w:lang w:val="en-US"/>
              </w:rPr>
              <w:t>Coeff</w:t>
            </w:r>
            <w:proofErr w:type="spellEnd"/>
            <w:r>
              <w:rPr>
                <w:rFonts w:cs="Arial"/>
                <w:sz w:val="20"/>
                <w:szCs w:val="20"/>
                <w:lang w:val="en-US"/>
              </w:rPr>
              <w:t xml:space="preserve"> = coefficient</w:t>
            </w:r>
            <w:r w:rsidRPr="00DC41CA">
              <w:rPr>
                <w:rFonts w:cs="Arial"/>
                <w:sz w:val="20"/>
                <w:szCs w:val="20"/>
                <w:lang w:val="en-US"/>
              </w:rPr>
              <w:t>.</w:t>
            </w:r>
          </w:p>
          <w:p w14:paraId="046839D7" w14:textId="77777777" w:rsidR="008B26A5" w:rsidRPr="00DC41CA" w:rsidRDefault="008B26A5" w:rsidP="00091D1C">
            <w:pPr>
              <w:spacing w:after="0" w:line="240" w:lineRule="auto"/>
              <w:rPr>
                <w:rFonts w:cs="Arial"/>
                <w:sz w:val="20"/>
                <w:szCs w:val="20"/>
                <w:lang w:val="en-US"/>
              </w:rPr>
            </w:pPr>
            <w:r w:rsidRPr="00DC41CA">
              <w:rPr>
                <w:sz w:val="20"/>
                <w:szCs w:val="20"/>
              </w:rPr>
              <w:t>*</w:t>
            </w:r>
            <w:r w:rsidRPr="00DC41CA">
              <w:rPr>
                <w:i/>
                <w:sz w:val="20"/>
                <w:szCs w:val="20"/>
              </w:rPr>
              <w:t>p</w:t>
            </w:r>
            <w:r w:rsidRPr="00DC41CA">
              <w:rPr>
                <w:sz w:val="20"/>
                <w:szCs w:val="20"/>
              </w:rPr>
              <w:t>&lt;0.05, **</w:t>
            </w:r>
            <w:r w:rsidRPr="00DC41CA">
              <w:rPr>
                <w:i/>
                <w:sz w:val="20"/>
                <w:szCs w:val="20"/>
              </w:rPr>
              <w:t>p</w:t>
            </w:r>
            <w:r w:rsidRPr="00DC41CA">
              <w:rPr>
                <w:sz w:val="20"/>
                <w:szCs w:val="20"/>
              </w:rPr>
              <w:t>&lt;0.01, ***</w:t>
            </w:r>
            <w:r w:rsidRPr="00DC41CA">
              <w:rPr>
                <w:i/>
                <w:sz w:val="20"/>
                <w:szCs w:val="20"/>
              </w:rPr>
              <w:t>p</w:t>
            </w:r>
            <w:r w:rsidRPr="00DC41CA">
              <w:rPr>
                <w:sz w:val="20"/>
                <w:szCs w:val="20"/>
              </w:rPr>
              <w:t>&lt;0.001.</w:t>
            </w:r>
          </w:p>
          <w:p w14:paraId="2D7F951E" w14:textId="77777777" w:rsidR="008B26A5" w:rsidRPr="0088255B" w:rsidRDefault="008B26A5" w:rsidP="00091D1C">
            <w:pPr>
              <w:spacing w:after="0" w:line="240" w:lineRule="auto"/>
              <w:rPr>
                <w:rFonts w:cs="Arial"/>
                <w:sz w:val="20"/>
                <w:szCs w:val="20"/>
                <w:lang w:val="en-US"/>
              </w:rPr>
            </w:pPr>
            <w:r w:rsidRPr="00DC41CA">
              <w:rPr>
                <w:rFonts w:cs="Arial"/>
                <w:sz w:val="20"/>
                <w:szCs w:val="20"/>
                <w:lang w:val="en-US"/>
              </w:rPr>
              <w:t>Possible scores on the quality of life scale range from 0-57, and on life sati</w:t>
            </w:r>
            <w:r>
              <w:rPr>
                <w:rFonts w:cs="Arial"/>
                <w:sz w:val="20"/>
                <w:szCs w:val="20"/>
                <w:lang w:val="en-US"/>
              </w:rPr>
              <w:t>sfaction scale range from 0-30.</w:t>
            </w:r>
          </w:p>
        </w:tc>
      </w:tr>
    </w:tbl>
    <w:p w14:paraId="18AD5998" w14:textId="77777777" w:rsidR="008B26A5" w:rsidRDefault="008B26A5">
      <w:pPr>
        <w:spacing w:after="200" w:line="276" w:lineRule="auto"/>
      </w:pPr>
    </w:p>
    <w:p w14:paraId="4D52D77D" w14:textId="77777777" w:rsidR="002E4AFC" w:rsidRDefault="002E4AFC">
      <w:pPr>
        <w:spacing w:after="200" w:line="276" w:lineRule="auto"/>
      </w:pPr>
      <w:r>
        <w:br w:type="page"/>
      </w:r>
    </w:p>
    <w:p w14:paraId="7E21A3E2" w14:textId="77777777" w:rsidR="00565606" w:rsidRDefault="00565606">
      <w:pPr>
        <w:spacing w:after="200" w:line="276" w:lineRule="auto"/>
        <w:sectPr w:rsidR="00565606" w:rsidSect="00565606">
          <w:pgSz w:w="12240" w:h="15840" w:code="1"/>
          <w:pgMar w:top="1440" w:right="1247" w:bottom="1440" w:left="1304" w:header="720" w:footer="720" w:gutter="0"/>
          <w:cols w:space="720"/>
          <w:noEndnote/>
          <w:docGrid w:linePitch="299"/>
        </w:sectPr>
      </w:pPr>
    </w:p>
    <w:p w14:paraId="6B990E42" w14:textId="77777777" w:rsidR="00565606" w:rsidRDefault="00565606">
      <w:pPr>
        <w:spacing w:after="200" w:line="276" w:lineRule="auto"/>
      </w:pPr>
    </w:p>
    <w:tbl>
      <w:tblPr>
        <w:tblStyle w:val="TableGrid"/>
        <w:tblW w:w="14037" w:type="dxa"/>
        <w:tblInd w:w="-142"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282"/>
        <w:gridCol w:w="138"/>
        <w:gridCol w:w="1661"/>
        <w:gridCol w:w="470"/>
        <w:gridCol w:w="1419"/>
        <w:gridCol w:w="2125"/>
        <w:gridCol w:w="2127"/>
        <w:gridCol w:w="282"/>
        <w:gridCol w:w="1560"/>
        <w:gridCol w:w="1986"/>
        <w:gridCol w:w="1987"/>
      </w:tblGrid>
      <w:tr w:rsidR="00055BF1" w14:paraId="431ADB57" w14:textId="77777777" w:rsidTr="00C378D6">
        <w:trPr>
          <w:trHeight w:val="242"/>
        </w:trPr>
        <w:tc>
          <w:tcPr>
            <w:tcW w:w="14037" w:type="dxa"/>
            <w:gridSpan w:val="11"/>
            <w:tcBorders>
              <w:top w:val="nil"/>
              <w:bottom w:val="single" w:sz="4" w:space="0" w:color="auto"/>
              <w:right w:val="nil"/>
            </w:tcBorders>
          </w:tcPr>
          <w:p w14:paraId="69C4EF3D" w14:textId="77777777" w:rsidR="00055BF1" w:rsidRDefault="00055BF1" w:rsidP="002E4AFC">
            <w:pPr>
              <w:pStyle w:val="Beforetables"/>
              <w:spacing w:line="276" w:lineRule="auto"/>
            </w:pPr>
            <w:r>
              <w:br w:type="page"/>
            </w:r>
            <w:r>
              <w:rPr>
                <w:rFonts w:cs="Arial"/>
                <w:b/>
                <w:sz w:val="20"/>
              </w:rPr>
              <w:t>Table 3</w:t>
            </w:r>
            <w:r w:rsidRPr="00375C08">
              <w:rPr>
                <w:rFonts w:cs="Arial"/>
                <w:sz w:val="20"/>
              </w:rPr>
              <w:t xml:space="preserve"> </w:t>
            </w:r>
            <w:r>
              <w:rPr>
                <w:rFonts w:cs="Arial"/>
                <w:sz w:val="20"/>
              </w:rPr>
              <w:t>Cross-sectional and prospective associations between perceived discrimination attributed to sexual orientation or any other reason and health and wellbeing outcomes</w:t>
            </w:r>
          </w:p>
        </w:tc>
      </w:tr>
      <w:tr w:rsidR="00565606" w:rsidRPr="00B50C2E" w14:paraId="1EB6612A" w14:textId="77777777" w:rsidTr="00F31E19">
        <w:tc>
          <w:tcPr>
            <w:tcW w:w="420" w:type="dxa"/>
            <w:gridSpan w:val="2"/>
            <w:tcBorders>
              <w:top w:val="nil"/>
              <w:bottom w:val="nil"/>
              <w:right w:val="nil"/>
            </w:tcBorders>
            <w:vAlign w:val="center"/>
          </w:tcPr>
          <w:p w14:paraId="785D6CD2" w14:textId="77777777" w:rsidR="00565606" w:rsidRPr="00375C08" w:rsidRDefault="00565606" w:rsidP="00091D1C">
            <w:pPr>
              <w:spacing w:after="0" w:line="276" w:lineRule="auto"/>
              <w:contextualSpacing/>
              <w:jc w:val="center"/>
              <w:rPr>
                <w:rFonts w:cs="Arial"/>
                <w:sz w:val="20"/>
              </w:rPr>
            </w:pPr>
          </w:p>
        </w:tc>
        <w:tc>
          <w:tcPr>
            <w:tcW w:w="1661" w:type="dxa"/>
            <w:tcBorders>
              <w:top w:val="nil"/>
              <w:left w:val="nil"/>
              <w:bottom w:val="nil"/>
              <w:right w:val="nil"/>
            </w:tcBorders>
            <w:vAlign w:val="center"/>
          </w:tcPr>
          <w:p w14:paraId="3324BAC9" w14:textId="77777777" w:rsidR="00565606" w:rsidRPr="00375C08" w:rsidRDefault="00565606" w:rsidP="00091D1C">
            <w:pPr>
              <w:spacing w:after="0" w:line="276" w:lineRule="auto"/>
              <w:contextualSpacing/>
              <w:jc w:val="center"/>
              <w:rPr>
                <w:rFonts w:cs="Arial"/>
                <w:sz w:val="20"/>
              </w:rPr>
            </w:pPr>
          </w:p>
        </w:tc>
        <w:tc>
          <w:tcPr>
            <w:tcW w:w="470" w:type="dxa"/>
            <w:tcBorders>
              <w:top w:val="nil"/>
              <w:left w:val="nil"/>
              <w:bottom w:val="nil"/>
              <w:right w:val="nil"/>
            </w:tcBorders>
            <w:vAlign w:val="center"/>
          </w:tcPr>
          <w:p w14:paraId="231E8CA9" w14:textId="77777777" w:rsidR="00565606" w:rsidRPr="00375C08" w:rsidRDefault="00565606" w:rsidP="00091D1C">
            <w:pPr>
              <w:spacing w:after="0" w:line="276" w:lineRule="auto"/>
              <w:contextualSpacing/>
              <w:jc w:val="center"/>
              <w:rPr>
                <w:rFonts w:cs="Arial"/>
                <w:sz w:val="20"/>
              </w:rPr>
            </w:pPr>
          </w:p>
        </w:tc>
        <w:tc>
          <w:tcPr>
            <w:tcW w:w="5671" w:type="dxa"/>
            <w:gridSpan w:val="3"/>
            <w:tcBorders>
              <w:top w:val="single" w:sz="4" w:space="0" w:color="auto"/>
              <w:left w:val="nil"/>
              <w:bottom w:val="single" w:sz="4" w:space="0" w:color="auto"/>
              <w:right w:val="nil"/>
            </w:tcBorders>
            <w:vAlign w:val="center"/>
          </w:tcPr>
          <w:p w14:paraId="6606E87D" w14:textId="77777777" w:rsidR="00565606" w:rsidRPr="00B875E6" w:rsidRDefault="00565606" w:rsidP="00091D1C">
            <w:pPr>
              <w:spacing w:after="0" w:line="276" w:lineRule="auto"/>
              <w:contextualSpacing/>
              <w:jc w:val="center"/>
              <w:rPr>
                <w:rFonts w:cs="Arial"/>
                <w:b/>
                <w:i/>
                <w:sz w:val="20"/>
              </w:rPr>
            </w:pPr>
            <w:r>
              <w:rPr>
                <w:rFonts w:cs="Arial"/>
                <w:b/>
                <w:sz w:val="20"/>
              </w:rPr>
              <w:t>Cross-sectional</w:t>
            </w:r>
          </w:p>
        </w:tc>
        <w:tc>
          <w:tcPr>
            <w:tcW w:w="282" w:type="dxa"/>
            <w:tcBorders>
              <w:top w:val="single" w:sz="4" w:space="0" w:color="auto"/>
              <w:left w:val="nil"/>
              <w:bottom w:val="nil"/>
              <w:right w:val="nil"/>
            </w:tcBorders>
            <w:vAlign w:val="center"/>
          </w:tcPr>
          <w:p w14:paraId="3211ECFC" w14:textId="77777777" w:rsidR="00565606" w:rsidRPr="00B875E6" w:rsidRDefault="00565606" w:rsidP="00091D1C">
            <w:pPr>
              <w:spacing w:after="0" w:line="276" w:lineRule="auto"/>
              <w:contextualSpacing/>
              <w:jc w:val="center"/>
              <w:rPr>
                <w:rFonts w:cs="Arial"/>
                <w:b/>
                <w:i/>
                <w:sz w:val="20"/>
              </w:rPr>
            </w:pPr>
          </w:p>
        </w:tc>
        <w:tc>
          <w:tcPr>
            <w:tcW w:w="5533" w:type="dxa"/>
            <w:gridSpan w:val="3"/>
            <w:tcBorders>
              <w:top w:val="single" w:sz="4" w:space="0" w:color="auto"/>
              <w:left w:val="nil"/>
              <w:bottom w:val="single" w:sz="4" w:space="0" w:color="auto"/>
              <w:right w:val="nil"/>
            </w:tcBorders>
          </w:tcPr>
          <w:p w14:paraId="74BD56C3" w14:textId="77777777" w:rsidR="00565606" w:rsidRDefault="00565606" w:rsidP="00091D1C">
            <w:pPr>
              <w:spacing w:after="0" w:line="276" w:lineRule="auto"/>
              <w:contextualSpacing/>
              <w:jc w:val="center"/>
              <w:rPr>
                <w:rFonts w:cs="Arial"/>
                <w:b/>
                <w:sz w:val="20"/>
              </w:rPr>
            </w:pPr>
            <w:r>
              <w:rPr>
                <w:rFonts w:cs="Arial"/>
                <w:b/>
                <w:sz w:val="20"/>
              </w:rPr>
              <w:t>Prospective</w:t>
            </w:r>
          </w:p>
        </w:tc>
      </w:tr>
      <w:tr w:rsidR="00565606" w:rsidRPr="00B875E6" w14:paraId="47B22BDB" w14:textId="77777777" w:rsidTr="00F31E19">
        <w:tc>
          <w:tcPr>
            <w:tcW w:w="420" w:type="dxa"/>
            <w:gridSpan w:val="2"/>
            <w:tcBorders>
              <w:top w:val="nil"/>
              <w:bottom w:val="single" w:sz="4" w:space="0" w:color="auto"/>
              <w:right w:val="nil"/>
            </w:tcBorders>
            <w:vAlign w:val="center"/>
          </w:tcPr>
          <w:p w14:paraId="55BA5881" w14:textId="77777777" w:rsidR="00565606" w:rsidRPr="00375C08" w:rsidRDefault="00565606" w:rsidP="00565606">
            <w:pPr>
              <w:spacing w:after="0" w:line="276" w:lineRule="auto"/>
              <w:contextualSpacing/>
              <w:jc w:val="center"/>
              <w:rPr>
                <w:rFonts w:cs="Arial"/>
                <w:sz w:val="20"/>
              </w:rPr>
            </w:pPr>
          </w:p>
        </w:tc>
        <w:tc>
          <w:tcPr>
            <w:tcW w:w="1661" w:type="dxa"/>
            <w:tcBorders>
              <w:top w:val="nil"/>
              <w:left w:val="nil"/>
              <w:bottom w:val="single" w:sz="4" w:space="0" w:color="auto"/>
              <w:right w:val="nil"/>
            </w:tcBorders>
            <w:vAlign w:val="center"/>
          </w:tcPr>
          <w:p w14:paraId="68E23B4E" w14:textId="77777777" w:rsidR="00565606" w:rsidRPr="00375C08" w:rsidRDefault="00565606" w:rsidP="00565606">
            <w:pPr>
              <w:spacing w:after="0" w:line="276" w:lineRule="auto"/>
              <w:contextualSpacing/>
              <w:jc w:val="center"/>
              <w:rPr>
                <w:rFonts w:cs="Arial"/>
                <w:sz w:val="20"/>
              </w:rPr>
            </w:pPr>
          </w:p>
        </w:tc>
        <w:tc>
          <w:tcPr>
            <w:tcW w:w="470" w:type="dxa"/>
            <w:tcBorders>
              <w:top w:val="nil"/>
              <w:left w:val="nil"/>
              <w:bottom w:val="single" w:sz="4" w:space="0" w:color="auto"/>
              <w:right w:val="nil"/>
            </w:tcBorders>
            <w:vAlign w:val="center"/>
          </w:tcPr>
          <w:p w14:paraId="4A0A157F" w14:textId="77777777" w:rsidR="00565606" w:rsidRPr="00375C08" w:rsidRDefault="00565606" w:rsidP="00565606">
            <w:pPr>
              <w:spacing w:after="0" w:line="276" w:lineRule="auto"/>
              <w:contextualSpacing/>
              <w:jc w:val="center"/>
              <w:rPr>
                <w:rFonts w:cs="Arial"/>
                <w:sz w:val="20"/>
              </w:rPr>
            </w:pPr>
          </w:p>
        </w:tc>
        <w:tc>
          <w:tcPr>
            <w:tcW w:w="1419" w:type="dxa"/>
            <w:tcBorders>
              <w:top w:val="single" w:sz="4" w:space="0" w:color="auto"/>
              <w:left w:val="nil"/>
              <w:bottom w:val="single" w:sz="4" w:space="0" w:color="auto"/>
              <w:right w:val="nil"/>
            </w:tcBorders>
            <w:vAlign w:val="center"/>
          </w:tcPr>
          <w:p w14:paraId="7FE79421" w14:textId="77777777" w:rsidR="00565606" w:rsidRDefault="00565606" w:rsidP="00565606">
            <w:pPr>
              <w:spacing w:after="0" w:line="276" w:lineRule="auto"/>
              <w:jc w:val="center"/>
              <w:rPr>
                <w:rFonts w:cs="Arial"/>
                <w:b/>
                <w:sz w:val="20"/>
              </w:rPr>
            </w:pPr>
            <w:r>
              <w:rPr>
                <w:rFonts w:cs="Arial"/>
                <w:b/>
                <w:sz w:val="20"/>
              </w:rPr>
              <w:t>No perceived discrimination</w:t>
            </w:r>
          </w:p>
        </w:tc>
        <w:tc>
          <w:tcPr>
            <w:tcW w:w="2125" w:type="dxa"/>
            <w:tcBorders>
              <w:top w:val="single" w:sz="4" w:space="0" w:color="auto"/>
              <w:left w:val="nil"/>
              <w:bottom w:val="single" w:sz="4" w:space="0" w:color="auto"/>
              <w:right w:val="nil"/>
            </w:tcBorders>
            <w:vAlign w:val="center"/>
          </w:tcPr>
          <w:p w14:paraId="722AC4E0" w14:textId="77777777" w:rsidR="00565606" w:rsidRDefault="00565606" w:rsidP="00565606">
            <w:pPr>
              <w:spacing w:after="0" w:line="276" w:lineRule="auto"/>
              <w:contextualSpacing/>
              <w:jc w:val="center"/>
              <w:rPr>
                <w:rFonts w:cs="Arial"/>
                <w:b/>
                <w:sz w:val="20"/>
              </w:rPr>
            </w:pPr>
            <w:r>
              <w:rPr>
                <w:rFonts w:cs="Arial"/>
                <w:b/>
                <w:sz w:val="20"/>
              </w:rPr>
              <w:t>Perceived discrimination for any other reason</w:t>
            </w:r>
          </w:p>
        </w:tc>
        <w:tc>
          <w:tcPr>
            <w:tcW w:w="2127" w:type="dxa"/>
            <w:tcBorders>
              <w:top w:val="single" w:sz="4" w:space="0" w:color="auto"/>
              <w:left w:val="nil"/>
              <w:bottom w:val="single" w:sz="4" w:space="0" w:color="auto"/>
              <w:right w:val="nil"/>
            </w:tcBorders>
          </w:tcPr>
          <w:p w14:paraId="6DCFAE32" w14:textId="77777777" w:rsidR="00565606" w:rsidRPr="00565606" w:rsidRDefault="00565606" w:rsidP="00565606">
            <w:pPr>
              <w:spacing w:after="0" w:line="276" w:lineRule="auto"/>
              <w:contextualSpacing/>
              <w:jc w:val="center"/>
              <w:rPr>
                <w:rFonts w:cs="Arial"/>
                <w:b/>
                <w:sz w:val="20"/>
              </w:rPr>
            </w:pPr>
            <w:r>
              <w:rPr>
                <w:rFonts w:cs="Arial"/>
                <w:b/>
                <w:sz w:val="20"/>
              </w:rPr>
              <w:t>Perceived discrimination based on sexual orientation</w:t>
            </w:r>
          </w:p>
        </w:tc>
        <w:tc>
          <w:tcPr>
            <w:tcW w:w="282" w:type="dxa"/>
            <w:tcBorders>
              <w:top w:val="nil"/>
              <w:left w:val="nil"/>
              <w:bottom w:val="single" w:sz="4" w:space="0" w:color="auto"/>
              <w:right w:val="nil"/>
            </w:tcBorders>
            <w:vAlign w:val="center"/>
          </w:tcPr>
          <w:p w14:paraId="535AB8DC" w14:textId="77777777" w:rsidR="00565606" w:rsidRPr="00B875E6" w:rsidRDefault="00565606" w:rsidP="00565606">
            <w:pPr>
              <w:spacing w:after="0" w:line="276" w:lineRule="auto"/>
              <w:contextualSpacing/>
              <w:jc w:val="center"/>
              <w:rPr>
                <w:rFonts w:cs="Arial"/>
                <w:b/>
                <w:i/>
                <w:sz w:val="20"/>
              </w:rPr>
            </w:pPr>
          </w:p>
        </w:tc>
        <w:tc>
          <w:tcPr>
            <w:tcW w:w="1560" w:type="dxa"/>
            <w:tcBorders>
              <w:top w:val="single" w:sz="4" w:space="0" w:color="auto"/>
              <w:left w:val="nil"/>
              <w:bottom w:val="single" w:sz="4" w:space="0" w:color="auto"/>
              <w:right w:val="nil"/>
            </w:tcBorders>
            <w:vAlign w:val="center"/>
          </w:tcPr>
          <w:p w14:paraId="5A72C422" w14:textId="77777777" w:rsidR="00565606" w:rsidRDefault="00565606" w:rsidP="00565606">
            <w:pPr>
              <w:spacing w:after="0" w:line="276" w:lineRule="auto"/>
              <w:jc w:val="center"/>
              <w:rPr>
                <w:rFonts w:cs="Arial"/>
                <w:b/>
                <w:sz w:val="20"/>
              </w:rPr>
            </w:pPr>
            <w:r>
              <w:rPr>
                <w:rFonts w:cs="Arial"/>
                <w:b/>
                <w:sz w:val="20"/>
              </w:rPr>
              <w:t>No perceived discrimination</w:t>
            </w:r>
          </w:p>
        </w:tc>
        <w:tc>
          <w:tcPr>
            <w:tcW w:w="1986" w:type="dxa"/>
            <w:tcBorders>
              <w:top w:val="single" w:sz="4" w:space="0" w:color="auto"/>
              <w:left w:val="nil"/>
              <w:bottom w:val="single" w:sz="4" w:space="0" w:color="auto"/>
              <w:right w:val="nil"/>
            </w:tcBorders>
            <w:vAlign w:val="center"/>
          </w:tcPr>
          <w:p w14:paraId="7FDB41FC" w14:textId="77777777" w:rsidR="00565606" w:rsidRDefault="00565606" w:rsidP="00565606">
            <w:pPr>
              <w:spacing w:after="0" w:line="276" w:lineRule="auto"/>
              <w:contextualSpacing/>
              <w:jc w:val="center"/>
              <w:rPr>
                <w:rFonts w:cs="Arial"/>
                <w:b/>
                <w:sz w:val="20"/>
              </w:rPr>
            </w:pPr>
            <w:r>
              <w:rPr>
                <w:rFonts w:cs="Arial"/>
                <w:b/>
                <w:sz w:val="20"/>
              </w:rPr>
              <w:t>Perceived discrimination for any other reason</w:t>
            </w:r>
          </w:p>
        </w:tc>
        <w:tc>
          <w:tcPr>
            <w:tcW w:w="1987" w:type="dxa"/>
            <w:tcBorders>
              <w:top w:val="single" w:sz="4" w:space="0" w:color="auto"/>
              <w:left w:val="nil"/>
              <w:bottom w:val="single" w:sz="4" w:space="0" w:color="auto"/>
              <w:right w:val="nil"/>
            </w:tcBorders>
          </w:tcPr>
          <w:p w14:paraId="197F677F" w14:textId="77777777" w:rsidR="00565606" w:rsidRPr="00565606" w:rsidRDefault="00565606" w:rsidP="00565606">
            <w:pPr>
              <w:spacing w:after="0" w:line="276" w:lineRule="auto"/>
              <w:contextualSpacing/>
              <w:jc w:val="center"/>
              <w:rPr>
                <w:rFonts w:cs="Arial"/>
                <w:b/>
                <w:sz w:val="20"/>
              </w:rPr>
            </w:pPr>
            <w:r>
              <w:rPr>
                <w:rFonts w:cs="Arial"/>
                <w:b/>
                <w:sz w:val="20"/>
              </w:rPr>
              <w:t>Perceived discrimination based on sexual orientation</w:t>
            </w:r>
          </w:p>
        </w:tc>
      </w:tr>
      <w:tr w:rsidR="00565606" w:rsidRPr="006E1B17" w14:paraId="0CEF9A7E" w14:textId="77777777" w:rsidTr="00F31E19">
        <w:tc>
          <w:tcPr>
            <w:tcW w:w="2551" w:type="dxa"/>
            <w:gridSpan w:val="4"/>
            <w:tcBorders>
              <w:top w:val="single" w:sz="4" w:space="0" w:color="auto"/>
              <w:bottom w:val="nil"/>
              <w:right w:val="nil"/>
            </w:tcBorders>
          </w:tcPr>
          <w:p w14:paraId="607C1C74" w14:textId="77777777" w:rsidR="00565606" w:rsidRDefault="00565606" w:rsidP="00565606">
            <w:pPr>
              <w:spacing w:after="0" w:line="276" w:lineRule="auto"/>
              <w:contextualSpacing/>
              <w:rPr>
                <w:rFonts w:cs="Arial"/>
                <w:sz w:val="20"/>
              </w:rPr>
            </w:pPr>
            <w:r>
              <w:rPr>
                <w:rFonts w:cs="Arial"/>
                <w:sz w:val="20"/>
              </w:rPr>
              <w:t>Depressive symptoms above threshold</w:t>
            </w:r>
          </w:p>
        </w:tc>
        <w:tc>
          <w:tcPr>
            <w:tcW w:w="1419" w:type="dxa"/>
            <w:tcBorders>
              <w:top w:val="single" w:sz="4" w:space="0" w:color="auto"/>
              <w:bottom w:val="nil"/>
            </w:tcBorders>
            <w:vAlign w:val="bottom"/>
          </w:tcPr>
          <w:p w14:paraId="145C7DC9" w14:textId="77777777" w:rsidR="00565606" w:rsidRPr="006E1B17" w:rsidRDefault="00565606" w:rsidP="00565606">
            <w:pPr>
              <w:spacing w:after="0" w:line="276" w:lineRule="auto"/>
              <w:contextualSpacing/>
              <w:rPr>
                <w:rFonts w:cs="Arial"/>
                <w:sz w:val="20"/>
              </w:rPr>
            </w:pPr>
          </w:p>
        </w:tc>
        <w:tc>
          <w:tcPr>
            <w:tcW w:w="2125" w:type="dxa"/>
            <w:tcBorders>
              <w:top w:val="single" w:sz="4" w:space="0" w:color="auto"/>
              <w:bottom w:val="nil"/>
            </w:tcBorders>
            <w:vAlign w:val="bottom"/>
          </w:tcPr>
          <w:p w14:paraId="3B525439" w14:textId="77777777" w:rsidR="00565606" w:rsidRPr="006E1B17" w:rsidRDefault="00565606" w:rsidP="00565606">
            <w:pPr>
              <w:spacing w:after="0" w:line="276" w:lineRule="auto"/>
              <w:contextualSpacing/>
              <w:rPr>
                <w:rFonts w:cs="Arial"/>
                <w:sz w:val="20"/>
              </w:rPr>
            </w:pPr>
          </w:p>
        </w:tc>
        <w:tc>
          <w:tcPr>
            <w:tcW w:w="2127" w:type="dxa"/>
            <w:tcBorders>
              <w:top w:val="single" w:sz="4" w:space="0" w:color="auto"/>
              <w:bottom w:val="nil"/>
            </w:tcBorders>
          </w:tcPr>
          <w:p w14:paraId="6075DE21" w14:textId="77777777" w:rsidR="00565606" w:rsidRPr="006E1B17" w:rsidRDefault="00565606" w:rsidP="00565606">
            <w:pPr>
              <w:spacing w:after="0" w:line="276" w:lineRule="auto"/>
              <w:contextualSpacing/>
              <w:rPr>
                <w:rFonts w:cs="Arial"/>
                <w:sz w:val="20"/>
              </w:rPr>
            </w:pPr>
          </w:p>
        </w:tc>
        <w:tc>
          <w:tcPr>
            <w:tcW w:w="282" w:type="dxa"/>
            <w:tcBorders>
              <w:top w:val="single" w:sz="4" w:space="0" w:color="auto"/>
              <w:bottom w:val="nil"/>
            </w:tcBorders>
            <w:vAlign w:val="bottom"/>
          </w:tcPr>
          <w:p w14:paraId="24D78682" w14:textId="77777777" w:rsidR="00565606" w:rsidRPr="006E1B17" w:rsidRDefault="00565606" w:rsidP="00565606">
            <w:pPr>
              <w:spacing w:after="0" w:line="276" w:lineRule="auto"/>
              <w:contextualSpacing/>
              <w:rPr>
                <w:rFonts w:cs="Arial"/>
                <w:sz w:val="20"/>
              </w:rPr>
            </w:pPr>
          </w:p>
        </w:tc>
        <w:tc>
          <w:tcPr>
            <w:tcW w:w="1560" w:type="dxa"/>
            <w:tcBorders>
              <w:top w:val="single" w:sz="4" w:space="0" w:color="auto"/>
              <w:bottom w:val="nil"/>
            </w:tcBorders>
          </w:tcPr>
          <w:p w14:paraId="7B4FFFFD" w14:textId="77777777" w:rsidR="00565606" w:rsidRPr="006E1B17" w:rsidRDefault="00565606" w:rsidP="00565606">
            <w:pPr>
              <w:spacing w:after="0" w:line="276" w:lineRule="auto"/>
              <w:contextualSpacing/>
              <w:rPr>
                <w:rFonts w:cs="Arial"/>
                <w:sz w:val="20"/>
              </w:rPr>
            </w:pPr>
          </w:p>
        </w:tc>
        <w:tc>
          <w:tcPr>
            <w:tcW w:w="1986" w:type="dxa"/>
            <w:tcBorders>
              <w:top w:val="single" w:sz="4" w:space="0" w:color="auto"/>
              <w:bottom w:val="nil"/>
            </w:tcBorders>
            <w:vAlign w:val="bottom"/>
          </w:tcPr>
          <w:p w14:paraId="471C9A26" w14:textId="77777777" w:rsidR="00565606" w:rsidRPr="006E1B17" w:rsidRDefault="00565606" w:rsidP="00565606">
            <w:pPr>
              <w:spacing w:after="0" w:line="276" w:lineRule="auto"/>
              <w:contextualSpacing/>
              <w:rPr>
                <w:rFonts w:cs="Arial"/>
                <w:sz w:val="20"/>
              </w:rPr>
            </w:pPr>
          </w:p>
        </w:tc>
        <w:tc>
          <w:tcPr>
            <w:tcW w:w="1987" w:type="dxa"/>
            <w:tcBorders>
              <w:top w:val="single" w:sz="4" w:space="0" w:color="auto"/>
              <w:bottom w:val="nil"/>
            </w:tcBorders>
          </w:tcPr>
          <w:p w14:paraId="2F528CC8" w14:textId="77777777" w:rsidR="00565606" w:rsidRPr="006E1B17" w:rsidRDefault="00565606" w:rsidP="00565606">
            <w:pPr>
              <w:spacing w:after="0" w:line="276" w:lineRule="auto"/>
              <w:contextualSpacing/>
              <w:rPr>
                <w:rFonts w:cs="Arial"/>
                <w:sz w:val="20"/>
              </w:rPr>
            </w:pPr>
          </w:p>
        </w:tc>
      </w:tr>
      <w:tr w:rsidR="00565606" w:rsidRPr="006E1B17" w14:paraId="2F6E955D" w14:textId="77777777" w:rsidTr="00F31E19">
        <w:tc>
          <w:tcPr>
            <w:tcW w:w="282" w:type="dxa"/>
            <w:tcBorders>
              <w:top w:val="nil"/>
              <w:bottom w:val="nil"/>
              <w:right w:val="nil"/>
            </w:tcBorders>
          </w:tcPr>
          <w:p w14:paraId="5F069256" w14:textId="77777777" w:rsidR="00565606" w:rsidRPr="00375C08" w:rsidRDefault="00565606" w:rsidP="00565606">
            <w:pPr>
              <w:spacing w:after="0" w:line="276" w:lineRule="auto"/>
              <w:contextualSpacing/>
              <w:rPr>
                <w:rFonts w:cs="Arial"/>
                <w:color w:val="FF0000"/>
                <w:sz w:val="20"/>
              </w:rPr>
            </w:pPr>
          </w:p>
        </w:tc>
        <w:tc>
          <w:tcPr>
            <w:tcW w:w="2269" w:type="dxa"/>
            <w:gridSpan w:val="3"/>
            <w:tcBorders>
              <w:top w:val="nil"/>
              <w:left w:val="nil"/>
              <w:bottom w:val="single" w:sz="4" w:space="0" w:color="auto"/>
              <w:right w:val="nil"/>
            </w:tcBorders>
            <w:vAlign w:val="center"/>
          </w:tcPr>
          <w:p w14:paraId="1A28E0C9" w14:textId="77777777" w:rsidR="00565606" w:rsidRPr="00375C08" w:rsidRDefault="00565606" w:rsidP="00565606">
            <w:pPr>
              <w:spacing w:after="0" w:line="276" w:lineRule="auto"/>
              <w:contextualSpacing/>
              <w:rPr>
                <w:rFonts w:cs="Arial"/>
                <w:sz w:val="20"/>
              </w:rPr>
            </w:pPr>
            <w:r>
              <w:rPr>
                <w:rFonts w:cs="Arial"/>
                <w:sz w:val="20"/>
              </w:rPr>
              <w:t>% (SE)</w:t>
            </w:r>
          </w:p>
        </w:tc>
        <w:tc>
          <w:tcPr>
            <w:tcW w:w="1419" w:type="dxa"/>
            <w:tcBorders>
              <w:top w:val="nil"/>
              <w:left w:val="nil"/>
              <w:bottom w:val="single" w:sz="4" w:space="0" w:color="auto"/>
              <w:right w:val="nil"/>
            </w:tcBorders>
            <w:vAlign w:val="bottom"/>
          </w:tcPr>
          <w:p w14:paraId="2D4435F2" w14:textId="77777777" w:rsidR="00565606" w:rsidRPr="006E1B17" w:rsidRDefault="00CA285E" w:rsidP="00565606">
            <w:pPr>
              <w:spacing w:after="0" w:line="276" w:lineRule="auto"/>
              <w:contextualSpacing/>
              <w:rPr>
                <w:rFonts w:cs="Arial"/>
                <w:sz w:val="20"/>
              </w:rPr>
            </w:pPr>
            <w:r>
              <w:rPr>
                <w:rFonts w:cs="Arial"/>
                <w:sz w:val="20"/>
              </w:rPr>
              <w:t>12.2 (3.1)</w:t>
            </w:r>
          </w:p>
        </w:tc>
        <w:tc>
          <w:tcPr>
            <w:tcW w:w="2125" w:type="dxa"/>
            <w:tcBorders>
              <w:top w:val="nil"/>
              <w:left w:val="nil"/>
              <w:bottom w:val="single" w:sz="4" w:space="0" w:color="auto"/>
              <w:right w:val="nil"/>
            </w:tcBorders>
            <w:vAlign w:val="bottom"/>
          </w:tcPr>
          <w:p w14:paraId="2CD63DDC" w14:textId="77777777" w:rsidR="00565606" w:rsidRPr="006E1B17" w:rsidRDefault="00CA285E" w:rsidP="00565606">
            <w:pPr>
              <w:spacing w:after="0" w:line="276" w:lineRule="auto"/>
              <w:contextualSpacing/>
              <w:rPr>
                <w:rFonts w:cs="Arial"/>
                <w:sz w:val="20"/>
              </w:rPr>
            </w:pPr>
            <w:r>
              <w:rPr>
                <w:rFonts w:cs="Arial"/>
                <w:sz w:val="20"/>
              </w:rPr>
              <w:t>22.2 (3.3)</w:t>
            </w:r>
          </w:p>
        </w:tc>
        <w:tc>
          <w:tcPr>
            <w:tcW w:w="2127" w:type="dxa"/>
            <w:tcBorders>
              <w:top w:val="nil"/>
              <w:left w:val="nil"/>
              <w:bottom w:val="single" w:sz="4" w:space="0" w:color="auto"/>
              <w:right w:val="nil"/>
            </w:tcBorders>
          </w:tcPr>
          <w:p w14:paraId="320FFC8F" w14:textId="77777777" w:rsidR="00565606" w:rsidRPr="006E1B17" w:rsidRDefault="00CA285E" w:rsidP="00565606">
            <w:pPr>
              <w:spacing w:after="0" w:line="276" w:lineRule="auto"/>
              <w:contextualSpacing/>
              <w:rPr>
                <w:rFonts w:cs="Arial"/>
                <w:sz w:val="20"/>
              </w:rPr>
            </w:pPr>
            <w:r>
              <w:rPr>
                <w:rFonts w:cs="Arial"/>
                <w:sz w:val="20"/>
              </w:rPr>
              <w:t>48.4 (9.3)</w:t>
            </w:r>
          </w:p>
        </w:tc>
        <w:tc>
          <w:tcPr>
            <w:tcW w:w="282" w:type="dxa"/>
            <w:tcBorders>
              <w:top w:val="nil"/>
              <w:left w:val="nil"/>
              <w:bottom w:val="single" w:sz="4" w:space="0" w:color="auto"/>
              <w:right w:val="nil"/>
            </w:tcBorders>
            <w:vAlign w:val="bottom"/>
          </w:tcPr>
          <w:p w14:paraId="2A58D969" w14:textId="77777777" w:rsidR="00565606" w:rsidRPr="006E1B17" w:rsidRDefault="00565606" w:rsidP="00565606">
            <w:pPr>
              <w:spacing w:after="0" w:line="276" w:lineRule="auto"/>
              <w:contextualSpacing/>
              <w:rPr>
                <w:rFonts w:cs="Arial"/>
                <w:sz w:val="20"/>
              </w:rPr>
            </w:pPr>
          </w:p>
        </w:tc>
        <w:tc>
          <w:tcPr>
            <w:tcW w:w="1560" w:type="dxa"/>
            <w:tcBorders>
              <w:top w:val="nil"/>
              <w:left w:val="nil"/>
              <w:bottom w:val="single" w:sz="4" w:space="0" w:color="auto"/>
              <w:right w:val="nil"/>
            </w:tcBorders>
            <w:vAlign w:val="bottom"/>
          </w:tcPr>
          <w:p w14:paraId="2D99545B" w14:textId="77777777" w:rsidR="00565606" w:rsidRPr="006E1B17" w:rsidRDefault="009C6A93" w:rsidP="00565606">
            <w:pPr>
              <w:spacing w:after="0" w:line="276" w:lineRule="auto"/>
              <w:contextualSpacing/>
              <w:rPr>
                <w:rFonts w:cs="Arial"/>
                <w:sz w:val="20"/>
              </w:rPr>
            </w:pPr>
            <w:r>
              <w:rPr>
                <w:rFonts w:cs="Arial"/>
                <w:sz w:val="20"/>
              </w:rPr>
              <w:t>12.8 (2.7)</w:t>
            </w:r>
          </w:p>
        </w:tc>
        <w:tc>
          <w:tcPr>
            <w:tcW w:w="1986" w:type="dxa"/>
            <w:tcBorders>
              <w:top w:val="nil"/>
              <w:left w:val="nil"/>
              <w:bottom w:val="single" w:sz="4" w:space="0" w:color="auto"/>
              <w:right w:val="nil"/>
            </w:tcBorders>
          </w:tcPr>
          <w:p w14:paraId="6E45FE46" w14:textId="77777777" w:rsidR="00565606" w:rsidRPr="006E1B17" w:rsidRDefault="009C6A93" w:rsidP="00565606">
            <w:pPr>
              <w:spacing w:after="0" w:line="276" w:lineRule="auto"/>
              <w:contextualSpacing/>
              <w:rPr>
                <w:rFonts w:cs="Arial"/>
                <w:sz w:val="20"/>
              </w:rPr>
            </w:pPr>
            <w:r>
              <w:rPr>
                <w:rFonts w:cs="Arial"/>
                <w:sz w:val="20"/>
              </w:rPr>
              <w:t>12.1 (3.0)</w:t>
            </w:r>
          </w:p>
        </w:tc>
        <w:tc>
          <w:tcPr>
            <w:tcW w:w="1987" w:type="dxa"/>
            <w:tcBorders>
              <w:top w:val="nil"/>
              <w:left w:val="nil"/>
              <w:bottom w:val="single" w:sz="4" w:space="0" w:color="auto"/>
              <w:right w:val="nil"/>
            </w:tcBorders>
          </w:tcPr>
          <w:p w14:paraId="0E38ADC2" w14:textId="77777777" w:rsidR="00565606" w:rsidRDefault="009C6A93" w:rsidP="00565606">
            <w:pPr>
              <w:spacing w:after="0" w:line="276" w:lineRule="auto"/>
              <w:contextualSpacing/>
              <w:rPr>
                <w:rFonts w:cs="Arial"/>
                <w:sz w:val="20"/>
              </w:rPr>
            </w:pPr>
            <w:r>
              <w:rPr>
                <w:rFonts w:cs="Arial"/>
                <w:sz w:val="20"/>
              </w:rPr>
              <w:t>14.0 (8.3)</w:t>
            </w:r>
          </w:p>
        </w:tc>
      </w:tr>
      <w:tr w:rsidR="00565606" w:rsidRPr="006E1B17" w14:paraId="4D7DDB09" w14:textId="77777777" w:rsidTr="00F31E19">
        <w:tc>
          <w:tcPr>
            <w:tcW w:w="282" w:type="dxa"/>
            <w:tcBorders>
              <w:top w:val="nil"/>
              <w:bottom w:val="single" w:sz="4" w:space="0" w:color="auto"/>
              <w:right w:val="nil"/>
            </w:tcBorders>
          </w:tcPr>
          <w:p w14:paraId="4064D8DE" w14:textId="77777777" w:rsidR="00565606" w:rsidRPr="00375C08" w:rsidRDefault="00565606" w:rsidP="00565606">
            <w:pPr>
              <w:spacing w:after="0" w:line="276" w:lineRule="auto"/>
              <w:contextualSpacing/>
              <w:rPr>
                <w:rFonts w:cs="Arial"/>
                <w:color w:val="FF0000"/>
                <w:sz w:val="20"/>
              </w:rPr>
            </w:pPr>
          </w:p>
        </w:tc>
        <w:tc>
          <w:tcPr>
            <w:tcW w:w="2269" w:type="dxa"/>
            <w:gridSpan w:val="3"/>
            <w:tcBorders>
              <w:top w:val="single" w:sz="4" w:space="0" w:color="auto"/>
              <w:left w:val="nil"/>
              <w:bottom w:val="single" w:sz="4" w:space="0" w:color="auto"/>
              <w:right w:val="nil"/>
            </w:tcBorders>
            <w:vAlign w:val="center"/>
          </w:tcPr>
          <w:p w14:paraId="77E08C72" w14:textId="77777777" w:rsidR="00565606" w:rsidRDefault="00565606" w:rsidP="00565606">
            <w:pPr>
              <w:spacing w:after="0" w:line="276" w:lineRule="auto"/>
              <w:contextualSpacing/>
              <w:rPr>
                <w:rFonts w:cs="Arial"/>
                <w:sz w:val="20"/>
              </w:rPr>
            </w:pPr>
            <w:r>
              <w:rPr>
                <w:rFonts w:cs="Arial"/>
                <w:sz w:val="20"/>
              </w:rPr>
              <w:t>OR [95%CI]</w:t>
            </w:r>
          </w:p>
        </w:tc>
        <w:tc>
          <w:tcPr>
            <w:tcW w:w="1419" w:type="dxa"/>
            <w:tcBorders>
              <w:top w:val="single" w:sz="4" w:space="0" w:color="auto"/>
              <w:left w:val="nil"/>
              <w:bottom w:val="single" w:sz="4" w:space="0" w:color="auto"/>
              <w:right w:val="nil"/>
            </w:tcBorders>
            <w:vAlign w:val="bottom"/>
          </w:tcPr>
          <w:p w14:paraId="7C78DC69" w14:textId="77777777" w:rsidR="00565606" w:rsidRPr="006E1B17" w:rsidRDefault="00565606" w:rsidP="00565606">
            <w:pPr>
              <w:spacing w:after="0" w:line="276" w:lineRule="auto"/>
              <w:contextualSpacing/>
              <w:rPr>
                <w:rFonts w:cs="Arial"/>
                <w:sz w:val="20"/>
              </w:rPr>
            </w:pPr>
            <w:r>
              <w:rPr>
                <w:rFonts w:cs="Arial"/>
                <w:sz w:val="20"/>
              </w:rPr>
              <w:t>1.00 (Ref)</w:t>
            </w:r>
          </w:p>
        </w:tc>
        <w:tc>
          <w:tcPr>
            <w:tcW w:w="2125" w:type="dxa"/>
            <w:tcBorders>
              <w:top w:val="single" w:sz="4" w:space="0" w:color="auto"/>
              <w:left w:val="nil"/>
              <w:bottom w:val="single" w:sz="4" w:space="0" w:color="auto"/>
              <w:right w:val="nil"/>
            </w:tcBorders>
            <w:vAlign w:val="bottom"/>
          </w:tcPr>
          <w:p w14:paraId="43AC90AB" w14:textId="77777777" w:rsidR="00565606" w:rsidRPr="006E1B17" w:rsidRDefault="00336737" w:rsidP="00565606">
            <w:pPr>
              <w:spacing w:after="0" w:line="276" w:lineRule="auto"/>
              <w:contextualSpacing/>
              <w:rPr>
                <w:rFonts w:cs="Arial"/>
                <w:sz w:val="20"/>
              </w:rPr>
            </w:pPr>
            <w:r>
              <w:rPr>
                <w:rFonts w:cs="Arial"/>
                <w:sz w:val="20"/>
              </w:rPr>
              <w:t>2.12 [0.90; 4.97]</w:t>
            </w:r>
          </w:p>
        </w:tc>
        <w:tc>
          <w:tcPr>
            <w:tcW w:w="2127" w:type="dxa"/>
            <w:tcBorders>
              <w:top w:val="single" w:sz="4" w:space="0" w:color="auto"/>
              <w:left w:val="nil"/>
              <w:bottom w:val="single" w:sz="4" w:space="0" w:color="auto"/>
              <w:right w:val="nil"/>
            </w:tcBorders>
          </w:tcPr>
          <w:p w14:paraId="4E36D8F2" w14:textId="77777777" w:rsidR="00565606" w:rsidRPr="006E1B17" w:rsidRDefault="00336737" w:rsidP="00565606">
            <w:pPr>
              <w:spacing w:after="0" w:line="276" w:lineRule="auto"/>
              <w:contextualSpacing/>
              <w:rPr>
                <w:rFonts w:cs="Arial"/>
                <w:sz w:val="20"/>
              </w:rPr>
            </w:pPr>
            <w:r>
              <w:rPr>
                <w:rFonts w:cs="Arial"/>
                <w:sz w:val="20"/>
              </w:rPr>
              <w:t xml:space="preserve">9.32 [2.11; </w:t>
            </w:r>
            <w:proofErr w:type="gramStart"/>
            <w:r>
              <w:rPr>
                <w:rFonts w:cs="Arial"/>
                <w:sz w:val="20"/>
              </w:rPr>
              <w:t>41.18]*</w:t>
            </w:r>
            <w:proofErr w:type="gramEnd"/>
            <w:r>
              <w:rPr>
                <w:rFonts w:cs="Arial"/>
                <w:sz w:val="20"/>
              </w:rPr>
              <w:t>*</w:t>
            </w:r>
          </w:p>
        </w:tc>
        <w:tc>
          <w:tcPr>
            <w:tcW w:w="282" w:type="dxa"/>
            <w:tcBorders>
              <w:top w:val="single" w:sz="4" w:space="0" w:color="auto"/>
              <w:left w:val="nil"/>
              <w:bottom w:val="single" w:sz="4" w:space="0" w:color="auto"/>
              <w:right w:val="nil"/>
            </w:tcBorders>
            <w:vAlign w:val="bottom"/>
          </w:tcPr>
          <w:p w14:paraId="292D9A2D" w14:textId="77777777" w:rsidR="00565606" w:rsidRPr="006E1B17" w:rsidRDefault="00565606" w:rsidP="00565606">
            <w:pPr>
              <w:spacing w:after="0" w:line="276" w:lineRule="auto"/>
              <w:contextualSpacing/>
              <w:rPr>
                <w:rFonts w:cs="Arial"/>
                <w:sz w:val="20"/>
              </w:rPr>
            </w:pPr>
          </w:p>
        </w:tc>
        <w:tc>
          <w:tcPr>
            <w:tcW w:w="1560" w:type="dxa"/>
            <w:tcBorders>
              <w:top w:val="single" w:sz="4" w:space="0" w:color="auto"/>
              <w:left w:val="nil"/>
              <w:bottom w:val="single" w:sz="4" w:space="0" w:color="auto"/>
              <w:right w:val="nil"/>
            </w:tcBorders>
            <w:vAlign w:val="bottom"/>
          </w:tcPr>
          <w:p w14:paraId="55807727" w14:textId="77777777" w:rsidR="00565606" w:rsidRPr="006E1B17" w:rsidRDefault="00565606" w:rsidP="00565606">
            <w:pPr>
              <w:spacing w:after="0" w:line="276" w:lineRule="auto"/>
              <w:contextualSpacing/>
              <w:rPr>
                <w:rFonts w:cs="Arial"/>
                <w:sz w:val="20"/>
              </w:rPr>
            </w:pPr>
            <w:r>
              <w:rPr>
                <w:rFonts w:cs="Arial"/>
                <w:sz w:val="20"/>
              </w:rPr>
              <w:t>1.00 (Ref)</w:t>
            </w:r>
          </w:p>
        </w:tc>
        <w:tc>
          <w:tcPr>
            <w:tcW w:w="1986" w:type="dxa"/>
            <w:tcBorders>
              <w:top w:val="single" w:sz="4" w:space="0" w:color="auto"/>
              <w:left w:val="nil"/>
              <w:bottom w:val="single" w:sz="4" w:space="0" w:color="auto"/>
              <w:right w:val="nil"/>
            </w:tcBorders>
          </w:tcPr>
          <w:p w14:paraId="3C6805F5" w14:textId="77777777" w:rsidR="00565606" w:rsidRPr="006E1B17" w:rsidRDefault="004964DF" w:rsidP="00565606">
            <w:pPr>
              <w:spacing w:after="0" w:line="276" w:lineRule="auto"/>
              <w:contextualSpacing/>
              <w:rPr>
                <w:rFonts w:cs="Arial"/>
                <w:sz w:val="20"/>
              </w:rPr>
            </w:pPr>
            <w:r>
              <w:rPr>
                <w:rFonts w:cs="Arial"/>
                <w:sz w:val="20"/>
              </w:rPr>
              <w:t>1.21 [0.35; 4.19]</w:t>
            </w:r>
          </w:p>
        </w:tc>
        <w:tc>
          <w:tcPr>
            <w:tcW w:w="1987" w:type="dxa"/>
            <w:tcBorders>
              <w:top w:val="single" w:sz="4" w:space="0" w:color="auto"/>
              <w:left w:val="nil"/>
              <w:bottom w:val="single" w:sz="4" w:space="0" w:color="auto"/>
              <w:right w:val="nil"/>
            </w:tcBorders>
          </w:tcPr>
          <w:p w14:paraId="7DB96C54" w14:textId="77777777" w:rsidR="00565606" w:rsidRDefault="004964DF" w:rsidP="00565606">
            <w:pPr>
              <w:spacing w:after="0" w:line="276" w:lineRule="auto"/>
              <w:contextualSpacing/>
              <w:rPr>
                <w:rFonts w:cs="Arial"/>
                <w:sz w:val="20"/>
              </w:rPr>
            </w:pPr>
            <w:r>
              <w:rPr>
                <w:rFonts w:cs="Arial"/>
                <w:sz w:val="20"/>
              </w:rPr>
              <w:t>1.49 [0.21; 10.78]</w:t>
            </w:r>
          </w:p>
        </w:tc>
      </w:tr>
      <w:tr w:rsidR="00E256AE" w:rsidRPr="006E1B17" w14:paraId="4DF1A744" w14:textId="77777777" w:rsidTr="0077450F">
        <w:tc>
          <w:tcPr>
            <w:tcW w:w="2551" w:type="dxa"/>
            <w:gridSpan w:val="4"/>
            <w:tcBorders>
              <w:top w:val="single" w:sz="4" w:space="0" w:color="auto"/>
              <w:bottom w:val="nil"/>
              <w:right w:val="nil"/>
            </w:tcBorders>
          </w:tcPr>
          <w:p w14:paraId="15F8A718" w14:textId="77777777" w:rsidR="00E256AE" w:rsidRDefault="00E256AE" w:rsidP="0077450F">
            <w:pPr>
              <w:spacing w:after="0" w:line="276" w:lineRule="auto"/>
              <w:contextualSpacing/>
              <w:rPr>
                <w:rFonts w:cs="Arial"/>
                <w:sz w:val="20"/>
              </w:rPr>
            </w:pPr>
            <w:r>
              <w:rPr>
                <w:rFonts w:cs="Arial"/>
                <w:sz w:val="20"/>
              </w:rPr>
              <w:t>High loneliness</w:t>
            </w:r>
          </w:p>
        </w:tc>
        <w:tc>
          <w:tcPr>
            <w:tcW w:w="1419" w:type="dxa"/>
            <w:tcBorders>
              <w:top w:val="single" w:sz="4" w:space="0" w:color="auto"/>
              <w:bottom w:val="nil"/>
            </w:tcBorders>
            <w:vAlign w:val="bottom"/>
          </w:tcPr>
          <w:p w14:paraId="7F2F0401" w14:textId="77777777" w:rsidR="00E256AE" w:rsidRPr="006E1B17" w:rsidRDefault="00E256AE" w:rsidP="0077450F">
            <w:pPr>
              <w:spacing w:after="0" w:line="276" w:lineRule="auto"/>
              <w:contextualSpacing/>
              <w:rPr>
                <w:rFonts w:cs="Arial"/>
                <w:sz w:val="20"/>
              </w:rPr>
            </w:pPr>
          </w:p>
        </w:tc>
        <w:tc>
          <w:tcPr>
            <w:tcW w:w="2125" w:type="dxa"/>
            <w:tcBorders>
              <w:top w:val="single" w:sz="4" w:space="0" w:color="auto"/>
              <w:bottom w:val="nil"/>
            </w:tcBorders>
            <w:vAlign w:val="bottom"/>
          </w:tcPr>
          <w:p w14:paraId="49B994B9" w14:textId="77777777" w:rsidR="00E256AE" w:rsidRPr="006E1B17" w:rsidRDefault="00E256AE" w:rsidP="0077450F">
            <w:pPr>
              <w:spacing w:after="0" w:line="276" w:lineRule="auto"/>
              <w:contextualSpacing/>
              <w:rPr>
                <w:rFonts w:cs="Arial"/>
                <w:sz w:val="20"/>
              </w:rPr>
            </w:pPr>
          </w:p>
        </w:tc>
        <w:tc>
          <w:tcPr>
            <w:tcW w:w="2127" w:type="dxa"/>
            <w:tcBorders>
              <w:top w:val="single" w:sz="4" w:space="0" w:color="auto"/>
              <w:bottom w:val="nil"/>
            </w:tcBorders>
          </w:tcPr>
          <w:p w14:paraId="6F8B4882" w14:textId="77777777" w:rsidR="00E256AE" w:rsidRPr="006E1B17" w:rsidRDefault="00E256AE" w:rsidP="0077450F">
            <w:pPr>
              <w:spacing w:after="0" w:line="276" w:lineRule="auto"/>
              <w:contextualSpacing/>
              <w:rPr>
                <w:rFonts w:cs="Arial"/>
                <w:sz w:val="20"/>
              </w:rPr>
            </w:pPr>
          </w:p>
        </w:tc>
        <w:tc>
          <w:tcPr>
            <w:tcW w:w="282" w:type="dxa"/>
            <w:tcBorders>
              <w:top w:val="single" w:sz="4" w:space="0" w:color="auto"/>
              <w:bottom w:val="nil"/>
            </w:tcBorders>
            <w:vAlign w:val="bottom"/>
          </w:tcPr>
          <w:p w14:paraId="4D69921F" w14:textId="77777777" w:rsidR="00E256AE" w:rsidRPr="006E1B17" w:rsidRDefault="00E256AE" w:rsidP="0077450F">
            <w:pPr>
              <w:spacing w:after="0" w:line="276" w:lineRule="auto"/>
              <w:contextualSpacing/>
              <w:rPr>
                <w:rFonts w:cs="Arial"/>
                <w:sz w:val="20"/>
              </w:rPr>
            </w:pPr>
          </w:p>
        </w:tc>
        <w:tc>
          <w:tcPr>
            <w:tcW w:w="1560" w:type="dxa"/>
            <w:tcBorders>
              <w:top w:val="single" w:sz="4" w:space="0" w:color="auto"/>
              <w:bottom w:val="nil"/>
            </w:tcBorders>
          </w:tcPr>
          <w:p w14:paraId="66178281" w14:textId="77777777" w:rsidR="00E256AE" w:rsidRPr="006E1B17" w:rsidRDefault="00E256AE" w:rsidP="0077450F">
            <w:pPr>
              <w:spacing w:after="0" w:line="276" w:lineRule="auto"/>
              <w:contextualSpacing/>
              <w:rPr>
                <w:rFonts w:cs="Arial"/>
                <w:sz w:val="20"/>
              </w:rPr>
            </w:pPr>
          </w:p>
        </w:tc>
        <w:tc>
          <w:tcPr>
            <w:tcW w:w="1986" w:type="dxa"/>
            <w:tcBorders>
              <w:top w:val="single" w:sz="4" w:space="0" w:color="auto"/>
              <w:bottom w:val="nil"/>
            </w:tcBorders>
            <w:vAlign w:val="bottom"/>
          </w:tcPr>
          <w:p w14:paraId="2EF68780" w14:textId="77777777" w:rsidR="00E256AE" w:rsidRPr="006E1B17" w:rsidRDefault="00E256AE" w:rsidP="0077450F">
            <w:pPr>
              <w:spacing w:after="0" w:line="276" w:lineRule="auto"/>
              <w:contextualSpacing/>
              <w:rPr>
                <w:rFonts w:cs="Arial"/>
                <w:sz w:val="20"/>
              </w:rPr>
            </w:pPr>
          </w:p>
        </w:tc>
        <w:tc>
          <w:tcPr>
            <w:tcW w:w="1987" w:type="dxa"/>
            <w:tcBorders>
              <w:top w:val="single" w:sz="4" w:space="0" w:color="auto"/>
              <w:bottom w:val="nil"/>
            </w:tcBorders>
          </w:tcPr>
          <w:p w14:paraId="42B8FDE9" w14:textId="77777777" w:rsidR="00E256AE" w:rsidRPr="006E1B17" w:rsidRDefault="00E256AE" w:rsidP="0077450F">
            <w:pPr>
              <w:spacing w:after="0" w:line="276" w:lineRule="auto"/>
              <w:contextualSpacing/>
              <w:rPr>
                <w:rFonts w:cs="Arial"/>
                <w:sz w:val="20"/>
              </w:rPr>
            </w:pPr>
          </w:p>
        </w:tc>
      </w:tr>
      <w:tr w:rsidR="00E256AE" w:rsidRPr="006E1B17" w14:paraId="3302EB98" w14:textId="77777777" w:rsidTr="0077450F">
        <w:tc>
          <w:tcPr>
            <w:tcW w:w="282" w:type="dxa"/>
            <w:tcBorders>
              <w:top w:val="nil"/>
              <w:bottom w:val="nil"/>
              <w:right w:val="nil"/>
            </w:tcBorders>
          </w:tcPr>
          <w:p w14:paraId="4AAAAA74" w14:textId="77777777" w:rsidR="00E256AE" w:rsidRPr="00375C08" w:rsidRDefault="00E256AE" w:rsidP="0077450F">
            <w:pPr>
              <w:spacing w:after="0" w:line="276" w:lineRule="auto"/>
              <w:contextualSpacing/>
              <w:rPr>
                <w:rFonts w:cs="Arial"/>
                <w:color w:val="FF0000"/>
                <w:sz w:val="20"/>
              </w:rPr>
            </w:pPr>
          </w:p>
        </w:tc>
        <w:tc>
          <w:tcPr>
            <w:tcW w:w="2269" w:type="dxa"/>
            <w:gridSpan w:val="3"/>
            <w:tcBorders>
              <w:top w:val="nil"/>
              <w:left w:val="nil"/>
              <w:bottom w:val="single" w:sz="4" w:space="0" w:color="auto"/>
              <w:right w:val="nil"/>
            </w:tcBorders>
            <w:vAlign w:val="center"/>
          </w:tcPr>
          <w:p w14:paraId="1059FA50" w14:textId="77777777" w:rsidR="00E256AE" w:rsidRPr="00375C08" w:rsidRDefault="00E256AE" w:rsidP="0077450F">
            <w:pPr>
              <w:spacing w:after="0" w:line="276" w:lineRule="auto"/>
              <w:contextualSpacing/>
              <w:rPr>
                <w:rFonts w:cs="Arial"/>
                <w:sz w:val="20"/>
              </w:rPr>
            </w:pPr>
            <w:r>
              <w:rPr>
                <w:rFonts w:cs="Arial"/>
                <w:sz w:val="20"/>
              </w:rPr>
              <w:t>% (SE)</w:t>
            </w:r>
          </w:p>
        </w:tc>
        <w:tc>
          <w:tcPr>
            <w:tcW w:w="1419" w:type="dxa"/>
            <w:tcBorders>
              <w:top w:val="nil"/>
              <w:left w:val="nil"/>
              <w:bottom w:val="single" w:sz="4" w:space="0" w:color="auto"/>
              <w:right w:val="nil"/>
            </w:tcBorders>
            <w:vAlign w:val="bottom"/>
          </w:tcPr>
          <w:p w14:paraId="66E47E31" w14:textId="77777777" w:rsidR="00E256AE" w:rsidRPr="006E1B17" w:rsidRDefault="00E256AE" w:rsidP="0077450F">
            <w:pPr>
              <w:spacing w:after="0" w:line="276" w:lineRule="auto"/>
              <w:contextualSpacing/>
              <w:rPr>
                <w:rFonts w:cs="Arial"/>
                <w:sz w:val="20"/>
              </w:rPr>
            </w:pPr>
            <w:r>
              <w:rPr>
                <w:rFonts w:cs="Arial"/>
                <w:sz w:val="20"/>
              </w:rPr>
              <w:t>16.5 (3.4)</w:t>
            </w:r>
          </w:p>
        </w:tc>
        <w:tc>
          <w:tcPr>
            <w:tcW w:w="2125" w:type="dxa"/>
            <w:tcBorders>
              <w:top w:val="nil"/>
              <w:left w:val="nil"/>
              <w:bottom w:val="single" w:sz="4" w:space="0" w:color="auto"/>
              <w:right w:val="nil"/>
            </w:tcBorders>
            <w:vAlign w:val="bottom"/>
          </w:tcPr>
          <w:p w14:paraId="66CA014E" w14:textId="77777777" w:rsidR="00E256AE" w:rsidRPr="006E1B17" w:rsidRDefault="00E256AE" w:rsidP="0077450F">
            <w:pPr>
              <w:spacing w:after="0" w:line="276" w:lineRule="auto"/>
              <w:contextualSpacing/>
              <w:rPr>
                <w:rFonts w:cs="Arial"/>
                <w:sz w:val="20"/>
              </w:rPr>
            </w:pPr>
            <w:r>
              <w:rPr>
                <w:rFonts w:cs="Arial"/>
                <w:sz w:val="20"/>
              </w:rPr>
              <w:t>33.4 (3.7)</w:t>
            </w:r>
          </w:p>
        </w:tc>
        <w:tc>
          <w:tcPr>
            <w:tcW w:w="2127" w:type="dxa"/>
            <w:tcBorders>
              <w:top w:val="nil"/>
              <w:left w:val="nil"/>
              <w:bottom w:val="single" w:sz="4" w:space="0" w:color="auto"/>
              <w:right w:val="nil"/>
            </w:tcBorders>
          </w:tcPr>
          <w:p w14:paraId="6EA0EF90" w14:textId="77777777" w:rsidR="00E256AE" w:rsidRPr="006E1B17" w:rsidRDefault="00E256AE" w:rsidP="0077450F">
            <w:pPr>
              <w:spacing w:after="0" w:line="276" w:lineRule="auto"/>
              <w:contextualSpacing/>
              <w:rPr>
                <w:rFonts w:cs="Arial"/>
                <w:sz w:val="20"/>
              </w:rPr>
            </w:pPr>
            <w:r>
              <w:rPr>
                <w:rFonts w:cs="Arial"/>
                <w:sz w:val="20"/>
              </w:rPr>
              <w:t>48.3 (10.2)</w:t>
            </w:r>
          </w:p>
        </w:tc>
        <w:tc>
          <w:tcPr>
            <w:tcW w:w="282" w:type="dxa"/>
            <w:tcBorders>
              <w:top w:val="nil"/>
              <w:left w:val="nil"/>
              <w:bottom w:val="single" w:sz="4" w:space="0" w:color="auto"/>
              <w:right w:val="nil"/>
            </w:tcBorders>
            <w:vAlign w:val="bottom"/>
          </w:tcPr>
          <w:p w14:paraId="2F136C89" w14:textId="77777777" w:rsidR="00E256AE" w:rsidRPr="006E1B17" w:rsidRDefault="00E256AE" w:rsidP="0077450F">
            <w:pPr>
              <w:spacing w:after="0" w:line="276" w:lineRule="auto"/>
              <w:contextualSpacing/>
              <w:rPr>
                <w:rFonts w:cs="Arial"/>
                <w:sz w:val="20"/>
              </w:rPr>
            </w:pPr>
          </w:p>
        </w:tc>
        <w:tc>
          <w:tcPr>
            <w:tcW w:w="1560" w:type="dxa"/>
            <w:tcBorders>
              <w:top w:val="nil"/>
              <w:left w:val="nil"/>
              <w:bottom w:val="single" w:sz="4" w:space="0" w:color="auto"/>
              <w:right w:val="nil"/>
            </w:tcBorders>
            <w:vAlign w:val="bottom"/>
          </w:tcPr>
          <w:p w14:paraId="17379C1D" w14:textId="77777777" w:rsidR="00E256AE" w:rsidRPr="006E1B17" w:rsidRDefault="00E256AE" w:rsidP="0077450F">
            <w:pPr>
              <w:spacing w:after="0" w:line="276" w:lineRule="auto"/>
              <w:contextualSpacing/>
              <w:rPr>
                <w:rFonts w:cs="Arial"/>
                <w:sz w:val="20"/>
              </w:rPr>
            </w:pPr>
            <w:r>
              <w:rPr>
                <w:rFonts w:cs="Arial"/>
                <w:sz w:val="20"/>
              </w:rPr>
              <w:t>14.4 (3.2)</w:t>
            </w:r>
          </w:p>
        </w:tc>
        <w:tc>
          <w:tcPr>
            <w:tcW w:w="1986" w:type="dxa"/>
            <w:tcBorders>
              <w:top w:val="nil"/>
              <w:left w:val="nil"/>
              <w:bottom w:val="single" w:sz="4" w:space="0" w:color="auto"/>
              <w:right w:val="nil"/>
            </w:tcBorders>
          </w:tcPr>
          <w:p w14:paraId="4B6CBDEE" w14:textId="77777777" w:rsidR="00E256AE" w:rsidRPr="006E1B17" w:rsidRDefault="00E256AE" w:rsidP="0077450F">
            <w:pPr>
              <w:spacing w:after="0" w:line="276" w:lineRule="auto"/>
              <w:contextualSpacing/>
              <w:rPr>
                <w:rFonts w:cs="Arial"/>
                <w:sz w:val="20"/>
              </w:rPr>
            </w:pPr>
            <w:r>
              <w:rPr>
                <w:rFonts w:cs="Arial"/>
                <w:sz w:val="20"/>
              </w:rPr>
              <w:t>23.7 (3.6)</w:t>
            </w:r>
          </w:p>
        </w:tc>
        <w:tc>
          <w:tcPr>
            <w:tcW w:w="1987" w:type="dxa"/>
            <w:tcBorders>
              <w:top w:val="nil"/>
              <w:left w:val="nil"/>
              <w:bottom w:val="single" w:sz="4" w:space="0" w:color="auto"/>
              <w:right w:val="nil"/>
            </w:tcBorders>
          </w:tcPr>
          <w:p w14:paraId="25BF328C" w14:textId="77777777" w:rsidR="00E256AE" w:rsidRDefault="00E256AE" w:rsidP="0077450F">
            <w:pPr>
              <w:spacing w:after="0" w:line="276" w:lineRule="auto"/>
              <w:contextualSpacing/>
              <w:rPr>
                <w:rFonts w:cs="Arial"/>
                <w:sz w:val="20"/>
              </w:rPr>
            </w:pPr>
            <w:r>
              <w:rPr>
                <w:rFonts w:cs="Arial"/>
                <w:sz w:val="20"/>
              </w:rPr>
              <w:t>40.0 (9.5)</w:t>
            </w:r>
          </w:p>
        </w:tc>
      </w:tr>
      <w:tr w:rsidR="00E256AE" w:rsidRPr="006E1B17" w14:paraId="320A6C95" w14:textId="77777777" w:rsidTr="0077450F">
        <w:tc>
          <w:tcPr>
            <w:tcW w:w="282" w:type="dxa"/>
            <w:tcBorders>
              <w:top w:val="nil"/>
              <w:bottom w:val="single" w:sz="4" w:space="0" w:color="auto"/>
              <w:right w:val="nil"/>
            </w:tcBorders>
          </w:tcPr>
          <w:p w14:paraId="1214EBAE" w14:textId="77777777" w:rsidR="00E256AE" w:rsidRPr="00375C08" w:rsidRDefault="00E256AE" w:rsidP="0077450F">
            <w:pPr>
              <w:spacing w:after="0" w:line="276" w:lineRule="auto"/>
              <w:contextualSpacing/>
              <w:rPr>
                <w:rFonts w:cs="Arial"/>
                <w:color w:val="FF0000"/>
                <w:sz w:val="20"/>
              </w:rPr>
            </w:pPr>
          </w:p>
        </w:tc>
        <w:tc>
          <w:tcPr>
            <w:tcW w:w="2269" w:type="dxa"/>
            <w:gridSpan w:val="3"/>
            <w:tcBorders>
              <w:top w:val="single" w:sz="4" w:space="0" w:color="auto"/>
              <w:left w:val="nil"/>
              <w:bottom w:val="single" w:sz="4" w:space="0" w:color="auto"/>
              <w:right w:val="nil"/>
            </w:tcBorders>
            <w:vAlign w:val="center"/>
          </w:tcPr>
          <w:p w14:paraId="47A2344C" w14:textId="77777777" w:rsidR="00E256AE" w:rsidRDefault="00E256AE" w:rsidP="0077450F">
            <w:pPr>
              <w:spacing w:after="0" w:line="276" w:lineRule="auto"/>
              <w:contextualSpacing/>
              <w:rPr>
                <w:rFonts w:cs="Arial"/>
                <w:sz w:val="20"/>
              </w:rPr>
            </w:pPr>
            <w:r>
              <w:rPr>
                <w:rFonts w:cs="Arial"/>
                <w:sz w:val="20"/>
              </w:rPr>
              <w:t>OR [95%CI]</w:t>
            </w:r>
          </w:p>
        </w:tc>
        <w:tc>
          <w:tcPr>
            <w:tcW w:w="1419" w:type="dxa"/>
            <w:tcBorders>
              <w:top w:val="single" w:sz="4" w:space="0" w:color="auto"/>
              <w:left w:val="nil"/>
              <w:bottom w:val="single" w:sz="4" w:space="0" w:color="auto"/>
              <w:right w:val="nil"/>
            </w:tcBorders>
            <w:vAlign w:val="bottom"/>
          </w:tcPr>
          <w:p w14:paraId="34BD2964" w14:textId="77777777" w:rsidR="00E256AE" w:rsidRPr="006E1B17" w:rsidRDefault="00E256AE" w:rsidP="0077450F">
            <w:pPr>
              <w:spacing w:after="0" w:line="276" w:lineRule="auto"/>
              <w:contextualSpacing/>
              <w:rPr>
                <w:rFonts w:cs="Arial"/>
                <w:sz w:val="20"/>
              </w:rPr>
            </w:pPr>
            <w:r>
              <w:rPr>
                <w:rFonts w:cs="Arial"/>
                <w:sz w:val="20"/>
              </w:rPr>
              <w:t>1.00 (Ref)</w:t>
            </w:r>
          </w:p>
        </w:tc>
        <w:tc>
          <w:tcPr>
            <w:tcW w:w="2125" w:type="dxa"/>
            <w:tcBorders>
              <w:top w:val="single" w:sz="4" w:space="0" w:color="auto"/>
              <w:left w:val="nil"/>
              <w:bottom w:val="single" w:sz="4" w:space="0" w:color="auto"/>
              <w:right w:val="nil"/>
            </w:tcBorders>
            <w:vAlign w:val="bottom"/>
          </w:tcPr>
          <w:p w14:paraId="57E9BCBD" w14:textId="77777777" w:rsidR="00E256AE" w:rsidRPr="006E1B17" w:rsidRDefault="00E256AE" w:rsidP="0077450F">
            <w:pPr>
              <w:spacing w:after="0" w:line="276" w:lineRule="auto"/>
              <w:contextualSpacing/>
              <w:rPr>
                <w:rFonts w:cs="Arial"/>
                <w:sz w:val="20"/>
              </w:rPr>
            </w:pPr>
            <w:r>
              <w:rPr>
                <w:rFonts w:cs="Arial"/>
                <w:sz w:val="20"/>
              </w:rPr>
              <w:t xml:space="preserve">3.39 [1.56; </w:t>
            </w:r>
            <w:proofErr w:type="gramStart"/>
            <w:r>
              <w:rPr>
                <w:rFonts w:cs="Arial"/>
                <w:sz w:val="20"/>
              </w:rPr>
              <w:t>7.38]*</w:t>
            </w:r>
            <w:proofErr w:type="gramEnd"/>
            <w:r>
              <w:rPr>
                <w:rFonts w:cs="Arial"/>
                <w:sz w:val="20"/>
              </w:rPr>
              <w:t>*</w:t>
            </w:r>
          </w:p>
        </w:tc>
        <w:tc>
          <w:tcPr>
            <w:tcW w:w="2127" w:type="dxa"/>
            <w:tcBorders>
              <w:top w:val="single" w:sz="4" w:space="0" w:color="auto"/>
              <w:left w:val="nil"/>
              <w:bottom w:val="single" w:sz="4" w:space="0" w:color="auto"/>
              <w:right w:val="nil"/>
            </w:tcBorders>
          </w:tcPr>
          <w:p w14:paraId="3CFA8F94" w14:textId="77777777" w:rsidR="00E256AE" w:rsidRPr="006E1B17" w:rsidRDefault="00E256AE" w:rsidP="0077450F">
            <w:pPr>
              <w:spacing w:after="0" w:line="276" w:lineRule="auto"/>
              <w:contextualSpacing/>
              <w:rPr>
                <w:rFonts w:cs="Arial"/>
                <w:sz w:val="20"/>
              </w:rPr>
            </w:pPr>
            <w:r>
              <w:rPr>
                <w:rFonts w:cs="Arial"/>
                <w:sz w:val="20"/>
              </w:rPr>
              <w:t xml:space="preserve">6.43 [1.55; </w:t>
            </w:r>
            <w:proofErr w:type="gramStart"/>
            <w:r>
              <w:rPr>
                <w:rFonts w:cs="Arial"/>
                <w:sz w:val="20"/>
              </w:rPr>
              <w:t>26.75]*</w:t>
            </w:r>
            <w:proofErr w:type="gramEnd"/>
          </w:p>
        </w:tc>
        <w:tc>
          <w:tcPr>
            <w:tcW w:w="282" w:type="dxa"/>
            <w:tcBorders>
              <w:top w:val="single" w:sz="4" w:space="0" w:color="auto"/>
              <w:left w:val="nil"/>
              <w:bottom w:val="single" w:sz="4" w:space="0" w:color="auto"/>
              <w:right w:val="nil"/>
            </w:tcBorders>
            <w:vAlign w:val="bottom"/>
          </w:tcPr>
          <w:p w14:paraId="7362F056" w14:textId="77777777" w:rsidR="00E256AE" w:rsidRPr="006E1B17" w:rsidRDefault="00E256AE" w:rsidP="0077450F">
            <w:pPr>
              <w:spacing w:after="0" w:line="276" w:lineRule="auto"/>
              <w:contextualSpacing/>
              <w:rPr>
                <w:rFonts w:cs="Arial"/>
                <w:sz w:val="20"/>
              </w:rPr>
            </w:pPr>
          </w:p>
        </w:tc>
        <w:tc>
          <w:tcPr>
            <w:tcW w:w="1560" w:type="dxa"/>
            <w:tcBorders>
              <w:top w:val="single" w:sz="4" w:space="0" w:color="auto"/>
              <w:left w:val="nil"/>
              <w:bottom w:val="single" w:sz="4" w:space="0" w:color="auto"/>
              <w:right w:val="nil"/>
            </w:tcBorders>
            <w:vAlign w:val="bottom"/>
          </w:tcPr>
          <w:p w14:paraId="35AB0FB3" w14:textId="77777777" w:rsidR="00E256AE" w:rsidRPr="006E1B17" w:rsidRDefault="00E256AE" w:rsidP="0077450F">
            <w:pPr>
              <w:spacing w:after="0" w:line="276" w:lineRule="auto"/>
              <w:contextualSpacing/>
              <w:rPr>
                <w:rFonts w:cs="Arial"/>
                <w:sz w:val="20"/>
              </w:rPr>
            </w:pPr>
            <w:r>
              <w:rPr>
                <w:rFonts w:cs="Arial"/>
                <w:sz w:val="20"/>
              </w:rPr>
              <w:t>1.00 (Ref)</w:t>
            </w:r>
          </w:p>
        </w:tc>
        <w:tc>
          <w:tcPr>
            <w:tcW w:w="1986" w:type="dxa"/>
            <w:tcBorders>
              <w:top w:val="single" w:sz="4" w:space="0" w:color="auto"/>
              <w:left w:val="nil"/>
              <w:bottom w:val="single" w:sz="4" w:space="0" w:color="auto"/>
              <w:right w:val="nil"/>
            </w:tcBorders>
          </w:tcPr>
          <w:p w14:paraId="7E8614A0" w14:textId="77777777" w:rsidR="00E256AE" w:rsidRPr="006E1B17" w:rsidRDefault="00E256AE" w:rsidP="0077450F">
            <w:pPr>
              <w:spacing w:after="0" w:line="276" w:lineRule="auto"/>
              <w:contextualSpacing/>
              <w:rPr>
                <w:rFonts w:cs="Arial"/>
                <w:sz w:val="20"/>
              </w:rPr>
            </w:pPr>
            <w:r>
              <w:rPr>
                <w:rFonts w:cs="Arial"/>
                <w:sz w:val="20"/>
              </w:rPr>
              <w:t>2.62 [0.88; 7.75]</w:t>
            </w:r>
          </w:p>
        </w:tc>
        <w:tc>
          <w:tcPr>
            <w:tcW w:w="1987" w:type="dxa"/>
            <w:tcBorders>
              <w:top w:val="single" w:sz="4" w:space="0" w:color="auto"/>
              <w:left w:val="nil"/>
              <w:bottom w:val="single" w:sz="4" w:space="0" w:color="auto"/>
              <w:right w:val="nil"/>
            </w:tcBorders>
          </w:tcPr>
          <w:p w14:paraId="78D22CB7" w14:textId="77777777" w:rsidR="00E256AE" w:rsidRDefault="00E256AE" w:rsidP="0077450F">
            <w:pPr>
              <w:spacing w:after="0" w:line="276" w:lineRule="auto"/>
              <w:contextualSpacing/>
              <w:rPr>
                <w:rFonts w:cs="Arial"/>
                <w:sz w:val="20"/>
              </w:rPr>
            </w:pPr>
            <w:r>
              <w:rPr>
                <w:rFonts w:cs="Arial"/>
                <w:sz w:val="20"/>
              </w:rPr>
              <w:t xml:space="preserve">7.43 [2.99; </w:t>
            </w:r>
            <w:proofErr w:type="gramStart"/>
            <w:r>
              <w:rPr>
                <w:rFonts w:cs="Arial"/>
                <w:sz w:val="20"/>
              </w:rPr>
              <w:t>18.47]*</w:t>
            </w:r>
            <w:proofErr w:type="gramEnd"/>
          </w:p>
        </w:tc>
      </w:tr>
      <w:tr w:rsidR="00565606" w:rsidRPr="006E1B17" w14:paraId="7CC46D57" w14:textId="77777777" w:rsidTr="00F31E19">
        <w:tc>
          <w:tcPr>
            <w:tcW w:w="2551" w:type="dxa"/>
            <w:gridSpan w:val="4"/>
            <w:tcBorders>
              <w:top w:val="single" w:sz="4" w:space="0" w:color="auto"/>
              <w:bottom w:val="nil"/>
              <w:right w:val="nil"/>
            </w:tcBorders>
          </w:tcPr>
          <w:p w14:paraId="7048C04F" w14:textId="77777777" w:rsidR="00565606" w:rsidRDefault="00565606" w:rsidP="00565606">
            <w:pPr>
              <w:spacing w:after="0" w:line="276" w:lineRule="auto"/>
              <w:contextualSpacing/>
              <w:rPr>
                <w:rFonts w:cs="Arial"/>
                <w:sz w:val="20"/>
              </w:rPr>
            </w:pPr>
            <w:r>
              <w:rPr>
                <w:rFonts w:cs="Arial"/>
                <w:sz w:val="20"/>
              </w:rPr>
              <w:t>Quality of life</w:t>
            </w:r>
          </w:p>
        </w:tc>
        <w:tc>
          <w:tcPr>
            <w:tcW w:w="1419" w:type="dxa"/>
            <w:tcBorders>
              <w:top w:val="single" w:sz="4" w:space="0" w:color="auto"/>
              <w:bottom w:val="nil"/>
            </w:tcBorders>
            <w:vAlign w:val="bottom"/>
          </w:tcPr>
          <w:p w14:paraId="320680F3" w14:textId="77777777" w:rsidR="00565606" w:rsidRPr="006E1B17" w:rsidRDefault="00565606" w:rsidP="00565606">
            <w:pPr>
              <w:spacing w:after="0" w:line="276" w:lineRule="auto"/>
              <w:contextualSpacing/>
              <w:rPr>
                <w:rFonts w:cs="Arial"/>
                <w:sz w:val="20"/>
              </w:rPr>
            </w:pPr>
          </w:p>
        </w:tc>
        <w:tc>
          <w:tcPr>
            <w:tcW w:w="2125" w:type="dxa"/>
            <w:tcBorders>
              <w:top w:val="single" w:sz="4" w:space="0" w:color="auto"/>
              <w:bottom w:val="nil"/>
            </w:tcBorders>
            <w:vAlign w:val="bottom"/>
          </w:tcPr>
          <w:p w14:paraId="3E8DB3A2" w14:textId="77777777" w:rsidR="00565606" w:rsidRPr="006E1B17" w:rsidRDefault="00565606" w:rsidP="00565606">
            <w:pPr>
              <w:spacing w:after="0" w:line="276" w:lineRule="auto"/>
              <w:contextualSpacing/>
              <w:rPr>
                <w:rFonts w:cs="Arial"/>
                <w:sz w:val="20"/>
              </w:rPr>
            </w:pPr>
          </w:p>
        </w:tc>
        <w:tc>
          <w:tcPr>
            <w:tcW w:w="2127" w:type="dxa"/>
            <w:tcBorders>
              <w:top w:val="single" w:sz="4" w:space="0" w:color="auto"/>
              <w:bottom w:val="nil"/>
            </w:tcBorders>
          </w:tcPr>
          <w:p w14:paraId="5D312105" w14:textId="77777777" w:rsidR="00565606" w:rsidRPr="006E1B17" w:rsidRDefault="00565606" w:rsidP="00565606">
            <w:pPr>
              <w:spacing w:after="0" w:line="276" w:lineRule="auto"/>
              <w:contextualSpacing/>
              <w:rPr>
                <w:rFonts w:cs="Arial"/>
                <w:sz w:val="20"/>
              </w:rPr>
            </w:pPr>
          </w:p>
        </w:tc>
        <w:tc>
          <w:tcPr>
            <w:tcW w:w="282" w:type="dxa"/>
            <w:tcBorders>
              <w:top w:val="single" w:sz="4" w:space="0" w:color="auto"/>
              <w:bottom w:val="nil"/>
            </w:tcBorders>
            <w:vAlign w:val="bottom"/>
          </w:tcPr>
          <w:p w14:paraId="40CCAE7C" w14:textId="77777777" w:rsidR="00565606" w:rsidRPr="006E1B17" w:rsidRDefault="00565606" w:rsidP="00565606">
            <w:pPr>
              <w:spacing w:after="0" w:line="276" w:lineRule="auto"/>
              <w:contextualSpacing/>
              <w:rPr>
                <w:rFonts w:cs="Arial"/>
                <w:sz w:val="20"/>
              </w:rPr>
            </w:pPr>
          </w:p>
        </w:tc>
        <w:tc>
          <w:tcPr>
            <w:tcW w:w="1560" w:type="dxa"/>
            <w:tcBorders>
              <w:top w:val="single" w:sz="4" w:space="0" w:color="auto"/>
              <w:bottom w:val="nil"/>
            </w:tcBorders>
          </w:tcPr>
          <w:p w14:paraId="074E9395" w14:textId="77777777" w:rsidR="00565606" w:rsidRPr="006E1B17" w:rsidRDefault="00565606" w:rsidP="00565606">
            <w:pPr>
              <w:spacing w:after="0" w:line="276" w:lineRule="auto"/>
              <w:contextualSpacing/>
              <w:rPr>
                <w:rFonts w:cs="Arial"/>
                <w:sz w:val="20"/>
              </w:rPr>
            </w:pPr>
          </w:p>
        </w:tc>
        <w:tc>
          <w:tcPr>
            <w:tcW w:w="1986" w:type="dxa"/>
            <w:tcBorders>
              <w:top w:val="single" w:sz="4" w:space="0" w:color="auto"/>
              <w:bottom w:val="nil"/>
            </w:tcBorders>
            <w:vAlign w:val="bottom"/>
          </w:tcPr>
          <w:p w14:paraId="6C806802" w14:textId="77777777" w:rsidR="00565606" w:rsidRPr="006E1B17" w:rsidRDefault="00565606" w:rsidP="00565606">
            <w:pPr>
              <w:spacing w:after="0" w:line="276" w:lineRule="auto"/>
              <w:contextualSpacing/>
              <w:rPr>
                <w:rFonts w:cs="Arial"/>
                <w:sz w:val="20"/>
              </w:rPr>
            </w:pPr>
          </w:p>
        </w:tc>
        <w:tc>
          <w:tcPr>
            <w:tcW w:w="1987" w:type="dxa"/>
            <w:tcBorders>
              <w:top w:val="single" w:sz="4" w:space="0" w:color="auto"/>
              <w:bottom w:val="nil"/>
            </w:tcBorders>
          </w:tcPr>
          <w:p w14:paraId="15230D5D" w14:textId="77777777" w:rsidR="00565606" w:rsidRPr="006E1B17" w:rsidRDefault="00565606" w:rsidP="00565606">
            <w:pPr>
              <w:spacing w:after="0" w:line="276" w:lineRule="auto"/>
              <w:contextualSpacing/>
              <w:rPr>
                <w:rFonts w:cs="Arial"/>
                <w:sz w:val="20"/>
              </w:rPr>
            </w:pPr>
          </w:p>
        </w:tc>
      </w:tr>
      <w:tr w:rsidR="00565606" w:rsidRPr="006E1B17" w14:paraId="3400AC42" w14:textId="77777777" w:rsidTr="00F31E19">
        <w:tc>
          <w:tcPr>
            <w:tcW w:w="282" w:type="dxa"/>
            <w:tcBorders>
              <w:top w:val="nil"/>
              <w:bottom w:val="nil"/>
              <w:right w:val="nil"/>
            </w:tcBorders>
          </w:tcPr>
          <w:p w14:paraId="16A3AA87" w14:textId="77777777" w:rsidR="00565606" w:rsidRPr="00375C08" w:rsidRDefault="00565606" w:rsidP="00565606">
            <w:pPr>
              <w:spacing w:after="0" w:line="276" w:lineRule="auto"/>
              <w:contextualSpacing/>
              <w:rPr>
                <w:rFonts w:cs="Arial"/>
                <w:color w:val="FF0000"/>
                <w:sz w:val="20"/>
              </w:rPr>
            </w:pPr>
          </w:p>
        </w:tc>
        <w:tc>
          <w:tcPr>
            <w:tcW w:w="2269" w:type="dxa"/>
            <w:gridSpan w:val="3"/>
            <w:tcBorders>
              <w:top w:val="nil"/>
              <w:left w:val="nil"/>
              <w:bottom w:val="single" w:sz="4" w:space="0" w:color="auto"/>
              <w:right w:val="nil"/>
            </w:tcBorders>
            <w:vAlign w:val="center"/>
          </w:tcPr>
          <w:p w14:paraId="1FD1C3B4" w14:textId="77777777" w:rsidR="00565606" w:rsidRPr="00375C08" w:rsidRDefault="00565606" w:rsidP="00565606">
            <w:pPr>
              <w:spacing w:after="0" w:line="276" w:lineRule="auto"/>
              <w:contextualSpacing/>
              <w:rPr>
                <w:rFonts w:cs="Arial"/>
                <w:sz w:val="20"/>
              </w:rPr>
            </w:pPr>
            <w:r>
              <w:rPr>
                <w:rFonts w:cs="Arial"/>
                <w:sz w:val="20"/>
              </w:rPr>
              <w:t>Mean score (SE)</w:t>
            </w:r>
          </w:p>
        </w:tc>
        <w:tc>
          <w:tcPr>
            <w:tcW w:w="1419" w:type="dxa"/>
            <w:tcBorders>
              <w:top w:val="nil"/>
              <w:left w:val="nil"/>
              <w:bottom w:val="single" w:sz="4" w:space="0" w:color="auto"/>
              <w:right w:val="nil"/>
            </w:tcBorders>
            <w:vAlign w:val="bottom"/>
          </w:tcPr>
          <w:p w14:paraId="4D4D8EE1" w14:textId="77777777" w:rsidR="00565606" w:rsidRPr="006E1B17" w:rsidRDefault="007A17F1" w:rsidP="00565606">
            <w:pPr>
              <w:spacing w:after="0" w:line="276" w:lineRule="auto"/>
              <w:contextualSpacing/>
              <w:rPr>
                <w:rFonts w:cs="Arial"/>
                <w:sz w:val="20"/>
              </w:rPr>
            </w:pPr>
            <w:r>
              <w:rPr>
                <w:rFonts w:cs="Arial"/>
                <w:sz w:val="20"/>
              </w:rPr>
              <w:t>43.20 (0.71)</w:t>
            </w:r>
          </w:p>
        </w:tc>
        <w:tc>
          <w:tcPr>
            <w:tcW w:w="2125" w:type="dxa"/>
            <w:tcBorders>
              <w:top w:val="nil"/>
              <w:left w:val="nil"/>
              <w:bottom w:val="single" w:sz="4" w:space="0" w:color="auto"/>
              <w:right w:val="nil"/>
            </w:tcBorders>
            <w:vAlign w:val="bottom"/>
          </w:tcPr>
          <w:p w14:paraId="336F3A4F" w14:textId="77777777" w:rsidR="00565606" w:rsidRPr="006E1B17" w:rsidRDefault="007A17F1" w:rsidP="00565606">
            <w:pPr>
              <w:spacing w:after="0" w:line="276" w:lineRule="auto"/>
              <w:contextualSpacing/>
              <w:rPr>
                <w:rFonts w:cs="Arial"/>
                <w:sz w:val="20"/>
              </w:rPr>
            </w:pPr>
            <w:r>
              <w:rPr>
                <w:rFonts w:cs="Arial"/>
                <w:sz w:val="20"/>
              </w:rPr>
              <w:t>39.89 (0.78)</w:t>
            </w:r>
          </w:p>
        </w:tc>
        <w:tc>
          <w:tcPr>
            <w:tcW w:w="2127" w:type="dxa"/>
            <w:tcBorders>
              <w:top w:val="nil"/>
              <w:left w:val="nil"/>
              <w:bottom w:val="single" w:sz="4" w:space="0" w:color="auto"/>
              <w:right w:val="nil"/>
            </w:tcBorders>
          </w:tcPr>
          <w:p w14:paraId="4D1CCA1B" w14:textId="77777777" w:rsidR="00565606" w:rsidRPr="006E1B17" w:rsidRDefault="007A17F1" w:rsidP="00565606">
            <w:pPr>
              <w:spacing w:after="0" w:line="276" w:lineRule="auto"/>
              <w:contextualSpacing/>
              <w:rPr>
                <w:rFonts w:cs="Arial"/>
                <w:sz w:val="20"/>
              </w:rPr>
            </w:pPr>
            <w:r>
              <w:rPr>
                <w:rFonts w:cs="Arial"/>
                <w:sz w:val="20"/>
              </w:rPr>
              <w:t>38.66 (2.27)</w:t>
            </w:r>
          </w:p>
        </w:tc>
        <w:tc>
          <w:tcPr>
            <w:tcW w:w="282" w:type="dxa"/>
            <w:tcBorders>
              <w:top w:val="nil"/>
              <w:left w:val="nil"/>
              <w:bottom w:val="single" w:sz="4" w:space="0" w:color="auto"/>
              <w:right w:val="nil"/>
            </w:tcBorders>
            <w:vAlign w:val="bottom"/>
          </w:tcPr>
          <w:p w14:paraId="64824CBE" w14:textId="77777777" w:rsidR="00565606" w:rsidRPr="006E1B17" w:rsidRDefault="00565606" w:rsidP="00565606">
            <w:pPr>
              <w:spacing w:after="0" w:line="276" w:lineRule="auto"/>
              <w:contextualSpacing/>
              <w:rPr>
                <w:rFonts w:cs="Arial"/>
                <w:sz w:val="20"/>
              </w:rPr>
            </w:pPr>
          </w:p>
        </w:tc>
        <w:tc>
          <w:tcPr>
            <w:tcW w:w="1560" w:type="dxa"/>
            <w:tcBorders>
              <w:top w:val="nil"/>
              <w:left w:val="nil"/>
              <w:bottom w:val="single" w:sz="4" w:space="0" w:color="auto"/>
              <w:right w:val="nil"/>
            </w:tcBorders>
            <w:vAlign w:val="bottom"/>
          </w:tcPr>
          <w:p w14:paraId="75C6F42E" w14:textId="77777777" w:rsidR="00565606" w:rsidRPr="006E1B17" w:rsidRDefault="009C6A93" w:rsidP="00565606">
            <w:pPr>
              <w:spacing w:after="0" w:line="276" w:lineRule="auto"/>
              <w:contextualSpacing/>
              <w:rPr>
                <w:rFonts w:cs="Arial"/>
                <w:sz w:val="20"/>
              </w:rPr>
            </w:pPr>
            <w:r>
              <w:rPr>
                <w:rFonts w:cs="Arial"/>
                <w:sz w:val="20"/>
              </w:rPr>
              <w:t>43.24 (0.55)</w:t>
            </w:r>
          </w:p>
        </w:tc>
        <w:tc>
          <w:tcPr>
            <w:tcW w:w="1986" w:type="dxa"/>
            <w:tcBorders>
              <w:top w:val="nil"/>
              <w:left w:val="nil"/>
              <w:bottom w:val="single" w:sz="4" w:space="0" w:color="auto"/>
              <w:right w:val="nil"/>
            </w:tcBorders>
          </w:tcPr>
          <w:p w14:paraId="6C927CC6" w14:textId="77777777" w:rsidR="00565606" w:rsidRPr="006E1B17" w:rsidRDefault="009C6A93" w:rsidP="00565606">
            <w:pPr>
              <w:spacing w:after="0" w:line="276" w:lineRule="auto"/>
              <w:contextualSpacing/>
              <w:rPr>
                <w:rFonts w:cs="Arial"/>
                <w:sz w:val="20"/>
              </w:rPr>
            </w:pPr>
            <w:r>
              <w:rPr>
                <w:rFonts w:cs="Arial"/>
                <w:sz w:val="20"/>
              </w:rPr>
              <w:t>41.55 (0.61)</w:t>
            </w:r>
          </w:p>
        </w:tc>
        <w:tc>
          <w:tcPr>
            <w:tcW w:w="1987" w:type="dxa"/>
            <w:tcBorders>
              <w:top w:val="nil"/>
              <w:left w:val="nil"/>
              <w:bottom w:val="single" w:sz="4" w:space="0" w:color="auto"/>
              <w:right w:val="nil"/>
            </w:tcBorders>
          </w:tcPr>
          <w:p w14:paraId="4AC99FB4" w14:textId="77777777" w:rsidR="00565606" w:rsidRDefault="009C6A93" w:rsidP="00565606">
            <w:pPr>
              <w:spacing w:after="0" w:line="276" w:lineRule="auto"/>
              <w:contextualSpacing/>
              <w:rPr>
                <w:rFonts w:cs="Arial"/>
                <w:sz w:val="20"/>
              </w:rPr>
            </w:pPr>
            <w:r>
              <w:rPr>
                <w:rFonts w:cs="Arial"/>
                <w:sz w:val="20"/>
              </w:rPr>
              <w:t>38.80 (1.59)</w:t>
            </w:r>
          </w:p>
        </w:tc>
      </w:tr>
      <w:tr w:rsidR="00565606" w:rsidRPr="006E1B17" w14:paraId="1C5DDE4D" w14:textId="77777777" w:rsidTr="00F31E19">
        <w:tc>
          <w:tcPr>
            <w:tcW w:w="282" w:type="dxa"/>
            <w:tcBorders>
              <w:top w:val="nil"/>
              <w:bottom w:val="single" w:sz="4" w:space="0" w:color="auto"/>
              <w:right w:val="nil"/>
            </w:tcBorders>
          </w:tcPr>
          <w:p w14:paraId="18DD4116" w14:textId="77777777" w:rsidR="00565606" w:rsidRPr="00375C08" w:rsidRDefault="00565606" w:rsidP="00565606">
            <w:pPr>
              <w:spacing w:after="0" w:line="276" w:lineRule="auto"/>
              <w:contextualSpacing/>
              <w:rPr>
                <w:rFonts w:cs="Arial"/>
                <w:color w:val="FF0000"/>
                <w:sz w:val="20"/>
              </w:rPr>
            </w:pPr>
          </w:p>
        </w:tc>
        <w:tc>
          <w:tcPr>
            <w:tcW w:w="2269" w:type="dxa"/>
            <w:gridSpan w:val="3"/>
            <w:tcBorders>
              <w:top w:val="single" w:sz="4" w:space="0" w:color="auto"/>
              <w:left w:val="nil"/>
              <w:bottom w:val="single" w:sz="4" w:space="0" w:color="auto"/>
              <w:right w:val="nil"/>
            </w:tcBorders>
            <w:vAlign w:val="center"/>
          </w:tcPr>
          <w:p w14:paraId="7B16AC0D" w14:textId="77777777" w:rsidR="00565606" w:rsidRDefault="0085103F" w:rsidP="00565606">
            <w:pPr>
              <w:spacing w:after="0" w:line="276" w:lineRule="auto"/>
              <w:contextualSpacing/>
              <w:rPr>
                <w:rFonts w:cs="Arial"/>
                <w:sz w:val="20"/>
              </w:rPr>
            </w:pPr>
            <w:proofErr w:type="spellStart"/>
            <w:r>
              <w:rPr>
                <w:rFonts w:cs="Arial"/>
                <w:sz w:val="20"/>
              </w:rPr>
              <w:t>Coeff</w:t>
            </w:r>
            <w:proofErr w:type="spellEnd"/>
            <w:r w:rsidR="00565606">
              <w:rPr>
                <w:rFonts w:cs="Arial"/>
                <w:sz w:val="20"/>
              </w:rPr>
              <w:t>. [95%CI]</w:t>
            </w:r>
          </w:p>
        </w:tc>
        <w:tc>
          <w:tcPr>
            <w:tcW w:w="1419" w:type="dxa"/>
            <w:tcBorders>
              <w:top w:val="single" w:sz="4" w:space="0" w:color="auto"/>
              <w:left w:val="nil"/>
              <w:bottom w:val="single" w:sz="4" w:space="0" w:color="auto"/>
              <w:right w:val="nil"/>
            </w:tcBorders>
            <w:vAlign w:val="bottom"/>
          </w:tcPr>
          <w:p w14:paraId="2FD35E5E" w14:textId="77777777" w:rsidR="00565606" w:rsidRPr="006E1B17" w:rsidRDefault="00565606" w:rsidP="00565606">
            <w:pPr>
              <w:spacing w:after="0" w:line="276" w:lineRule="auto"/>
              <w:contextualSpacing/>
              <w:rPr>
                <w:rFonts w:cs="Arial"/>
                <w:sz w:val="20"/>
              </w:rPr>
            </w:pPr>
            <w:r>
              <w:rPr>
                <w:rFonts w:cs="Arial"/>
                <w:sz w:val="20"/>
              </w:rPr>
              <w:t>Ref</w:t>
            </w:r>
          </w:p>
        </w:tc>
        <w:tc>
          <w:tcPr>
            <w:tcW w:w="2125" w:type="dxa"/>
            <w:tcBorders>
              <w:top w:val="single" w:sz="4" w:space="0" w:color="auto"/>
              <w:left w:val="nil"/>
              <w:bottom w:val="single" w:sz="4" w:space="0" w:color="auto"/>
              <w:right w:val="nil"/>
            </w:tcBorders>
            <w:vAlign w:val="bottom"/>
          </w:tcPr>
          <w:p w14:paraId="5AD80880" w14:textId="77777777" w:rsidR="00565606" w:rsidRPr="006E1B17" w:rsidRDefault="00127909" w:rsidP="00565606">
            <w:pPr>
              <w:spacing w:after="0" w:line="276" w:lineRule="auto"/>
              <w:contextualSpacing/>
              <w:rPr>
                <w:rFonts w:cs="Arial"/>
                <w:sz w:val="20"/>
              </w:rPr>
            </w:pPr>
            <w:r>
              <w:rPr>
                <w:rFonts w:cs="Arial"/>
                <w:sz w:val="20"/>
              </w:rPr>
              <w:t>-3.31 [</w:t>
            </w:r>
            <w:r w:rsidR="00B94516">
              <w:rPr>
                <w:rFonts w:cs="Arial"/>
                <w:sz w:val="20"/>
              </w:rPr>
              <w:t xml:space="preserve">-5.46; </w:t>
            </w:r>
            <w:r w:rsidR="005D3665">
              <w:rPr>
                <w:rFonts w:cs="Arial"/>
                <w:sz w:val="20"/>
              </w:rPr>
              <w:t>-1.</w:t>
            </w:r>
            <w:proofErr w:type="gramStart"/>
            <w:r w:rsidR="005D3665">
              <w:rPr>
                <w:rFonts w:cs="Arial"/>
                <w:sz w:val="20"/>
              </w:rPr>
              <w:t>16]</w:t>
            </w:r>
            <w:r w:rsidR="00882F7B">
              <w:rPr>
                <w:rFonts w:cs="Arial"/>
                <w:sz w:val="20"/>
              </w:rPr>
              <w:t>*</w:t>
            </w:r>
            <w:proofErr w:type="gramEnd"/>
            <w:r w:rsidR="00882F7B">
              <w:rPr>
                <w:rFonts w:cs="Arial"/>
                <w:sz w:val="20"/>
              </w:rPr>
              <w:t>*</w:t>
            </w:r>
          </w:p>
        </w:tc>
        <w:tc>
          <w:tcPr>
            <w:tcW w:w="2127" w:type="dxa"/>
            <w:tcBorders>
              <w:top w:val="single" w:sz="4" w:space="0" w:color="auto"/>
              <w:left w:val="nil"/>
              <w:bottom w:val="single" w:sz="4" w:space="0" w:color="auto"/>
              <w:right w:val="nil"/>
            </w:tcBorders>
          </w:tcPr>
          <w:p w14:paraId="2CCAF3DD" w14:textId="77777777" w:rsidR="00565606" w:rsidRPr="006E1B17" w:rsidRDefault="00207B26" w:rsidP="00565606">
            <w:pPr>
              <w:spacing w:after="0" w:line="276" w:lineRule="auto"/>
              <w:contextualSpacing/>
              <w:rPr>
                <w:rFonts w:cs="Arial"/>
                <w:sz w:val="20"/>
              </w:rPr>
            </w:pPr>
            <w:r>
              <w:rPr>
                <w:rFonts w:cs="Arial"/>
                <w:sz w:val="20"/>
              </w:rPr>
              <w:t>-4.54 [</w:t>
            </w:r>
            <w:r w:rsidR="00286EDB">
              <w:rPr>
                <w:rFonts w:cs="Arial"/>
                <w:sz w:val="20"/>
              </w:rPr>
              <w:t xml:space="preserve">-9.27; </w:t>
            </w:r>
            <w:r w:rsidR="0005251D">
              <w:rPr>
                <w:rFonts w:cs="Arial"/>
                <w:sz w:val="20"/>
              </w:rPr>
              <w:t>0.19]</w:t>
            </w:r>
          </w:p>
        </w:tc>
        <w:tc>
          <w:tcPr>
            <w:tcW w:w="282" w:type="dxa"/>
            <w:tcBorders>
              <w:top w:val="single" w:sz="4" w:space="0" w:color="auto"/>
              <w:left w:val="nil"/>
              <w:bottom w:val="single" w:sz="4" w:space="0" w:color="auto"/>
              <w:right w:val="nil"/>
            </w:tcBorders>
            <w:vAlign w:val="bottom"/>
          </w:tcPr>
          <w:p w14:paraId="00FA2534" w14:textId="77777777" w:rsidR="00565606" w:rsidRPr="006E1B17" w:rsidRDefault="00565606" w:rsidP="00565606">
            <w:pPr>
              <w:spacing w:after="0" w:line="276" w:lineRule="auto"/>
              <w:contextualSpacing/>
              <w:rPr>
                <w:rFonts w:cs="Arial"/>
                <w:sz w:val="20"/>
              </w:rPr>
            </w:pPr>
          </w:p>
        </w:tc>
        <w:tc>
          <w:tcPr>
            <w:tcW w:w="1560" w:type="dxa"/>
            <w:tcBorders>
              <w:top w:val="single" w:sz="4" w:space="0" w:color="auto"/>
              <w:left w:val="nil"/>
              <w:bottom w:val="single" w:sz="4" w:space="0" w:color="auto"/>
              <w:right w:val="nil"/>
            </w:tcBorders>
            <w:vAlign w:val="bottom"/>
          </w:tcPr>
          <w:p w14:paraId="1771ED0C" w14:textId="77777777" w:rsidR="00565606" w:rsidRPr="006E1B17" w:rsidRDefault="00565606" w:rsidP="00565606">
            <w:pPr>
              <w:spacing w:after="0" w:line="276" w:lineRule="auto"/>
              <w:contextualSpacing/>
              <w:rPr>
                <w:rFonts w:cs="Arial"/>
                <w:sz w:val="20"/>
              </w:rPr>
            </w:pPr>
            <w:r>
              <w:rPr>
                <w:rFonts w:cs="Arial"/>
                <w:sz w:val="20"/>
              </w:rPr>
              <w:t>Ref</w:t>
            </w:r>
          </w:p>
        </w:tc>
        <w:tc>
          <w:tcPr>
            <w:tcW w:w="1986" w:type="dxa"/>
            <w:tcBorders>
              <w:top w:val="single" w:sz="4" w:space="0" w:color="auto"/>
              <w:left w:val="nil"/>
              <w:bottom w:val="single" w:sz="4" w:space="0" w:color="auto"/>
              <w:right w:val="nil"/>
            </w:tcBorders>
          </w:tcPr>
          <w:p w14:paraId="089F9ED6" w14:textId="77777777" w:rsidR="00565606" w:rsidRPr="006E1B17" w:rsidRDefault="00A41E5E" w:rsidP="00565606">
            <w:pPr>
              <w:spacing w:after="0" w:line="276" w:lineRule="auto"/>
              <w:contextualSpacing/>
              <w:rPr>
                <w:rFonts w:cs="Arial"/>
                <w:sz w:val="20"/>
              </w:rPr>
            </w:pPr>
            <w:r>
              <w:rPr>
                <w:rFonts w:cs="Arial"/>
                <w:sz w:val="20"/>
              </w:rPr>
              <w:t>-</w:t>
            </w:r>
            <w:r w:rsidR="00EB46B2">
              <w:rPr>
                <w:rFonts w:cs="Arial"/>
                <w:sz w:val="20"/>
              </w:rPr>
              <w:t>1.69 [</w:t>
            </w:r>
            <w:r w:rsidR="00695F06">
              <w:rPr>
                <w:rFonts w:cs="Arial"/>
                <w:sz w:val="20"/>
              </w:rPr>
              <w:t xml:space="preserve">-3.36; </w:t>
            </w:r>
            <w:r w:rsidR="00FA2093">
              <w:rPr>
                <w:rFonts w:cs="Arial"/>
                <w:sz w:val="20"/>
              </w:rPr>
              <w:t>-0.</w:t>
            </w:r>
            <w:proofErr w:type="gramStart"/>
            <w:r w:rsidR="00FA2093">
              <w:rPr>
                <w:rFonts w:cs="Arial"/>
                <w:sz w:val="20"/>
              </w:rPr>
              <w:t>02]</w:t>
            </w:r>
            <w:r w:rsidR="00F9509D">
              <w:rPr>
                <w:rFonts w:cs="Arial"/>
                <w:sz w:val="20"/>
              </w:rPr>
              <w:t>*</w:t>
            </w:r>
            <w:proofErr w:type="gramEnd"/>
          </w:p>
        </w:tc>
        <w:tc>
          <w:tcPr>
            <w:tcW w:w="1987" w:type="dxa"/>
            <w:tcBorders>
              <w:top w:val="single" w:sz="4" w:space="0" w:color="auto"/>
              <w:left w:val="nil"/>
              <w:bottom w:val="single" w:sz="4" w:space="0" w:color="auto"/>
              <w:right w:val="nil"/>
            </w:tcBorders>
          </w:tcPr>
          <w:p w14:paraId="6E9D1C91" w14:textId="77777777" w:rsidR="00565606" w:rsidRDefault="00827BAC" w:rsidP="00565606">
            <w:pPr>
              <w:spacing w:after="0" w:line="276" w:lineRule="auto"/>
              <w:contextualSpacing/>
              <w:rPr>
                <w:rFonts w:cs="Arial"/>
                <w:sz w:val="20"/>
              </w:rPr>
            </w:pPr>
            <w:r>
              <w:rPr>
                <w:rFonts w:cs="Arial"/>
                <w:sz w:val="20"/>
              </w:rPr>
              <w:t>-4.44 [</w:t>
            </w:r>
            <w:r w:rsidR="00475731">
              <w:rPr>
                <w:rFonts w:cs="Arial"/>
                <w:sz w:val="20"/>
              </w:rPr>
              <w:t xml:space="preserve">-7.79; </w:t>
            </w:r>
            <w:r w:rsidR="00440F26">
              <w:rPr>
                <w:rFonts w:cs="Arial"/>
                <w:sz w:val="20"/>
              </w:rPr>
              <w:t>-1.</w:t>
            </w:r>
            <w:proofErr w:type="gramStart"/>
            <w:r w:rsidR="00440F26">
              <w:rPr>
                <w:rFonts w:cs="Arial"/>
                <w:sz w:val="20"/>
              </w:rPr>
              <w:t>08]</w:t>
            </w:r>
            <w:r w:rsidR="00D97529">
              <w:rPr>
                <w:rFonts w:cs="Arial"/>
                <w:sz w:val="20"/>
              </w:rPr>
              <w:t>*</w:t>
            </w:r>
            <w:proofErr w:type="gramEnd"/>
          </w:p>
        </w:tc>
      </w:tr>
      <w:tr w:rsidR="00565606" w:rsidRPr="006E1B17" w14:paraId="51350CCD" w14:textId="77777777" w:rsidTr="00F31E19">
        <w:tc>
          <w:tcPr>
            <w:tcW w:w="2551" w:type="dxa"/>
            <w:gridSpan w:val="4"/>
            <w:tcBorders>
              <w:top w:val="single" w:sz="4" w:space="0" w:color="auto"/>
              <w:bottom w:val="nil"/>
              <w:right w:val="nil"/>
            </w:tcBorders>
          </w:tcPr>
          <w:p w14:paraId="5825F654" w14:textId="77777777" w:rsidR="00565606" w:rsidRDefault="00565606" w:rsidP="00565606">
            <w:pPr>
              <w:spacing w:after="0" w:line="276" w:lineRule="auto"/>
              <w:contextualSpacing/>
              <w:rPr>
                <w:rFonts w:cs="Arial"/>
                <w:sz w:val="20"/>
              </w:rPr>
            </w:pPr>
            <w:r>
              <w:rPr>
                <w:rFonts w:cs="Arial"/>
                <w:sz w:val="20"/>
              </w:rPr>
              <w:t>Life satisfaction</w:t>
            </w:r>
          </w:p>
        </w:tc>
        <w:tc>
          <w:tcPr>
            <w:tcW w:w="1419" w:type="dxa"/>
            <w:tcBorders>
              <w:top w:val="single" w:sz="4" w:space="0" w:color="auto"/>
              <w:bottom w:val="nil"/>
            </w:tcBorders>
            <w:vAlign w:val="bottom"/>
          </w:tcPr>
          <w:p w14:paraId="4367E3DC" w14:textId="77777777" w:rsidR="00565606" w:rsidRPr="006E1B17" w:rsidRDefault="00565606" w:rsidP="00565606">
            <w:pPr>
              <w:spacing w:after="0" w:line="276" w:lineRule="auto"/>
              <w:contextualSpacing/>
              <w:rPr>
                <w:rFonts w:cs="Arial"/>
                <w:sz w:val="20"/>
              </w:rPr>
            </w:pPr>
          </w:p>
        </w:tc>
        <w:tc>
          <w:tcPr>
            <w:tcW w:w="2125" w:type="dxa"/>
            <w:tcBorders>
              <w:top w:val="single" w:sz="4" w:space="0" w:color="auto"/>
              <w:bottom w:val="nil"/>
            </w:tcBorders>
            <w:vAlign w:val="bottom"/>
          </w:tcPr>
          <w:p w14:paraId="039D459E" w14:textId="77777777" w:rsidR="00565606" w:rsidRPr="006E1B17" w:rsidRDefault="00565606" w:rsidP="00565606">
            <w:pPr>
              <w:spacing w:after="0" w:line="276" w:lineRule="auto"/>
              <w:contextualSpacing/>
              <w:rPr>
                <w:rFonts w:cs="Arial"/>
                <w:sz w:val="20"/>
              </w:rPr>
            </w:pPr>
          </w:p>
        </w:tc>
        <w:tc>
          <w:tcPr>
            <w:tcW w:w="2127" w:type="dxa"/>
            <w:tcBorders>
              <w:top w:val="single" w:sz="4" w:space="0" w:color="auto"/>
              <w:bottom w:val="nil"/>
            </w:tcBorders>
          </w:tcPr>
          <w:p w14:paraId="438477F2" w14:textId="77777777" w:rsidR="00565606" w:rsidRPr="006E1B17" w:rsidRDefault="00565606" w:rsidP="00565606">
            <w:pPr>
              <w:spacing w:after="0" w:line="276" w:lineRule="auto"/>
              <w:contextualSpacing/>
              <w:rPr>
                <w:rFonts w:cs="Arial"/>
                <w:sz w:val="20"/>
              </w:rPr>
            </w:pPr>
          </w:p>
        </w:tc>
        <w:tc>
          <w:tcPr>
            <w:tcW w:w="282" w:type="dxa"/>
            <w:tcBorders>
              <w:top w:val="single" w:sz="4" w:space="0" w:color="auto"/>
              <w:bottom w:val="nil"/>
            </w:tcBorders>
            <w:vAlign w:val="bottom"/>
          </w:tcPr>
          <w:p w14:paraId="4BFA4592" w14:textId="77777777" w:rsidR="00565606" w:rsidRPr="006E1B17" w:rsidRDefault="00565606" w:rsidP="00565606">
            <w:pPr>
              <w:spacing w:after="0" w:line="276" w:lineRule="auto"/>
              <w:contextualSpacing/>
              <w:rPr>
                <w:rFonts w:cs="Arial"/>
                <w:sz w:val="20"/>
              </w:rPr>
            </w:pPr>
          </w:p>
        </w:tc>
        <w:tc>
          <w:tcPr>
            <w:tcW w:w="1560" w:type="dxa"/>
            <w:tcBorders>
              <w:top w:val="single" w:sz="4" w:space="0" w:color="auto"/>
              <w:bottom w:val="nil"/>
            </w:tcBorders>
          </w:tcPr>
          <w:p w14:paraId="5B4BD6E4" w14:textId="77777777" w:rsidR="00565606" w:rsidRPr="006E1B17" w:rsidRDefault="00565606" w:rsidP="00565606">
            <w:pPr>
              <w:spacing w:after="0" w:line="276" w:lineRule="auto"/>
              <w:contextualSpacing/>
              <w:rPr>
                <w:rFonts w:cs="Arial"/>
                <w:sz w:val="20"/>
              </w:rPr>
            </w:pPr>
          </w:p>
        </w:tc>
        <w:tc>
          <w:tcPr>
            <w:tcW w:w="1986" w:type="dxa"/>
            <w:tcBorders>
              <w:top w:val="single" w:sz="4" w:space="0" w:color="auto"/>
              <w:bottom w:val="nil"/>
            </w:tcBorders>
            <w:vAlign w:val="bottom"/>
          </w:tcPr>
          <w:p w14:paraId="077FD567" w14:textId="77777777" w:rsidR="00565606" w:rsidRPr="006E1B17" w:rsidRDefault="00565606" w:rsidP="00565606">
            <w:pPr>
              <w:spacing w:after="0" w:line="276" w:lineRule="auto"/>
              <w:contextualSpacing/>
              <w:rPr>
                <w:rFonts w:cs="Arial"/>
                <w:sz w:val="20"/>
              </w:rPr>
            </w:pPr>
          </w:p>
        </w:tc>
        <w:tc>
          <w:tcPr>
            <w:tcW w:w="1987" w:type="dxa"/>
            <w:tcBorders>
              <w:top w:val="single" w:sz="4" w:space="0" w:color="auto"/>
              <w:bottom w:val="nil"/>
            </w:tcBorders>
          </w:tcPr>
          <w:p w14:paraId="4E2A8B76" w14:textId="77777777" w:rsidR="00565606" w:rsidRPr="006E1B17" w:rsidRDefault="00565606" w:rsidP="00565606">
            <w:pPr>
              <w:spacing w:after="0" w:line="276" w:lineRule="auto"/>
              <w:contextualSpacing/>
              <w:rPr>
                <w:rFonts w:cs="Arial"/>
                <w:sz w:val="20"/>
              </w:rPr>
            </w:pPr>
          </w:p>
        </w:tc>
      </w:tr>
      <w:tr w:rsidR="00565606" w:rsidRPr="006E1B17" w14:paraId="2CDF946B" w14:textId="77777777" w:rsidTr="00F31E19">
        <w:tc>
          <w:tcPr>
            <w:tcW w:w="282" w:type="dxa"/>
            <w:tcBorders>
              <w:top w:val="nil"/>
              <w:bottom w:val="nil"/>
              <w:right w:val="nil"/>
            </w:tcBorders>
          </w:tcPr>
          <w:p w14:paraId="7B38F3A1" w14:textId="77777777" w:rsidR="00565606" w:rsidRPr="00375C08" w:rsidRDefault="00565606" w:rsidP="00565606">
            <w:pPr>
              <w:spacing w:after="0" w:line="276" w:lineRule="auto"/>
              <w:contextualSpacing/>
              <w:rPr>
                <w:rFonts w:cs="Arial"/>
                <w:color w:val="FF0000"/>
                <w:sz w:val="20"/>
              </w:rPr>
            </w:pPr>
          </w:p>
        </w:tc>
        <w:tc>
          <w:tcPr>
            <w:tcW w:w="2269" w:type="dxa"/>
            <w:gridSpan w:val="3"/>
            <w:tcBorders>
              <w:top w:val="nil"/>
              <w:left w:val="nil"/>
              <w:bottom w:val="single" w:sz="4" w:space="0" w:color="auto"/>
              <w:right w:val="nil"/>
            </w:tcBorders>
            <w:vAlign w:val="center"/>
          </w:tcPr>
          <w:p w14:paraId="52E75B8D" w14:textId="77777777" w:rsidR="00565606" w:rsidRPr="00375C08" w:rsidRDefault="00565606" w:rsidP="00565606">
            <w:pPr>
              <w:spacing w:after="0" w:line="276" w:lineRule="auto"/>
              <w:contextualSpacing/>
              <w:rPr>
                <w:rFonts w:cs="Arial"/>
                <w:sz w:val="20"/>
              </w:rPr>
            </w:pPr>
            <w:r>
              <w:rPr>
                <w:rFonts w:cs="Arial"/>
                <w:sz w:val="20"/>
              </w:rPr>
              <w:t>Mean score (SE)</w:t>
            </w:r>
          </w:p>
        </w:tc>
        <w:tc>
          <w:tcPr>
            <w:tcW w:w="1419" w:type="dxa"/>
            <w:tcBorders>
              <w:top w:val="nil"/>
              <w:left w:val="nil"/>
              <w:bottom w:val="single" w:sz="4" w:space="0" w:color="auto"/>
              <w:right w:val="nil"/>
            </w:tcBorders>
            <w:vAlign w:val="bottom"/>
          </w:tcPr>
          <w:p w14:paraId="10B01800" w14:textId="77777777" w:rsidR="00565606" w:rsidRPr="006E1B17" w:rsidRDefault="007A17F1" w:rsidP="00565606">
            <w:pPr>
              <w:spacing w:after="0" w:line="276" w:lineRule="auto"/>
              <w:contextualSpacing/>
              <w:rPr>
                <w:rFonts w:cs="Arial"/>
                <w:sz w:val="20"/>
              </w:rPr>
            </w:pPr>
            <w:r>
              <w:rPr>
                <w:rFonts w:cs="Arial"/>
                <w:sz w:val="20"/>
              </w:rPr>
              <w:t>20.94 (0.53)</w:t>
            </w:r>
          </w:p>
        </w:tc>
        <w:tc>
          <w:tcPr>
            <w:tcW w:w="2125" w:type="dxa"/>
            <w:tcBorders>
              <w:top w:val="nil"/>
              <w:left w:val="nil"/>
              <w:bottom w:val="single" w:sz="4" w:space="0" w:color="auto"/>
              <w:right w:val="nil"/>
            </w:tcBorders>
            <w:vAlign w:val="bottom"/>
          </w:tcPr>
          <w:p w14:paraId="4E95816E" w14:textId="77777777" w:rsidR="00565606" w:rsidRPr="006E1B17" w:rsidRDefault="007A17F1" w:rsidP="00565606">
            <w:pPr>
              <w:spacing w:after="0" w:line="276" w:lineRule="auto"/>
              <w:contextualSpacing/>
              <w:rPr>
                <w:rFonts w:cs="Arial"/>
                <w:sz w:val="20"/>
              </w:rPr>
            </w:pPr>
            <w:r>
              <w:rPr>
                <w:rFonts w:cs="Arial"/>
                <w:sz w:val="20"/>
              </w:rPr>
              <w:t>20.26 (0.59)</w:t>
            </w:r>
          </w:p>
        </w:tc>
        <w:tc>
          <w:tcPr>
            <w:tcW w:w="2127" w:type="dxa"/>
            <w:tcBorders>
              <w:top w:val="nil"/>
              <w:left w:val="nil"/>
              <w:bottom w:val="single" w:sz="4" w:space="0" w:color="auto"/>
              <w:right w:val="nil"/>
            </w:tcBorders>
          </w:tcPr>
          <w:p w14:paraId="58933319" w14:textId="77777777" w:rsidR="00565606" w:rsidRPr="006E1B17" w:rsidRDefault="007A17F1" w:rsidP="00565606">
            <w:pPr>
              <w:spacing w:after="0" w:line="276" w:lineRule="auto"/>
              <w:contextualSpacing/>
              <w:rPr>
                <w:rFonts w:cs="Arial"/>
                <w:sz w:val="20"/>
              </w:rPr>
            </w:pPr>
            <w:r>
              <w:rPr>
                <w:rFonts w:cs="Arial"/>
                <w:sz w:val="20"/>
              </w:rPr>
              <w:t>18.08 (1.70)</w:t>
            </w:r>
          </w:p>
        </w:tc>
        <w:tc>
          <w:tcPr>
            <w:tcW w:w="282" w:type="dxa"/>
            <w:tcBorders>
              <w:top w:val="nil"/>
              <w:left w:val="nil"/>
              <w:bottom w:val="single" w:sz="4" w:space="0" w:color="auto"/>
              <w:right w:val="nil"/>
            </w:tcBorders>
            <w:vAlign w:val="bottom"/>
          </w:tcPr>
          <w:p w14:paraId="221C33A1" w14:textId="77777777" w:rsidR="00565606" w:rsidRPr="006E1B17" w:rsidRDefault="00565606" w:rsidP="00565606">
            <w:pPr>
              <w:spacing w:after="0" w:line="276" w:lineRule="auto"/>
              <w:contextualSpacing/>
              <w:rPr>
                <w:rFonts w:cs="Arial"/>
                <w:sz w:val="20"/>
              </w:rPr>
            </w:pPr>
          </w:p>
        </w:tc>
        <w:tc>
          <w:tcPr>
            <w:tcW w:w="1560" w:type="dxa"/>
            <w:tcBorders>
              <w:top w:val="nil"/>
              <w:left w:val="nil"/>
              <w:bottom w:val="single" w:sz="4" w:space="0" w:color="auto"/>
              <w:right w:val="nil"/>
            </w:tcBorders>
            <w:vAlign w:val="bottom"/>
          </w:tcPr>
          <w:p w14:paraId="2EF57065" w14:textId="77777777" w:rsidR="00565606" w:rsidRPr="006E1B17" w:rsidRDefault="009C6A93" w:rsidP="00565606">
            <w:pPr>
              <w:spacing w:after="0" w:line="276" w:lineRule="auto"/>
              <w:contextualSpacing/>
              <w:rPr>
                <w:rFonts w:cs="Arial"/>
                <w:sz w:val="20"/>
              </w:rPr>
            </w:pPr>
            <w:r>
              <w:rPr>
                <w:rFonts w:cs="Arial"/>
                <w:sz w:val="20"/>
              </w:rPr>
              <w:t>21.77 (0.47)</w:t>
            </w:r>
          </w:p>
        </w:tc>
        <w:tc>
          <w:tcPr>
            <w:tcW w:w="1986" w:type="dxa"/>
            <w:tcBorders>
              <w:top w:val="nil"/>
              <w:left w:val="nil"/>
              <w:bottom w:val="single" w:sz="4" w:space="0" w:color="auto"/>
              <w:right w:val="nil"/>
            </w:tcBorders>
          </w:tcPr>
          <w:p w14:paraId="18E5A26B" w14:textId="77777777" w:rsidR="00565606" w:rsidRPr="006E1B17" w:rsidRDefault="009C6A93" w:rsidP="00565606">
            <w:pPr>
              <w:spacing w:after="0" w:line="276" w:lineRule="auto"/>
              <w:contextualSpacing/>
              <w:rPr>
                <w:rFonts w:cs="Arial"/>
                <w:sz w:val="20"/>
              </w:rPr>
            </w:pPr>
            <w:r>
              <w:rPr>
                <w:rFonts w:cs="Arial"/>
                <w:sz w:val="20"/>
              </w:rPr>
              <w:t>20.11 (0.53)</w:t>
            </w:r>
          </w:p>
        </w:tc>
        <w:tc>
          <w:tcPr>
            <w:tcW w:w="1987" w:type="dxa"/>
            <w:tcBorders>
              <w:top w:val="nil"/>
              <w:left w:val="nil"/>
              <w:bottom w:val="single" w:sz="4" w:space="0" w:color="auto"/>
              <w:right w:val="nil"/>
            </w:tcBorders>
          </w:tcPr>
          <w:p w14:paraId="3C94A08A" w14:textId="77777777" w:rsidR="00565606" w:rsidRDefault="009C6A93" w:rsidP="00565606">
            <w:pPr>
              <w:spacing w:after="0" w:line="276" w:lineRule="auto"/>
              <w:contextualSpacing/>
              <w:rPr>
                <w:rFonts w:cs="Arial"/>
                <w:sz w:val="20"/>
              </w:rPr>
            </w:pPr>
            <w:r>
              <w:rPr>
                <w:rFonts w:cs="Arial"/>
                <w:sz w:val="20"/>
              </w:rPr>
              <w:t>19.83 (1.39)</w:t>
            </w:r>
          </w:p>
        </w:tc>
      </w:tr>
      <w:tr w:rsidR="00565606" w:rsidRPr="006E1B17" w14:paraId="4F638C84" w14:textId="77777777" w:rsidTr="00F31E19">
        <w:tc>
          <w:tcPr>
            <w:tcW w:w="282" w:type="dxa"/>
            <w:tcBorders>
              <w:top w:val="nil"/>
              <w:bottom w:val="single" w:sz="4" w:space="0" w:color="auto"/>
              <w:right w:val="nil"/>
            </w:tcBorders>
          </w:tcPr>
          <w:p w14:paraId="184D8EE3" w14:textId="77777777" w:rsidR="00565606" w:rsidRPr="00375C08" w:rsidRDefault="00565606" w:rsidP="00565606">
            <w:pPr>
              <w:spacing w:after="0" w:line="276" w:lineRule="auto"/>
              <w:contextualSpacing/>
              <w:rPr>
                <w:rFonts w:cs="Arial"/>
                <w:color w:val="FF0000"/>
                <w:sz w:val="20"/>
              </w:rPr>
            </w:pPr>
          </w:p>
        </w:tc>
        <w:tc>
          <w:tcPr>
            <w:tcW w:w="2269" w:type="dxa"/>
            <w:gridSpan w:val="3"/>
            <w:tcBorders>
              <w:top w:val="single" w:sz="4" w:space="0" w:color="auto"/>
              <w:left w:val="nil"/>
              <w:bottom w:val="single" w:sz="4" w:space="0" w:color="auto"/>
              <w:right w:val="nil"/>
            </w:tcBorders>
            <w:vAlign w:val="center"/>
          </w:tcPr>
          <w:p w14:paraId="726F4EE9" w14:textId="77777777" w:rsidR="00565606" w:rsidRDefault="00565606" w:rsidP="00565606">
            <w:pPr>
              <w:spacing w:after="0" w:line="276" w:lineRule="auto"/>
              <w:contextualSpacing/>
              <w:rPr>
                <w:rFonts w:cs="Arial"/>
                <w:sz w:val="20"/>
              </w:rPr>
            </w:pPr>
            <w:proofErr w:type="spellStart"/>
            <w:r>
              <w:rPr>
                <w:rFonts w:cs="Arial"/>
                <w:sz w:val="20"/>
              </w:rPr>
              <w:t>Coeff</w:t>
            </w:r>
            <w:proofErr w:type="spellEnd"/>
            <w:r>
              <w:rPr>
                <w:rFonts w:cs="Arial"/>
                <w:sz w:val="20"/>
              </w:rPr>
              <w:t>. [95%CI]</w:t>
            </w:r>
          </w:p>
        </w:tc>
        <w:tc>
          <w:tcPr>
            <w:tcW w:w="1419" w:type="dxa"/>
            <w:tcBorders>
              <w:top w:val="single" w:sz="4" w:space="0" w:color="auto"/>
              <w:left w:val="nil"/>
              <w:bottom w:val="single" w:sz="4" w:space="0" w:color="auto"/>
              <w:right w:val="nil"/>
            </w:tcBorders>
            <w:vAlign w:val="bottom"/>
          </w:tcPr>
          <w:p w14:paraId="3333468B" w14:textId="77777777" w:rsidR="00565606" w:rsidRPr="006E1B17" w:rsidRDefault="00565606" w:rsidP="00565606">
            <w:pPr>
              <w:spacing w:after="0" w:line="276" w:lineRule="auto"/>
              <w:contextualSpacing/>
              <w:rPr>
                <w:rFonts w:cs="Arial"/>
                <w:sz w:val="20"/>
              </w:rPr>
            </w:pPr>
            <w:r>
              <w:rPr>
                <w:rFonts w:cs="Arial"/>
                <w:sz w:val="20"/>
              </w:rPr>
              <w:t>Ref</w:t>
            </w:r>
          </w:p>
        </w:tc>
        <w:tc>
          <w:tcPr>
            <w:tcW w:w="2125" w:type="dxa"/>
            <w:tcBorders>
              <w:top w:val="single" w:sz="4" w:space="0" w:color="auto"/>
              <w:left w:val="nil"/>
              <w:bottom w:val="single" w:sz="4" w:space="0" w:color="auto"/>
              <w:right w:val="nil"/>
            </w:tcBorders>
            <w:vAlign w:val="bottom"/>
          </w:tcPr>
          <w:p w14:paraId="51260CC0" w14:textId="77777777" w:rsidR="00565606" w:rsidRPr="006E1B17" w:rsidRDefault="003E6311" w:rsidP="00565606">
            <w:pPr>
              <w:spacing w:after="0" w:line="276" w:lineRule="auto"/>
              <w:contextualSpacing/>
              <w:rPr>
                <w:rFonts w:cs="Arial"/>
                <w:sz w:val="20"/>
              </w:rPr>
            </w:pPr>
            <w:r>
              <w:rPr>
                <w:rFonts w:cs="Arial"/>
                <w:sz w:val="20"/>
              </w:rPr>
              <w:t>-0.69 [</w:t>
            </w:r>
            <w:r w:rsidR="00683D14">
              <w:rPr>
                <w:rFonts w:cs="Arial"/>
                <w:sz w:val="20"/>
              </w:rPr>
              <w:t xml:space="preserve">-2.29; </w:t>
            </w:r>
            <w:r w:rsidR="006A0E2A">
              <w:rPr>
                <w:rFonts w:cs="Arial"/>
                <w:sz w:val="20"/>
              </w:rPr>
              <w:t>0.92]</w:t>
            </w:r>
          </w:p>
        </w:tc>
        <w:tc>
          <w:tcPr>
            <w:tcW w:w="2127" w:type="dxa"/>
            <w:tcBorders>
              <w:top w:val="single" w:sz="4" w:space="0" w:color="auto"/>
              <w:left w:val="nil"/>
              <w:bottom w:val="single" w:sz="4" w:space="0" w:color="auto"/>
              <w:right w:val="nil"/>
            </w:tcBorders>
          </w:tcPr>
          <w:p w14:paraId="3BC3FBD0" w14:textId="77777777" w:rsidR="00565606" w:rsidRPr="006E1B17" w:rsidRDefault="00AA460C" w:rsidP="00565606">
            <w:pPr>
              <w:spacing w:after="0" w:line="276" w:lineRule="auto"/>
              <w:contextualSpacing/>
              <w:rPr>
                <w:rFonts w:cs="Arial"/>
                <w:sz w:val="20"/>
              </w:rPr>
            </w:pPr>
            <w:r>
              <w:rPr>
                <w:rFonts w:cs="Arial"/>
                <w:sz w:val="20"/>
              </w:rPr>
              <w:t>-2.86 [</w:t>
            </w:r>
            <w:r w:rsidR="0021174A">
              <w:rPr>
                <w:rFonts w:cs="Arial"/>
                <w:sz w:val="20"/>
              </w:rPr>
              <w:t xml:space="preserve">-6.40; </w:t>
            </w:r>
            <w:r w:rsidR="0040608F">
              <w:rPr>
                <w:rFonts w:cs="Arial"/>
                <w:sz w:val="20"/>
              </w:rPr>
              <w:t>0.67]</w:t>
            </w:r>
          </w:p>
        </w:tc>
        <w:tc>
          <w:tcPr>
            <w:tcW w:w="282" w:type="dxa"/>
            <w:tcBorders>
              <w:top w:val="single" w:sz="4" w:space="0" w:color="auto"/>
              <w:left w:val="nil"/>
              <w:bottom w:val="single" w:sz="4" w:space="0" w:color="auto"/>
              <w:right w:val="nil"/>
            </w:tcBorders>
            <w:vAlign w:val="bottom"/>
          </w:tcPr>
          <w:p w14:paraId="68A04123" w14:textId="77777777" w:rsidR="00565606" w:rsidRPr="006E1B17" w:rsidRDefault="00565606" w:rsidP="00565606">
            <w:pPr>
              <w:spacing w:after="0" w:line="276" w:lineRule="auto"/>
              <w:contextualSpacing/>
              <w:rPr>
                <w:rFonts w:cs="Arial"/>
                <w:sz w:val="20"/>
              </w:rPr>
            </w:pPr>
          </w:p>
        </w:tc>
        <w:tc>
          <w:tcPr>
            <w:tcW w:w="1560" w:type="dxa"/>
            <w:tcBorders>
              <w:top w:val="single" w:sz="4" w:space="0" w:color="auto"/>
              <w:left w:val="nil"/>
              <w:bottom w:val="single" w:sz="4" w:space="0" w:color="auto"/>
              <w:right w:val="nil"/>
            </w:tcBorders>
            <w:vAlign w:val="bottom"/>
          </w:tcPr>
          <w:p w14:paraId="66EFCF1A" w14:textId="77777777" w:rsidR="00565606" w:rsidRPr="006E1B17" w:rsidRDefault="00565606" w:rsidP="00565606">
            <w:pPr>
              <w:spacing w:after="0" w:line="276" w:lineRule="auto"/>
              <w:contextualSpacing/>
              <w:rPr>
                <w:rFonts w:cs="Arial"/>
                <w:sz w:val="20"/>
              </w:rPr>
            </w:pPr>
            <w:r>
              <w:rPr>
                <w:rFonts w:cs="Arial"/>
                <w:sz w:val="20"/>
              </w:rPr>
              <w:t>Ref</w:t>
            </w:r>
          </w:p>
        </w:tc>
        <w:tc>
          <w:tcPr>
            <w:tcW w:w="1986" w:type="dxa"/>
            <w:tcBorders>
              <w:top w:val="single" w:sz="4" w:space="0" w:color="auto"/>
              <w:left w:val="nil"/>
              <w:bottom w:val="single" w:sz="4" w:space="0" w:color="auto"/>
              <w:right w:val="nil"/>
            </w:tcBorders>
          </w:tcPr>
          <w:p w14:paraId="18E90E29" w14:textId="77777777" w:rsidR="00565606" w:rsidRPr="006E1B17" w:rsidRDefault="00A15F1C" w:rsidP="00565606">
            <w:pPr>
              <w:spacing w:after="0" w:line="276" w:lineRule="auto"/>
              <w:contextualSpacing/>
              <w:rPr>
                <w:rFonts w:cs="Arial"/>
                <w:sz w:val="20"/>
              </w:rPr>
            </w:pPr>
            <w:r>
              <w:rPr>
                <w:rFonts w:cs="Arial"/>
                <w:sz w:val="20"/>
              </w:rPr>
              <w:t>-1.66 [</w:t>
            </w:r>
            <w:r w:rsidR="00783142">
              <w:rPr>
                <w:rFonts w:cs="Arial"/>
                <w:sz w:val="20"/>
              </w:rPr>
              <w:t xml:space="preserve">-3.10; </w:t>
            </w:r>
            <w:r w:rsidR="00235BBC">
              <w:rPr>
                <w:rFonts w:cs="Arial"/>
                <w:sz w:val="20"/>
              </w:rPr>
              <w:t>-0.</w:t>
            </w:r>
            <w:proofErr w:type="gramStart"/>
            <w:r w:rsidR="00235BBC">
              <w:rPr>
                <w:rFonts w:cs="Arial"/>
                <w:sz w:val="20"/>
              </w:rPr>
              <w:t>23]</w:t>
            </w:r>
            <w:r w:rsidR="00F01329">
              <w:rPr>
                <w:rFonts w:cs="Arial"/>
                <w:sz w:val="20"/>
              </w:rPr>
              <w:t>*</w:t>
            </w:r>
            <w:proofErr w:type="gramEnd"/>
          </w:p>
        </w:tc>
        <w:tc>
          <w:tcPr>
            <w:tcW w:w="1987" w:type="dxa"/>
            <w:tcBorders>
              <w:top w:val="single" w:sz="4" w:space="0" w:color="auto"/>
              <w:left w:val="nil"/>
              <w:bottom w:val="single" w:sz="4" w:space="0" w:color="auto"/>
              <w:right w:val="nil"/>
            </w:tcBorders>
          </w:tcPr>
          <w:p w14:paraId="3FD0FC15" w14:textId="77777777" w:rsidR="00565606" w:rsidRDefault="00CE52A5" w:rsidP="00565606">
            <w:pPr>
              <w:spacing w:after="0" w:line="276" w:lineRule="auto"/>
              <w:contextualSpacing/>
              <w:rPr>
                <w:rFonts w:cs="Arial"/>
                <w:sz w:val="20"/>
              </w:rPr>
            </w:pPr>
            <w:r>
              <w:rPr>
                <w:rFonts w:cs="Arial"/>
                <w:sz w:val="20"/>
              </w:rPr>
              <w:t>-1.95 [</w:t>
            </w:r>
            <w:r w:rsidR="00A541F7">
              <w:rPr>
                <w:rFonts w:cs="Arial"/>
                <w:sz w:val="20"/>
              </w:rPr>
              <w:t xml:space="preserve">-4.86; </w:t>
            </w:r>
            <w:r w:rsidR="00A708CD">
              <w:rPr>
                <w:rFonts w:cs="Arial"/>
                <w:sz w:val="20"/>
              </w:rPr>
              <w:t>0.98]</w:t>
            </w:r>
          </w:p>
        </w:tc>
      </w:tr>
      <w:tr w:rsidR="00E256AE" w:rsidRPr="006E1B17" w14:paraId="7601E9E3" w14:textId="77777777" w:rsidTr="0077450F">
        <w:tc>
          <w:tcPr>
            <w:tcW w:w="2551" w:type="dxa"/>
            <w:gridSpan w:val="4"/>
            <w:tcBorders>
              <w:top w:val="single" w:sz="4" w:space="0" w:color="auto"/>
              <w:bottom w:val="nil"/>
              <w:right w:val="nil"/>
            </w:tcBorders>
          </w:tcPr>
          <w:p w14:paraId="26398389" w14:textId="77777777" w:rsidR="00E256AE" w:rsidRDefault="00E256AE" w:rsidP="0077450F">
            <w:pPr>
              <w:spacing w:after="0" w:line="276" w:lineRule="auto"/>
              <w:contextualSpacing/>
              <w:rPr>
                <w:rFonts w:cs="Arial"/>
                <w:sz w:val="20"/>
              </w:rPr>
            </w:pPr>
            <w:r>
              <w:rPr>
                <w:rFonts w:cs="Arial"/>
                <w:sz w:val="20"/>
              </w:rPr>
              <w:t>Fair/poor self-rated health</w:t>
            </w:r>
          </w:p>
        </w:tc>
        <w:tc>
          <w:tcPr>
            <w:tcW w:w="1419" w:type="dxa"/>
            <w:tcBorders>
              <w:top w:val="single" w:sz="4" w:space="0" w:color="auto"/>
              <w:bottom w:val="nil"/>
            </w:tcBorders>
            <w:vAlign w:val="bottom"/>
          </w:tcPr>
          <w:p w14:paraId="0777E954" w14:textId="77777777" w:rsidR="00E256AE" w:rsidRPr="006E1B17" w:rsidRDefault="00E256AE" w:rsidP="0077450F">
            <w:pPr>
              <w:spacing w:after="0" w:line="276" w:lineRule="auto"/>
              <w:contextualSpacing/>
              <w:rPr>
                <w:rFonts w:cs="Arial"/>
                <w:sz w:val="20"/>
              </w:rPr>
            </w:pPr>
          </w:p>
        </w:tc>
        <w:tc>
          <w:tcPr>
            <w:tcW w:w="2125" w:type="dxa"/>
            <w:tcBorders>
              <w:top w:val="single" w:sz="4" w:space="0" w:color="auto"/>
              <w:bottom w:val="nil"/>
            </w:tcBorders>
            <w:vAlign w:val="bottom"/>
          </w:tcPr>
          <w:p w14:paraId="1E3EE4BB" w14:textId="77777777" w:rsidR="00E256AE" w:rsidRPr="006E1B17" w:rsidRDefault="00E256AE" w:rsidP="0077450F">
            <w:pPr>
              <w:spacing w:after="0" w:line="276" w:lineRule="auto"/>
              <w:contextualSpacing/>
              <w:rPr>
                <w:rFonts w:cs="Arial"/>
                <w:sz w:val="20"/>
              </w:rPr>
            </w:pPr>
          </w:p>
        </w:tc>
        <w:tc>
          <w:tcPr>
            <w:tcW w:w="2127" w:type="dxa"/>
            <w:tcBorders>
              <w:top w:val="single" w:sz="4" w:space="0" w:color="auto"/>
              <w:bottom w:val="nil"/>
            </w:tcBorders>
          </w:tcPr>
          <w:p w14:paraId="6DD989A9" w14:textId="77777777" w:rsidR="00E256AE" w:rsidRPr="006E1B17" w:rsidRDefault="00E256AE" w:rsidP="0077450F">
            <w:pPr>
              <w:spacing w:after="0" w:line="276" w:lineRule="auto"/>
              <w:contextualSpacing/>
              <w:rPr>
                <w:rFonts w:cs="Arial"/>
                <w:sz w:val="20"/>
              </w:rPr>
            </w:pPr>
          </w:p>
        </w:tc>
        <w:tc>
          <w:tcPr>
            <w:tcW w:w="282" w:type="dxa"/>
            <w:tcBorders>
              <w:top w:val="single" w:sz="4" w:space="0" w:color="auto"/>
              <w:bottom w:val="nil"/>
            </w:tcBorders>
            <w:vAlign w:val="bottom"/>
          </w:tcPr>
          <w:p w14:paraId="4D830D48" w14:textId="77777777" w:rsidR="00E256AE" w:rsidRPr="006E1B17" w:rsidRDefault="00E256AE" w:rsidP="0077450F">
            <w:pPr>
              <w:spacing w:after="0" w:line="276" w:lineRule="auto"/>
              <w:contextualSpacing/>
              <w:rPr>
                <w:rFonts w:cs="Arial"/>
                <w:sz w:val="20"/>
              </w:rPr>
            </w:pPr>
          </w:p>
        </w:tc>
        <w:tc>
          <w:tcPr>
            <w:tcW w:w="1560" w:type="dxa"/>
            <w:tcBorders>
              <w:top w:val="single" w:sz="4" w:space="0" w:color="auto"/>
              <w:bottom w:val="nil"/>
            </w:tcBorders>
          </w:tcPr>
          <w:p w14:paraId="37A16AC8" w14:textId="77777777" w:rsidR="00E256AE" w:rsidRPr="006E1B17" w:rsidRDefault="00E256AE" w:rsidP="0077450F">
            <w:pPr>
              <w:spacing w:after="0" w:line="276" w:lineRule="auto"/>
              <w:contextualSpacing/>
              <w:rPr>
                <w:rFonts w:cs="Arial"/>
                <w:sz w:val="20"/>
              </w:rPr>
            </w:pPr>
          </w:p>
        </w:tc>
        <w:tc>
          <w:tcPr>
            <w:tcW w:w="1986" w:type="dxa"/>
            <w:tcBorders>
              <w:top w:val="single" w:sz="4" w:space="0" w:color="auto"/>
              <w:bottom w:val="nil"/>
            </w:tcBorders>
            <w:vAlign w:val="bottom"/>
          </w:tcPr>
          <w:p w14:paraId="468A5C83" w14:textId="77777777" w:rsidR="00E256AE" w:rsidRPr="006E1B17" w:rsidRDefault="00E256AE" w:rsidP="0077450F">
            <w:pPr>
              <w:spacing w:after="0" w:line="276" w:lineRule="auto"/>
              <w:contextualSpacing/>
              <w:rPr>
                <w:rFonts w:cs="Arial"/>
                <w:sz w:val="20"/>
              </w:rPr>
            </w:pPr>
          </w:p>
        </w:tc>
        <w:tc>
          <w:tcPr>
            <w:tcW w:w="1987" w:type="dxa"/>
            <w:tcBorders>
              <w:top w:val="single" w:sz="4" w:space="0" w:color="auto"/>
              <w:bottom w:val="nil"/>
            </w:tcBorders>
          </w:tcPr>
          <w:p w14:paraId="450BEFF9" w14:textId="77777777" w:rsidR="00E256AE" w:rsidRPr="006E1B17" w:rsidRDefault="00E256AE" w:rsidP="0077450F">
            <w:pPr>
              <w:spacing w:after="0" w:line="276" w:lineRule="auto"/>
              <w:contextualSpacing/>
              <w:rPr>
                <w:rFonts w:cs="Arial"/>
                <w:sz w:val="20"/>
              </w:rPr>
            </w:pPr>
          </w:p>
        </w:tc>
      </w:tr>
      <w:tr w:rsidR="00E256AE" w:rsidRPr="006E1B17" w14:paraId="2BFA0026" w14:textId="77777777" w:rsidTr="0077450F">
        <w:tc>
          <w:tcPr>
            <w:tcW w:w="282" w:type="dxa"/>
            <w:tcBorders>
              <w:top w:val="nil"/>
              <w:bottom w:val="nil"/>
              <w:right w:val="nil"/>
            </w:tcBorders>
          </w:tcPr>
          <w:p w14:paraId="42769FC7" w14:textId="77777777" w:rsidR="00E256AE" w:rsidRPr="00375C08" w:rsidRDefault="00E256AE" w:rsidP="0077450F">
            <w:pPr>
              <w:spacing w:after="0" w:line="276" w:lineRule="auto"/>
              <w:contextualSpacing/>
              <w:rPr>
                <w:rFonts w:cs="Arial"/>
                <w:color w:val="FF0000"/>
                <w:sz w:val="20"/>
              </w:rPr>
            </w:pPr>
          </w:p>
        </w:tc>
        <w:tc>
          <w:tcPr>
            <w:tcW w:w="2269" w:type="dxa"/>
            <w:gridSpan w:val="3"/>
            <w:tcBorders>
              <w:top w:val="nil"/>
              <w:left w:val="nil"/>
              <w:bottom w:val="single" w:sz="4" w:space="0" w:color="auto"/>
              <w:right w:val="nil"/>
            </w:tcBorders>
            <w:vAlign w:val="center"/>
          </w:tcPr>
          <w:p w14:paraId="5BDC67F0" w14:textId="77777777" w:rsidR="00E256AE" w:rsidRPr="00375C08" w:rsidRDefault="00E256AE" w:rsidP="0077450F">
            <w:pPr>
              <w:spacing w:after="0" w:line="276" w:lineRule="auto"/>
              <w:contextualSpacing/>
              <w:rPr>
                <w:rFonts w:cs="Arial"/>
                <w:sz w:val="20"/>
              </w:rPr>
            </w:pPr>
            <w:r>
              <w:rPr>
                <w:rFonts w:cs="Arial"/>
                <w:sz w:val="20"/>
              </w:rPr>
              <w:t>% (SE)</w:t>
            </w:r>
          </w:p>
        </w:tc>
        <w:tc>
          <w:tcPr>
            <w:tcW w:w="1419" w:type="dxa"/>
            <w:tcBorders>
              <w:top w:val="nil"/>
              <w:left w:val="nil"/>
              <w:bottom w:val="single" w:sz="4" w:space="0" w:color="auto"/>
              <w:right w:val="nil"/>
            </w:tcBorders>
            <w:vAlign w:val="bottom"/>
          </w:tcPr>
          <w:p w14:paraId="318C4971" w14:textId="77777777" w:rsidR="00E256AE" w:rsidRPr="006E1B17" w:rsidRDefault="00E256AE" w:rsidP="0077450F">
            <w:pPr>
              <w:spacing w:after="0" w:line="276" w:lineRule="auto"/>
              <w:contextualSpacing/>
              <w:rPr>
                <w:rFonts w:cs="Arial"/>
                <w:sz w:val="20"/>
              </w:rPr>
            </w:pPr>
            <w:r>
              <w:rPr>
                <w:rFonts w:cs="Arial"/>
                <w:sz w:val="20"/>
              </w:rPr>
              <w:t>18.2 (3.3)</w:t>
            </w:r>
          </w:p>
        </w:tc>
        <w:tc>
          <w:tcPr>
            <w:tcW w:w="2125" w:type="dxa"/>
            <w:tcBorders>
              <w:top w:val="nil"/>
              <w:left w:val="nil"/>
              <w:bottom w:val="single" w:sz="4" w:space="0" w:color="auto"/>
              <w:right w:val="nil"/>
            </w:tcBorders>
            <w:vAlign w:val="bottom"/>
          </w:tcPr>
          <w:p w14:paraId="6DEA3310" w14:textId="77777777" w:rsidR="00E256AE" w:rsidRPr="006E1B17" w:rsidRDefault="00E256AE" w:rsidP="0077450F">
            <w:pPr>
              <w:spacing w:after="0" w:line="276" w:lineRule="auto"/>
              <w:contextualSpacing/>
              <w:rPr>
                <w:rFonts w:cs="Arial"/>
                <w:sz w:val="20"/>
              </w:rPr>
            </w:pPr>
            <w:r>
              <w:rPr>
                <w:rFonts w:cs="Arial"/>
                <w:sz w:val="20"/>
              </w:rPr>
              <w:t>26.4 (3.6)</w:t>
            </w:r>
          </w:p>
        </w:tc>
        <w:tc>
          <w:tcPr>
            <w:tcW w:w="2127" w:type="dxa"/>
            <w:tcBorders>
              <w:top w:val="nil"/>
              <w:left w:val="nil"/>
              <w:bottom w:val="single" w:sz="4" w:space="0" w:color="auto"/>
              <w:right w:val="nil"/>
            </w:tcBorders>
          </w:tcPr>
          <w:p w14:paraId="4CB5E3CC" w14:textId="77777777" w:rsidR="00E256AE" w:rsidRPr="006E1B17" w:rsidRDefault="00E256AE" w:rsidP="0077450F">
            <w:pPr>
              <w:spacing w:after="0" w:line="276" w:lineRule="auto"/>
              <w:contextualSpacing/>
              <w:rPr>
                <w:rFonts w:cs="Arial"/>
                <w:sz w:val="20"/>
              </w:rPr>
            </w:pPr>
            <w:r>
              <w:rPr>
                <w:rFonts w:cs="Arial"/>
                <w:sz w:val="20"/>
              </w:rPr>
              <w:t>51.9 (9.9)</w:t>
            </w:r>
          </w:p>
        </w:tc>
        <w:tc>
          <w:tcPr>
            <w:tcW w:w="282" w:type="dxa"/>
            <w:tcBorders>
              <w:top w:val="nil"/>
              <w:left w:val="nil"/>
              <w:bottom w:val="single" w:sz="4" w:space="0" w:color="auto"/>
              <w:right w:val="nil"/>
            </w:tcBorders>
            <w:vAlign w:val="bottom"/>
          </w:tcPr>
          <w:p w14:paraId="78F0F407" w14:textId="77777777" w:rsidR="00E256AE" w:rsidRPr="006E1B17" w:rsidRDefault="00E256AE" w:rsidP="0077450F">
            <w:pPr>
              <w:spacing w:after="0" w:line="276" w:lineRule="auto"/>
              <w:contextualSpacing/>
              <w:rPr>
                <w:rFonts w:cs="Arial"/>
                <w:sz w:val="20"/>
              </w:rPr>
            </w:pPr>
          </w:p>
        </w:tc>
        <w:tc>
          <w:tcPr>
            <w:tcW w:w="1560" w:type="dxa"/>
            <w:tcBorders>
              <w:top w:val="nil"/>
              <w:left w:val="nil"/>
              <w:bottom w:val="single" w:sz="4" w:space="0" w:color="auto"/>
              <w:right w:val="nil"/>
            </w:tcBorders>
            <w:vAlign w:val="bottom"/>
          </w:tcPr>
          <w:p w14:paraId="4ECEB876" w14:textId="77777777" w:rsidR="00E256AE" w:rsidRPr="006E1B17" w:rsidRDefault="00E256AE" w:rsidP="0077450F">
            <w:pPr>
              <w:spacing w:after="0" w:line="276" w:lineRule="auto"/>
              <w:contextualSpacing/>
              <w:rPr>
                <w:rFonts w:cs="Arial"/>
                <w:sz w:val="20"/>
              </w:rPr>
            </w:pPr>
            <w:r>
              <w:rPr>
                <w:rFonts w:cs="Arial"/>
                <w:sz w:val="20"/>
              </w:rPr>
              <w:t>26.4 (3.2)</w:t>
            </w:r>
          </w:p>
        </w:tc>
        <w:tc>
          <w:tcPr>
            <w:tcW w:w="1986" w:type="dxa"/>
            <w:tcBorders>
              <w:top w:val="nil"/>
              <w:left w:val="nil"/>
              <w:bottom w:val="single" w:sz="4" w:space="0" w:color="auto"/>
              <w:right w:val="nil"/>
            </w:tcBorders>
          </w:tcPr>
          <w:p w14:paraId="6B8773E3" w14:textId="77777777" w:rsidR="00E256AE" w:rsidRPr="006E1B17" w:rsidRDefault="00E256AE" w:rsidP="0077450F">
            <w:pPr>
              <w:spacing w:after="0" w:line="276" w:lineRule="auto"/>
              <w:contextualSpacing/>
              <w:rPr>
                <w:rFonts w:cs="Arial"/>
                <w:sz w:val="20"/>
              </w:rPr>
            </w:pPr>
            <w:r>
              <w:rPr>
                <w:rFonts w:cs="Arial"/>
                <w:sz w:val="20"/>
              </w:rPr>
              <w:t>22.4 (3.6)</w:t>
            </w:r>
          </w:p>
        </w:tc>
        <w:tc>
          <w:tcPr>
            <w:tcW w:w="1987" w:type="dxa"/>
            <w:tcBorders>
              <w:top w:val="nil"/>
              <w:left w:val="nil"/>
              <w:bottom w:val="single" w:sz="4" w:space="0" w:color="auto"/>
              <w:right w:val="nil"/>
            </w:tcBorders>
          </w:tcPr>
          <w:p w14:paraId="4675B051" w14:textId="77777777" w:rsidR="00E256AE" w:rsidRDefault="00E256AE" w:rsidP="0077450F">
            <w:pPr>
              <w:spacing w:after="0" w:line="276" w:lineRule="auto"/>
              <w:contextualSpacing/>
              <w:rPr>
                <w:rFonts w:cs="Arial"/>
                <w:sz w:val="20"/>
              </w:rPr>
            </w:pPr>
            <w:r>
              <w:rPr>
                <w:rFonts w:cs="Arial"/>
                <w:sz w:val="20"/>
              </w:rPr>
              <w:t>35.6 (10.1)</w:t>
            </w:r>
          </w:p>
        </w:tc>
      </w:tr>
      <w:tr w:rsidR="00E256AE" w:rsidRPr="006E1B17" w14:paraId="044D6855" w14:textId="77777777" w:rsidTr="0077450F">
        <w:tc>
          <w:tcPr>
            <w:tcW w:w="282" w:type="dxa"/>
            <w:tcBorders>
              <w:top w:val="nil"/>
              <w:bottom w:val="single" w:sz="4" w:space="0" w:color="auto"/>
              <w:right w:val="nil"/>
            </w:tcBorders>
          </w:tcPr>
          <w:p w14:paraId="30E47AC9" w14:textId="77777777" w:rsidR="00E256AE" w:rsidRPr="00375C08" w:rsidRDefault="00E256AE" w:rsidP="0077450F">
            <w:pPr>
              <w:spacing w:after="0" w:line="276" w:lineRule="auto"/>
              <w:contextualSpacing/>
              <w:rPr>
                <w:rFonts w:cs="Arial"/>
                <w:color w:val="FF0000"/>
                <w:sz w:val="20"/>
              </w:rPr>
            </w:pPr>
          </w:p>
        </w:tc>
        <w:tc>
          <w:tcPr>
            <w:tcW w:w="2269" w:type="dxa"/>
            <w:gridSpan w:val="3"/>
            <w:tcBorders>
              <w:top w:val="single" w:sz="4" w:space="0" w:color="auto"/>
              <w:left w:val="nil"/>
              <w:bottom w:val="single" w:sz="4" w:space="0" w:color="auto"/>
              <w:right w:val="nil"/>
            </w:tcBorders>
            <w:vAlign w:val="center"/>
          </w:tcPr>
          <w:p w14:paraId="484747B6" w14:textId="77777777" w:rsidR="00E256AE" w:rsidRDefault="00E256AE" w:rsidP="0077450F">
            <w:pPr>
              <w:spacing w:after="0" w:line="276" w:lineRule="auto"/>
              <w:contextualSpacing/>
              <w:rPr>
                <w:rFonts w:cs="Arial"/>
                <w:sz w:val="20"/>
              </w:rPr>
            </w:pPr>
            <w:r>
              <w:rPr>
                <w:rFonts w:cs="Arial"/>
                <w:sz w:val="20"/>
              </w:rPr>
              <w:t>OR [95%CI]</w:t>
            </w:r>
          </w:p>
        </w:tc>
        <w:tc>
          <w:tcPr>
            <w:tcW w:w="1419" w:type="dxa"/>
            <w:tcBorders>
              <w:top w:val="single" w:sz="4" w:space="0" w:color="auto"/>
              <w:left w:val="nil"/>
              <w:bottom w:val="single" w:sz="4" w:space="0" w:color="auto"/>
              <w:right w:val="nil"/>
            </w:tcBorders>
            <w:vAlign w:val="bottom"/>
          </w:tcPr>
          <w:p w14:paraId="7196F106" w14:textId="77777777" w:rsidR="00E256AE" w:rsidRPr="006E1B17" w:rsidRDefault="00E256AE" w:rsidP="0077450F">
            <w:pPr>
              <w:spacing w:after="0" w:line="276" w:lineRule="auto"/>
              <w:contextualSpacing/>
              <w:rPr>
                <w:rFonts w:cs="Arial"/>
                <w:sz w:val="20"/>
              </w:rPr>
            </w:pPr>
            <w:r>
              <w:rPr>
                <w:rFonts w:cs="Arial"/>
                <w:sz w:val="20"/>
              </w:rPr>
              <w:t>1.00 (Ref)</w:t>
            </w:r>
          </w:p>
        </w:tc>
        <w:tc>
          <w:tcPr>
            <w:tcW w:w="2125" w:type="dxa"/>
            <w:tcBorders>
              <w:top w:val="single" w:sz="4" w:space="0" w:color="auto"/>
              <w:left w:val="nil"/>
              <w:bottom w:val="single" w:sz="4" w:space="0" w:color="auto"/>
              <w:right w:val="nil"/>
            </w:tcBorders>
            <w:vAlign w:val="bottom"/>
          </w:tcPr>
          <w:p w14:paraId="46A96033" w14:textId="77777777" w:rsidR="00E256AE" w:rsidRPr="006E1B17" w:rsidRDefault="00E256AE" w:rsidP="0077450F">
            <w:pPr>
              <w:spacing w:after="0" w:line="276" w:lineRule="auto"/>
              <w:contextualSpacing/>
              <w:rPr>
                <w:rFonts w:cs="Arial"/>
                <w:sz w:val="20"/>
              </w:rPr>
            </w:pPr>
            <w:r>
              <w:rPr>
                <w:rFonts w:cs="Arial"/>
                <w:sz w:val="20"/>
              </w:rPr>
              <w:t>1.70 [0.77; 3.76]</w:t>
            </w:r>
          </w:p>
        </w:tc>
        <w:tc>
          <w:tcPr>
            <w:tcW w:w="2127" w:type="dxa"/>
            <w:tcBorders>
              <w:top w:val="single" w:sz="4" w:space="0" w:color="auto"/>
              <w:left w:val="nil"/>
              <w:bottom w:val="single" w:sz="4" w:space="0" w:color="auto"/>
              <w:right w:val="nil"/>
            </w:tcBorders>
          </w:tcPr>
          <w:p w14:paraId="6ADC6974" w14:textId="77777777" w:rsidR="00E256AE" w:rsidRPr="006E1B17" w:rsidRDefault="00E256AE" w:rsidP="0077450F">
            <w:pPr>
              <w:spacing w:after="0" w:line="276" w:lineRule="auto"/>
              <w:contextualSpacing/>
              <w:rPr>
                <w:rFonts w:cs="Arial"/>
                <w:sz w:val="20"/>
              </w:rPr>
            </w:pPr>
            <w:r>
              <w:rPr>
                <w:rFonts w:cs="Arial"/>
                <w:sz w:val="20"/>
              </w:rPr>
              <w:t xml:space="preserve">6.76 [1.65; </w:t>
            </w:r>
            <w:proofErr w:type="gramStart"/>
            <w:r>
              <w:rPr>
                <w:rFonts w:cs="Arial"/>
                <w:sz w:val="20"/>
              </w:rPr>
              <w:t>27.63]*</w:t>
            </w:r>
            <w:proofErr w:type="gramEnd"/>
            <w:r>
              <w:rPr>
                <w:rFonts w:cs="Arial"/>
                <w:sz w:val="20"/>
              </w:rPr>
              <w:t>*</w:t>
            </w:r>
          </w:p>
        </w:tc>
        <w:tc>
          <w:tcPr>
            <w:tcW w:w="282" w:type="dxa"/>
            <w:tcBorders>
              <w:top w:val="single" w:sz="4" w:space="0" w:color="auto"/>
              <w:left w:val="nil"/>
              <w:bottom w:val="single" w:sz="4" w:space="0" w:color="auto"/>
              <w:right w:val="nil"/>
            </w:tcBorders>
            <w:vAlign w:val="bottom"/>
          </w:tcPr>
          <w:p w14:paraId="24C67AAF" w14:textId="77777777" w:rsidR="00E256AE" w:rsidRPr="006E1B17" w:rsidRDefault="00E256AE" w:rsidP="0077450F">
            <w:pPr>
              <w:spacing w:after="0" w:line="276" w:lineRule="auto"/>
              <w:contextualSpacing/>
              <w:rPr>
                <w:rFonts w:cs="Arial"/>
                <w:sz w:val="20"/>
              </w:rPr>
            </w:pPr>
          </w:p>
        </w:tc>
        <w:tc>
          <w:tcPr>
            <w:tcW w:w="1560" w:type="dxa"/>
            <w:tcBorders>
              <w:top w:val="single" w:sz="4" w:space="0" w:color="auto"/>
              <w:left w:val="nil"/>
              <w:bottom w:val="single" w:sz="4" w:space="0" w:color="auto"/>
              <w:right w:val="nil"/>
            </w:tcBorders>
            <w:vAlign w:val="bottom"/>
          </w:tcPr>
          <w:p w14:paraId="6D5D42A5" w14:textId="77777777" w:rsidR="00E256AE" w:rsidRPr="006E1B17" w:rsidRDefault="00E256AE" w:rsidP="0077450F">
            <w:pPr>
              <w:spacing w:after="0" w:line="276" w:lineRule="auto"/>
              <w:contextualSpacing/>
              <w:rPr>
                <w:rFonts w:cs="Arial"/>
                <w:sz w:val="20"/>
              </w:rPr>
            </w:pPr>
            <w:r>
              <w:rPr>
                <w:rFonts w:cs="Arial"/>
                <w:sz w:val="20"/>
              </w:rPr>
              <w:t>1.00 (Ref)</w:t>
            </w:r>
          </w:p>
        </w:tc>
        <w:tc>
          <w:tcPr>
            <w:tcW w:w="1986" w:type="dxa"/>
            <w:tcBorders>
              <w:top w:val="single" w:sz="4" w:space="0" w:color="auto"/>
              <w:left w:val="nil"/>
              <w:bottom w:val="single" w:sz="4" w:space="0" w:color="auto"/>
              <w:right w:val="nil"/>
            </w:tcBorders>
          </w:tcPr>
          <w:p w14:paraId="2DD2A130" w14:textId="77777777" w:rsidR="00E256AE" w:rsidRPr="006E1B17" w:rsidRDefault="00E256AE" w:rsidP="0077450F">
            <w:pPr>
              <w:spacing w:after="0" w:line="276" w:lineRule="auto"/>
              <w:contextualSpacing/>
              <w:rPr>
                <w:rFonts w:cs="Arial"/>
                <w:sz w:val="20"/>
              </w:rPr>
            </w:pPr>
            <w:r>
              <w:rPr>
                <w:rFonts w:cs="Arial"/>
                <w:sz w:val="20"/>
              </w:rPr>
              <w:t>0.88 [0.34; 2.25]</w:t>
            </w:r>
          </w:p>
        </w:tc>
        <w:tc>
          <w:tcPr>
            <w:tcW w:w="1987" w:type="dxa"/>
            <w:tcBorders>
              <w:top w:val="single" w:sz="4" w:space="0" w:color="auto"/>
              <w:left w:val="nil"/>
              <w:bottom w:val="single" w:sz="4" w:space="0" w:color="auto"/>
              <w:right w:val="nil"/>
            </w:tcBorders>
          </w:tcPr>
          <w:p w14:paraId="047E81FD" w14:textId="77777777" w:rsidR="00E256AE" w:rsidRDefault="00E256AE" w:rsidP="0077450F">
            <w:pPr>
              <w:spacing w:after="0" w:line="276" w:lineRule="auto"/>
              <w:contextualSpacing/>
              <w:rPr>
                <w:rFonts w:cs="Arial"/>
                <w:sz w:val="20"/>
              </w:rPr>
            </w:pPr>
            <w:r>
              <w:rPr>
                <w:rFonts w:cs="Arial"/>
                <w:sz w:val="20"/>
              </w:rPr>
              <w:t>2.10 [0.34; 12.97]</w:t>
            </w:r>
          </w:p>
        </w:tc>
      </w:tr>
      <w:tr w:rsidR="00E256AE" w:rsidRPr="006E1B17" w14:paraId="1E336098" w14:textId="77777777" w:rsidTr="0077450F">
        <w:tc>
          <w:tcPr>
            <w:tcW w:w="2551" w:type="dxa"/>
            <w:gridSpan w:val="4"/>
            <w:tcBorders>
              <w:top w:val="single" w:sz="4" w:space="0" w:color="auto"/>
              <w:bottom w:val="nil"/>
              <w:right w:val="nil"/>
            </w:tcBorders>
          </w:tcPr>
          <w:p w14:paraId="28A838CE" w14:textId="77777777" w:rsidR="00E256AE" w:rsidRDefault="00E256AE" w:rsidP="0077450F">
            <w:pPr>
              <w:spacing w:after="0" w:line="276" w:lineRule="auto"/>
              <w:contextualSpacing/>
              <w:rPr>
                <w:rFonts w:cs="Arial"/>
                <w:sz w:val="20"/>
              </w:rPr>
            </w:pPr>
            <w:r>
              <w:rPr>
                <w:rFonts w:cs="Arial"/>
                <w:sz w:val="20"/>
              </w:rPr>
              <w:t>Limiting long-standing illness</w:t>
            </w:r>
          </w:p>
        </w:tc>
        <w:tc>
          <w:tcPr>
            <w:tcW w:w="1419" w:type="dxa"/>
            <w:tcBorders>
              <w:top w:val="single" w:sz="4" w:space="0" w:color="auto"/>
              <w:bottom w:val="nil"/>
            </w:tcBorders>
            <w:vAlign w:val="bottom"/>
          </w:tcPr>
          <w:p w14:paraId="58980BF4" w14:textId="77777777" w:rsidR="00E256AE" w:rsidRPr="006E1B17" w:rsidRDefault="00E256AE" w:rsidP="0077450F">
            <w:pPr>
              <w:spacing w:after="0" w:line="276" w:lineRule="auto"/>
              <w:contextualSpacing/>
              <w:rPr>
                <w:rFonts w:cs="Arial"/>
                <w:sz w:val="20"/>
              </w:rPr>
            </w:pPr>
          </w:p>
        </w:tc>
        <w:tc>
          <w:tcPr>
            <w:tcW w:w="2125" w:type="dxa"/>
            <w:tcBorders>
              <w:top w:val="single" w:sz="4" w:space="0" w:color="auto"/>
              <w:bottom w:val="nil"/>
            </w:tcBorders>
            <w:vAlign w:val="bottom"/>
          </w:tcPr>
          <w:p w14:paraId="5C0F76AA" w14:textId="77777777" w:rsidR="00E256AE" w:rsidRPr="006E1B17" w:rsidRDefault="00E256AE" w:rsidP="0077450F">
            <w:pPr>
              <w:spacing w:after="0" w:line="276" w:lineRule="auto"/>
              <w:contextualSpacing/>
              <w:rPr>
                <w:rFonts w:cs="Arial"/>
                <w:sz w:val="20"/>
              </w:rPr>
            </w:pPr>
          </w:p>
        </w:tc>
        <w:tc>
          <w:tcPr>
            <w:tcW w:w="2127" w:type="dxa"/>
            <w:tcBorders>
              <w:top w:val="single" w:sz="4" w:space="0" w:color="auto"/>
              <w:bottom w:val="nil"/>
            </w:tcBorders>
          </w:tcPr>
          <w:p w14:paraId="58484E98" w14:textId="77777777" w:rsidR="00E256AE" w:rsidRPr="006E1B17" w:rsidRDefault="00E256AE" w:rsidP="0077450F">
            <w:pPr>
              <w:spacing w:after="0" w:line="276" w:lineRule="auto"/>
              <w:contextualSpacing/>
              <w:rPr>
                <w:rFonts w:cs="Arial"/>
                <w:sz w:val="20"/>
              </w:rPr>
            </w:pPr>
          </w:p>
        </w:tc>
        <w:tc>
          <w:tcPr>
            <w:tcW w:w="282" w:type="dxa"/>
            <w:tcBorders>
              <w:top w:val="single" w:sz="4" w:space="0" w:color="auto"/>
              <w:bottom w:val="nil"/>
            </w:tcBorders>
            <w:vAlign w:val="bottom"/>
          </w:tcPr>
          <w:p w14:paraId="68FBFA34" w14:textId="77777777" w:rsidR="00E256AE" w:rsidRPr="006E1B17" w:rsidRDefault="00E256AE" w:rsidP="0077450F">
            <w:pPr>
              <w:spacing w:after="0" w:line="276" w:lineRule="auto"/>
              <w:contextualSpacing/>
              <w:rPr>
                <w:rFonts w:cs="Arial"/>
                <w:sz w:val="20"/>
              </w:rPr>
            </w:pPr>
          </w:p>
        </w:tc>
        <w:tc>
          <w:tcPr>
            <w:tcW w:w="1560" w:type="dxa"/>
            <w:tcBorders>
              <w:top w:val="single" w:sz="4" w:space="0" w:color="auto"/>
              <w:bottom w:val="nil"/>
            </w:tcBorders>
          </w:tcPr>
          <w:p w14:paraId="25BA86B1" w14:textId="77777777" w:rsidR="00E256AE" w:rsidRPr="006E1B17" w:rsidRDefault="00E256AE" w:rsidP="0077450F">
            <w:pPr>
              <w:spacing w:after="0" w:line="276" w:lineRule="auto"/>
              <w:contextualSpacing/>
              <w:rPr>
                <w:rFonts w:cs="Arial"/>
                <w:sz w:val="20"/>
              </w:rPr>
            </w:pPr>
          </w:p>
        </w:tc>
        <w:tc>
          <w:tcPr>
            <w:tcW w:w="1986" w:type="dxa"/>
            <w:tcBorders>
              <w:top w:val="single" w:sz="4" w:space="0" w:color="auto"/>
              <w:bottom w:val="nil"/>
            </w:tcBorders>
            <w:vAlign w:val="bottom"/>
          </w:tcPr>
          <w:p w14:paraId="7FCDFA0E" w14:textId="77777777" w:rsidR="00E256AE" w:rsidRPr="006E1B17" w:rsidRDefault="00E256AE" w:rsidP="0077450F">
            <w:pPr>
              <w:spacing w:after="0" w:line="276" w:lineRule="auto"/>
              <w:contextualSpacing/>
              <w:rPr>
                <w:rFonts w:cs="Arial"/>
                <w:sz w:val="20"/>
              </w:rPr>
            </w:pPr>
          </w:p>
        </w:tc>
        <w:tc>
          <w:tcPr>
            <w:tcW w:w="1987" w:type="dxa"/>
            <w:tcBorders>
              <w:top w:val="single" w:sz="4" w:space="0" w:color="auto"/>
              <w:bottom w:val="nil"/>
            </w:tcBorders>
          </w:tcPr>
          <w:p w14:paraId="1BFEEF69" w14:textId="77777777" w:rsidR="00E256AE" w:rsidRPr="006E1B17" w:rsidRDefault="00E256AE" w:rsidP="0077450F">
            <w:pPr>
              <w:spacing w:after="0" w:line="276" w:lineRule="auto"/>
              <w:contextualSpacing/>
              <w:rPr>
                <w:rFonts w:cs="Arial"/>
                <w:sz w:val="20"/>
              </w:rPr>
            </w:pPr>
          </w:p>
        </w:tc>
      </w:tr>
      <w:tr w:rsidR="00E256AE" w:rsidRPr="006E1B17" w14:paraId="32319987" w14:textId="77777777" w:rsidTr="0077450F">
        <w:tc>
          <w:tcPr>
            <w:tcW w:w="282" w:type="dxa"/>
            <w:tcBorders>
              <w:top w:val="nil"/>
              <w:bottom w:val="nil"/>
              <w:right w:val="nil"/>
            </w:tcBorders>
          </w:tcPr>
          <w:p w14:paraId="340D6BB4" w14:textId="77777777" w:rsidR="00E256AE" w:rsidRPr="00375C08" w:rsidRDefault="00E256AE" w:rsidP="0077450F">
            <w:pPr>
              <w:spacing w:after="0" w:line="276" w:lineRule="auto"/>
              <w:contextualSpacing/>
              <w:rPr>
                <w:rFonts w:cs="Arial"/>
                <w:color w:val="FF0000"/>
                <w:sz w:val="20"/>
              </w:rPr>
            </w:pPr>
          </w:p>
        </w:tc>
        <w:tc>
          <w:tcPr>
            <w:tcW w:w="2269" w:type="dxa"/>
            <w:gridSpan w:val="3"/>
            <w:tcBorders>
              <w:top w:val="nil"/>
              <w:left w:val="nil"/>
              <w:bottom w:val="single" w:sz="4" w:space="0" w:color="auto"/>
              <w:right w:val="nil"/>
            </w:tcBorders>
            <w:vAlign w:val="center"/>
          </w:tcPr>
          <w:p w14:paraId="01E9B2FC" w14:textId="77777777" w:rsidR="00E256AE" w:rsidRPr="00375C08" w:rsidRDefault="00E256AE" w:rsidP="0077450F">
            <w:pPr>
              <w:spacing w:after="0" w:line="276" w:lineRule="auto"/>
              <w:contextualSpacing/>
              <w:rPr>
                <w:rFonts w:cs="Arial"/>
                <w:sz w:val="20"/>
              </w:rPr>
            </w:pPr>
            <w:r>
              <w:rPr>
                <w:rFonts w:cs="Arial"/>
                <w:sz w:val="20"/>
              </w:rPr>
              <w:t>% (SE)</w:t>
            </w:r>
          </w:p>
        </w:tc>
        <w:tc>
          <w:tcPr>
            <w:tcW w:w="1419" w:type="dxa"/>
            <w:tcBorders>
              <w:top w:val="nil"/>
              <w:left w:val="nil"/>
              <w:bottom w:val="single" w:sz="4" w:space="0" w:color="auto"/>
              <w:right w:val="nil"/>
            </w:tcBorders>
            <w:vAlign w:val="bottom"/>
          </w:tcPr>
          <w:p w14:paraId="7D8411CF" w14:textId="77777777" w:rsidR="00E256AE" w:rsidRPr="006E1B17" w:rsidRDefault="00E256AE" w:rsidP="0077450F">
            <w:pPr>
              <w:spacing w:after="0" w:line="276" w:lineRule="auto"/>
              <w:contextualSpacing/>
              <w:rPr>
                <w:rFonts w:cs="Arial"/>
                <w:sz w:val="20"/>
              </w:rPr>
            </w:pPr>
            <w:r>
              <w:rPr>
                <w:rFonts w:cs="Arial"/>
                <w:sz w:val="20"/>
              </w:rPr>
              <w:t>30.5 (3.9)</w:t>
            </w:r>
          </w:p>
        </w:tc>
        <w:tc>
          <w:tcPr>
            <w:tcW w:w="2125" w:type="dxa"/>
            <w:tcBorders>
              <w:top w:val="nil"/>
              <w:left w:val="nil"/>
              <w:bottom w:val="single" w:sz="4" w:space="0" w:color="auto"/>
              <w:right w:val="nil"/>
            </w:tcBorders>
            <w:vAlign w:val="bottom"/>
          </w:tcPr>
          <w:p w14:paraId="4EAC2F1B" w14:textId="77777777" w:rsidR="00E256AE" w:rsidRPr="006E1B17" w:rsidRDefault="00E256AE" w:rsidP="0077450F">
            <w:pPr>
              <w:spacing w:after="0" w:line="276" w:lineRule="auto"/>
              <w:contextualSpacing/>
              <w:rPr>
                <w:rFonts w:cs="Arial"/>
                <w:sz w:val="20"/>
              </w:rPr>
            </w:pPr>
            <w:r>
              <w:rPr>
                <w:rFonts w:cs="Arial"/>
                <w:sz w:val="20"/>
              </w:rPr>
              <w:t>39.5 (4.2)</w:t>
            </w:r>
          </w:p>
        </w:tc>
        <w:tc>
          <w:tcPr>
            <w:tcW w:w="2127" w:type="dxa"/>
            <w:tcBorders>
              <w:top w:val="nil"/>
              <w:left w:val="nil"/>
              <w:bottom w:val="single" w:sz="4" w:space="0" w:color="auto"/>
              <w:right w:val="nil"/>
            </w:tcBorders>
          </w:tcPr>
          <w:p w14:paraId="3E9807C9" w14:textId="77777777" w:rsidR="00E256AE" w:rsidRPr="006E1B17" w:rsidRDefault="00E256AE" w:rsidP="0077450F">
            <w:pPr>
              <w:spacing w:after="0" w:line="276" w:lineRule="auto"/>
              <w:contextualSpacing/>
              <w:rPr>
                <w:rFonts w:cs="Arial"/>
                <w:sz w:val="20"/>
              </w:rPr>
            </w:pPr>
            <w:r>
              <w:rPr>
                <w:rFonts w:cs="Arial"/>
                <w:sz w:val="20"/>
              </w:rPr>
              <w:t>45.6 (11.8)</w:t>
            </w:r>
          </w:p>
        </w:tc>
        <w:tc>
          <w:tcPr>
            <w:tcW w:w="282" w:type="dxa"/>
            <w:tcBorders>
              <w:top w:val="nil"/>
              <w:left w:val="nil"/>
              <w:bottom w:val="single" w:sz="4" w:space="0" w:color="auto"/>
              <w:right w:val="nil"/>
            </w:tcBorders>
            <w:vAlign w:val="bottom"/>
          </w:tcPr>
          <w:p w14:paraId="696F6FDA" w14:textId="77777777" w:rsidR="00E256AE" w:rsidRPr="006E1B17" w:rsidRDefault="00E256AE" w:rsidP="0077450F">
            <w:pPr>
              <w:spacing w:after="0" w:line="276" w:lineRule="auto"/>
              <w:contextualSpacing/>
              <w:rPr>
                <w:rFonts w:cs="Arial"/>
                <w:sz w:val="20"/>
              </w:rPr>
            </w:pPr>
          </w:p>
        </w:tc>
        <w:tc>
          <w:tcPr>
            <w:tcW w:w="1560" w:type="dxa"/>
            <w:tcBorders>
              <w:top w:val="nil"/>
              <w:left w:val="nil"/>
              <w:bottom w:val="single" w:sz="4" w:space="0" w:color="auto"/>
              <w:right w:val="nil"/>
            </w:tcBorders>
            <w:vAlign w:val="bottom"/>
          </w:tcPr>
          <w:p w14:paraId="7322E31F" w14:textId="77777777" w:rsidR="00E256AE" w:rsidRPr="006E1B17" w:rsidRDefault="00E256AE" w:rsidP="0077450F">
            <w:pPr>
              <w:spacing w:after="0" w:line="276" w:lineRule="auto"/>
              <w:contextualSpacing/>
              <w:rPr>
                <w:rFonts w:cs="Arial"/>
                <w:sz w:val="20"/>
              </w:rPr>
            </w:pPr>
            <w:r>
              <w:rPr>
                <w:rFonts w:cs="Arial"/>
                <w:sz w:val="20"/>
              </w:rPr>
              <w:t>33.4 (3.6)</w:t>
            </w:r>
          </w:p>
        </w:tc>
        <w:tc>
          <w:tcPr>
            <w:tcW w:w="1986" w:type="dxa"/>
            <w:tcBorders>
              <w:top w:val="nil"/>
              <w:left w:val="nil"/>
              <w:bottom w:val="single" w:sz="4" w:space="0" w:color="auto"/>
              <w:right w:val="nil"/>
            </w:tcBorders>
          </w:tcPr>
          <w:p w14:paraId="1C700FCE" w14:textId="77777777" w:rsidR="00E256AE" w:rsidRPr="006E1B17" w:rsidRDefault="00E256AE" w:rsidP="0077450F">
            <w:pPr>
              <w:spacing w:after="0" w:line="276" w:lineRule="auto"/>
              <w:contextualSpacing/>
              <w:rPr>
                <w:rFonts w:cs="Arial"/>
                <w:sz w:val="20"/>
              </w:rPr>
            </w:pPr>
            <w:r>
              <w:rPr>
                <w:rFonts w:cs="Arial"/>
                <w:sz w:val="20"/>
              </w:rPr>
              <w:t>34.3 (4.0)</w:t>
            </w:r>
          </w:p>
        </w:tc>
        <w:tc>
          <w:tcPr>
            <w:tcW w:w="1987" w:type="dxa"/>
            <w:tcBorders>
              <w:top w:val="nil"/>
              <w:left w:val="nil"/>
              <w:bottom w:val="single" w:sz="4" w:space="0" w:color="auto"/>
              <w:right w:val="nil"/>
            </w:tcBorders>
          </w:tcPr>
          <w:p w14:paraId="121B08E9" w14:textId="77777777" w:rsidR="00E256AE" w:rsidRDefault="00E256AE" w:rsidP="0077450F">
            <w:pPr>
              <w:spacing w:after="0" w:line="276" w:lineRule="auto"/>
              <w:contextualSpacing/>
              <w:rPr>
                <w:rFonts w:cs="Arial"/>
                <w:sz w:val="20"/>
              </w:rPr>
            </w:pPr>
            <w:r>
              <w:rPr>
                <w:rFonts w:cs="Arial"/>
                <w:sz w:val="20"/>
              </w:rPr>
              <w:t>53.5 (11.0)</w:t>
            </w:r>
          </w:p>
        </w:tc>
      </w:tr>
      <w:tr w:rsidR="00E256AE" w:rsidRPr="006E1B17" w14:paraId="738AEEB6" w14:textId="77777777" w:rsidTr="0077450F">
        <w:tc>
          <w:tcPr>
            <w:tcW w:w="282" w:type="dxa"/>
            <w:tcBorders>
              <w:top w:val="nil"/>
              <w:bottom w:val="single" w:sz="4" w:space="0" w:color="auto"/>
              <w:right w:val="nil"/>
            </w:tcBorders>
          </w:tcPr>
          <w:p w14:paraId="33DBA370" w14:textId="77777777" w:rsidR="00E256AE" w:rsidRPr="00375C08" w:rsidRDefault="00E256AE" w:rsidP="0077450F">
            <w:pPr>
              <w:spacing w:after="0" w:line="276" w:lineRule="auto"/>
              <w:contextualSpacing/>
              <w:rPr>
                <w:rFonts w:cs="Arial"/>
                <w:color w:val="FF0000"/>
                <w:sz w:val="20"/>
              </w:rPr>
            </w:pPr>
          </w:p>
        </w:tc>
        <w:tc>
          <w:tcPr>
            <w:tcW w:w="2269" w:type="dxa"/>
            <w:gridSpan w:val="3"/>
            <w:tcBorders>
              <w:top w:val="single" w:sz="4" w:space="0" w:color="auto"/>
              <w:left w:val="nil"/>
              <w:bottom w:val="single" w:sz="4" w:space="0" w:color="auto"/>
              <w:right w:val="nil"/>
            </w:tcBorders>
            <w:vAlign w:val="center"/>
          </w:tcPr>
          <w:p w14:paraId="0C19DFE6" w14:textId="77777777" w:rsidR="00E256AE" w:rsidRDefault="00E256AE" w:rsidP="0077450F">
            <w:pPr>
              <w:spacing w:after="0" w:line="276" w:lineRule="auto"/>
              <w:contextualSpacing/>
              <w:rPr>
                <w:rFonts w:cs="Arial"/>
                <w:sz w:val="20"/>
              </w:rPr>
            </w:pPr>
            <w:r>
              <w:rPr>
                <w:rFonts w:cs="Arial"/>
                <w:sz w:val="20"/>
              </w:rPr>
              <w:t>OR [95%CI]</w:t>
            </w:r>
          </w:p>
        </w:tc>
        <w:tc>
          <w:tcPr>
            <w:tcW w:w="1419" w:type="dxa"/>
            <w:tcBorders>
              <w:top w:val="single" w:sz="4" w:space="0" w:color="auto"/>
              <w:left w:val="nil"/>
              <w:bottom w:val="single" w:sz="4" w:space="0" w:color="auto"/>
              <w:right w:val="nil"/>
            </w:tcBorders>
            <w:vAlign w:val="bottom"/>
          </w:tcPr>
          <w:p w14:paraId="57AF36B9" w14:textId="77777777" w:rsidR="00E256AE" w:rsidRPr="006E1B17" w:rsidRDefault="00E256AE" w:rsidP="0077450F">
            <w:pPr>
              <w:spacing w:after="0" w:line="276" w:lineRule="auto"/>
              <w:contextualSpacing/>
              <w:rPr>
                <w:rFonts w:cs="Arial"/>
                <w:sz w:val="20"/>
              </w:rPr>
            </w:pPr>
            <w:r>
              <w:rPr>
                <w:rFonts w:cs="Arial"/>
                <w:sz w:val="20"/>
              </w:rPr>
              <w:t>1.00 (Ref)</w:t>
            </w:r>
          </w:p>
        </w:tc>
        <w:tc>
          <w:tcPr>
            <w:tcW w:w="2125" w:type="dxa"/>
            <w:tcBorders>
              <w:top w:val="single" w:sz="4" w:space="0" w:color="auto"/>
              <w:left w:val="nil"/>
              <w:bottom w:val="single" w:sz="4" w:space="0" w:color="auto"/>
              <w:right w:val="nil"/>
            </w:tcBorders>
            <w:vAlign w:val="bottom"/>
          </w:tcPr>
          <w:p w14:paraId="77D32B93" w14:textId="77777777" w:rsidR="00E256AE" w:rsidRPr="006E1B17" w:rsidRDefault="00E256AE" w:rsidP="0077450F">
            <w:pPr>
              <w:spacing w:after="0" w:line="276" w:lineRule="auto"/>
              <w:contextualSpacing/>
              <w:rPr>
                <w:rFonts w:cs="Arial"/>
                <w:sz w:val="20"/>
              </w:rPr>
            </w:pPr>
            <w:r>
              <w:rPr>
                <w:rFonts w:cs="Arial"/>
                <w:sz w:val="20"/>
              </w:rPr>
              <w:t>1.45 [0.76; 2.74]</w:t>
            </w:r>
          </w:p>
        </w:tc>
        <w:tc>
          <w:tcPr>
            <w:tcW w:w="2127" w:type="dxa"/>
            <w:tcBorders>
              <w:top w:val="single" w:sz="4" w:space="0" w:color="auto"/>
              <w:left w:val="nil"/>
              <w:bottom w:val="single" w:sz="4" w:space="0" w:color="auto"/>
              <w:right w:val="nil"/>
            </w:tcBorders>
          </w:tcPr>
          <w:p w14:paraId="7B3B9478" w14:textId="77777777" w:rsidR="00E256AE" w:rsidRPr="006E1B17" w:rsidRDefault="00E256AE" w:rsidP="0077450F">
            <w:pPr>
              <w:spacing w:after="0" w:line="276" w:lineRule="auto"/>
              <w:contextualSpacing/>
              <w:rPr>
                <w:rFonts w:cs="Arial"/>
                <w:sz w:val="20"/>
              </w:rPr>
            </w:pPr>
            <w:r>
              <w:rPr>
                <w:rFonts w:cs="Arial"/>
                <w:sz w:val="20"/>
              </w:rPr>
              <w:t>1.64 [0.45; 5.99]</w:t>
            </w:r>
          </w:p>
        </w:tc>
        <w:tc>
          <w:tcPr>
            <w:tcW w:w="282" w:type="dxa"/>
            <w:tcBorders>
              <w:top w:val="single" w:sz="4" w:space="0" w:color="auto"/>
              <w:left w:val="nil"/>
              <w:bottom w:val="single" w:sz="4" w:space="0" w:color="auto"/>
              <w:right w:val="nil"/>
            </w:tcBorders>
            <w:vAlign w:val="bottom"/>
          </w:tcPr>
          <w:p w14:paraId="37BBB95A" w14:textId="77777777" w:rsidR="00E256AE" w:rsidRPr="006E1B17" w:rsidRDefault="00E256AE" w:rsidP="0077450F">
            <w:pPr>
              <w:spacing w:after="0" w:line="276" w:lineRule="auto"/>
              <w:contextualSpacing/>
              <w:rPr>
                <w:rFonts w:cs="Arial"/>
                <w:sz w:val="20"/>
              </w:rPr>
            </w:pPr>
          </w:p>
        </w:tc>
        <w:tc>
          <w:tcPr>
            <w:tcW w:w="1560" w:type="dxa"/>
            <w:tcBorders>
              <w:top w:val="single" w:sz="4" w:space="0" w:color="auto"/>
              <w:left w:val="nil"/>
              <w:bottom w:val="single" w:sz="4" w:space="0" w:color="auto"/>
              <w:right w:val="nil"/>
            </w:tcBorders>
            <w:vAlign w:val="bottom"/>
          </w:tcPr>
          <w:p w14:paraId="37C291FB" w14:textId="77777777" w:rsidR="00E256AE" w:rsidRPr="006E1B17" w:rsidRDefault="00E256AE" w:rsidP="0077450F">
            <w:pPr>
              <w:spacing w:after="0" w:line="276" w:lineRule="auto"/>
              <w:contextualSpacing/>
              <w:rPr>
                <w:rFonts w:cs="Arial"/>
                <w:sz w:val="20"/>
              </w:rPr>
            </w:pPr>
            <w:r>
              <w:rPr>
                <w:rFonts w:cs="Arial"/>
                <w:sz w:val="20"/>
              </w:rPr>
              <w:t>1.00 (Ref)</w:t>
            </w:r>
          </w:p>
        </w:tc>
        <w:tc>
          <w:tcPr>
            <w:tcW w:w="1986" w:type="dxa"/>
            <w:tcBorders>
              <w:top w:val="single" w:sz="4" w:space="0" w:color="auto"/>
              <w:left w:val="nil"/>
              <w:bottom w:val="single" w:sz="4" w:space="0" w:color="auto"/>
              <w:right w:val="nil"/>
            </w:tcBorders>
          </w:tcPr>
          <w:p w14:paraId="3E670D52" w14:textId="77777777" w:rsidR="00E256AE" w:rsidRPr="006E1B17" w:rsidRDefault="00E256AE" w:rsidP="0077450F">
            <w:pPr>
              <w:spacing w:after="0" w:line="276" w:lineRule="auto"/>
              <w:contextualSpacing/>
              <w:rPr>
                <w:rFonts w:cs="Arial"/>
                <w:sz w:val="20"/>
              </w:rPr>
            </w:pPr>
            <w:r>
              <w:rPr>
                <w:rFonts w:cs="Arial"/>
                <w:sz w:val="20"/>
              </w:rPr>
              <w:t>1.05 [0.47; 2.33]</w:t>
            </w:r>
          </w:p>
        </w:tc>
        <w:tc>
          <w:tcPr>
            <w:tcW w:w="1987" w:type="dxa"/>
            <w:tcBorders>
              <w:top w:val="single" w:sz="4" w:space="0" w:color="auto"/>
              <w:left w:val="nil"/>
              <w:bottom w:val="single" w:sz="4" w:space="0" w:color="auto"/>
              <w:right w:val="nil"/>
            </w:tcBorders>
          </w:tcPr>
          <w:p w14:paraId="1276D30A" w14:textId="77777777" w:rsidR="00E256AE" w:rsidRDefault="00E256AE" w:rsidP="0077450F">
            <w:pPr>
              <w:spacing w:after="0" w:line="276" w:lineRule="auto"/>
              <w:contextualSpacing/>
              <w:rPr>
                <w:rFonts w:cs="Arial"/>
                <w:sz w:val="20"/>
              </w:rPr>
            </w:pPr>
            <w:r>
              <w:rPr>
                <w:rFonts w:cs="Arial"/>
                <w:sz w:val="20"/>
              </w:rPr>
              <w:t>3.79 [0.75; 19.19]</w:t>
            </w:r>
          </w:p>
        </w:tc>
      </w:tr>
      <w:tr w:rsidR="00565606" w:rsidRPr="00375C08" w14:paraId="07111021" w14:textId="77777777" w:rsidTr="00C378D6">
        <w:tc>
          <w:tcPr>
            <w:tcW w:w="14037" w:type="dxa"/>
            <w:gridSpan w:val="11"/>
            <w:tcBorders>
              <w:top w:val="single" w:sz="4" w:space="0" w:color="auto"/>
              <w:bottom w:val="nil"/>
              <w:right w:val="nil"/>
            </w:tcBorders>
          </w:tcPr>
          <w:p w14:paraId="2616143D" w14:textId="77777777" w:rsidR="00565606" w:rsidRPr="00DC41CA" w:rsidRDefault="00565606" w:rsidP="00565606">
            <w:pPr>
              <w:spacing w:after="0" w:line="240" w:lineRule="auto"/>
              <w:rPr>
                <w:rFonts w:cs="Arial"/>
                <w:sz w:val="20"/>
                <w:szCs w:val="20"/>
                <w:lang w:val="en-US"/>
              </w:rPr>
            </w:pPr>
            <w:r w:rsidRPr="00DC41CA">
              <w:rPr>
                <w:rFonts w:cs="Arial"/>
                <w:sz w:val="20"/>
                <w:szCs w:val="20"/>
                <w:lang w:val="en-US"/>
              </w:rPr>
              <w:t>All figures are weighted for sampling probabilities and differential non-response</w:t>
            </w:r>
            <w:r>
              <w:rPr>
                <w:rFonts w:cs="Arial"/>
                <w:sz w:val="20"/>
                <w:szCs w:val="20"/>
                <w:lang w:val="en-US"/>
              </w:rPr>
              <w:t xml:space="preserve"> and </w:t>
            </w:r>
            <w:r w:rsidRPr="00DC41CA">
              <w:rPr>
                <w:rFonts w:cs="Arial"/>
                <w:sz w:val="20"/>
                <w:szCs w:val="20"/>
                <w:lang w:val="en-US"/>
              </w:rPr>
              <w:t xml:space="preserve">adjusted for age, sex, ethnicity, </w:t>
            </w:r>
            <w:r>
              <w:rPr>
                <w:rFonts w:cs="Arial"/>
                <w:sz w:val="20"/>
                <w:szCs w:val="20"/>
                <w:lang w:val="en-US"/>
              </w:rPr>
              <w:t>partnership</w:t>
            </w:r>
            <w:r w:rsidRPr="00DC41CA">
              <w:rPr>
                <w:rFonts w:cs="Arial"/>
                <w:sz w:val="20"/>
                <w:szCs w:val="20"/>
                <w:lang w:val="en-US"/>
              </w:rPr>
              <w:t xml:space="preserve"> status and wealth</w:t>
            </w:r>
            <w:r>
              <w:rPr>
                <w:rFonts w:cs="Arial"/>
                <w:sz w:val="20"/>
                <w:szCs w:val="20"/>
                <w:lang w:val="en-US"/>
              </w:rPr>
              <w:t>. Prospective figures are additionally adjusted for baseline status/score.</w:t>
            </w:r>
          </w:p>
          <w:p w14:paraId="38133FFA" w14:textId="14A855FA" w:rsidR="00565606" w:rsidRPr="00DC41CA" w:rsidRDefault="00565606" w:rsidP="00565606">
            <w:pPr>
              <w:spacing w:after="0" w:line="240" w:lineRule="auto"/>
              <w:rPr>
                <w:rFonts w:cs="Arial"/>
                <w:sz w:val="20"/>
                <w:szCs w:val="20"/>
                <w:lang w:val="en-US"/>
              </w:rPr>
            </w:pPr>
            <w:r w:rsidRPr="00DC41CA">
              <w:rPr>
                <w:rFonts w:cs="Arial"/>
                <w:sz w:val="20"/>
                <w:szCs w:val="20"/>
                <w:lang w:val="en-US"/>
              </w:rPr>
              <w:t>SE = standard error, OR = odds ratio, CI = confidence interval</w:t>
            </w:r>
            <w:r>
              <w:rPr>
                <w:rFonts w:cs="Arial"/>
                <w:sz w:val="20"/>
                <w:szCs w:val="20"/>
                <w:lang w:val="en-US"/>
              </w:rPr>
              <w:t xml:space="preserve">, </w:t>
            </w:r>
            <w:r w:rsidR="003B1C78">
              <w:rPr>
                <w:rFonts w:cs="Arial"/>
                <w:sz w:val="20"/>
                <w:szCs w:val="20"/>
                <w:lang w:val="en-US"/>
              </w:rPr>
              <w:t xml:space="preserve">Ref = reference, </w:t>
            </w:r>
            <w:proofErr w:type="spellStart"/>
            <w:r>
              <w:rPr>
                <w:rFonts w:cs="Arial"/>
                <w:sz w:val="20"/>
                <w:szCs w:val="20"/>
                <w:lang w:val="en-US"/>
              </w:rPr>
              <w:t>Coeff</w:t>
            </w:r>
            <w:proofErr w:type="spellEnd"/>
            <w:r>
              <w:rPr>
                <w:rFonts w:cs="Arial"/>
                <w:sz w:val="20"/>
                <w:szCs w:val="20"/>
                <w:lang w:val="en-US"/>
              </w:rPr>
              <w:t xml:space="preserve"> = coefficient</w:t>
            </w:r>
            <w:r w:rsidRPr="00DC41CA">
              <w:rPr>
                <w:rFonts w:cs="Arial"/>
                <w:sz w:val="20"/>
                <w:szCs w:val="20"/>
                <w:lang w:val="en-US"/>
              </w:rPr>
              <w:t>.</w:t>
            </w:r>
          </w:p>
          <w:p w14:paraId="558A2F2A" w14:textId="77777777" w:rsidR="00565606" w:rsidRPr="00DC41CA" w:rsidRDefault="00565606" w:rsidP="00565606">
            <w:pPr>
              <w:spacing w:after="0" w:line="240" w:lineRule="auto"/>
              <w:rPr>
                <w:rFonts w:cs="Arial"/>
                <w:sz w:val="20"/>
                <w:szCs w:val="20"/>
                <w:lang w:val="en-US"/>
              </w:rPr>
            </w:pPr>
            <w:r w:rsidRPr="00DC41CA">
              <w:rPr>
                <w:sz w:val="20"/>
                <w:szCs w:val="20"/>
              </w:rPr>
              <w:t>*</w:t>
            </w:r>
            <w:r w:rsidRPr="00DC41CA">
              <w:rPr>
                <w:i/>
                <w:sz w:val="20"/>
                <w:szCs w:val="20"/>
              </w:rPr>
              <w:t>p</w:t>
            </w:r>
            <w:r w:rsidRPr="00DC41CA">
              <w:rPr>
                <w:sz w:val="20"/>
                <w:szCs w:val="20"/>
              </w:rPr>
              <w:t>&lt;0.05, **</w:t>
            </w:r>
            <w:r w:rsidRPr="00DC41CA">
              <w:rPr>
                <w:i/>
                <w:sz w:val="20"/>
                <w:szCs w:val="20"/>
              </w:rPr>
              <w:t>p</w:t>
            </w:r>
            <w:r w:rsidRPr="00DC41CA">
              <w:rPr>
                <w:sz w:val="20"/>
                <w:szCs w:val="20"/>
              </w:rPr>
              <w:t>&lt;0.01, ***</w:t>
            </w:r>
            <w:r w:rsidRPr="00DC41CA">
              <w:rPr>
                <w:i/>
                <w:sz w:val="20"/>
                <w:szCs w:val="20"/>
              </w:rPr>
              <w:t>p</w:t>
            </w:r>
            <w:r w:rsidRPr="00DC41CA">
              <w:rPr>
                <w:sz w:val="20"/>
                <w:szCs w:val="20"/>
              </w:rPr>
              <w:t>&lt;0.001.</w:t>
            </w:r>
          </w:p>
          <w:p w14:paraId="314033D4" w14:textId="77777777" w:rsidR="00565606" w:rsidRPr="00DC41CA" w:rsidRDefault="00565606" w:rsidP="00565606">
            <w:pPr>
              <w:spacing w:after="0" w:line="240" w:lineRule="auto"/>
              <w:rPr>
                <w:rFonts w:cs="Arial"/>
                <w:sz w:val="20"/>
                <w:szCs w:val="20"/>
                <w:lang w:val="en-US"/>
              </w:rPr>
            </w:pPr>
            <w:r w:rsidRPr="00DC41CA">
              <w:rPr>
                <w:rFonts w:cs="Arial"/>
                <w:sz w:val="20"/>
                <w:szCs w:val="20"/>
                <w:lang w:val="en-US"/>
              </w:rPr>
              <w:t>Possible scores on the quality of life scale range from 0-57, and on life sati</w:t>
            </w:r>
            <w:r>
              <w:rPr>
                <w:rFonts w:cs="Arial"/>
                <w:sz w:val="20"/>
                <w:szCs w:val="20"/>
                <w:lang w:val="en-US"/>
              </w:rPr>
              <w:t>sfaction scale range from 0-30.</w:t>
            </w:r>
          </w:p>
        </w:tc>
      </w:tr>
    </w:tbl>
    <w:p w14:paraId="34A479BC" w14:textId="1F9BE96B" w:rsidR="004F5B67" w:rsidRDefault="004F5B67" w:rsidP="00165526">
      <w:pPr>
        <w:spacing w:after="200" w:line="276" w:lineRule="auto"/>
        <w:rPr>
          <w:rFonts w:eastAsiaTheme="majorEastAsia" w:cstheme="minorHAnsi"/>
          <w:b/>
          <w:bCs/>
          <w:sz w:val="26"/>
          <w:szCs w:val="26"/>
        </w:rPr>
      </w:pPr>
    </w:p>
    <w:sectPr w:rsidR="004F5B67" w:rsidSect="00565606">
      <w:pgSz w:w="15840" w:h="12240" w:orient="landscape" w:code="1"/>
      <w:pgMar w:top="1304" w:right="1440" w:bottom="1247"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9D0A4F" w14:textId="77777777" w:rsidR="005478E6" w:rsidRDefault="005478E6" w:rsidP="007C0309">
      <w:pPr>
        <w:spacing w:after="0" w:line="240" w:lineRule="auto"/>
      </w:pPr>
      <w:r>
        <w:separator/>
      </w:r>
    </w:p>
  </w:endnote>
  <w:endnote w:type="continuationSeparator" w:id="0">
    <w:p w14:paraId="544D67CF" w14:textId="77777777" w:rsidR="005478E6" w:rsidRDefault="005478E6" w:rsidP="007C0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39641675"/>
      <w:docPartObj>
        <w:docPartGallery w:val="Page Numbers (Bottom of Page)"/>
        <w:docPartUnique/>
      </w:docPartObj>
    </w:sdtPr>
    <w:sdtEndPr>
      <w:rPr>
        <w:noProof/>
      </w:rPr>
    </w:sdtEndPr>
    <w:sdtContent>
      <w:p w14:paraId="37003BBD" w14:textId="01781DF3" w:rsidR="00FD5E62" w:rsidRDefault="00FD5E62">
        <w:pPr>
          <w:pStyle w:val="Footer"/>
          <w:jc w:val="right"/>
        </w:pPr>
        <w:r>
          <w:fldChar w:fldCharType="begin"/>
        </w:r>
        <w:r>
          <w:instrText xml:space="preserve"> PAGE   \* MERGEFORMAT </w:instrText>
        </w:r>
        <w:r>
          <w:fldChar w:fldCharType="separate"/>
        </w:r>
        <w:r w:rsidR="00ED0CDA">
          <w:rPr>
            <w:noProof/>
          </w:rPr>
          <w:t>10</w:t>
        </w:r>
        <w:r>
          <w:rPr>
            <w:noProof/>
          </w:rPr>
          <w:fldChar w:fldCharType="end"/>
        </w:r>
      </w:p>
    </w:sdtContent>
  </w:sdt>
  <w:p w14:paraId="1F00A504" w14:textId="77777777" w:rsidR="00FD5E62" w:rsidRDefault="00FD5E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BC58AA" w14:textId="77777777" w:rsidR="005478E6" w:rsidRDefault="005478E6" w:rsidP="007C0309">
      <w:pPr>
        <w:spacing w:after="0" w:line="240" w:lineRule="auto"/>
      </w:pPr>
      <w:r>
        <w:separator/>
      </w:r>
    </w:p>
  </w:footnote>
  <w:footnote w:type="continuationSeparator" w:id="0">
    <w:p w14:paraId="63F2F5FA" w14:textId="77777777" w:rsidR="005478E6" w:rsidRDefault="005478E6" w:rsidP="007C03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90FC2"/>
    <w:multiLevelType w:val="hybridMultilevel"/>
    <w:tmpl w:val="571E8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6210D5"/>
    <w:multiLevelType w:val="hybridMultilevel"/>
    <w:tmpl w:val="00E00F5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0904F0"/>
    <w:multiLevelType w:val="hybridMultilevel"/>
    <w:tmpl w:val="1FCA1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A02481"/>
    <w:multiLevelType w:val="multilevel"/>
    <w:tmpl w:val="2E9EC690"/>
    <w:lvl w:ilvl="0">
      <w:start w:val="1"/>
      <w:numFmt w:val="decimal"/>
      <w:lvlText w:val="%1.0"/>
      <w:lvlJc w:val="left"/>
      <w:pPr>
        <w:ind w:left="870" w:hanging="360"/>
      </w:pPr>
      <w:rPr>
        <w:rFonts w:hint="default"/>
      </w:rPr>
    </w:lvl>
    <w:lvl w:ilvl="1">
      <w:start w:val="1"/>
      <w:numFmt w:val="decimalZero"/>
      <w:lvlText w:val="%1.%2"/>
      <w:lvlJc w:val="left"/>
      <w:pPr>
        <w:ind w:left="1590" w:hanging="360"/>
      </w:pPr>
      <w:rPr>
        <w:rFonts w:hint="default"/>
      </w:rPr>
    </w:lvl>
    <w:lvl w:ilvl="2">
      <w:start w:val="1"/>
      <w:numFmt w:val="decimal"/>
      <w:lvlText w:val="%1.%2.%3"/>
      <w:lvlJc w:val="left"/>
      <w:pPr>
        <w:ind w:left="2670" w:hanging="720"/>
      </w:pPr>
      <w:rPr>
        <w:rFonts w:hint="default"/>
      </w:rPr>
    </w:lvl>
    <w:lvl w:ilvl="3">
      <w:start w:val="1"/>
      <w:numFmt w:val="decimal"/>
      <w:lvlText w:val="%1.%2.%3.%4"/>
      <w:lvlJc w:val="left"/>
      <w:pPr>
        <w:ind w:left="3390" w:hanging="720"/>
      </w:pPr>
      <w:rPr>
        <w:rFonts w:hint="default"/>
      </w:rPr>
    </w:lvl>
    <w:lvl w:ilvl="4">
      <w:start w:val="1"/>
      <w:numFmt w:val="decimal"/>
      <w:lvlText w:val="%1.%2.%3.%4.%5"/>
      <w:lvlJc w:val="left"/>
      <w:pPr>
        <w:ind w:left="4110" w:hanging="720"/>
      </w:pPr>
      <w:rPr>
        <w:rFonts w:hint="default"/>
      </w:rPr>
    </w:lvl>
    <w:lvl w:ilvl="5">
      <w:start w:val="1"/>
      <w:numFmt w:val="decimal"/>
      <w:lvlText w:val="%1.%2.%3.%4.%5.%6"/>
      <w:lvlJc w:val="left"/>
      <w:pPr>
        <w:ind w:left="5190" w:hanging="1080"/>
      </w:pPr>
      <w:rPr>
        <w:rFonts w:hint="default"/>
      </w:rPr>
    </w:lvl>
    <w:lvl w:ilvl="6">
      <w:start w:val="1"/>
      <w:numFmt w:val="decimal"/>
      <w:lvlText w:val="%1.%2.%3.%4.%5.%6.%7"/>
      <w:lvlJc w:val="left"/>
      <w:pPr>
        <w:ind w:left="5910" w:hanging="1080"/>
      </w:pPr>
      <w:rPr>
        <w:rFonts w:hint="default"/>
      </w:rPr>
    </w:lvl>
    <w:lvl w:ilvl="7">
      <w:start w:val="1"/>
      <w:numFmt w:val="decimal"/>
      <w:lvlText w:val="%1.%2.%3.%4.%5.%6.%7.%8"/>
      <w:lvlJc w:val="left"/>
      <w:pPr>
        <w:ind w:left="6990" w:hanging="1440"/>
      </w:pPr>
      <w:rPr>
        <w:rFonts w:hint="default"/>
      </w:rPr>
    </w:lvl>
    <w:lvl w:ilvl="8">
      <w:start w:val="1"/>
      <w:numFmt w:val="decimal"/>
      <w:lvlText w:val="%1.%2.%3.%4.%5.%6.%7.%8.%9"/>
      <w:lvlJc w:val="left"/>
      <w:pPr>
        <w:ind w:left="7710" w:hanging="1440"/>
      </w:pPr>
      <w:rPr>
        <w:rFonts w:hint="default"/>
      </w:rPr>
    </w:lvl>
  </w:abstractNum>
  <w:abstractNum w:abstractNumId="4" w15:restartNumberingAfterBreak="0">
    <w:nsid w:val="07B60ACA"/>
    <w:multiLevelType w:val="hybridMultilevel"/>
    <w:tmpl w:val="1B389B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7775E8"/>
    <w:multiLevelType w:val="hybridMultilevel"/>
    <w:tmpl w:val="7EE46F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8792D66"/>
    <w:multiLevelType w:val="hybridMultilevel"/>
    <w:tmpl w:val="B002ECC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9246375"/>
    <w:multiLevelType w:val="hybridMultilevel"/>
    <w:tmpl w:val="82D0042A"/>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8" w15:restartNumberingAfterBreak="0">
    <w:nsid w:val="09507CEA"/>
    <w:multiLevelType w:val="hybridMultilevel"/>
    <w:tmpl w:val="D1B0E9D6"/>
    <w:lvl w:ilvl="0" w:tplc="08090001">
      <w:start w:val="1"/>
      <w:numFmt w:val="bullet"/>
      <w:lvlText w:val=""/>
      <w:lvlJc w:val="left"/>
      <w:pPr>
        <w:ind w:left="3600" w:hanging="360"/>
      </w:pPr>
      <w:rPr>
        <w:rFonts w:ascii="Symbol" w:hAnsi="Symbol" w:hint="default"/>
      </w:rPr>
    </w:lvl>
    <w:lvl w:ilvl="1" w:tplc="08090003" w:tentative="1">
      <w:start w:val="1"/>
      <w:numFmt w:val="bullet"/>
      <w:lvlText w:val="o"/>
      <w:lvlJc w:val="left"/>
      <w:pPr>
        <w:ind w:left="4320" w:hanging="360"/>
      </w:pPr>
      <w:rPr>
        <w:rFonts w:ascii="Courier New" w:hAnsi="Courier New" w:cs="Courier New" w:hint="default"/>
      </w:rPr>
    </w:lvl>
    <w:lvl w:ilvl="2" w:tplc="08090005" w:tentative="1">
      <w:start w:val="1"/>
      <w:numFmt w:val="bullet"/>
      <w:lvlText w:val=""/>
      <w:lvlJc w:val="left"/>
      <w:pPr>
        <w:ind w:left="5040" w:hanging="360"/>
      </w:pPr>
      <w:rPr>
        <w:rFonts w:ascii="Wingdings" w:hAnsi="Wingdings" w:hint="default"/>
      </w:rPr>
    </w:lvl>
    <w:lvl w:ilvl="3" w:tplc="08090001" w:tentative="1">
      <w:start w:val="1"/>
      <w:numFmt w:val="bullet"/>
      <w:lvlText w:val=""/>
      <w:lvlJc w:val="left"/>
      <w:pPr>
        <w:ind w:left="5760" w:hanging="360"/>
      </w:pPr>
      <w:rPr>
        <w:rFonts w:ascii="Symbol" w:hAnsi="Symbol" w:hint="default"/>
      </w:rPr>
    </w:lvl>
    <w:lvl w:ilvl="4" w:tplc="08090003" w:tentative="1">
      <w:start w:val="1"/>
      <w:numFmt w:val="bullet"/>
      <w:lvlText w:val="o"/>
      <w:lvlJc w:val="left"/>
      <w:pPr>
        <w:ind w:left="6480" w:hanging="360"/>
      </w:pPr>
      <w:rPr>
        <w:rFonts w:ascii="Courier New" w:hAnsi="Courier New" w:cs="Courier New" w:hint="default"/>
      </w:rPr>
    </w:lvl>
    <w:lvl w:ilvl="5" w:tplc="08090005" w:tentative="1">
      <w:start w:val="1"/>
      <w:numFmt w:val="bullet"/>
      <w:lvlText w:val=""/>
      <w:lvlJc w:val="left"/>
      <w:pPr>
        <w:ind w:left="7200" w:hanging="360"/>
      </w:pPr>
      <w:rPr>
        <w:rFonts w:ascii="Wingdings" w:hAnsi="Wingdings" w:hint="default"/>
      </w:rPr>
    </w:lvl>
    <w:lvl w:ilvl="6" w:tplc="08090001" w:tentative="1">
      <w:start w:val="1"/>
      <w:numFmt w:val="bullet"/>
      <w:lvlText w:val=""/>
      <w:lvlJc w:val="left"/>
      <w:pPr>
        <w:ind w:left="7920" w:hanging="360"/>
      </w:pPr>
      <w:rPr>
        <w:rFonts w:ascii="Symbol" w:hAnsi="Symbol" w:hint="default"/>
      </w:rPr>
    </w:lvl>
    <w:lvl w:ilvl="7" w:tplc="08090003" w:tentative="1">
      <w:start w:val="1"/>
      <w:numFmt w:val="bullet"/>
      <w:lvlText w:val="o"/>
      <w:lvlJc w:val="left"/>
      <w:pPr>
        <w:ind w:left="8640" w:hanging="360"/>
      </w:pPr>
      <w:rPr>
        <w:rFonts w:ascii="Courier New" w:hAnsi="Courier New" w:cs="Courier New" w:hint="default"/>
      </w:rPr>
    </w:lvl>
    <w:lvl w:ilvl="8" w:tplc="08090005" w:tentative="1">
      <w:start w:val="1"/>
      <w:numFmt w:val="bullet"/>
      <w:lvlText w:val=""/>
      <w:lvlJc w:val="left"/>
      <w:pPr>
        <w:ind w:left="9360" w:hanging="360"/>
      </w:pPr>
      <w:rPr>
        <w:rFonts w:ascii="Wingdings" w:hAnsi="Wingdings" w:hint="default"/>
      </w:rPr>
    </w:lvl>
  </w:abstractNum>
  <w:abstractNum w:abstractNumId="9" w15:restartNumberingAfterBreak="0">
    <w:nsid w:val="0C415846"/>
    <w:multiLevelType w:val="hybridMultilevel"/>
    <w:tmpl w:val="55FAA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F36309F"/>
    <w:multiLevelType w:val="hybridMultilevel"/>
    <w:tmpl w:val="F522C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F6B32A3"/>
    <w:multiLevelType w:val="hybridMultilevel"/>
    <w:tmpl w:val="BB4C03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80614C"/>
    <w:multiLevelType w:val="hybridMultilevel"/>
    <w:tmpl w:val="3D5EBB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2462B5D"/>
    <w:multiLevelType w:val="hybridMultilevel"/>
    <w:tmpl w:val="40268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4C33469"/>
    <w:multiLevelType w:val="multilevel"/>
    <w:tmpl w:val="B89848E8"/>
    <w:lvl w:ilvl="0">
      <w:start w:val="1"/>
      <w:numFmt w:val="decimal"/>
      <w:lvlText w:val="%1.0"/>
      <w:lvlJc w:val="left"/>
      <w:pPr>
        <w:ind w:left="510" w:hanging="510"/>
      </w:pPr>
      <w:rPr>
        <w:rFonts w:hint="default"/>
      </w:rPr>
    </w:lvl>
    <w:lvl w:ilvl="1">
      <w:start w:val="1"/>
      <w:numFmt w:val="decimalZero"/>
      <w:lvlText w:val="%1.%2"/>
      <w:lvlJc w:val="left"/>
      <w:pPr>
        <w:ind w:left="1230" w:hanging="51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5FE73E2"/>
    <w:multiLevelType w:val="hybridMultilevel"/>
    <w:tmpl w:val="115AE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6236EEE"/>
    <w:multiLevelType w:val="hybridMultilevel"/>
    <w:tmpl w:val="E89894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CBA3DEA"/>
    <w:multiLevelType w:val="hybridMultilevel"/>
    <w:tmpl w:val="DD70B8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D044D6A"/>
    <w:multiLevelType w:val="hybridMultilevel"/>
    <w:tmpl w:val="213EC75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F251789"/>
    <w:multiLevelType w:val="hybridMultilevel"/>
    <w:tmpl w:val="BA6076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2DA333B"/>
    <w:multiLevelType w:val="hybridMultilevel"/>
    <w:tmpl w:val="1502548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76E6FBE"/>
    <w:multiLevelType w:val="hybridMultilevel"/>
    <w:tmpl w:val="25160A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99335FB"/>
    <w:multiLevelType w:val="hybridMultilevel"/>
    <w:tmpl w:val="2F16C1C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B4D748C"/>
    <w:multiLevelType w:val="hybridMultilevel"/>
    <w:tmpl w:val="E3E67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BB87DD6"/>
    <w:multiLevelType w:val="hybridMultilevel"/>
    <w:tmpl w:val="89503B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C876A63"/>
    <w:multiLevelType w:val="hybridMultilevel"/>
    <w:tmpl w:val="E0B4DD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DD332EF"/>
    <w:multiLevelType w:val="hybridMultilevel"/>
    <w:tmpl w:val="73E0FC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DEE4C98"/>
    <w:multiLevelType w:val="hybridMultilevel"/>
    <w:tmpl w:val="41D28D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F3E2474"/>
    <w:multiLevelType w:val="hybridMultilevel"/>
    <w:tmpl w:val="51A6B8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30211AB3"/>
    <w:multiLevelType w:val="multilevel"/>
    <w:tmpl w:val="15ACD3CA"/>
    <w:lvl w:ilvl="0">
      <w:numFmt w:val="decimal"/>
      <w:lvlText w:val="%1"/>
      <w:lvlJc w:val="left"/>
      <w:pPr>
        <w:ind w:left="360" w:hanging="360"/>
      </w:pPr>
      <w:rPr>
        <w:rFonts w:hint="default"/>
      </w:rPr>
    </w:lvl>
    <w:lvl w:ilvl="1">
      <w:start w:val="1"/>
      <w:numFmt w:val="decimalZero"/>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30ED1F98"/>
    <w:multiLevelType w:val="multilevel"/>
    <w:tmpl w:val="650A895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1" w15:restartNumberingAfterBreak="0">
    <w:nsid w:val="38303AB1"/>
    <w:multiLevelType w:val="hybridMultilevel"/>
    <w:tmpl w:val="985A4F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88D2FD9"/>
    <w:multiLevelType w:val="hybridMultilevel"/>
    <w:tmpl w:val="AE6CFF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14702E8"/>
    <w:multiLevelType w:val="hybridMultilevel"/>
    <w:tmpl w:val="5CAEEC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C6F1513"/>
    <w:multiLevelType w:val="hybridMultilevel"/>
    <w:tmpl w:val="63E0F2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002138D"/>
    <w:multiLevelType w:val="hybridMultilevel"/>
    <w:tmpl w:val="1EC4C70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8D12387"/>
    <w:multiLevelType w:val="hybridMultilevel"/>
    <w:tmpl w:val="710C7C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599E40CD"/>
    <w:multiLevelType w:val="hybridMultilevel"/>
    <w:tmpl w:val="8E329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5C393C05"/>
    <w:multiLevelType w:val="hybridMultilevel"/>
    <w:tmpl w:val="7F148E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C4E6155"/>
    <w:multiLevelType w:val="hybridMultilevel"/>
    <w:tmpl w:val="20B2D750"/>
    <w:lvl w:ilvl="0" w:tplc="63B8135C">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5CF4544A"/>
    <w:multiLevelType w:val="hybridMultilevel"/>
    <w:tmpl w:val="B2841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5F79022D"/>
    <w:multiLevelType w:val="hybridMultilevel"/>
    <w:tmpl w:val="A0E86102"/>
    <w:lvl w:ilvl="0" w:tplc="22F43EF4">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6A63BD4"/>
    <w:multiLevelType w:val="hybridMultilevel"/>
    <w:tmpl w:val="2D649A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A9242F6"/>
    <w:multiLevelType w:val="hybridMultilevel"/>
    <w:tmpl w:val="14AA1B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E49318B"/>
    <w:multiLevelType w:val="hybridMultilevel"/>
    <w:tmpl w:val="B73E49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0D3249D"/>
    <w:multiLevelType w:val="hybridMultilevel"/>
    <w:tmpl w:val="B502A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5004F21"/>
    <w:multiLevelType w:val="hybridMultilevel"/>
    <w:tmpl w:val="95F2D0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7067F76"/>
    <w:multiLevelType w:val="hybridMultilevel"/>
    <w:tmpl w:val="4AE8F6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8F3512B"/>
    <w:multiLevelType w:val="hybridMultilevel"/>
    <w:tmpl w:val="673A8E86"/>
    <w:lvl w:ilvl="0" w:tplc="63B8135C">
      <w:start w:val="1"/>
      <w:numFmt w:val="bullet"/>
      <w:lvlText w:val="﷐"/>
      <w:lvlJc w:val="left"/>
      <w:pPr>
        <w:ind w:left="720" w:hanging="360"/>
      </w:pPr>
      <w:rPr>
        <w:rFonts w:ascii="Calibri" w:eastAsia="Calibri" w:hAnsi="Calibri"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A7068C5"/>
    <w:multiLevelType w:val="hybridMultilevel"/>
    <w:tmpl w:val="2326BB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3"/>
  </w:num>
  <w:num w:numId="2">
    <w:abstractNumId w:val="49"/>
  </w:num>
  <w:num w:numId="3">
    <w:abstractNumId w:val="46"/>
  </w:num>
  <w:num w:numId="4">
    <w:abstractNumId w:val="18"/>
  </w:num>
  <w:num w:numId="5">
    <w:abstractNumId w:val="25"/>
  </w:num>
  <w:num w:numId="6">
    <w:abstractNumId w:val="12"/>
  </w:num>
  <w:num w:numId="7">
    <w:abstractNumId w:val="9"/>
  </w:num>
  <w:num w:numId="8">
    <w:abstractNumId w:val="6"/>
  </w:num>
  <w:num w:numId="9">
    <w:abstractNumId w:val="35"/>
  </w:num>
  <w:num w:numId="10">
    <w:abstractNumId w:val="26"/>
  </w:num>
  <w:num w:numId="11">
    <w:abstractNumId w:val="2"/>
  </w:num>
  <w:num w:numId="12">
    <w:abstractNumId w:val="10"/>
  </w:num>
  <w:num w:numId="13">
    <w:abstractNumId w:val="13"/>
  </w:num>
  <w:num w:numId="14">
    <w:abstractNumId w:val="31"/>
  </w:num>
  <w:num w:numId="15">
    <w:abstractNumId w:val="37"/>
  </w:num>
  <w:num w:numId="16">
    <w:abstractNumId w:val="1"/>
  </w:num>
  <w:num w:numId="17">
    <w:abstractNumId w:val="17"/>
  </w:num>
  <w:num w:numId="18">
    <w:abstractNumId w:val="15"/>
  </w:num>
  <w:num w:numId="19">
    <w:abstractNumId w:val="4"/>
  </w:num>
  <w:num w:numId="20">
    <w:abstractNumId w:val="22"/>
  </w:num>
  <w:num w:numId="21">
    <w:abstractNumId w:val="44"/>
  </w:num>
  <w:num w:numId="22">
    <w:abstractNumId w:val="28"/>
  </w:num>
  <w:num w:numId="23">
    <w:abstractNumId w:val="30"/>
  </w:num>
  <w:num w:numId="24">
    <w:abstractNumId w:val="20"/>
  </w:num>
  <w:num w:numId="25">
    <w:abstractNumId w:val="5"/>
  </w:num>
  <w:num w:numId="26">
    <w:abstractNumId w:val="33"/>
  </w:num>
  <w:num w:numId="27">
    <w:abstractNumId w:val="41"/>
  </w:num>
  <w:num w:numId="28">
    <w:abstractNumId w:val="39"/>
  </w:num>
  <w:num w:numId="29">
    <w:abstractNumId w:val="48"/>
  </w:num>
  <w:num w:numId="30">
    <w:abstractNumId w:val="47"/>
  </w:num>
  <w:num w:numId="31">
    <w:abstractNumId w:val="11"/>
  </w:num>
  <w:num w:numId="32">
    <w:abstractNumId w:val="16"/>
  </w:num>
  <w:num w:numId="33">
    <w:abstractNumId w:val="19"/>
  </w:num>
  <w:num w:numId="34">
    <w:abstractNumId w:val="36"/>
  </w:num>
  <w:num w:numId="35">
    <w:abstractNumId w:val="24"/>
  </w:num>
  <w:num w:numId="36">
    <w:abstractNumId w:val="38"/>
  </w:num>
  <w:num w:numId="37">
    <w:abstractNumId w:val="45"/>
  </w:num>
  <w:num w:numId="38">
    <w:abstractNumId w:val="23"/>
  </w:num>
  <w:num w:numId="39">
    <w:abstractNumId w:val="0"/>
  </w:num>
  <w:num w:numId="40">
    <w:abstractNumId w:val="27"/>
  </w:num>
  <w:num w:numId="41">
    <w:abstractNumId w:val="29"/>
  </w:num>
  <w:num w:numId="42">
    <w:abstractNumId w:val="14"/>
  </w:num>
  <w:num w:numId="43">
    <w:abstractNumId w:val="3"/>
  </w:num>
  <w:num w:numId="44">
    <w:abstractNumId w:val="34"/>
  </w:num>
  <w:num w:numId="45">
    <w:abstractNumId w:val="32"/>
  </w:num>
  <w:num w:numId="46">
    <w:abstractNumId w:val="8"/>
  </w:num>
  <w:num w:numId="47">
    <w:abstractNumId w:val="7"/>
  </w:num>
  <w:num w:numId="48">
    <w:abstractNumId w:val="40"/>
  </w:num>
  <w:num w:numId="49">
    <w:abstractNumId w:val="21"/>
  </w:num>
  <w:num w:numId="50">
    <w:abstractNumId w:val="4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0EB"/>
    <w:rsid w:val="00000047"/>
    <w:rsid w:val="000001B3"/>
    <w:rsid w:val="000001D2"/>
    <w:rsid w:val="000001D8"/>
    <w:rsid w:val="00000314"/>
    <w:rsid w:val="00000721"/>
    <w:rsid w:val="00000D99"/>
    <w:rsid w:val="00000DE8"/>
    <w:rsid w:val="00000FDA"/>
    <w:rsid w:val="0000106F"/>
    <w:rsid w:val="00001074"/>
    <w:rsid w:val="00001532"/>
    <w:rsid w:val="00001893"/>
    <w:rsid w:val="000018C3"/>
    <w:rsid w:val="0000203B"/>
    <w:rsid w:val="000022E0"/>
    <w:rsid w:val="00002601"/>
    <w:rsid w:val="00002634"/>
    <w:rsid w:val="00002751"/>
    <w:rsid w:val="00002880"/>
    <w:rsid w:val="00002936"/>
    <w:rsid w:val="00002A03"/>
    <w:rsid w:val="00002F94"/>
    <w:rsid w:val="00003430"/>
    <w:rsid w:val="000036A1"/>
    <w:rsid w:val="000036A3"/>
    <w:rsid w:val="0000379E"/>
    <w:rsid w:val="00003AD7"/>
    <w:rsid w:val="00004186"/>
    <w:rsid w:val="00004623"/>
    <w:rsid w:val="00004A61"/>
    <w:rsid w:val="00004A8E"/>
    <w:rsid w:val="00004CB7"/>
    <w:rsid w:val="00004DE0"/>
    <w:rsid w:val="000050CD"/>
    <w:rsid w:val="000052B3"/>
    <w:rsid w:val="0000580C"/>
    <w:rsid w:val="000059A3"/>
    <w:rsid w:val="00005CA0"/>
    <w:rsid w:val="00005D83"/>
    <w:rsid w:val="0000647A"/>
    <w:rsid w:val="00006612"/>
    <w:rsid w:val="00006A82"/>
    <w:rsid w:val="00006B22"/>
    <w:rsid w:val="00006FCA"/>
    <w:rsid w:val="00007083"/>
    <w:rsid w:val="00007352"/>
    <w:rsid w:val="000075CE"/>
    <w:rsid w:val="000077E6"/>
    <w:rsid w:val="000079FC"/>
    <w:rsid w:val="00007C56"/>
    <w:rsid w:val="0001001C"/>
    <w:rsid w:val="00010049"/>
    <w:rsid w:val="00010313"/>
    <w:rsid w:val="00010410"/>
    <w:rsid w:val="000108D8"/>
    <w:rsid w:val="00010A6D"/>
    <w:rsid w:val="00010B93"/>
    <w:rsid w:val="00010F4A"/>
    <w:rsid w:val="0001105D"/>
    <w:rsid w:val="0001138F"/>
    <w:rsid w:val="000115DA"/>
    <w:rsid w:val="000117B4"/>
    <w:rsid w:val="00011A3D"/>
    <w:rsid w:val="00011C5E"/>
    <w:rsid w:val="00012083"/>
    <w:rsid w:val="000124D2"/>
    <w:rsid w:val="000125E0"/>
    <w:rsid w:val="00012885"/>
    <w:rsid w:val="000129D0"/>
    <w:rsid w:val="00012B3F"/>
    <w:rsid w:val="00012B68"/>
    <w:rsid w:val="00012DFF"/>
    <w:rsid w:val="00013115"/>
    <w:rsid w:val="0001324E"/>
    <w:rsid w:val="000133B5"/>
    <w:rsid w:val="000134A3"/>
    <w:rsid w:val="00013589"/>
    <w:rsid w:val="00013A10"/>
    <w:rsid w:val="000145B7"/>
    <w:rsid w:val="00014661"/>
    <w:rsid w:val="00014AB7"/>
    <w:rsid w:val="00014B5C"/>
    <w:rsid w:val="00015235"/>
    <w:rsid w:val="00015658"/>
    <w:rsid w:val="000156D6"/>
    <w:rsid w:val="00015736"/>
    <w:rsid w:val="000157A3"/>
    <w:rsid w:val="00015965"/>
    <w:rsid w:val="00015C6F"/>
    <w:rsid w:val="00015E26"/>
    <w:rsid w:val="00015EF9"/>
    <w:rsid w:val="00016021"/>
    <w:rsid w:val="0001616A"/>
    <w:rsid w:val="0001619D"/>
    <w:rsid w:val="0001680B"/>
    <w:rsid w:val="00016867"/>
    <w:rsid w:val="00016927"/>
    <w:rsid w:val="00016AB6"/>
    <w:rsid w:val="00016F05"/>
    <w:rsid w:val="000174CF"/>
    <w:rsid w:val="00017945"/>
    <w:rsid w:val="00017C3D"/>
    <w:rsid w:val="00017D43"/>
    <w:rsid w:val="00017DFF"/>
    <w:rsid w:val="00017E88"/>
    <w:rsid w:val="00017EF0"/>
    <w:rsid w:val="00017F18"/>
    <w:rsid w:val="00017F43"/>
    <w:rsid w:val="000202A6"/>
    <w:rsid w:val="000204B4"/>
    <w:rsid w:val="000204DC"/>
    <w:rsid w:val="00020569"/>
    <w:rsid w:val="000207AB"/>
    <w:rsid w:val="000207B4"/>
    <w:rsid w:val="000207C9"/>
    <w:rsid w:val="00020FA7"/>
    <w:rsid w:val="00021074"/>
    <w:rsid w:val="0002111A"/>
    <w:rsid w:val="0002124F"/>
    <w:rsid w:val="00021312"/>
    <w:rsid w:val="00021419"/>
    <w:rsid w:val="000215D8"/>
    <w:rsid w:val="00021780"/>
    <w:rsid w:val="00021F0D"/>
    <w:rsid w:val="000223B6"/>
    <w:rsid w:val="000227B1"/>
    <w:rsid w:val="00022BDB"/>
    <w:rsid w:val="00022D1C"/>
    <w:rsid w:val="00022D42"/>
    <w:rsid w:val="000233BB"/>
    <w:rsid w:val="000233F1"/>
    <w:rsid w:val="000237F7"/>
    <w:rsid w:val="000238F6"/>
    <w:rsid w:val="0002390A"/>
    <w:rsid w:val="00023B76"/>
    <w:rsid w:val="000244E4"/>
    <w:rsid w:val="000247C8"/>
    <w:rsid w:val="000247FC"/>
    <w:rsid w:val="00024916"/>
    <w:rsid w:val="00024E05"/>
    <w:rsid w:val="00024F8E"/>
    <w:rsid w:val="00025248"/>
    <w:rsid w:val="000256CC"/>
    <w:rsid w:val="000256FF"/>
    <w:rsid w:val="000257D6"/>
    <w:rsid w:val="00025872"/>
    <w:rsid w:val="000258E3"/>
    <w:rsid w:val="00025AB4"/>
    <w:rsid w:val="00025E14"/>
    <w:rsid w:val="00025E27"/>
    <w:rsid w:val="00026047"/>
    <w:rsid w:val="00026104"/>
    <w:rsid w:val="0002611A"/>
    <w:rsid w:val="000265A5"/>
    <w:rsid w:val="00026757"/>
    <w:rsid w:val="000268E7"/>
    <w:rsid w:val="0002694B"/>
    <w:rsid w:val="00026A6A"/>
    <w:rsid w:val="00026D21"/>
    <w:rsid w:val="00026D73"/>
    <w:rsid w:val="000270A6"/>
    <w:rsid w:val="00027635"/>
    <w:rsid w:val="00027985"/>
    <w:rsid w:val="00027987"/>
    <w:rsid w:val="00027AF7"/>
    <w:rsid w:val="00027C1B"/>
    <w:rsid w:val="00027D34"/>
    <w:rsid w:val="00027E35"/>
    <w:rsid w:val="00030111"/>
    <w:rsid w:val="00030132"/>
    <w:rsid w:val="0003016A"/>
    <w:rsid w:val="00030218"/>
    <w:rsid w:val="000306B0"/>
    <w:rsid w:val="0003080D"/>
    <w:rsid w:val="00031153"/>
    <w:rsid w:val="000313A4"/>
    <w:rsid w:val="0003141B"/>
    <w:rsid w:val="000314B1"/>
    <w:rsid w:val="000315DE"/>
    <w:rsid w:val="00031A7B"/>
    <w:rsid w:val="00031D26"/>
    <w:rsid w:val="00031F88"/>
    <w:rsid w:val="000325BC"/>
    <w:rsid w:val="00032AE6"/>
    <w:rsid w:val="000331B5"/>
    <w:rsid w:val="00033373"/>
    <w:rsid w:val="000334C1"/>
    <w:rsid w:val="0003371D"/>
    <w:rsid w:val="000338FD"/>
    <w:rsid w:val="00033A7F"/>
    <w:rsid w:val="00033FC2"/>
    <w:rsid w:val="00034908"/>
    <w:rsid w:val="00034C72"/>
    <w:rsid w:val="00034E9C"/>
    <w:rsid w:val="00034EE3"/>
    <w:rsid w:val="00034F5E"/>
    <w:rsid w:val="00035656"/>
    <w:rsid w:val="000358A1"/>
    <w:rsid w:val="00035BFA"/>
    <w:rsid w:val="00035C4B"/>
    <w:rsid w:val="00035CA6"/>
    <w:rsid w:val="0003660E"/>
    <w:rsid w:val="0003668D"/>
    <w:rsid w:val="000366D4"/>
    <w:rsid w:val="00036B8D"/>
    <w:rsid w:val="00036BBD"/>
    <w:rsid w:val="00037201"/>
    <w:rsid w:val="0003728A"/>
    <w:rsid w:val="00037394"/>
    <w:rsid w:val="000377A4"/>
    <w:rsid w:val="00037918"/>
    <w:rsid w:val="00037AF4"/>
    <w:rsid w:val="00037C5A"/>
    <w:rsid w:val="00037FBF"/>
    <w:rsid w:val="00040675"/>
    <w:rsid w:val="00040954"/>
    <w:rsid w:val="00040AE5"/>
    <w:rsid w:val="00040AEC"/>
    <w:rsid w:val="00041113"/>
    <w:rsid w:val="00041352"/>
    <w:rsid w:val="000414F2"/>
    <w:rsid w:val="0004172D"/>
    <w:rsid w:val="0004178B"/>
    <w:rsid w:val="00042013"/>
    <w:rsid w:val="000422FA"/>
    <w:rsid w:val="00042402"/>
    <w:rsid w:val="0004296A"/>
    <w:rsid w:val="00042F05"/>
    <w:rsid w:val="00043073"/>
    <w:rsid w:val="000431E2"/>
    <w:rsid w:val="00043206"/>
    <w:rsid w:val="0004342F"/>
    <w:rsid w:val="000435F3"/>
    <w:rsid w:val="00043D07"/>
    <w:rsid w:val="00043E40"/>
    <w:rsid w:val="00043E44"/>
    <w:rsid w:val="00043FB1"/>
    <w:rsid w:val="00044314"/>
    <w:rsid w:val="00044608"/>
    <w:rsid w:val="000447EE"/>
    <w:rsid w:val="00044B3E"/>
    <w:rsid w:val="00044BCB"/>
    <w:rsid w:val="00044C34"/>
    <w:rsid w:val="00044F6F"/>
    <w:rsid w:val="00045451"/>
    <w:rsid w:val="000454DD"/>
    <w:rsid w:val="0004561A"/>
    <w:rsid w:val="0004574E"/>
    <w:rsid w:val="00045814"/>
    <w:rsid w:val="00045C27"/>
    <w:rsid w:val="00045D8B"/>
    <w:rsid w:val="00046473"/>
    <w:rsid w:val="0004675A"/>
    <w:rsid w:val="000469FB"/>
    <w:rsid w:val="00046A8D"/>
    <w:rsid w:val="00046DBC"/>
    <w:rsid w:val="00046F7B"/>
    <w:rsid w:val="00046F7E"/>
    <w:rsid w:val="000478CB"/>
    <w:rsid w:val="00047F29"/>
    <w:rsid w:val="0005019E"/>
    <w:rsid w:val="000501C8"/>
    <w:rsid w:val="000503D1"/>
    <w:rsid w:val="00050E86"/>
    <w:rsid w:val="00050FCD"/>
    <w:rsid w:val="000512B7"/>
    <w:rsid w:val="000516F9"/>
    <w:rsid w:val="00051701"/>
    <w:rsid w:val="00052120"/>
    <w:rsid w:val="000522CF"/>
    <w:rsid w:val="0005236C"/>
    <w:rsid w:val="000524B1"/>
    <w:rsid w:val="0005251D"/>
    <w:rsid w:val="000526D4"/>
    <w:rsid w:val="000528C9"/>
    <w:rsid w:val="00052DD8"/>
    <w:rsid w:val="000532A0"/>
    <w:rsid w:val="000533DA"/>
    <w:rsid w:val="00053427"/>
    <w:rsid w:val="00053446"/>
    <w:rsid w:val="00053668"/>
    <w:rsid w:val="00053711"/>
    <w:rsid w:val="00053CCC"/>
    <w:rsid w:val="00053D21"/>
    <w:rsid w:val="00053E44"/>
    <w:rsid w:val="00053FA3"/>
    <w:rsid w:val="000541FB"/>
    <w:rsid w:val="000546A2"/>
    <w:rsid w:val="00054793"/>
    <w:rsid w:val="00054E09"/>
    <w:rsid w:val="000557DA"/>
    <w:rsid w:val="00055BF1"/>
    <w:rsid w:val="00055DC1"/>
    <w:rsid w:val="000562E6"/>
    <w:rsid w:val="000566DD"/>
    <w:rsid w:val="00056708"/>
    <w:rsid w:val="0005685B"/>
    <w:rsid w:val="00056A7E"/>
    <w:rsid w:val="00056B73"/>
    <w:rsid w:val="00056D10"/>
    <w:rsid w:val="0005748C"/>
    <w:rsid w:val="0005757A"/>
    <w:rsid w:val="000579EF"/>
    <w:rsid w:val="00057BBD"/>
    <w:rsid w:val="000600EB"/>
    <w:rsid w:val="00060541"/>
    <w:rsid w:val="00060DD1"/>
    <w:rsid w:val="00060DD9"/>
    <w:rsid w:val="00061056"/>
    <w:rsid w:val="000614FC"/>
    <w:rsid w:val="000616B5"/>
    <w:rsid w:val="000619F3"/>
    <w:rsid w:val="00061BB4"/>
    <w:rsid w:val="00061BF3"/>
    <w:rsid w:val="00061E02"/>
    <w:rsid w:val="00061E88"/>
    <w:rsid w:val="00061EFD"/>
    <w:rsid w:val="000620EE"/>
    <w:rsid w:val="000622C5"/>
    <w:rsid w:val="0006250E"/>
    <w:rsid w:val="0006277D"/>
    <w:rsid w:val="00062858"/>
    <w:rsid w:val="00062994"/>
    <w:rsid w:val="00062C11"/>
    <w:rsid w:val="00062C38"/>
    <w:rsid w:val="00062D97"/>
    <w:rsid w:val="00062DB0"/>
    <w:rsid w:val="00062E1A"/>
    <w:rsid w:val="00063092"/>
    <w:rsid w:val="000633E5"/>
    <w:rsid w:val="000636E7"/>
    <w:rsid w:val="00063C0D"/>
    <w:rsid w:val="00063CAC"/>
    <w:rsid w:val="000641F4"/>
    <w:rsid w:val="000646AE"/>
    <w:rsid w:val="00064D25"/>
    <w:rsid w:val="00064F77"/>
    <w:rsid w:val="000650AA"/>
    <w:rsid w:val="00065169"/>
    <w:rsid w:val="0006529F"/>
    <w:rsid w:val="00065315"/>
    <w:rsid w:val="0006537F"/>
    <w:rsid w:val="000654AE"/>
    <w:rsid w:val="00065E1D"/>
    <w:rsid w:val="00065E31"/>
    <w:rsid w:val="0006671C"/>
    <w:rsid w:val="0006687E"/>
    <w:rsid w:val="00066B53"/>
    <w:rsid w:val="00066F72"/>
    <w:rsid w:val="000671A0"/>
    <w:rsid w:val="0006743F"/>
    <w:rsid w:val="00067C34"/>
    <w:rsid w:val="00067CE7"/>
    <w:rsid w:val="00067E4D"/>
    <w:rsid w:val="00067FFC"/>
    <w:rsid w:val="00070705"/>
    <w:rsid w:val="000707C3"/>
    <w:rsid w:val="00070B57"/>
    <w:rsid w:val="00071001"/>
    <w:rsid w:val="000710E1"/>
    <w:rsid w:val="0007164E"/>
    <w:rsid w:val="00071653"/>
    <w:rsid w:val="00071925"/>
    <w:rsid w:val="00071A18"/>
    <w:rsid w:val="00071E6E"/>
    <w:rsid w:val="0007213A"/>
    <w:rsid w:val="000723B1"/>
    <w:rsid w:val="0007249E"/>
    <w:rsid w:val="000728FE"/>
    <w:rsid w:val="00072960"/>
    <w:rsid w:val="00072DE2"/>
    <w:rsid w:val="000734C3"/>
    <w:rsid w:val="000735D1"/>
    <w:rsid w:val="00073A06"/>
    <w:rsid w:val="00073D03"/>
    <w:rsid w:val="00074055"/>
    <w:rsid w:val="000741DE"/>
    <w:rsid w:val="00074375"/>
    <w:rsid w:val="00074961"/>
    <w:rsid w:val="00074B84"/>
    <w:rsid w:val="00074BA4"/>
    <w:rsid w:val="00074E3E"/>
    <w:rsid w:val="0007542F"/>
    <w:rsid w:val="0007574E"/>
    <w:rsid w:val="000759DB"/>
    <w:rsid w:val="00075BB2"/>
    <w:rsid w:val="00075C71"/>
    <w:rsid w:val="00075DA9"/>
    <w:rsid w:val="00076345"/>
    <w:rsid w:val="000764A6"/>
    <w:rsid w:val="000769D1"/>
    <w:rsid w:val="00076A60"/>
    <w:rsid w:val="00076CA2"/>
    <w:rsid w:val="00076CD5"/>
    <w:rsid w:val="00077BB1"/>
    <w:rsid w:val="00077BB6"/>
    <w:rsid w:val="00077F12"/>
    <w:rsid w:val="000800BF"/>
    <w:rsid w:val="00080199"/>
    <w:rsid w:val="000807FA"/>
    <w:rsid w:val="00080939"/>
    <w:rsid w:val="00080C18"/>
    <w:rsid w:val="00080DAA"/>
    <w:rsid w:val="00080F94"/>
    <w:rsid w:val="000810CB"/>
    <w:rsid w:val="000815D6"/>
    <w:rsid w:val="00081A10"/>
    <w:rsid w:val="00082009"/>
    <w:rsid w:val="00082416"/>
    <w:rsid w:val="000827C4"/>
    <w:rsid w:val="00082930"/>
    <w:rsid w:val="00082AB5"/>
    <w:rsid w:val="00082C6D"/>
    <w:rsid w:val="00082D8E"/>
    <w:rsid w:val="00082EE0"/>
    <w:rsid w:val="00082F7C"/>
    <w:rsid w:val="00083360"/>
    <w:rsid w:val="00083812"/>
    <w:rsid w:val="00083A14"/>
    <w:rsid w:val="00083CC4"/>
    <w:rsid w:val="00083D82"/>
    <w:rsid w:val="00083E79"/>
    <w:rsid w:val="00083F3D"/>
    <w:rsid w:val="00084468"/>
    <w:rsid w:val="000845C7"/>
    <w:rsid w:val="000845E4"/>
    <w:rsid w:val="00084CE8"/>
    <w:rsid w:val="00084DDF"/>
    <w:rsid w:val="000850ED"/>
    <w:rsid w:val="00085292"/>
    <w:rsid w:val="00085601"/>
    <w:rsid w:val="0008577F"/>
    <w:rsid w:val="0008605E"/>
    <w:rsid w:val="000867E7"/>
    <w:rsid w:val="00086D0A"/>
    <w:rsid w:val="00086DDB"/>
    <w:rsid w:val="0008709D"/>
    <w:rsid w:val="000870BA"/>
    <w:rsid w:val="00087B94"/>
    <w:rsid w:val="00087EE1"/>
    <w:rsid w:val="000900D1"/>
    <w:rsid w:val="00090363"/>
    <w:rsid w:val="000903B3"/>
    <w:rsid w:val="000906AF"/>
    <w:rsid w:val="00090BF9"/>
    <w:rsid w:val="000918FF"/>
    <w:rsid w:val="00091D1C"/>
    <w:rsid w:val="00091FC6"/>
    <w:rsid w:val="00092396"/>
    <w:rsid w:val="00092446"/>
    <w:rsid w:val="000926DC"/>
    <w:rsid w:val="0009278A"/>
    <w:rsid w:val="000928DC"/>
    <w:rsid w:val="000929BC"/>
    <w:rsid w:val="00092B49"/>
    <w:rsid w:val="00092B61"/>
    <w:rsid w:val="00092F27"/>
    <w:rsid w:val="00092F5F"/>
    <w:rsid w:val="000932F2"/>
    <w:rsid w:val="000937B7"/>
    <w:rsid w:val="000939F8"/>
    <w:rsid w:val="00093A36"/>
    <w:rsid w:val="00093D79"/>
    <w:rsid w:val="00093EC0"/>
    <w:rsid w:val="00093F24"/>
    <w:rsid w:val="000940E0"/>
    <w:rsid w:val="000944FE"/>
    <w:rsid w:val="000945F3"/>
    <w:rsid w:val="00094712"/>
    <w:rsid w:val="00094BE4"/>
    <w:rsid w:val="00094C24"/>
    <w:rsid w:val="00094EBE"/>
    <w:rsid w:val="0009567D"/>
    <w:rsid w:val="000957D3"/>
    <w:rsid w:val="000958D5"/>
    <w:rsid w:val="000959C3"/>
    <w:rsid w:val="00095D77"/>
    <w:rsid w:val="00095FFB"/>
    <w:rsid w:val="00096075"/>
    <w:rsid w:val="000960AF"/>
    <w:rsid w:val="0009611C"/>
    <w:rsid w:val="000961A5"/>
    <w:rsid w:val="000965BE"/>
    <w:rsid w:val="000966AB"/>
    <w:rsid w:val="00096870"/>
    <w:rsid w:val="00096A15"/>
    <w:rsid w:val="00096A7B"/>
    <w:rsid w:val="00096CCE"/>
    <w:rsid w:val="00097447"/>
    <w:rsid w:val="000974D3"/>
    <w:rsid w:val="00097696"/>
    <w:rsid w:val="00097778"/>
    <w:rsid w:val="00097B19"/>
    <w:rsid w:val="00097C49"/>
    <w:rsid w:val="000A025B"/>
    <w:rsid w:val="000A04E6"/>
    <w:rsid w:val="000A0F1F"/>
    <w:rsid w:val="000A10B6"/>
    <w:rsid w:val="000A1349"/>
    <w:rsid w:val="000A18A9"/>
    <w:rsid w:val="000A1CD0"/>
    <w:rsid w:val="000A1CD4"/>
    <w:rsid w:val="000A2513"/>
    <w:rsid w:val="000A2A39"/>
    <w:rsid w:val="000A2E6B"/>
    <w:rsid w:val="000A327C"/>
    <w:rsid w:val="000A3365"/>
    <w:rsid w:val="000A356C"/>
    <w:rsid w:val="000A37A3"/>
    <w:rsid w:val="000A39E2"/>
    <w:rsid w:val="000A3E7E"/>
    <w:rsid w:val="000A3EAB"/>
    <w:rsid w:val="000A3FEC"/>
    <w:rsid w:val="000A4048"/>
    <w:rsid w:val="000A4998"/>
    <w:rsid w:val="000A4A2A"/>
    <w:rsid w:val="000A4B12"/>
    <w:rsid w:val="000A4EAB"/>
    <w:rsid w:val="000A57AD"/>
    <w:rsid w:val="000A59AF"/>
    <w:rsid w:val="000A5A47"/>
    <w:rsid w:val="000A5A5F"/>
    <w:rsid w:val="000A5AF3"/>
    <w:rsid w:val="000A5B13"/>
    <w:rsid w:val="000A5BF5"/>
    <w:rsid w:val="000A5CA2"/>
    <w:rsid w:val="000A5D6F"/>
    <w:rsid w:val="000A5F41"/>
    <w:rsid w:val="000A5FBD"/>
    <w:rsid w:val="000A6B5D"/>
    <w:rsid w:val="000A6C07"/>
    <w:rsid w:val="000A6CD1"/>
    <w:rsid w:val="000A70CA"/>
    <w:rsid w:val="000A7245"/>
    <w:rsid w:val="000A731F"/>
    <w:rsid w:val="000A746C"/>
    <w:rsid w:val="000A7ACA"/>
    <w:rsid w:val="000A7D46"/>
    <w:rsid w:val="000A7DED"/>
    <w:rsid w:val="000B0374"/>
    <w:rsid w:val="000B0634"/>
    <w:rsid w:val="000B07D3"/>
    <w:rsid w:val="000B0F12"/>
    <w:rsid w:val="000B1048"/>
    <w:rsid w:val="000B10D3"/>
    <w:rsid w:val="000B14F4"/>
    <w:rsid w:val="000B1503"/>
    <w:rsid w:val="000B1689"/>
    <w:rsid w:val="000B1AC1"/>
    <w:rsid w:val="000B1C9D"/>
    <w:rsid w:val="000B1E1C"/>
    <w:rsid w:val="000B1F4F"/>
    <w:rsid w:val="000B24B8"/>
    <w:rsid w:val="000B24F9"/>
    <w:rsid w:val="000B2755"/>
    <w:rsid w:val="000B2AA7"/>
    <w:rsid w:val="000B2ABB"/>
    <w:rsid w:val="000B2DC1"/>
    <w:rsid w:val="000B2E57"/>
    <w:rsid w:val="000B2FD0"/>
    <w:rsid w:val="000B307B"/>
    <w:rsid w:val="000B349F"/>
    <w:rsid w:val="000B3CD3"/>
    <w:rsid w:val="000B3D19"/>
    <w:rsid w:val="000B3E54"/>
    <w:rsid w:val="000B3F7D"/>
    <w:rsid w:val="000B4008"/>
    <w:rsid w:val="000B402A"/>
    <w:rsid w:val="000B40D8"/>
    <w:rsid w:val="000B4194"/>
    <w:rsid w:val="000B43A0"/>
    <w:rsid w:val="000B449F"/>
    <w:rsid w:val="000B45F0"/>
    <w:rsid w:val="000B46F3"/>
    <w:rsid w:val="000B475E"/>
    <w:rsid w:val="000B4B73"/>
    <w:rsid w:val="000B4D68"/>
    <w:rsid w:val="000B4E55"/>
    <w:rsid w:val="000B529D"/>
    <w:rsid w:val="000B5476"/>
    <w:rsid w:val="000B55F7"/>
    <w:rsid w:val="000B598C"/>
    <w:rsid w:val="000B5F7F"/>
    <w:rsid w:val="000B6298"/>
    <w:rsid w:val="000B6CBE"/>
    <w:rsid w:val="000B719F"/>
    <w:rsid w:val="000B7707"/>
    <w:rsid w:val="000B796F"/>
    <w:rsid w:val="000B7E24"/>
    <w:rsid w:val="000B7E4C"/>
    <w:rsid w:val="000B7F2F"/>
    <w:rsid w:val="000C012C"/>
    <w:rsid w:val="000C0311"/>
    <w:rsid w:val="000C03A6"/>
    <w:rsid w:val="000C084A"/>
    <w:rsid w:val="000C093C"/>
    <w:rsid w:val="000C0B33"/>
    <w:rsid w:val="000C0F70"/>
    <w:rsid w:val="000C1629"/>
    <w:rsid w:val="000C19A8"/>
    <w:rsid w:val="000C1E56"/>
    <w:rsid w:val="000C1F7E"/>
    <w:rsid w:val="000C20CE"/>
    <w:rsid w:val="000C24AC"/>
    <w:rsid w:val="000C26C0"/>
    <w:rsid w:val="000C2917"/>
    <w:rsid w:val="000C2C3A"/>
    <w:rsid w:val="000C2D95"/>
    <w:rsid w:val="000C3161"/>
    <w:rsid w:val="000C3202"/>
    <w:rsid w:val="000C322B"/>
    <w:rsid w:val="000C32D9"/>
    <w:rsid w:val="000C386E"/>
    <w:rsid w:val="000C3B8C"/>
    <w:rsid w:val="000C4273"/>
    <w:rsid w:val="000C439F"/>
    <w:rsid w:val="000C460D"/>
    <w:rsid w:val="000C4B12"/>
    <w:rsid w:val="000C4C5A"/>
    <w:rsid w:val="000C4E26"/>
    <w:rsid w:val="000C4F12"/>
    <w:rsid w:val="000C507F"/>
    <w:rsid w:val="000C52FF"/>
    <w:rsid w:val="000C5389"/>
    <w:rsid w:val="000C56B2"/>
    <w:rsid w:val="000C5A23"/>
    <w:rsid w:val="000C5EE0"/>
    <w:rsid w:val="000C5F1E"/>
    <w:rsid w:val="000C668E"/>
    <w:rsid w:val="000C6C70"/>
    <w:rsid w:val="000C6CB0"/>
    <w:rsid w:val="000C6E96"/>
    <w:rsid w:val="000C6F5C"/>
    <w:rsid w:val="000C71E8"/>
    <w:rsid w:val="000C72BD"/>
    <w:rsid w:val="000C7483"/>
    <w:rsid w:val="000C7539"/>
    <w:rsid w:val="000C7593"/>
    <w:rsid w:val="000C7636"/>
    <w:rsid w:val="000C773A"/>
    <w:rsid w:val="000C7BAC"/>
    <w:rsid w:val="000C7CE1"/>
    <w:rsid w:val="000C7E6D"/>
    <w:rsid w:val="000C7FDA"/>
    <w:rsid w:val="000D069C"/>
    <w:rsid w:val="000D08AA"/>
    <w:rsid w:val="000D0D12"/>
    <w:rsid w:val="000D11A5"/>
    <w:rsid w:val="000D1685"/>
    <w:rsid w:val="000D1874"/>
    <w:rsid w:val="000D1C00"/>
    <w:rsid w:val="000D21B1"/>
    <w:rsid w:val="000D25E8"/>
    <w:rsid w:val="000D27DD"/>
    <w:rsid w:val="000D2EC9"/>
    <w:rsid w:val="000D2F6A"/>
    <w:rsid w:val="000D30D3"/>
    <w:rsid w:val="000D3239"/>
    <w:rsid w:val="000D367C"/>
    <w:rsid w:val="000D36C4"/>
    <w:rsid w:val="000D3731"/>
    <w:rsid w:val="000D39A3"/>
    <w:rsid w:val="000D3C38"/>
    <w:rsid w:val="000D3D2A"/>
    <w:rsid w:val="000D3F21"/>
    <w:rsid w:val="000D4011"/>
    <w:rsid w:val="000D4374"/>
    <w:rsid w:val="000D4B14"/>
    <w:rsid w:val="000D4D8A"/>
    <w:rsid w:val="000D4F97"/>
    <w:rsid w:val="000D5130"/>
    <w:rsid w:val="000D5329"/>
    <w:rsid w:val="000D554C"/>
    <w:rsid w:val="000D55BE"/>
    <w:rsid w:val="000D58A8"/>
    <w:rsid w:val="000D5C15"/>
    <w:rsid w:val="000D5D04"/>
    <w:rsid w:val="000D5EE6"/>
    <w:rsid w:val="000D62FE"/>
    <w:rsid w:val="000D64EC"/>
    <w:rsid w:val="000D67EE"/>
    <w:rsid w:val="000D69DB"/>
    <w:rsid w:val="000D6E82"/>
    <w:rsid w:val="000D70A1"/>
    <w:rsid w:val="000D739B"/>
    <w:rsid w:val="000D7748"/>
    <w:rsid w:val="000D7E0C"/>
    <w:rsid w:val="000E0262"/>
    <w:rsid w:val="000E03C9"/>
    <w:rsid w:val="000E03EF"/>
    <w:rsid w:val="000E0444"/>
    <w:rsid w:val="000E05FE"/>
    <w:rsid w:val="000E0628"/>
    <w:rsid w:val="000E06F6"/>
    <w:rsid w:val="000E0918"/>
    <w:rsid w:val="000E0D0A"/>
    <w:rsid w:val="000E1252"/>
    <w:rsid w:val="000E1950"/>
    <w:rsid w:val="000E1CFA"/>
    <w:rsid w:val="000E1E81"/>
    <w:rsid w:val="000E20B8"/>
    <w:rsid w:val="000E2388"/>
    <w:rsid w:val="000E238D"/>
    <w:rsid w:val="000E248A"/>
    <w:rsid w:val="000E322B"/>
    <w:rsid w:val="000E332B"/>
    <w:rsid w:val="000E361F"/>
    <w:rsid w:val="000E39DD"/>
    <w:rsid w:val="000E421F"/>
    <w:rsid w:val="000E424C"/>
    <w:rsid w:val="000E45B5"/>
    <w:rsid w:val="000E4744"/>
    <w:rsid w:val="000E4ABC"/>
    <w:rsid w:val="000E4CE1"/>
    <w:rsid w:val="000E4D83"/>
    <w:rsid w:val="000E4DE6"/>
    <w:rsid w:val="000E4F69"/>
    <w:rsid w:val="000E50A0"/>
    <w:rsid w:val="000E54D6"/>
    <w:rsid w:val="000E56A9"/>
    <w:rsid w:val="000E589F"/>
    <w:rsid w:val="000E59A5"/>
    <w:rsid w:val="000E5C42"/>
    <w:rsid w:val="000E5CFB"/>
    <w:rsid w:val="000E5D81"/>
    <w:rsid w:val="000E5D86"/>
    <w:rsid w:val="000E6252"/>
    <w:rsid w:val="000E6A24"/>
    <w:rsid w:val="000E6C81"/>
    <w:rsid w:val="000E720E"/>
    <w:rsid w:val="000E72B9"/>
    <w:rsid w:val="000E7871"/>
    <w:rsid w:val="000E7D60"/>
    <w:rsid w:val="000E7F6A"/>
    <w:rsid w:val="000F004F"/>
    <w:rsid w:val="000F027B"/>
    <w:rsid w:val="000F0354"/>
    <w:rsid w:val="000F03D4"/>
    <w:rsid w:val="000F0722"/>
    <w:rsid w:val="000F08C1"/>
    <w:rsid w:val="000F0A2D"/>
    <w:rsid w:val="000F0A73"/>
    <w:rsid w:val="000F0BE4"/>
    <w:rsid w:val="000F1512"/>
    <w:rsid w:val="000F166E"/>
    <w:rsid w:val="000F16B8"/>
    <w:rsid w:val="000F17ED"/>
    <w:rsid w:val="000F18FD"/>
    <w:rsid w:val="000F2103"/>
    <w:rsid w:val="000F25F8"/>
    <w:rsid w:val="000F2A46"/>
    <w:rsid w:val="000F2C2F"/>
    <w:rsid w:val="000F345A"/>
    <w:rsid w:val="000F34FF"/>
    <w:rsid w:val="000F4077"/>
    <w:rsid w:val="000F475F"/>
    <w:rsid w:val="000F4824"/>
    <w:rsid w:val="000F4FAD"/>
    <w:rsid w:val="000F5206"/>
    <w:rsid w:val="000F54EB"/>
    <w:rsid w:val="000F5A29"/>
    <w:rsid w:val="000F5AA9"/>
    <w:rsid w:val="000F5B13"/>
    <w:rsid w:val="000F5CD5"/>
    <w:rsid w:val="000F5FAF"/>
    <w:rsid w:val="000F649D"/>
    <w:rsid w:val="000F65E2"/>
    <w:rsid w:val="000F6984"/>
    <w:rsid w:val="000F6BCB"/>
    <w:rsid w:val="000F6C21"/>
    <w:rsid w:val="000F6DBC"/>
    <w:rsid w:val="000F7020"/>
    <w:rsid w:val="000F706E"/>
    <w:rsid w:val="000F7752"/>
    <w:rsid w:val="000F7C4B"/>
    <w:rsid w:val="000F7DB0"/>
    <w:rsid w:val="000F7EC0"/>
    <w:rsid w:val="00100061"/>
    <w:rsid w:val="001000B0"/>
    <w:rsid w:val="00100222"/>
    <w:rsid w:val="00100340"/>
    <w:rsid w:val="001004A1"/>
    <w:rsid w:val="001005AD"/>
    <w:rsid w:val="00100719"/>
    <w:rsid w:val="00100806"/>
    <w:rsid w:val="0010084F"/>
    <w:rsid w:val="001008F3"/>
    <w:rsid w:val="00100907"/>
    <w:rsid w:val="00100A62"/>
    <w:rsid w:val="00100ABE"/>
    <w:rsid w:val="00101025"/>
    <w:rsid w:val="00101041"/>
    <w:rsid w:val="00101195"/>
    <w:rsid w:val="00101472"/>
    <w:rsid w:val="0010175F"/>
    <w:rsid w:val="00101AFC"/>
    <w:rsid w:val="00101FF3"/>
    <w:rsid w:val="0010278E"/>
    <w:rsid w:val="00102A88"/>
    <w:rsid w:val="00102AB1"/>
    <w:rsid w:val="00102D9E"/>
    <w:rsid w:val="00102FA7"/>
    <w:rsid w:val="00103829"/>
    <w:rsid w:val="0010392B"/>
    <w:rsid w:val="00104084"/>
    <w:rsid w:val="00104257"/>
    <w:rsid w:val="001042CC"/>
    <w:rsid w:val="00104731"/>
    <w:rsid w:val="0010474C"/>
    <w:rsid w:val="001049F9"/>
    <w:rsid w:val="00104C9D"/>
    <w:rsid w:val="00104F5E"/>
    <w:rsid w:val="001051E4"/>
    <w:rsid w:val="00105795"/>
    <w:rsid w:val="00105970"/>
    <w:rsid w:val="00105A10"/>
    <w:rsid w:val="00105B1D"/>
    <w:rsid w:val="00105C8A"/>
    <w:rsid w:val="00105CA6"/>
    <w:rsid w:val="00106179"/>
    <w:rsid w:val="00106343"/>
    <w:rsid w:val="0010660B"/>
    <w:rsid w:val="00106846"/>
    <w:rsid w:val="001069E6"/>
    <w:rsid w:val="00106EE7"/>
    <w:rsid w:val="001071E7"/>
    <w:rsid w:val="0010742B"/>
    <w:rsid w:val="001078EF"/>
    <w:rsid w:val="00107E5F"/>
    <w:rsid w:val="001104AA"/>
    <w:rsid w:val="001104C7"/>
    <w:rsid w:val="00110630"/>
    <w:rsid w:val="0011086E"/>
    <w:rsid w:val="0011095B"/>
    <w:rsid w:val="00110A4D"/>
    <w:rsid w:val="0011112A"/>
    <w:rsid w:val="001111DA"/>
    <w:rsid w:val="00111223"/>
    <w:rsid w:val="00111A44"/>
    <w:rsid w:val="0011201B"/>
    <w:rsid w:val="00112610"/>
    <w:rsid w:val="001127F0"/>
    <w:rsid w:val="00112834"/>
    <w:rsid w:val="00112B3E"/>
    <w:rsid w:val="00112C46"/>
    <w:rsid w:val="00112C7E"/>
    <w:rsid w:val="0011310E"/>
    <w:rsid w:val="001131B9"/>
    <w:rsid w:val="001133FD"/>
    <w:rsid w:val="00113516"/>
    <w:rsid w:val="00113570"/>
    <w:rsid w:val="001136C1"/>
    <w:rsid w:val="001136C6"/>
    <w:rsid w:val="001136D3"/>
    <w:rsid w:val="00113A4B"/>
    <w:rsid w:val="00113D4A"/>
    <w:rsid w:val="0011443B"/>
    <w:rsid w:val="00114845"/>
    <w:rsid w:val="00114BC0"/>
    <w:rsid w:val="00114C68"/>
    <w:rsid w:val="00114E8A"/>
    <w:rsid w:val="00114FD0"/>
    <w:rsid w:val="001152EA"/>
    <w:rsid w:val="001153E2"/>
    <w:rsid w:val="0011584F"/>
    <w:rsid w:val="00115B63"/>
    <w:rsid w:val="00115BDF"/>
    <w:rsid w:val="00115D47"/>
    <w:rsid w:val="00116358"/>
    <w:rsid w:val="001163E2"/>
    <w:rsid w:val="001165C4"/>
    <w:rsid w:val="001165F6"/>
    <w:rsid w:val="001166EE"/>
    <w:rsid w:val="00116B65"/>
    <w:rsid w:val="00116D2E"/>
    <w:rsid w:val="00116E43"/>
    <w:rsid w:val="00117756"/>
    <w:rsid w:val="00117946"/>
    <w:rsid w:val="001179B6"/>
    <w:rsid w:val="00117D9B"/>
    <w:rsid w:val="00117F80"/>
    <w:rsid w:val="00120040"/>
    <w:rsid w:val="00120091"/>
    <w:rsid w:val="0012034E"/>
    <w:rsid w:val="001204E3"/>
    <w:rsid w:val="0012066C"/>
    <w:rsid w:val="00120796"/>
    <w:rsid w:val="00120955"/>
    <w:rsid w:val="00120ABA"/>
    <w:rsid w:val="00120B89"/>
    <w:rsid w:val="00120BCC"/>
    <w:rsid w:val="00120DB4"/>
    <w:rsid w:val="00120FAA"/>
    <w:rsid w:val="001214C3"/>
    <w:rsid w:val="0012177D"/>
    <w:rsid w:val="00121976"/>
    <w:rsid w:val="00121C10"/>
    <w:rsid w:val="0012218C"/>
    <w:rsid w:val="00122249"/>
    <w:rsid w:val="00122269"/>
    <w:rsid w:val="0012240B"/>
    <w:rsid w:val="00122510"/>
    <w:rsid w:val="00122983"/>
    <w:rsid w:val="00122C89"/>
    <w:rsid w:val="00123070"/>
    <w:rsid w:val="00123522"/>
    <w:rsid w:val="00123F45"/>
    <w:rsid w:val="00123F81"/>
    <w:rsid w:val="0012421E"/>
    <w:rsid w:val="001242BF"/>
    <w:rsid w:val="0012448D"/>
    <w:rsid w:val="0012491E"/>
    <w:rsid w:val="00124A14"/>
    <w:rsid w:val="00125023"/>
    <w:rsid w:val="00125105"/>
    <w:rsid w:val="00125376"/>
    <w:rsid w:val="00125471"/>
    <w:rsid w:val="00125ACE"/>
    <w:rsid w:val="00125B5C"/>
    <w:rsid w:val="00125C36"/>
    <w:rsid w:val="00125E2F"/>
    <w:rsid w:val="00126184"/>
    <w:rsid w:val="001264E8"/>
    <w:rsid w:val="001266E2"/>
    <w:rsid w:val="0012686B"/>
    <w:rsid w:val="00126E43"/>
    <w:rsid w:val="00127077"/>
    <w:rsid w:val="001270EB"/>
    <w:rsid w:val="001271CF"/>
    <w:rsid w:val="00127320"/>
    <w:rsid w:val="00127393"/>
    <w:rsid w:val="001273E4"/>
    <w:rsid w:val="0012752A"/>
    <w:rsid w:val="00127534"/>
    <w:rsid w:val="00127887"/>
    <w:rsid w:val="00127909"/>
    <w:rsid w:val="00127BAA"/>
    <w:rsid w:val="0013005F"/>
    <w:rsid w:val="00130B3A"/>
    <w:rsid w:val="00131014"/>
    <w:rsid w:val="001311FA"/>
    <w:rsid w:val="00131276"/>
    <w:rsid w:val="0013143D"/>
    <w:rsid w:val="00131537"/>
    <w:rsid w:val="00131784"/>
    <w:rsid w:val="001319A5"/>
    <w:rsid w:val="00131CAF"/>
    <w:rsid w:val="00131F02"/>
    <w:rsid w:val="00132002"/>
    <w:rsid w:val="00132030"/>
    <w:rsid w:val="001322D5"/>
    <w:rsid w:val="001322F4"/>
    <w:rsid w:val="00132310"/>
    <w:rsid w:val="0013251D"/>
    <w:rsid w:val="00132698"/>
    <w:rsid w:val="001326FB"/>
    <w:rsid w:val="00132DE3"/>
    <w:rsid w:val="00132EFA"/>
    <w:rsid w:val="00133089"/>
    <w:rsid w:val="00133211"/>
    <w:rsid w:val="00133739"/>
    <w:rsid w:val="00133AAB"/>
    <w:rsid w:val="00133E26"/>
    <w:rsid w:val="00133EEF"/>
    <w:rsid w:val="00134375"/>
    <w:rsid w:val="00134755"/>
    <w:rsid w:val="0013477F"/>
    <w:rsid w:val="00134845"/>
    <w:rsid w:val="001349E9"/>
    <w:rsid w:val="00134A03"/>
    <w:rsid w:val="001356B2"/>
    <w:rsid w:val="00135ADC"/>
    <w:rsid w:val="00135C95"/>
    <w:rsid w:val="00135DB0"/>
    <w:rsid w:val="00135F4A"/>
    <w:rsid w:val="0013614F"/>
    <w:rsid w:val="00136360"/>
    <w:rsid w:val="00136671"/>
    <w:rsid w:val="0013671E"/>
    <w:rsid w:val="00136814"/>
    <w:rsid w:val="00136BEF"/>
    <w:rsid w:val="001370A6"/>
    <w:rsid w:val="00137588"/>
    <w:rsid w:val="00137B98"/>
    <w:rsid w:val="00137E29"/>
    <w:rsid w:val="00137E95"/>
    <w:rsid w:val="00137ED6"/>
    <w:rsid w:val="001401ED"/>
    <w:rsid w:val="0014036C"/>
    <w:rsid w:val="00140566"/>
    <w:rsid w:val="00140B1A"/>
    <w:rsid w:val="00140C7D"/>
    <w:rsid w:val="00140C8E"/>
    <w:rsid w:val="00140E5F"/>
    <w:rsid w:val="00141265"/>
    <w:rsid w:val="001413FA"/>
    <w:rsid w:val="00141ABE"/>
    <w:rsid w:val="00141B87"/>
    <w:rsid w:val="00141E8F"/>
    <w:rsid w:val="0014295E"/>
    <w:rsid w:val="00142D90"/>
    <w:rsid w:val="00142DDB"/>
    <w:rsid w:val="00142FF6"/>
    <w:rsid w:val="001432A0"/>
    <w:rsid w:val="001432D6"/>
    <w:rsid w:val="0014355D"/>
    <w:rsid w:val="0014361F"/>
    <w:rsid w:val="001439AB"/>
    <w:rsid w:val="00143C61"/>
    <w:rsid w:val="00143D26"/>
    <w:rsid w:val="00143D50"/>
    <w:rsid w:val="00143F6A"/>
    <w:rsid w:val="0014417C"/>
    <w:rsid w:val="001442F0"/>
    <w:rsid w:val="0014440C"/>
    <w:rsid w:val="00144509"/>
    <w:rsid w:val="0014467B"/>
    <w:rsid w:val="001455C6"/>
    <w:rsid w:val="00145732"/>
    <w:rsid w:val="00145942"/>
    <w:rsid w:val="00145A73"/>
    <w:rsid w:val="00145B31"/>
    <w:rsid w:val="00145F58"/>
    <w:rsid w:val="00146361"/>
    <w:rsid w:val="00146730"/>
    <w:rsid w:val="00146878"/>
    <w:rsid w:val="001469E8"/>
    <w:rsid w:val="00146BD3"/>
    <w:rsid w:val="00146D3F"/>
    <w:rsid w:val="00146F7E"/>
    <w:rsid w:val="00147164"/>
    <w:rsid w:val="0014728B"/>
    <w:rsid w:val="001473D4"/>
    <w:rsid w:val="00147429"/>
    <w:rsid w:val="0014748C"/>
    <w:rsid w:val="00147832"/>
    <w:rsid w:val="0014786E"/>
    <w:rsid w:val="001502D0"/>
    <w:rsid w:val="001505A7"/>
    <w:rsid w:val="001505B2"/>
    <w:rsid w:val="001505B8"/>
    <w:rsid w:val="00150735"/>
    <w:rsid w:val="00150B3C"/>
    <w:rsid w:val="001511BF"/>
    <w:rsid w:val="00151282"/>
    <w:rsid w:val="00151322"/>
    <w:rsid w:val="001515EF"/>
    <w:rsid w:val="00151726"/>
    <w:rsid w:val="0015198B"/>
    <w:rsid w:val="00151CBA"/>
    <w:rsid w:val="001520A8"/>
    <w:rsid w:val="00152513"/>
    <w:rsid w:val="00152627"/>
    <w:rsid w:val="00152876"/>
    <w:rsid w:val="00152A67"/>
    <w:rsid w:val="00152B24"/>
    <w:rsid w:val="00153259"/>
    <w:rsid w:val="00153440"/>
    <w:rsid w:val="001535F0"/>
    <w:rsid w:val="00153612"/>
    <w:rsid w:val="001538FF"/>
    <w:rsid w:val="00153ABB"/>
    <w:rsid w:val="00153C9E"/>
    <w:rsid w:val="00153EB7"/>
    <w:rsid w:val="00154A38"/>
    <w:rsid w:val="00154FFF"/>
    <w:rsid w:val="001550A2"/>
    <w:rsid w:val="001553E1"/>
    <w:rsid w:val="001553E6"/>
    <w:rsid w:val="00155A5D"/>
    <w:rsid w:val="00155A7F"/>
    <w:rsid w:val="00155DDF"/>
    <w:rsid w:val="00156066"/>
    <w:rsid w:val="001561B3"/>
    <w:rsid w:val="0015653E"/>
    <w:rsid w:val="00156711"/>
    <w:rsid w:val="00156B16"/>
    <w:rsid w:val="00156B5B"/>
    <w:rsid w:val="00156E13"/>
    <w:rsid w:val="00156F2E"/>
    <w:rsid w:val="0015707B"/>
    <w:rsid w:val="00157272"/>
    <w:rsid w:val="0015756C"/>
    <w:rsid w:val="001575F1"/>
    <w:rsid w:val="00157991"/>
    <w:rsid w:val="00157B52"/>
    <w:rsid w:val="00157C7A"/>
    <w:rsid w:val="00157E3E"/>
    <w:rsid w:val="00157E6D"/>
    <w:rsid w:val="001603B4"/>
    <w:rsid w:val="001607DD"/>
    <w:rsid w:val="00160CEF"/>
    <w:rsid w:val="00161029"/>
    <w:rsid w:val="001611B0"/>
    <w:rsid w:val="001612BA"/>
    <w:rsid w:val="001614B2"/>
    <w:rsid w:val="00161670"/>
    <w:rsid w:val="00161B90"/>
    <w:rsid w:val="00162530"/>
    <w:rsid w:val="00162559"/>
    <w:rsid w:val="0016269D"/>
    <w:rsid w:val="00162809"/>
    <w:rsid w:val="001633F3"/>
    <w:rsid w:val="001635BA"/>
    <w:rsid w:val="00163777"/>
    <w:rsid w:val="00163E17"/>
    <w:rsid w:val="00163EB3"/>
    <w:rsid w:val="00163EFB"/>
    <w:rsid w:val="00163F2B"/>
    <w:rsid w:val="0016403A"/>
    <w:rsid w:val="001640D6"/>
    <w:rsid w:val="00164277"/>
    <w:rsid w:val="001648FE"/>
    <w:rsid w:val="001649C2"/>
    <w:rsid w:val="00164B24"/>
    <w:rsid w:val="00164B32"/>
    <w:rsid w:val="00164C00"/>
    <w:rsid w:val="00164D50"/>
    <w:rsid w:val="00165384"/>
    <w:rsid w:val="00165459"/>
    <w:rsid w:val="0016549D"/>
    <w:rsid w:val="00165526"/>
    <w:rsid w:val="001659E3"/>
    <w:rsid w:val="00165A04"/>
    <w:rsid w:val="00165F87"/>
    <w:rsid w:val="001661B4"/>
    <w:rsid w:val="0016625F"/>
    <w:rsid w:val="0016626C"/>
    <w:rsid w:val="00166508"/>
    <w:rsid w:val="00166511"/>
    <w:rsid w:val="00166525"/>
    <w:rsid w:val="001668CC"/>
    <w:rsid w:val="00166941"/>
    <w:rsid w:val="001669FF"/>
    <w:rsid w:val="00166BAD"/>
    <w:rsid w:val="00166FD9"/>
    <w:rsid w:val="001670A7"/>
    <w:rsid w:val="001671B5"/>
    <w:rsid w:val="00167686"/>
    <w:rsid w:val="00167700"/>
    <w:rsid w:val="00167AA2"/>
    <w:rsid w:val="00170053"/>
    <w:rsid w:val="001700FA"/>
    <w:rsid w:val="00170203"/>
    <w:rsid w:val="001704F8"/>
    <w:rsid w:val="0017058D"/>
    <w:rsid w:val="001705D9"/>
    <w:rsid w:val="00170B62"/>
    <w:rsid w:val="00170C50"/>
    <w:rsid w:val="00170FAC"/>
    <w:rsid w:val="00171146"/>
    <w:rsid w:val="001713E1"/>
    <w:rsid w:val="00171827"/>
    <w:rsid w:val="001718AF"/>
    <w:rsid w:val="001718FF"/>
    <w:rsid w:val="001719C9"/>
    <w:rsid w:val="001720BD"/>
    <w:rsid w:val="001723A4"/>
    <w:rsid w:val="001723EE"/>
    <w:rsid w:val="0017268E"/>
    <w:rsid w:val="001726C3"/>
    <w:rsid w:val="001728AB"/>
    <w:rsid w:val="00172D2E"/>
    <w:rsid w:val="00172F3A"/>
    <w:rsid w:val="001732E9"/>
    <w:rsid w:val="0017382C"/>
    <w:rsid w:val="00173921"/>
    <w:rsid w:val="00173B46"/>
    <w:rsid w:val="00173C4D"/>
    <w:rsid w:val="00173C53"/>
    <w:rsid w:val="00173CCD"/>
    <w:rsid w:val="00173F1D"/>
    <w:rsid w:val="001743AD"/>
    <w:rsid w:val="0017447C"/>
    <w:rsid w:val="00174639"/>
    <w:rsid w:val="00174D14"/>
    <w:rsid w:val="001750D5"/>
    <w:rsid w:val="00175247"/>
    <w:rsid w:val="001752D6"/>
    <w:rsid w:val="0017562F"/>
    <w:rsid w:val="00175A27"/>
    <w:rsid w:val="00175BA6"/>
    <w:rsid w:val="0017626A"/>
    <w:rsid w:val="00176520"/>
    <w:rsid w:val="001765DD"/>
    <w:rsid w:val="00176627"/>
    <w:rsid w:val="00176AD5"/>
    <w:rsid w:val="00176B62"/>
    <w:rsid w:val="00176D1B"/>
    <w:rsid w:val="00176FDE"/>
    <w:rsid w:val="00177016"/>
    <w:rsid w:val="001770BF"/>
    <w:rsid w:val="00177164"/>
    <w:rsid w:val="00177362"/>
    <w:rsid w:val="001776D6"/>
    <w:rsid w:val="00177745"/>
    <w:rsid w:val="001779AC"/>
    <w:rsid w:val="001779EE"/>
    <w:rsid w:val="00177BA9"/>
    <w:rsid w:val="00177E80"/>
    <w:rsid w:val="00177EED"/>
    <w:rsid w:val="00180489"/>
    <w:rsid w:val="00180B52"/>
    <w:rsid w:val="001811F7"/>
    <w:rsid w:val="001812AC"/>
    <w:rsid w:val="00181447"/>
    <w:rsid w:val="0018153C"/>
    <w:rsid w:val="00181839"/>
    <w:rsid w:val="00181B47"/>
    <w:rsid w:val="00182A2B"/>
    <w:rsid w:val="00182BC4"/>
    <w:rsid w:val="00182E7E"/>
    <w:rsid w:val="00183058"/>
    <w:rsid w:val="001830C7"/>
    <w:rsid w:val="00183555"/>
    <w:rsid w:val="00183BED"/>
    <w:rsid w:val="00183D06"/>
    <w:rsid w:val="00183FEA"/>
    <w:rsid w:val="001846E5"/>
    <w:rsid w:val="001847EF"/>
    <w:rsid w:val="00184AAD"/>
    <w:rsid w:val="00185090"/>
    <w:rsid w:val="00185094"/>
    <w:rsid w:val="001850AE"/>
    <w:rsid w:val="001850F9"/>
    <w:rsid w:val="00185458"/>
    <w:rsid w:val="001854F9"/>
    <w:rsid w:val="00185947"/>
    <w:rsid w:val="001859D4"/>
    <w:rsid w:val="00185C12"/>
    <w:rsid w:val="00185C8A"/>
    <w:rsid w:val="0018624E"/>
    <w:rsid w:val="0018676B"/>
    <w:rsid w:val="00186A32"/>
    <w:rsid w:val="00186A91"/>
    <w:rsid w:val="00186D17"/>
    <w:rsid w:val="00187A44"/>
    <w:rsid w:val="00187CD1"/>
    <w:rsid w:val="00187E3C"/>
    <w:rsid w:val="00191016"/>
    <w:rsid w:val="0019113F"/>
    <w:rsid w:val="00191241"/>
    <w:rsid w:val="001913A8"/>
    <w:rsid w:val="001916B8"/>
    <w:rsid w:val="001917FE"/>
    <w:rsid w:val="00191FD1"/>
    <w:rsid w:val="001921AA"/>
    <w:rsid w:val="00192587"/>
    <w:rsid w:val="0019362A"/>
    <w:rsid w:val="00193E18"/>
    <w:rsid w:val="00193E92"/>
    <w:rsid w:val="00193EE6"/>
    <w:rsid w:val="001940F3"/>
    <w:rsid w:val="0019410F"/>
    <w:rsid w:val="00194398"/>
    <w:rsid w:val="0019444A"/>
    <w:rsid w:val="0019466F"/>
    <w:rsid w:val="00194812"/>
    <w:rsid w:val="001948D8"/>
    <w:rsid w:val="0019494E"/>
    <w:rsid w:val="00194D71"/>
    <w:rsid w:val="00194E52"/>
    <w:rsid w:val="00195226"/>
    <w:rsid w:val="001952B3"/>
    <w:rsid w:val="001955A1"/>
    <w:rsid w:val="001955A7"/>
    <w:rsid w:val="001956DE"/>
    <w:rsid w:val="0019579C"/>
    <w:rsid w:val="001957FA"/>
    <w:rsid w:val="0019582D"/>
    <w:rsid w:val="00195B32"/>
    <w:rsid w:val="00195CA3"/>
    <w:rsid w:val="00195E50"/>
    <w:rsid w:val="0019611E"/>
    <w:rsid w:val="0019665C"/>
    <w:rsid w:val="001967CA"/>
    <w:rsid w:val="001967E9"/>
    <w:rsid w:val="00196CDB"/>
    <w:rsid w:val="00196F59"/>
    <w:rsid w:val="00197010"/>
    <w:rsid w:val="0019723D"/>
    <w:rsid w:val="00197327"/>
    <w:rsid w:val="001974B5"/>
    <w:rsid w:val="00197658"/>
    <w:rsid w:val="001977B3"/>
    <w:rsid w:val="001977BD"/>
    <w:rsid w:val="00197BF6"/>
    <w:rsid w:val="00197E4C"/>
    <w:rsid w:val="001A0284"/>
    <w:rsid w:val="001A04F2"/>
    <w:rsid w:val="001A0508"/>
    <w:rsid w:val="001A05B7"/>
    <w:rsid w:val="001A05B8"/>
    <w:rsid w:val="001A0619"/>
    <w:rsid w:val="001A06E7"/>
    <w:rsid w:val="001A0859"/>
    <w:rsid w:val="001A085C"/>
    <w:rsid w:val="001A08D5"/>
    <w:rsid w:val="001A0998"/>
    <w:rsid w:val="001A0B8B"/>
    <w:rsid w:val="001A0EF8"/>
    <w:rsid w:val="001A101A"/>
    <w:rsid w:val="001A1317"/>
    <w:rsid w:val="001A142A"/>
    <w:rsid w:val="001A1802"/>
    <w:rsid w:val="001A1900"/>
    <w:rsid w:val="001A1A26"/>
    <w:rsid w:val="001A1E6C"/>
    <w:rsid w:val="001A2138"/>
    <w:rsid w:val="001A288F"/>
    <w:rsid w:val="001A2AF5"/>
    <w:rsid w:val="001A2E8F"/>
    <w:rsid w:val="001A3222"/>
    <w:rsid w:val="001A34E4"/>
    <w:rsid w:val="001A3647"/>
    <w:rsid w:val="001A3970"/>
    <w:rsid w:val="001A3C9B"/>
    <w:rsid w:val="001A3D66"/>
    <w:rsid w:val="001A42A0"/>
    <w:rsid w:val="001A474B"/>
    <w:rsid w:val="001A4E6E"/>
    <w:rsid w:val="001A4FAA"/>
    <w:rsid w:val="001A5B16"/>
    <w:rsid w:val="001A5B6F"/>
    <w:rsid w:val="001A5B87"/>
    <w:rsid w:val="001A610F"/>
    <w:rsid w:val="001A61AC"/>
    <w:rsid w:val="001A6FCF"/>
    <w:rsid w:val="001A70F6"/>
    <w:rsid w:val="001A746B"/>
    <w:rsid w:val="001A79C6"/>
    <w:rsid w:val="001A7A33"/>
    <w:rsid w:val="001A7C4F"/>
    <w:rsid w:val="001A7F24"/>
    <w:rsid w:val="001A7FBA"/>
    <w:rsid w:val="001B049C"/>
    <w:rsid w:val="001B0528"/>
    <w:rsid w:val="001B0601"/>
    <w:rsid w:val="001B0E9D"/>
    <w:rsid w:val="001B0EEF"/>
    <w:rsid w:val="001B0FD5"/>
    <w:rsid w:val="001B1161"/>
    <w:rsid w:val="001B1545"/>
    <w:rsid w:val="001B17C3"/>
    <w:rsid w:val="001B1E50"/>
    <w:rsid w:val="001B1F37"/>
    <w:rsid w:val="001B22CA"/>
    <w:rsid w:val="001B2319"/>
    <w:rsid w:val="001B23BC"/>
    <w:rsid w:val="001B2482"/>
    <w:rsid w:val="001B24D4"/>
    <w:rsid w:val="001B268C"/>
    <w:rsid w:val="001B2AD5"/>
    <w:rsid w:val="001B2C28"/>
    <w:rsid w:val="001B2CE7"/>
    <w:rsid w:val="001B2DFC"/>
    <w:rsid w:val="001B3151"/>
    <w:rsid w:val="001B331C"/>
    <w:rsid w:val="001B37C1"/>
    <w:rsid w:val="001B3910"/>
    <w:rsid w:val="001B3CBF"/>
    <w:rsid w:val="001B3F04"/>
    <w:rsid w:val="001B3F41"/>
    <w:rsid w:val="001B4AEF"/>
    <w:rsid w:val="001B4B16"/>
    <w:rsid w:val="001B4E11"/>
    <w:rsid w:val="001B4E25"/>
    <w:rsid w:val="001B57DC"/>
    <w:rsid w:val="001B5843"/>
    <w:rsid w:val="001B5B22"/>
    <w:rsid w:val="001B5C1D"/>
    <w:rsid w:val="001B5D2A"/>
    <w:rsid w:val="001B5F5D"/>
    <w:rsid w:val="001B63CA"/>
    <w:rsid w:val="001B67A5"/>
    <w:rsid w:val="001B6861"/>
    <w:rsid w:val="001B6A4B"/>
    <w:rsid w:val="001B7498"/>
    <w:rsid w:val="001B776C"/>
    <w:rsid w:val="001B7A0B"/>
    <w:rsid w:val="001B7D34"/>
    <w:rsid w:val="001C015E"/>
    <w:rsid w:val="001C02F3"/>
    <w:rsid w:val="001C02FB"/>
    <w:rsid w:val="001C03BA"/>
    <w:rsid w:val="001C0A5D"/>
    <w:rsid w:val="001C0CFE"/>
    <w:rsid w:val="001C0F4E"/>
    <w:rsid w:val="001C11AA"/>
    <w:rsid w:val="001C1235"/>
    <w:rsid w:val="001C14EF"/>
    <w:rsid w:val="001C1576"/>
    <w:rsid w:val="001C159A"/>
    <w:rsid w:val="001C1772"/>
    <w:rsid w:val="001C181D"/>
    <w:rsid w:val="001C191D"/>
    <w:rsid w:val="001C1F46"/>
    <w:rsid w:val="001C21FF"/>
    <w:rsid w:val="001C22D4"/>
    <w:rsid w:val="001C25FC"/>
    <w:rsid w:val="001C26EA"/>
    <w:rsid w:val="001C2F29"/>
    <w:rsid w:val="001C37F5"/>
    <w:rsid w:val="001C3949"/>
    <w:rsid w:val="001C39DC"/>
    <w:rsid w:val="001C3A4D"/>
    <w:rsid w:val="001C3AD1"/>
    <w:rsid w:val="001C3D5D"/>
    <w:rsid w:val="001C427A"/>
    <w:rsid w:val="001C455B"/>
    <w:rsid w:val="001C456E"/>
    <w:rsid w:val="001C467F"/>
    <w:rsid w:val="001C4959"/>
    <w:rsid w:val="001C4BD8"/>
    <w:rsid w:val="001C6018"/>
    <w:rsid w:val="001C6060"/>
    <w:rsid w:val="001C615A"/>
    <w:rsid w:val="001C6897"/>
    <w:rsid w:val="001C6948"/>
    <w:rsid w:val="001C6A93"/>
    <w:rsid w:val="001C6CD9"/>
    <w:rsid w:val="001C6F3B"/>
    <w:rsid w:val="001C7022"/>
    <w:rsid w:val="001C7031"/>
    <w:rsid w:val="001C7336"/>
    <w:rsid w:val="001C7585"/>
    <w:rsid w:val="001C79C7"/>
    <w:rsid w:val="001C7A06"/>
    <w:rsid w:val="001C7F15"/>
    <w:rsid w:val="001C7F30"/>
    <w:rsid w:val="001D0815"/>
    <w:rsid w:val="001D0B4A"/>
    <w:rsid w:val="001D0BF0"/>
    <w:rsid w:val="001D0D02"/>
    <w:rsid w:val="001D0DC2"/>
    <w:rsid w:val="001D0F82"/>
    <w:rsid w:val="001D118E"/>
    <w:rsid w:val="001D11A5"/>
    <w:rsid w:val="001D142D"/>
    <w:rsid w:val="001D1548"/>
    <w:rsid w:val="001D1F95"/>
    <w:rsid w:val="001D21BC"/>
    <w:rsid w:val="001D2271"/>
    <w:rsid w:val="001D2364"/>
    <w:rsid w:val="001D2AD6"/>
    <w:rsid w:val="001D2E6E"/>
    <w:rsid w:val="001D328D"/>
    <w:rsid w:val="001D37FC"/>
    <w:rsid w:val="001D3B89"/>
    <w:rsid w:val="001D3FCD"/>
    <w:rsid w:val="001D42BB"/>
    <w:rsid w:val="001D43D7"/>
    <w:rsid w:val="001D4466"/>
    <w:rsid w:val="001D447A"/>
    <w:rsid w:val="001D4611"/>
    <w:rsid w:val="001D48C9"/>
    <w:rsid w:val="001D49E7"/>
    <w:rsid w:val="001D51F5"/>
    <w:rsid w:val="001D595B"/>
    <w:rsid w:val="001D59BB"/>
    <w:rsid w:val="001D5A42"/>
    <w:rsid w:val="001D601B"/>
    <w:rsid w:val="001D611D"/>
    <w:rsid w:val="001D6B86"/>
    <w:rsid w:val="001D75DA"/>
    <w:rsid w:val="001D7685"/>
    <w:rsid w:val="001D76FF"/>
    <w:rsid w:val="001D796B"/>
    <w:rsid w:val="001D7B6B"/>
    <w:rsid w:val="001E006E"/>
    <w:rsid w:val="001E01D8"/>
    <w:rsid w:val="001E0533"/>
    <w:rsid w:val="001E0921"/>
    <w:rsid w:val="001E0AE6"/>
    <w:rsid w:val="001E0F07"/>
    <w:rsid w:val="001E0F31"/>
    <w:rsid w:val="001E11A2"/>
    <w:rsid w:val="001E1434"/>
    <w:rsid w:val="001E161A"/>
    <w:rsid w:val="001E1F17"/>
    <w:rsid w:val="001E28B5"/>
    <w:rsid w:val="001E2CF0"/>
    <w:rsid w:val="001E3491"/>
    <w:rsid w:val="001E372E"/>
    <w:rsid w:val="001E37BA"/>
    <w:rsid w:val="001E3932"/>
    <w:rsid w:val="001E3BB9"/>
    <w:rsid w:val="001E3C9E"/>
    <w:rsid w:val="001E443A"/>
    <w:rsid w:val="001E46CE"/>
    <w:rsid w:val="001E4D8E"/>
    <w:rsid w:val="001E4FAB"/>
    <w:rsid w:val="001E5375"/>
    <w:rsid w:val="001E5541"/>
    <w:rsid w:val="001E5D15"/>
    <w:rsid w:val="001E5D17"/>
    <w:rsid w:val="001E5D18"/>
    <w:rsid w:val="001E5E31"/>
    <w:rsid w:val="001E61F4"/>
    <w:rsid w:val="001E6D21"/>
    <w:rsid w:val="001E6D8F"/>
    <w:rsid w:val="001E7107"/>
    <w:rsid w:val="001E7500"/>
    <w:rsid w:val="001E7916"/>
    <w:rsid w:val="001E7E84"/>
    <w:rsid w:val="001E7F5F"/>
    <w:rsid w:val="001F004A"/>
    <w:rsid w:val="001F041F"/>
    <w:rsid w:val="001F056B"/>
    <w:rsid w:val="001F0584"/>
    <w:rsid w:val="001F077D"/>
    <w:rsid w:val="001F0A8A"/>
    <w:rsid w:val="001F1B23"/>
    <w:rsid w:val="001F1BA3"/>
    <w:rsid w:val="001F1DEE"/>
    <w:rsid w:val="001F1F93"/>
    <w:rsid w:val="001F21E7"/>
    <w:rsid w:val="001F263E"/>
    <w:rsid w:val="001F28A9"/>
    <w:rsid w:val="001F3130"/>
    <w:rsid w:val="001F3546"/>
    <w:rsid w:val="001F367E"/>
    <w:rsid w:val="001F3921"/>
    <w:rsid w:val="001F3AEB"/>
    <w:rsid w:val="001F3FFE"/>
    <w:rsid w:val="001F45F3"/>
    <w:rsid w:val="001F4646"/>
    <w:rsid w:val="001F47BD"/>
    <w:rsid w:val="001F4AC0"/>
    <w:rsid w:val="001F4DEC"/>
    <w:rsid w:val="001F5139"/>
    <w:rsid w:val="001F55C2"/>
    <w:rsid w:val="001F55FF"/>
    <w:rsid w:val="001F56BE"/>
    <w:rsid w:val="001F58F9"/>
    <w:rsid w:val="001F5977"/>
    <w:rsid w:val="001F59FE"/>
    <w:rsid w:val="001F5B47"/>
    <w:rsid w:val="001F5BE5"/>
    <w:rsid w:val="001F5BFE"/>
    <w:rsid w:val="001F5E6E"/>
    <w:rsid w:val="001F6001"/>
    <w:rsid w:val="001F638B"/>
    <w:rsid w:val="001F68EB"/>
    <w:rsid w:val="001F6A36"/>
    <w:rsid w:val="001F6A41"/>
    <w:rsid w:val="001F7036"/>
    <w:rsid w:val="001F719C"/>
    <w:rsid w:val="001F773F"/>
    <w:rsid w:val="001F788F"/>
    <w:rsid w:val="001F78D0"/>
    <w:rsid w:val="001F7908"/>
    <w:rsid w:val="002007F7"/>
    <w:rsid w:val="002008E6"/>
    <w:rsid w:val="00200D37"/>
    <w:rsid w:val="00200D3D"/>
    <w:rsid w:val="002012F7"/>
    <w:rsid w:val="00201A34"/>
    <w:rsid w:val="00201BA6"/>
    <w:rsid w:val="00201CED"/>
    <w:rsid w:val="00201D29"/>
    <w:rsid w:val="00202146"/>
    <w:rsid w:val="0020219C"/>
    <w:rsid w:val="002021B7"/>
    <w:rsid w:val="002022AE"/>
    <w:rsid w:val="00202531"/>
    <w:rsid w:val="0020263B"/>
    <w:rsid w:val="00202899"/>
    <w:rsid w:val="00202A18"/>
    <w:rsid w:val="00202C8D"/>
    <w:rsid w:val="00202E7D"/>
    <w:rsid w:val="00202F08"/>
    <w:rsid w:val="00202F0B"/>
    <w:rsid w:val="002033AE"/>
    <w:rsid w:val="00203D7E"/>
    <w:rsid w:val="00203E61"/>
    <w:rsid w:val="00203F04"/>
    <w:rsid w:val="00204215"/>
    <w:rsid w:val="0020449B"/>
    <w:rsid w:val="00204512"/>
    <w:rsid w:val="0020453D"/>
    <w:rsid w:val="00204B7A"/>
    <w:rsid w:val="00204E1C"/>
    <w:rsid w:val="002055A3"/>
    <w:rsid w:val="00205647"/>
    <w:rsid w:val="00205DED"/>
    <w:rsid w:val="002065E2"/>
    <w:rsid w:val="002066A9"/>
    <w:rsid w:val="0020683A"/>
    <w:rsid w:val="002069FA"/>
    <w:rsid w:val="002076F7"/>
    <w:rsid w:val="0020795F"/>
    <w:rsid w:val="00207B23"/>
    <w:rsid w:val="00207B26"/>
    <w:rsid w:val="00207BF6"/>
    <w:rsid w:val="00207BF7"/>
    <w:rsid w:val="00207C51"/>
    <w:rsid w:val="00207FDF"/>
    <w:rsid w:val="002103C8"/>
    <w:rsid w:val="0021051B"/>
    <w:rsid w:val="0021063C"/>
    <w:rsid w:val="00210AF1"/>
    <w:rsid w:val="00210F2F"/>
    <w:rsid w:val="0021109F"/>
    <w:rsid w:val="002110E1"/>
    <w:rsid w:val="002111D5"/>
    <w:rsid w:val="0021144C"/>
    <w:rsid w:val="0021151B"/>
    <w:rsid w:val="00211554"/>
    <w:rsid w:val="002116C3"/>
    <w:rsid w:val="0021174A"/>
    <w:rsid w:val="002117C2"/>
    <w:rsid w:val="0021207F"/>
    <w:rsid w:val="002120ED"/>
    <w:rsid w:val="00212382"/>
    <w:rsid w:val="0021240B"/>
    <w:rsid w:val="002127C6"/>
    <w:rsid w:val="0021290F"/>
    <w:rsid w:val="00212B70"/>
    <w:rsid w:val="00212EE7"/>
    <w:rsid w:val="002136A4"/>
    <w:rsid w:val="0021397E"/>
    <w:rsid w:val="00213B2A"/>
    <w:rsid w:val="00213EE5"/>
    <w:rsid w:val="0021408B"/>
    <w:rsid w:val="00214729"/>
    <w:rsid w:val="00215120"/>
    <w:rsid w:val="00215285"/>
    <w:rsid w:val="00215394"/>
    <w:rsid w:val="002154F5"/>
    <w:rsid w:val="00215733"/>
    <w:rsid w:val="00215BB5"/>
    <w:rsid w:val="00215C75"/>
    <w:rsid w:val="00215F66"/>
    <w:rsid w:val="00216565"/>
    <w:rsid w:val="00216575"/>
    <w:rsid w:val="00216944"/>
    <w:rsid w:val="00216A10"/>
    <w:rsid w:val="002170A2"/>
    <w:rsid w:val="002170E9"/>
    <w:rsid w:val="002173B4"/>
    <w:rsid w:val="00217499"/>
    <w:rsid w:val="0022001D"/>
    <w:rsid w:val="00220104"/>
    <w:rsid w:val="0022024E"/>
    <w:rsid w:val="0022057F"/>
    <w:rsid w:val="002205E2"/>
    <w:rsid w:val="002207E3"/>
    <w:rsid w:val="00220A9D"/>
    <w:rsid w:val="00220FBB"/>
    <w:rsid w:val="0022193B"/>
    <w:rsid w:val="00221A7A"/>
    <w:rsid w:val="00222135"/>
    <w:rsid w:val="002221BD"/>
    <w:rsid w:val="00222217"/>
    <w:rsid w:val="0022222A"/>
    <w:rsid w:val="00222693"/>
    <w:rsid w:val="0022271C"/>
    <w:rsid w:val="00222773"/>
    <w:rsid w:val="00222C1B"/>
    <w:rsid w:val="00222DBB"/>
    <w:rsid w:val="00222EA3"/>
    <w:rsid w:val="002231A1"/>
    <w:rsid w:val="002231A7"/>
    <w:rsid w:val="002231B4"/>
    <w:rsid w:val="002236B0"/>
    <w:rsid w:val="002236D2"/>
    <w:rsid w:val="002238CF"/>
    <w:rsid w:val="002239D1"/>
    <w:rsid w:val="00223A8C"/>
    <w:rsid w:val="00223B10"/>
    <w:rsid w:val="002240FB"/>
    <w:rsid w:val="00224117"/>
    <w:rsid w:val="0022483C"/>
    <w:rsid w:val="00224843"/>
    <w:rsid w:val="002249E7"/>
    <w:rsid w:val="0022513A"/>
    <w:rsid w:val="002252F6"/>
    <w:rsid w:val="002253EA"/>
    <w:rsid w:val="0022560A"/>
    <w:rsid w:val="0022576C"/>
    <w:rsid w:val="00225808"/>
    <w:rsid w:val="00225992"/>
    <w:rsid w:val="00226332"/>
    <w:rsid w:val="002264C9"/>
    <w:rsid w:val="00226739"/>
    <w:rsid w:val="002267A8"/>
    <w:rsid w:val="00226980"/>
    <w:rsid w:val="00226D1F"/>
    <w:rsid w:val="00226E9E"/>
    <w:rsid w:val="00226F05"/>
    <w:rsid w:val="00227027"/>
    <w:rsid w:val="0022712E"/>
    <w:rsid w:val="00227302"/>
    <w:rsid w:val="00227818"/>
    <w:rsid w:val="00227819"/>
    <w:rsid w:val="00227A8B"/>
    <w:rsid w:val="00227D78"/>
    <w:rsid w:val="00227F36"/>
    <w:rsid w:val="00227F8C"/>
    <w:rsid w:val="0023034A"/>
    <w:rsid w:val="002303C9"/>
    <w:rsid w:val="00230664"/>
    <w:rsid w:val="00230D14"/>
    <w:rsid w:val="00231182"/>
    <w:rsid w:val="002312DD"/>
    <w:rsid w:val="00231302"/>
    <w:rsid w:val="002314DB"/>
    <w:rsid w:val="002314EC"/>
    <w:rsid w:val="00231786"/>
    <w:rsid w:val="00231B03"/>
    <w:rsid w:val="00232373"/>
    <w:rsid w:val="00232517"/>
    <w:rsid w:val="002329E5"/>
    <w:rsid w:val="00232A61"/>
    <w:rsid w:val="00232EF1"/>
    <w:rsid w:val="00232F20"/>
    <w:rsid w:val="00233300"/>
    <w:rsid w:val="0023352C"/>
    <w:rsid w:val="00233773"/>
    <w:rsid w:val="0023385A"/>
    <w:rsid w:val="0023398B"/>
    <w:rsid w:val="00233C64"/>
    <w:rsid w:val="00233CBC"/>
    <w:rsid w:val="00233D95"/>
    <w:rsid w:val="00233DA1"/>
    <w:rsid w:val="00233F7B"/>
    <w:rsid w:val="002348F5"/>
    <w:rsid w:val="00235289"/>
    <w:rsid w:val="0023538C"/>
    <w:rsid w:val="00235455"/>
    <w:rsid w:val="0023589F"/>
    <w:rsid w:val="00235BBC"/>
    <w:rsid w:val="00235D26"/>
    <w:rsid w:val="00235E4F"/>
    <w:rsid w:val="00235E53"/>
    <w:rsid w:val="00235E91"/>
    <w:rsid w:val="0023628C"/>
    <w:rsid w:val="002363D4"/>
    <w:rsid w:val="002365A5"/>
    <w:rsid w:val="00236A09"/>
    <w:rsid w:val="00236A96"/>
    <w:rsid w:val="00237316"/>
    <w:rsid w:val="0023739A"/>
    <w:rsid w:val="00237593"/>
    <w:rsid w:val="00237699"/>
    <w:rsid w:val="00237741"/>
    <w:rsid w:val="00237836"/>
    <w:rsid w:val="00237A1C"/>
    <w:rsid w:val="00237BD4"/>
    <w:rsid w:val="00237C2C"/>
    <w:rsid w:val="00237C95"/>
    <w:rsid w:val="00237CA0"/>
    <w:rsid w:val="0024052F"/>
    <w:rsid w:val="002405CD"/>
    <w:rsid w:val="0024072C"/>
    <w:rsid w:val="002407F6"/>
    <w:rsid w:val="00240A12"/>
    <w:rsid w:val="00240B12"/>
    <w:rsid w:val="00240C10"/>
    <w:rsid w:val="00240CAB"/>
    <w:rsid w:val="0024104D"/>
    <w:rsid w:val="00241D01"/>
    <w:rsid w:val="00241DD2"/>
    <w:rsid w:val="00241E74"/>
    <w:rsid w:val="00241F1C"/>
    <w:rsid w:val="00241F5A"/>
    <w:rsid w:val="00241FA5"/>
    <w:rsid w:val="00241FD1"/>
    <w:rsid w:val="002421B5"/>
    <w:rsid w:val="00242313"/>
    <w:rsid w:val="0024240C"/>
    <w:rsid w:val="002425C4"/>
    <w:rsid w:val="00242E5D"/>
    <w:rsid w:val="00242F81"/>
    <w:rsid w:val="00243476"/>
    <w:rsid w:val="0024347F"/>
    <w:rsid w:val="002435BF"/>
    <w:rsid w:val="002439EF"/>
    <w:rsid w:val="00243DCF"/>
    <w:rsid w:val="00243F7D"/>
    <w:rsid w:val="00243FC8"/>
    <w:rsid w:val="00243FE0"/>
    <w:rsid w:val="00244013"/>
    <w:rsid w:val="002441F7"/>
    <w:rsid w:val="0024477A"/>
    <w:rsid w:val="0024498C"/>
    <w:rsid w:val="00244D22"/>
    <w:rsid w:val="00244FFB"/>
    <w:rsid w:val="00245002"/>
    <w:rsid w:val="00245296"/>
    <w:rsid w:val="002452F3"/>
    <w:rsid w:val="00245558"/>
    <w:rsid w:val="00245B2B"/>
    <w:rsid w:val="00245EAA"/>
    <w:rsid w:val="00245F52"/>
    <w:rsid w:val="0024601F"/>
    <w:rsid w:val="002460BD"/>
    <w:rsid w:val="0024619B"/>
    <w:rsid w:val="00246444"/>
    <w:rsid w:val="00246505"/>
    <w:rsid w:val="00246AE5"/>
    <w:rsid w:val="00247288"/>
    <w:rsid w:val="0024770D"/>
    <w:rsid w:val="00247957"/>
    <w:rsid w:val="002507F3"/>
    <w:rsid w:val="00250890"/>
    <w:rsid w:val="002509B4"/>
    <w:rsid w:val="00250B98"/>
    <w:rsid w:val="00250CA3"/>
    <w:rsid w:val="0025116D"/>
    <w:rsid w:val="00252760"/>
    <w:rsid w:val="0025296B"/>
    <w:rsid w:val="00252FE7"/>
    <w:rsid w:val="00253569"/>
    <w:rsid w:val="0025395F"/>
    <w:rsid w:val="00253D3F"/>
    <w:rsid w:val="00253F0E"/>
    <w:rsid w:val="00254511"/>
    <w:rsid w:val="0025483D"/>
    <w:rsid w:val="0025489A"/>
    <w:rsid w:val="00254A44"/>
    <w:rsid w:val="00254B35"/>
    <w:rsid w:val="00254D0A"/>
    <w:rsid w:val="00254ECA"/>
    <w:rsid w:val="00255290"/>
    <w:rsid w:val="00255389"/>
    <w:rsid w:val="00255501"/>
    <w:rsid w:val="002555F2"/>
    <w:rsid w:val="00255987"/>
    <w:rsid w:val="00256881"/>
    <w:rsid w:val="00256A50"/>
    <w:rsid w:val="00256DAB"/>
    <w:rsid w:val="002571F6"/>
    <w:rsid w:val="00257462"/>
    <w:rsid w:val="00257888"/>
    <w:rsid w:val="00257B54"/>
    <w:rsid w:val="00260267"/>
    <w:rsid w:val="002602CA"/>
    <w:rsid w:val="002603C2"/>
    <w:rsid w:val="00260674"/>
    <w:rsid w:val="0026097A"/>
    <w:rsid w:val="0026099A"/>
    <w:rsid w:val="002612B4"/>
    <w:rsid w:val="0026144C"/>
    <w:rsid w:val="00261657"/>
    <w:rsid w:val="002623DF"/>
    <w:rsid w:val="0026281D"/>
    <w:rsid w:val="002628E6"/>
    <w:rsid w:val="002629A7"/>
    <w:rsid w:val="002634FB"/>
    <w:rsid w:val="00263B5A"/>
    <w:rsid w:val="00263BFD"/>
    <w:rsid w:val="00263C15"/>
    <w:rsid w:val="00263CB2"/>
    <w:rsid w:val="002643AF"/>
    <w:rsid w:val="002644B8"/>
    <w:rsid w:val="00264A21"/>
    <w:rsid w:val="00264A81"/>
    <w:rsid w:val="00264BE1"/>
    <w:rsid w:val="00264F79"/>
    <w:rsid w:val="00265046"/>
    <w:rsid w:val="00265D46"/>
    <w:rsid w:val="00265D60"/>
    <w:rsid w:val="00265F72"/>
    <w:rsid w:val="002660B3"/>
    <w:rsid w:val="0026616B"/>
    <w:rsid w:val="00266541"/>
    <w:rsid w:val="0026690D"/>
    <w:rsid w:val="00266923"/>
    <w:rsid w:val="00266A2F"/>
    <w:rsid w:val="00266F3A"/>
    <w:rsid w:val="00266FDC"/>
    <w:rsid w:val="002670E1"/>
    <w:rsid w:val="0026721D"/>
    <w:rsid w:val="00267335"/>
    <w:rsid w:val="00267408"/>
    <w:rsid w:val="00267534"/>
    <w:rsid w:val="00267641"/>
    <w:rsid w:val="0026776A"/>
    <w:rsid w:val="0026793B"/>
    <w:rsid w:val="00267DDE"/>
    <w:rsid w:val="00270351"/>
    <w:rsid w:val="0027037D"/>
    <w:rsid w:val="002704FB"/>
    <w:rsid w:val="00270525"/>
    <w:rsid w:val="00270918"/>
    <w:rsid w:val="00270C3D"/>
    <w:rsid w:val="00270E9F"/>
    <w:rsid w:val="0027116E"/>
    <w:rsid w:val="002715C9"/>
    <w:rsid w:val="002717AD"/>
    <w:rsid w:val="002717EB"/>
    <w:rsid w:val="00271A6F"/>
    <w:rsid w:val="00271C5F"/>
    <w:rsid w:val="00271D0B"/>
    <w:rsid w:val="00272207"/>
    <w:rsid w:val="002724E2"/>
    <w:rsid w:val="00272560"/>
    <w:rsid w:val="0027256A"/>
    <w:rsid w:val="00272698"/>
    <w:rsid w:val="00272A0D"/>
    <w:rsid w:val="00272A70"/>
    <w:rsid w:val="00272ED0"/>
    <w:rsid w:val="00272FA9"/>
    <w:rsid w:val="00273023"/>
    <w:rsid w:val="002730B6"/>
    <w:rsid w:val="0027336C"/>
    <w:rsid w:val="002733B1"/>
    <w:rsid w:val="002735F1"/>
    <w:rsid w:val="00273CA3"/>
    <w:rsid w:val="00273D61"/>
    <w:rsid w:val="00273E40"/>
    <w:rsid w:val="0027459A"/>
    <w:rsid w:val="00274A43"/>
    <w:rsid w:val="00274E4A"/>
    <w:rsid w:val="00275826"/>
    <w:rsid w:val="002761F0"/>
    <w:rsid w:val="002763F4"/>
    <w:rsid w:val="002764EE"/>
    <w:rsid w:val="002766E1"/>
    <w:rsid w:val="002769B5"/>
    <w:rsid w:val="00276C84"/>
    <w:rsid w:val="002771B4"/>
    <w:rsid w:val="002774B2"/>
    <w:rsid w:val="002778A0"/>
    <w:rsid w:val="00277E0E"/>
    <w:rsid w:val="0028031D"/>
    <w:rsid w:val="00280798"/>
    <w:rsid w:val="00280BB5"/>
    <w:rsid w:val="00280F0E"/>
    <w:rsid w:val="00281019"/>
    <w:rsid w:val="0028101E"/>
    <w:rsid w:val="0028122F"/>
    <w:rsid w:val="002813B7"/>
    <w:rsid w:val="00281628"/>
    <w:rsid w:val="00281AD2"/>
    <w:rsid w:val="00281C8A"/>
    <w:rsid w:val="00281D07"/>
    <w:rsid w:val="002820E5"/>
    <w:rsid w:val="002821E3"/>
    <w:rsid w:val="002823AD"/>
    <w:rsid w:val="00282CF2"/>
    <w:rsid w:val="00283305"/>
    <w:rsid w:val="00283495"/>
    <w:rsid w:val="00283B14"/>
    <w:rsid w:val="00283DFF"/>
    <w:rsid w:val="002840DC"/>
    <w:rsid w:val="0028461A"/>
    <w:rsid w:val="00284A6C"/>
    <w:rsid w:val="00284D3B"/>
    <w:rsid w:val="0028534A"/>
    <w:rsid w:val="0028556C"/>
    <w:rsid w:val="00285AB7"/>
    <w:rsid w:val="00285C45"/>
    <w:rsid w:val="00286463"/>
    <w:rsid w:val="00286489"/>
    <w:rsid w:val="002864A7"/>
    <w:rsid w:val="002865AA"/>
    <w:rsid w:val="002865F0"/>
    <w:rsid w:val="002866B2"/>
    <w:rsid w:val="0028675C"/>
    <w:rsid w:val="00286773"/>
    <w:rsid w:val="002868BB"/>
    <w:rsid w:val="00286954"/>
    <w:rsid w:val="00286AD1"/>
    <w:rsid w:val="00286C01"/>
    <w:rsid w:val="00286CAC"/>
    <w:rsid w:val="00286EDB"/>
    <w:rsid w:val="00287224"/>
    <w:rsid w:val="00287665"/>
    <w:rsid w:val="00287ABA"/>
    <w:rsid w:val="00287E47"/>
    <w:rsid w:val="00287FE6"/>
    <w:rsid w:val="00290133"/>
    <w:rsid w:val="0029068D"/>
    <w:rsid w:val="0029094F"/>
    <w:rsid w:val="00290B13"/>
    <w:rsid w:val="00290C81"/>
    <w:rsid w:val="00290D64"/>
    <w:rsid w:val="00290E7D"/>
    <w:rsid w:val="00290F02"/>
    <w:rsid w:val="0029115E"/>
    <w:rsid w:val="002914B6"/>
    <w:rsid w:val="002916B8"/>
    <w:rsid w:val="00291B66"/>
    <w:rsid w:val="00291C3B"/>
    <w:rsid w:val="00291E16"/>
    <w:rsid w:val="002920D3"/>
    <w:rsid w:val="002923B1"/>
    <w:rsid w:val="002923DF"/>
    <w:rsid w:val="00292C9D"/>
    <w:rsid w:val="00292DD7"/>
    <w:rsid w:val="00292E21"/>
    <w:rsid w:val="00293272"/>
    <w:rsid w:val="002934A9"/>
    <w:rsid w:val="00293D74"/>
    <w:rsid w:val="0029408A"/>
    <w:rsid w:val="002943C0"/>
    <w:rsid w:val="00294460"/>
    <w:rsid w:val="00294F0C"/>
    <w:rsid w:val="00294F64"/>
    <w:rsid w:val="0029536B"/>
    <w:rsid w:val="0029547F"/>
    <w:rsid w:val="0029557F"/>
    <w:rsid w:val="002955FB"/>
    <w:rsid w:val="0029560E"/>
    <w:rsid w:val="0029589D"/>
    <w:rsid w:val="00295E23"/>
    <w:rsid w:val="00295F49"/>
    <w:rsid w:val="002961BE"/>
    <w:rsid w:val="00296428"/>
    <w:rsid w:val="00296494"/>
    <w:rsid w:val="00296640"/>
    <w:rsid w:val="002966FE"/>
    <w:rsid w:val="002968D7"/>
    <w:rsid w:val="00296A18"/>
    <w:rsid w:val="00296B93"/>
    <w:rsid w:val="00296D66"/>
    <w:rsid w:val="0029744D"/>
    <w:rsid w:val="002977BA"/>
    <w:rsid w:val="0029783B"/>
    <w:rsid w:val="0029792D"/>
    <w:rsid w:val="002979A5"/>
    <w:rsid w:val="00297CB8"/>
    <w:rsid w:val="00297D85"/>
    <w:rsid w:val="00297E9D"/>
    <w:rsid w:val="00297F89"/>
    <w:rsid w:val="002A04CD"/>
    <w:rsid w:val="002A0992"/>
    <w:rsid w:val="002A0D60"/>
    <w:rsid w:val="002A12FB"/>
    <w:rsid w:val="002A1542"/>
    <w:rsid w:val="002A1920"/>
    <w:rsid w:val="002A1987"/>
    <w:rsid w:val="002A1C34"/>
    <w:rsid w:val="002A1D0A"/>
    <w:rsid w:val="002A1F67"/>
    <w:rsid w:val="002A2012"/>
    <w:rsid w:val="002A2109"/>
    <w:rsid w:val="002A21E3"/>
    <w:rsid w:val="002A2464"/>
    <w:rsid w:val="002A2483"/>
    <w:rsid w:val="002A259B"/>
    <w:rsid w:val="002A285C"/>
    <w:rsid w:val="002A2BB5"/>
    <w:rsid w:val="002A2D00"/>
    <w:rsid w:val="002A2F17"/>
    <w:rsid w:val="002A307F"/>
    <w:rsid w:val="002A330E"/>
    <w:rsid w:val="002A3762"/>
    <w:rsid w:val="002A3A17"/>
    <w:rsid w:val="002A3ECC"/>
    <w:rsid w:val="002A4315"/>
    <w:rsid w:val="002A45B2"/>
    <w:rsid w:val="002A46C1"/>
    <w:rsid w:val="002A4838"/>
    <w:rsid w:val="002A49E4"/>
    <w:rsid w:val="002A4EEA"/>
    <w:rsid w:val="002A6369"/>
    <w:rsid w:val="002A683E"/>
    <w:rsid w:val="002A69BA"/>
    <w:rsid w:val="002A6DF4"/>
    <w:rsid w:val="002A761F"/>
    <w:rsid w:val="002A7748"/>
    <w:rsid w:val="002A7A03"/>
    <w:rsid w:val="002A7A4C"/>
    <w:rsid w:val="002A7A90"/>
    <w:rsid w:val="002A7BBF"/>
    <w:rsid w:val="002B0093"/>
    <w:rsid w:val="002B0133"/>
    <w:rsid w:val="002B089C"/>
    <w:rsid w:val="002B0B67"/>
    <w:rsid w:val="002B0E09"/>
    <w:rsid w:val="002B115E"/>
    <w:rsid w:val="002B1161"/>
    <w:rsid w:val="002B1396"/>
    <w:rsid w:val="002B1604"/>
    <w:rsid w:val="002B18A4"/>
    <w:rsid w:val="002B1DDD"/>
    <w:rsid w:val="002B208B"/>
    <w:rsid w:val="002B21E7"/>
    <w:rsid w:val="002B21FA"/>
    <w:rsid w:val="002B2452"/>
    <w:rsid w:val="002B2466"/>
    <w:rsid w:val="002B24A6"/>
    <w:rsid w:val="002B29BE"/>
    <w:rsid w:val="002B2C8C"/>
    <w:rsid w:val="002B2DE9"/>
    <w:rsid w:val="002B2E8B"/>
    <w:rsid w:val="002B3139"/>
    <w:rsid w:val="002B32F9"/>
    <w:rsid w:val="002B421D"/>
    <w:rsid w:val="002B46AA"/>
    <w:rsid w:val="002B49DA"/>
    <w:rsid w:val="002B4AC9"/>
    <w:rsid w:val="002B4AEC"/>
    <w:rsid w:val="002B4EB5"/>
    <w:rsid w:val="002B5306"/>
    <w:rsid w:val="002B553A"/>
    <w:rsid w:val="002B5D85"/>
    <w:rsid w:val="002B5F6C"/>
    <w:rsid w:val="002B6019"/>
    <w:rsid w:val="002B6210"/>
    <w:rsid w:val="002B635A"/>
    <w:rsid w:val="002B636E"/>
    <w:rsid w:val="002B642D"/>
    <w:rsid w:val="002B646F"/>
    <w:rsid w:val="002B6B92"/>
    <w:rsid w:val="002B7024"/>
    <w:rsid w:val="002B75D2"/>
    <w:rsid w:val="002B7630"/>
    <w:rsid w:val="002B7885"/>
    <w:rsid w:val="002B7AFD"/>
    <w:rsid w:val="002B7E03"/>
    <w:rsid w:val="002B7EAC"/>
    <w:rsid w:val="002B7F9C"/>
    <w:rsid w:val="002C03E6"/>
    <w:rsid w:val="002C06F3"/>
    <w:rsid w:val="002C09DA"/>
    <w:rsid w:val="002C0A70"/>
    <w:rsid w:val="002C0B65"/>
    <w:rsid w:val="002C0B8D"/>
    <w:rsid w:val="002C0D01"/>
    <w:rsid w:val="002C0D2E"/>
    <w:rsid w:val="002C0D80"/>
    <w:rsid w:val="002C10F4"/>
    <w:rsid w:val="002C11CC"/>
    <w:rsid w:val="002C127E"/>
    <w:rsid w:val="002C135E"/>
    <w:rsid w:val="002C142B"/>
    <w:rsid w:val="002C16A2"/>
    <w:rsid w:val="002C16C7"/>
    <w:rsid w:val="002C18C2"/>
    <w:rsid w:val="002C1AC9"/>
    <w:rsid w:val="002C1D33"/>
    <w:rsid w:val="002C2101"/>
    <w:rsid w:val="002C21A6"/>
    <w:rsid w:val="002C2255"/>
    <w:rsid w:val="002C238C"/>
    <w:rsid w:val="002C25FC"/>
    <w:rsid w:val="002C260E"/>
    <w:rsid w:val="002C2D4B"/>
    <w:rsid w:val="002C372E"/>
    <w:rsid w:val="002C384C"/>
    <w:rsid w:val="002C3BF4"/>
    <w:rsid w:val="002C4370"/>
    <w:rsid w:val="002C481C"/>
    <w:rsid w:val="002C49C4"/>
    <w:rsid w:val="002C49CC"/>
    <w:rsid w:val="002C4D0D"/>
    <w:rsid w:val="002C4FCD"/>
    <w:rsid w:val="002C524C"/>
    <w:rsid w:val="002C5623"/>
    <w:rsid w:val="002C56CC"/>
    <w:rsid w:val="002C6082"/>
    <w:rsid w:val="002C643B"/>
    <w:rsid w:val="002C6D39"/>
    <w:rsid w:val="002C6D9E"/>
    <w:rsid w:val="002C7011"/>
    <w:rsid w:val="002C7B45"/>
    <w:rsid w:val="002C7EBC"/>
    <w:rsid w:val="002D00EA"/>
    <w:rsid w:val="002D0371"/>
    <w:rsid w:val="002D0783"/>
    <w:rsid w:val="002D1382"/>
    <w:rsid w:val="002D17C6"/>
    <w:rsid w:val="002D19F1"/>
    <w:rsid w:val="002D1A6B"/>
    <w:rsid w:val="002D1B4F"/>
    <w:rsid w:val="002D1B6A"/>
    <w:rsid w:val="002D1C0C"/>
    <w:rsid w:val="002D1D3D"/>
    <w:rsid w:val="002D2488"/>
    <w:rsid w:val="002D2662"/>
    <w:rsid w:val="002D26D6"/>
    <w:rsid w:val="002D2849"/>
    <w:rsid w:val="002D2ADD"/>
    <w:rsid w:val="002D2CD9"/>
    <w:rsid w:val="002D309D"/>
    <w:rsid w:val="002D3205"/>
    <w:rsid w:val="002D32D4"/>
    <w:rsid w:val="002D3609"/>
    <w:rsid w:val="002D38FA"/>
    <w:rsid w:val="002D3969"/>
    <w:rsid w:val="002D4026"/>
    <w:rsid w:val="002D4030"/>
    <w:rsid w:val="002D4453"/>
    <w:rsid w:val="002D46F2"/>
    <w:rsid w:val="002D4AF7"/>
    <w:rsid w:val="002D4C83"/>
    <w:rsid w:val="002D4DC1"/>
    <w:rsid w:val="002D4ECD"/>
    <w:rsid w:val="002D4F3B"/>
    <w:rsid w:val="002D50AE"/>
    <w:rsid w:val="002D5242"/>
    <w:rsid w:val="002D54E2"/>
    <w:rsid w:val="002D561B"/>
    <w:rsid w:val="002D58E1"/>
    <w:rsid w:val="002D5D7C"/>
    <w:rsid w:val="002D5F58"/>
    <w:rsid w:val="002D6008"/>
    <w:rsid w:val="002D615A"/>
    <w:rsid w:val="002D6328"/>
    <w:rsid w:val="002D6360"/>
    <w:rsid w:val="002D649D"/>
    <w:rsid w:val="002D64D1"/>
    <w:rsid w:val="002D65AB"/>
    <w:rsid w:val="002D6867"/>
    <w:rsid w:val="002D690E"/>
    <w:rsid w:val="002D6A82"/>
    <w:rsid w:val="002D6BA4"/>
    <w:rsid w:val="002D6BDB"/>
    <w:rsid w:val="002D6C3F"/>
    <w:rsid w:val="002D6DA1"/>
    <w:rsid w:val="002D745F"/>
    <w:rsid w:val="002D75DE"/>
    <w:rsid w:val="002D7AE8"/>
    <w:rsid w:val="002D7B9A"/>
    <w:rsid w:val="002E02B6"/>
    <w:rsid w:val="002E0734"/>
    <w:rsid w:val="002E098C"/>
    <w:rsid w:val="002E0AB1"/>
    <w:rsid w:val="002E0BBD"/>
    <w:rsid w:val="002E0E94"/>
    <w:rsid w:val="002E11E2"/>
    <w:rsid w:val="002E13C2"/>
    <w:rsid w:val="002E182C"/>
    <w:rsid w:val="002E195C"/>
    <w:rsid w:val="002E1AD6"/>
    <w:rsid w:val="002E1C89"/>
    <w:rsid w:val="002E1F71"/>
    <w:rsid w:val="002E2109"/>
    <w:rsid w:val="002E26C9"/>
    <w:rsid w:val="002E285A"/>
    <w:rsid w:val="002E287E"/>
    <w:rsid w:val="002E2A79"/>
    <w:rsid w:val="002E2B20"/>
    <w:rsid w:val="002E2E68"/>
    <w:rsid w:val="002E2E6E"/>
    <w:rsid w:val="002E2E9D"/>
    <w:rsid w:val="002E30D6"/>
    <w:rsid w:val="002E3123"/>
    <w:rsid w:val="002E3470"/>
    <w:rsid w:val="002E3490"/>
    <w:rsid w:val="002E3509"/>
    <w:rsid w:val="002E390B"/>
    <w:rsid w:val="002E3CB8"/>
    <w:rsid w:val="002E3F9E"/>
    <w:rsid w:val="002E404B"/>
    <w:rsid w:val="002E41A6"/>
    <w:rsid w:val="002E4AFC"/>
    <w:rsid w:val="002E4B0A"/>
    <w:rsid w:val="002E4CD8"/>
    <w:rsid w:val="002E4F36"/>
    <w:rsid w:val="002E5822"/>
    <w:rsid w:val="002E5AA9"/>
    <w:rsid w:val="002E5E00"/>
    <w:rsid w:val="002E5E44"/>
    <w:rsid w:val="002E613E"/>
    <w:rsid w:val="002E6205"/>
    <w:rsid w:val="002E63FA"/>
    <w:rsid w:val="002E68F0"/>
    <w:rsid w:val="002E71F0"/>
    <w:rsid w:val="002E72D3"/>
    <w:rsid w:val="002E73B3"/>
    <w:rsid w:val="002E7B5D"/>
    <w:rsid w:val="002F02D0"/>
    <w:rsid w:val="002F0883"/>
    <w:rsid w:val="002F09A5"/>
    <w:rsid w:val="002F0D91"/>
    <w:rsid w:val="002F104E"/>
    <w:rsid w:val="002F10A9"/>
    <w:rsid w:val="002F1185"/>
    <w:rsid w:val="002F11C2"/>
    <w:rsid w:val="002F181B"/>
    <w:rsid w:val="002F19E7"/>
    <w:rsid w:val="002F25DF"/>
    <w:rsid w:val="002F2659"/>
    <w:rsid w:val="002F26FF"/>
    <w:rsid w:val="002F274F"/>
    <w:rsid w:val="002F3888"/>
    <w:rsid w:val="002F38EA"/>
    <w:rsid w:val="002F3B80"/>
    <w:rsid w:val="002F3EA1"/>
    <w:rsid w:val="002F4263"/>
    <w:rsid w:val="002F49AD"/>
    <w:rsid w:val="002F520F"/>
    <w:rsid w:val="002F5285"/>
    <w:rsid w:val="002F5A4B"/>
    <w:rsid w:val="002F5CAC"/>
    <w:rsid w:val="002F5E1F"/>
    <w:rsid w:val="002F6120"/>
    <w:rsid w:val="002F6159"/>
    <w:rsid w:val="002F70B1"/>
    <w:rsid w:val="002F74B3"/>
    <w:rsid w:val="002F7673"/>
    <w:rsid w:val="002F7761"/>
    <w:rsid w:val="002F77E0"/>
    <w:rsid w:val="002F7AFA"/>
    <w:rsid w:val="002F7EA2"/>
    <w:rsid w:val="0030007E"/>
    <w:rsid w:val="00300557"/>
    <w:rsid w:val="0030094B"/>
    <w:rsid w:val="00300CF9"/>
    <w:rsid w:val="0030107A"/>
    <w:rsid w:val="00301241"/>
    <w:rsid w:val="003016D4"/>
    <w:rsid w:val="00301B0B"/>
    <w:rsid w:val="00301F5A"/>
    <w:rsid w:val="00301FBD"/>
    <w:rsid w:val="003024E1"/>
    <w:rsid w:val="003025ED"/>
    <w:rsid w:val="00302774"/>
    <w:rsid w:val="00302B87"/>
    <w:rsid w:val="00302E84"/>
    <w:rsid w:val="00302E8C"/>
    <w:rsid w:val="00302F31"/>
    <w:rsid w:val="003033DD"/>
    <w:rsid w:val="0030351A"/>
    <w:rsid w:val="0030365F"/>
    <w:rsid w:val="00303949"/>
    <w:rsid w:val="0030395E"/>
    <w:rsid w:val="00303B06"/>
    <w:rsid w:val="00303C20"/>
    <w:rsid w:val="00303CF4"/>
    <w:rsid w:val="00303DD1"/>
    <w:rsid w:val="00303EA7"/>
    <w:rsid w:val="0030486F"/>
    <w:rsid w:val="003048F2"/>
    <w:rsid w:val="00304945"/>
    <w:rsid w:val="00304FB0"/>
    <w:rsid w:val="003051A7"/>
    <w:rsid w:val="003052EC"/>
    <w:rsid w:val="00305324"/>
    <w:rsid w:val="00305444"/>
    <w:rsid w:val="00305816"/>
    <w:rsid w:val="00305872"/>
    <w:rsid w:val="00305C67"/>
    <w:rsid w:val="00305CD1"/>
    <w:rsid w:val="00305DBD"/>
    <w:rsid w:val="00305E84"/>
    <w:rsid w:val="00305F16"/>
    <w:rsid w:val="00305FA6"/>
    <w:rsid w:val="00306141"/>
    <w:rsid w:val="0030647A"/>
    <w:rsid w:val="00306C0F"/>
    <w:rsid w:val="00306D99"/>
    <w:rsid w:val="003070DF"/>
    <w:rsid w:val="003071E8"/>
    <w:rsid w:val="00307376"/>
    <w:rsid w:val="00307672"/>
    <w:rsid w:val="003078DB"/>
    <w:rsid w:val="00307A3A"/>
    <w:rsid w:val="00307BED"/>
    <w:rsid w:val="00307D45"/>
    <w:rsid w:val="00307D98"/>
    <w:rsid w:val="003102D6"/>
    <w:rsid w:val="0031066A"/>
    <w:rsid w:val="003108DB"/>
    <w:rsid w:val="00310AF3"/>
    <w:rsid w:val="00310E51"/>
    <w:rsid w:val="003110EA"/>
    <w:rsid w:val="00311106"/>
    <w:rsid w:val="003111F4"/>
    <w:rsid w:val="00311378"/>
    <w:rsid w:val="0031165C"/>
    <w:rsid w:val="00311686"/>
    <w:rsid w:val="0031177E"/>
    <w:rsid w:val="00311CFD"/>
    <w:rsid w:val="00311FFD"/>
    <w:rsid w:val="0031208B"/>
    <w:rsid w:val="00312140"/>
    <w:rsid w:val="003124D9"/>
    <w:rsid w:val="003125E3"/>
    <w:rsid w:val="00312609"/>
    <w:rsid w:val="003128BA"/>
    <w:rsid w:val="003134A5"/>
    <w:rsid w:val="003135AF"/>
    <w:rsid w:val="0031361E"/>
    <w:rsid w:val="00313A3A"/>
    <w:rsid w:val="00313BB3"/>
    <w:rsid w:val="00313E28"/>
    <w:rsid w:val="0031433D"/>
    <w:rsid w:val="0031446F"/>
    <w:rsid w:val="00314581"/>
    <w:rsid w:val="00314627"/>
    <w:rsid w:val="003148D8"/>
    <w:rsid w:val="0031492C"/>
    <w:rsid w:val="00314A9B"/>
    <w:rsid w:val="00314B5C"/>
    <w:rsid w:val="00314CF8"/>
    <w:rsid w:val="00314E99"/>
    <w:rsid w:val="003157DF"/>
    <w:rsid w:val="00315D6D"/>
    <w:rsid w:val="00316942"/>
    <w:rsid w:val="00316A69"/>
    <w:rsid w:val="00316AB3"/>
    <w:rsid w:val="00316CB4"/>
    <w:rsid w:val="00317055"/>
    <w:rsid w:val="0031708E"/>
    <w:rsid w:val="003170B0"/>
    <w:rsid w:val="0031733A"/>
    <w:rsid w:val="0031740F"/>
    <w:rsid w:val="0031764C"/>
    <w:rsid w:val="00317911"/>
    <w:rsid w:val="00317ED7"/>
    <w:rsid w:val="003202FA"/>
    <w:rsid w:val="00320334"/>
    <w:rsid w:val="0032067E"/>
    <w:rsid w:val="003206F5"/>
    <w:rsid w:val="00320702"/>
    <w:rsid w:val="00320B9E"/>
    <w:rsid w:val="00320BC8"/>
    <w:rsid w:val="00321022"/>
    <w:rsid w:val="003211AA"/>
    <w:rsid w:val="0032120B"/>
    <w:rsid w:val="003219FD"/>
    <w:rsid w:val="00321C91"/>
    <w:rsid w:val="00322141"/>
    <w:rsid w:val="003221D1"/>
    <w:rsid w:val="0032224E"/>
    <w:rsid w:val="003222A6"/>
    <w:rsid w:val="0032247A"/>
    <w:rsid w:val="00322ABB"/>
    <w:rsid w:val="00322C19"/>
    <w:rsid w:val="003237EF"/>
    <w:rsid w:val="00323933"/>
    <w:rsid w:val="00323EE3"/>
    <w:rsid w:val="00324169"/>
    <w:rsid w:val="0032449A"/>
    <w:rsid w:val="003248E8"/>
    <w:rsid w:val="00324997"/>
    <w:rsid w:val="00324B12"/>
    <w:rsid w:val="00324BF4"/>
    <w:rsid w:val="00324E16"/>
    <w:rsid w:val="0032533A"/>
    <w:rsid w:val="0032578C"/>
    <w:rsid w:val="00325836"/>
    <w:rsid w:val="0032584F"/>
    <w:rsid w:val="00325CA0"/>
    <w:rsid w:val="00325CE8"/>
    <w:rsid w:val="003261C9"/>
    <w:rsid w:val="003262B7"/>
    <w:rsid w:val="003262BA"/>
    <w:rsid w:val="003263C0"/>
    <w:rsid w:val="00326AB5"/>
    <w:rsid w:val="00326D14"/>
    <w:rsid w:val="00326F70"/>
    <w:rsid w:val="003271EA"/>
    <w:rsid w:val="00327262"/>
    <w:rsid w:val="003276A4"/>
    <w:rsid w:val="00327BBA"/>
    <w:rsid w:val="003303B8"/>
    <w:rsid w:val="00330426"/>
    <w:rsid w:val="00330641"/>
    <w:rsid w:val="003306A3"/>
    <w:rsid w:val="00330734"/>
    <w:rsid w:val="00330931"/>
    <w:rsid w:val="0033093D"/>
    <w:rsid w:val="0033093E"/>
    <w:rsid w:val="00330F91"/>
    <w:rsid w:val="003312C8"/>
    <w:rsid w:val="00331384"/>
    <w:rsid w:val="003317DC"/>
    <w:rsid w:val="00331D9A"/>
    <w:rsid w:val="00331F96"/>
    <w:rsid w:val="00331FFD"/>
    <w:rsid w:val="003320BD"/>
    <w:rsid w:val="0033278F"/>
    <w:rsid w:val="00332B63"/>
    <w:rsid w:val="003330D1"/>
    <w:rsid w:val="003330DB"/>
    <w:rsid w:val="0033315A"/>
    <w:rsid w:val="0033330C"/>
    <w:rsid w:val="00333392"/>
    <w:rsid w:val="00333650"/>
    <w:rsid w:val="00333A17"/>
    <w:rsid w:val="00333B95"/>
    <w:rsid w:val="00333C72"/>
    <w:rsid w:val="00333CD8"/>
    <w:rsid w:val="0033418A"/>
    <w:rsid w:val="00334257"/>
    <w:rsid w:val="00334312"/>
    <w:rsid w:val="00334333"/>
    <w:rsid w:val="003347E2"/>
    <w:rsid w:val="00334C55"/>
    <w:rsid w:val="0033503F"/>
    <w:rsid w:val="00335237"/>
    <w:rsid w:val="0033560B"/>
    <w:rsid w:val="003359ED"/>
    <w:rsid w:val="00335A43"/>
    <w:rsid w:val="00335AA9"/>
    <w:rsid w:val="00335B32"/>
    <w:rsid w:val="00335BA6"/>
    <w:rsid w:val="00335DB5"/>
    <w:rsid w:val="00336057"/>
    <w:rsid w:val="0033620C"/>
    <w:rsid w:val="00336435"/>
    <w:rsid w:val="00336474"/>
    <w:rsid w:val="003364FE"/>
    <w:rsid w:val="00336737"/>
    <w:rsid w:val="003367A0"/>
    <w:rsid w:val="003367F3"/>
    <w:rsid w:val="00336A43"/>
    <w:rsid w:val="00336A46"/>
    <w:rsid w:val="00336AE7"/>
    <w:rsid w:val="00336BBB"/>
    <w:rsid w:val="00336DD6"/>
    <w:rsid w:val="003371D1"/>
    <w:rsid w:val="00337243"/>
    <w:rsid w:val="00337414"/>
    <w:rsid w:val="00337699"/>
    <w:rsid w:val="00337914"/>
    <w:rsid w:val="00337BEB"/>
    <w:rsid w:val="00337D45"/>
    <w:rsid w:val="00337E51"/>
    <w:rsid w:val="00337F1E"/>
    <w:rsid w:val="003402BB"/>
    <w:rsid w:val="00340481"/>
    <w:rsid w:val="00340E49"/>
    <w:rsid w:val="00340F3F"/>
    <w:rsid w:val="00341030"/>
    <w:rsid w:val="00341154"/>
    <w:rsid w:val="00341270"/>
    <w:rsid w:val="00341475"/>
    <w:rsid w:val="00341742"/>
    <w:rsid w:val="00341DFB"/>
    <w:rsid w:val="003421A2"/>
    <w:rsid w:val="00342208"/>
    <w:rsid w:val="003422F5"/>
    <w:rsid w:val="003429DA"/>
    <w:rsid w:val="00342F39"/>
    <w:rsid w:val="00342FE1"/>
    <w:rsid w:val="003431BB"/>
    <w:rsid w:val="00343334"/>
    <w:rsid w:val="0034335B"/>
    <w:rsid w:val="003435BA"/>
    <w:rsid w:val="003436F2"/>
    <w:rsid w:val="00343F85"/>
    <w:rsid w:val="00343FFB"/>
    <w:rsid w:val="0034419E"/>
    <w:rsid w:val="003442A4"/>
    <w:rsid w:val="003446D6"/>
    <w:rsid w:val="00344CC3"/>
    <w:rsid w:val="00344D86"/>
    <w:rsid w:val="00344F6B"/>
    <w:rsid w:val="0034526B"/>
    <w:rsid w:val="0034528B"/>
    <w:rsid w:val="0034547A"/>
    <w:rsid w:val="00345751"/>
    <w:rsid w:val="00345CC4"/>
    <w:rsid w:val="00345E74"/>
    <w:rsid w:val="00345F9E"/>
    <w:rsid w:val="00346008"/>
    <w:rsid w:val="00346067"/>
    <w:rsid w:val="0034620E"/>
    <w:rsid w:val="003462C8"/>
    <w:rsid w:val="003469F5"/>
    <w:rsid w:val="00346A38"/>
    <w:rsid w:val="00346E3A"/>
    <w:rsid w:val="00346E50"/>
    <w:rsid w:val="003473A9"/>
    <w:rsid w:val="003479C5"/>
    <w:rsid w:val="00347F18"/>
    <w:rsid w:val="00347FD9"/>
    <w:rsid w:val="00350069"/>
    <w:rsid w:val="0035017A"/>
    <w:rsid w:val="003504A5"/>
    <w:rsid w:val="00350669"/>
    <w:rsid w:val="00350BD2"/>
    <w:rsid w:val="00351734"/>
    <w:rsid w:val="00351A8B"/>
    <w:rsid w:val="00351E1E"/>
    <w:rsid w:val="00351FA6"/>
    <w:rsid w:val="00352156"/>
    <w:rsid w:val="0035256A"/>
    <w:rsid w:val="003525B0"/>
    <w:rsid w:val="003526A1"/>
    <w:rsid w:val="0035275B"/>
    <w:rsid w:val="003529EF"/>
    <w:rsid w:val="00352A09"/>
    <w:rsid w:val="00352DAF"/>
    <w:rsid w:val="00352DC1"/>
    <w:rsid w:val="003535D8"/>
    <w:rsid w:val="00353A13"/>
    <w:rsid w:val="00354089"/>
    <w:rsid w:val="003544BD"/>
    <w:rsid w:val="00354826"/>
    <w:rsid w:val="00354CD1"/>
    <w:rsid w:val="003557EB"/>
    <w:rsid w:val="003558DE"/>
    <w:rsid w:val="00355A5C"/>
    <w:rsid w:val="00355CEF"/>
    <w:rsid w:val="00355FF4"/>
    <w:rsid w:val="00356038"/>
    <w:rsid w:val="00356103"/>
    <w:rsid w:val="00356333"/>
    <w:rsid w:val="003563ED"/>
    <w:rsid w:val="0035677E"/>
    <w:rsid w:val="003569B6"/>
    <w:rsid w:val="00356B94"/>
    <w:rsid w:val="00356CE1"/>
    <w:rsid w:val="00357179"/>
    <w:rsid w:val="003574CC"/>
    <w:rsid w:val="00357829"/>
    <w:rsid w:val="00357FAB"/>
    <w:rsid w:val="00360077"/>
    <w:rsid w:val="003600BD"/>
    <w:rsid w:val="003600EB"/>
    <w:rsid w:val="0036014D"/>
    <w:rsid w:val="003602AA"/>
    <w:rsid w:val="0036042E"/>
    <w:rsid w:val="00360785"/>
    <w:rsid w:val="0036099C"/>
    <w:rsid w:val="00360C1B"/>
    <w:rsid w:val="00360D41"/>
    <w:rsid w:val="00360EA5"/>
    <w:rsid w:val="00361575"/>
    <w:rsid w:val="00361667"/>
    <w:rsid w:val="0036170A"/>
    <w:rsid w:val="00361898"/>
    <w:rsid w:val="00361AF7"/>
    <w:rsid w:val="00361C43"/>
    <w:rsid w:val="00362075"/>
    <w:rsid w:val="003620B5"/>
    <w:rsid w:val="003624F8"/>
    <w:rsid w:val="0036268B"/>
    <w:rsid w:val="00362A69"/>
    <w:rsid w:val="00362BF8"/>
    <w:rsid w:val="00362C13"/>
    <w:rsid w:val="003632EF"/>
    <w:rsid w:val="003634AF"/>
    <w:rsid w:val="003638E3"/>
    <w:rsid w:val="00363C5F"/>
    <w:rsid w:val="00363DD0"/>
    <w:rsid w:val="0036409D"/>
    <w:rsid w:val="00364141"/>
    <w:rsid w:val="003641E1"/>
    <w:rsid w:val="003646E8"/>
    <w:rsid w:val="00364853"/>
    <w:rsid w:val="003649EA"/>
    <w:rsid w:val="00364BEA"/>
    <w:rsid w:val="00364DAC"/>
    <w:rsid w:val="00364EC6"/>
    <w:rsid w:val="00364EED"/>
    <w:rsid w:val="00364F5B"/>
    <w:rsid w:val="00364FA7"/>
    <w:rsid w:val="00365137"/>
    <w:rsid w:val="003652F1"/>
    <w:rsid w:val="0036534D"/>
    <w:rsid w:val="00365557"/>
    <w:rsid w:val="003659CF"/>
    <w:rsid w:val="00365CA8"/>
    <w:rsid w:val="00365D2B"/>
    <w:rsid w:val="00365D7A"/>
    <w:rsid w:val="00365DF5"/>
    <w:rsid w:val="00365F14"/>
    <w:rsid w:val="00365F23"/>
    <w:rsid w:val="003660DF"/>
    <w:rsid w:val="00366352"/>
    <w:rsid w:val="00366B5D"/>
    <w:rsid w:val="00367248"/>
    <w:rsid w:val="00367437"/>
    <w:rsid w:val="0036749D"/>
    <w:rsid w:val="003676C7"/>
    <w:rsid w:val="0036773F"/>
    <w:rsid w:val="003677E8"/>
    <w:rsid w:val="0036786A"/>
    <w:rsid w:val="003678C5"/>
    <w:rsid w:val="003679A1"/>
    <w:rsid w:val="00367AC4"/>
    <w:rsid w:val="00367C9C"/>
    <w:rsid w:val="00367D46"/>
    <w:rsid w:val="00367DFE"/>
    <w:rsid w:val="00367E8F"/>
    <w:rsid w:val="00367ED2"/>
    <w:rsid w:val="0037004D"/>
    <w:rsid w:val="0037013B"/>
    <w:rsid w:val="00370741"/>
    <w:rsid w:val="003708F6"/>
    <w:rsid w:val="00370C78"/>
    <w:rsid w:val="0037104C"/>
    <w:rsid w:val="00371074"/>
    <w:rsid w:val="0037117C"/>
    <w:rsid w:val="00371231"/>
    <w:rsid w:val="00371559"/>
    <w:rsid w:val="00371D52"/>
    <w:rsid w:val="00371D6F"/>
    <w:rsid w:val="00372131"/>
    <w:rsid w:val="00372175"/>
    <w:rsid w:val="003721E0"/>
    <w:rsid w:val="003722B3"/>
    <w:rsid w:val="00372593"/>
    <w:rsid w:val="00372A7F"/>
    <w:rsid w:val="00373054"/>
    <w:rsid w:val="003732CE"/>
    <w:rsid w:val="0037340F"/>
    <w:rsid w:val="003738A9"/>
    <w:rsid w:val="00373ABC"/>
    <w:rsid w:val="00373D2C"/>
    <w:rsid w:val="00373F21"/>
    <w:rsid w:val="0037406F"/>
    <w:rsid w:val="003742E0"/>
    <w:rsid w:val="003742E4"/>
    <w:rsid w:val="00374579"/>
    <w:rsid w:val="003745EC"/>
    <w:rsid w:val="00374722"/>
    <w:rsid w:val="0037494A"/>
    <w:rsid w:val="00374C7D"/>
    <w:rsid w:val="00374D54"/>
    <w:rsid w:val="00375032"/>
    <w:rsid w:val="00375162"/>
    <w:rsid w:val="00375164"/>
    <w:rsid w:val="003751E7"/>
    <w:rsid w:val="003753C3"/>
    <w:rsid w:val="003754B9"/>
    <w:rsid w:val="003754BB"/>
    <w:rsid w:val="00375D72"/>
    <w:rsid w:val="00375F15"/>
    <w:rsid w:val="003760A1"/>
    <w:rsid w:val="003760A4"/>
    <w:rsid w:val="00376346"/>
    <w:rsid w:val="00376982"/>
    <w:rsid w:val="00377218"/>
    <w:rsid w:val="0037753C"/>
    <w:rsid w:val="0037773E"/>
    <w:rsid w:val="0037790A"/>
    <w:rsid w:val="003779E7"/>
    <w:rsid w:val="00377D5B"/>
    <w:rsid w:val="00377E36"/>
    <w:rsid w:val="00377EE7"/>
    <w:rsid w:val="00380375"/>
    <w:rsid w:val="003805E0"/>
    <w:rsid w:val="00380964"/>
    <w:rsid w:val="00380CBA"/>
    <w:rsid w:val="00380D0C"/>
    <w:rsid w:val="00380E45"/>
    <w:rsid w:val="003811C5"/>
    <w:rsid w:val="00381801"/>
    <w:rsid w:val="003819B6"/>
    <w:rsid w:val="00381C54"/>
    <w:rsid w:val="00381D4C"/>
    <w:rsid w:val="00381FC7"/>
    <w:rsid w:val="00382054"/>
    <w:rsid w:val="00382293"/>
    <w:rsid w:val="0038233F"/>
    <w:rsid w:val="00382746"/>
    <w:rsid w:val="00382768"/>
    <w:rsid w:val="00382915"/>
    <w:rsid w:val="0038291E"/>
    <w:rsid w:val="003829B0"/>
    <w:rsid w:val="00382C2B"/>
    <w:rsid w:val="0038300A"/>
    <w:rsid w:val="003832AF"/>
    <w:rsid w:val="0038387E"/>
    <w:rsid w:val="00383994"/>
    <w:rsid w:val="00383FC3"/>
    <w:rsid w:val="003844E5"/>
    <w:rsid w:val="003849A1"/>
    <w:rsid w:val="00384A4A"/>
    <w:rsid w:val="00384B70"/>
    <w:rsid w:val="00384F3C"/>
    <w:rsid w:val="00384F47"/>
    <w:rsid w:val="00385275"/>
    <w:rsid w:val="003853CD"/>
    <w:rsid w:val="003853FE"/>
    <w:rsid w:val="00385A30"/>
    <w:rsid w:val="00385AE5"/>
    <w:rsid w:val="00385B3A"/>
    <w:rsid w:val="00385E64"/>
    <w:rsid w:val="003867E3"/>
    <w:rsid w:val="00386856"/>
    <w:rsid w:val="00386F3C"/>
    <w:rsid w:val="003870B9"/>
    <w:rsid w:val="00387255"/>
    <w:rsid w:val="0038731A"/>
    <w:rsid w:val="00387787"/>
    <w:rsid w:val="003878A9"/>
    <w:rsid w:val="00387F5C"/>
    <w:rsid w:val="00387FFD"/>
    <w:rsid w:val="003901B4"/>
    <w:rsid w:val="00390330"/>
    <w:rsid w:val="00390395"/>
    <w:rsid w:val="003905CB"/>
    <w:rsid w:val="00390936"/>
    <w:rsid w:val="003909CB"/>
    <w:rsid w:val="00390C34"/>
    <w:rsid w:val="00390D87"/>
    <w:rsid w:val="00391079"/>
    <w:rsid w:val="0039151A"/>
    <w:rsid w:val="00391C45"/>
    <w:rsid w:val="00391CD7"/>
    <w:rsid w:val="00391CE1"/>
    <w:rsid w:val="00391EBD"/>
    <w:rsid w:val="00391F3E"/>
    <w:rsid w:val="00391FFC"/>
    <w:rsid w:val="00392CD9"/>
    <w:rsid w:val="0039326E"/>
    <w:rsid w:val="003932D5"/>
    <w:rsid w:val="00393322"/>
    <w:rsid w:val="003936E9"/>
    <w:rsid w:val="003939FB"/>
    <w:rsid w:val="00393AD8"/>
    <w:rsid w:val="0039403B"/>
    <w:rsid w:val="003943B6"/>
    <w:rsid w:val="00394780"/>
    <w:rsid w:val="0039484F"/>
    <w:rsid w:val="00394AD5"/>
    <w:rsid w:val="00394AEF"/>
    <w:rsid w:val="00394B2C"/>
    <w:rsid w:val="0039511E"/>
    <w:rsid w:val="00395157"/>
    <w:rsid w:val="003952A6"/>
    <w:rsid w:val="003956BD"/>
    <w:rsid w:val="003956C1"/>
    <w:rsid w:val="0039572B"/>
    <w:rsid w:val="0039580D"/>
    <w:rsid w:val="0039582F"/>
    <w:rsid w:val="0039593A"/>
    <w:rsid w:val="00395C78"/>
    <w:rsid w:val="00395D8B"/>
    <w:rsid w:val="003960F0"/>
    <w:rsid w:val="00396130"/>
    <w:rsid w:val="003961A0"/>
    <w:rsid w:val="00396364"/>
    <w:rsid w:val="00396698"/>
    <w:rsid w:val="00396892"/>
    <w:rsid w:val="0039696D"/>
    <w:rsid w:val="00396C00"/>
    <w:rsid w:val="00396EFB"/>
    <w:rsid w:val="00396F6F"/>
    <w:rsid w:val="003970FA"/>
    <w:rsid w:val="00397331"/>
    <w:rsid w:val="00397452"/>
    <w:rsid w:val="003975CE"/>
    <w:rsid w:val="00397A71"/>
    <w:rsid w:val="003A0163"/>
    <w:rsid w:val="003A0595"/>
    <w:rsid w:val="003A05B0"/>
    <w:rsid w:val="003A0858"/>
    <w:rsid w:val="003A0C3A"/>
    <w:rsid w:val="003A130D"/>
    <w:rsid w:val="003A1599"/>
    <w:rsid w:val="003A1633"/>
    <w:rsid w:val="003A166F"/>
    <w:rsid w:val="003A1701"/>
    <w:rsid w:val="003A18C6"/>
    <w:rsid w:val="003A195E"/>
    <w:rsid w:val="003A19CB"/>
    <w:rsid w:val="003A1A4F"/>
    <w:rsid w:val="003A1F9C"/>
    <w:rsid w:val="003A227D"/>
    <w:rsid w:val="003A2550"/>
    <w:rsid w:val="003A257C"/>
    <w:rsid w:val="003A263D"/>
    <w:rsid w:val="003A26C8"/>
    <w:rsid w:val="003A2999"/>
    <w:rsid w:val="003A29DD"/>
    <w:rsid w:val="003A2A45"/>
    <w:rsid w:val="003A2ECB"/>
    <w:rsid w:val="003A34A2"/>
    <w:rsid w:val="003A3579"/>
    <w:rsid w:val="003A397E"/>
    <w:rsid w:val="003A39E2"/>
    <w:rsid w:val="003A3B91"/>
    <w:rsid w:val="003A3B99"/>
    <w:rsid w:val="003A3E3D"/>
    <w:rsid w:val="003A4336"/>
    <w:rsid w:val="003A4774"/>
    <w:rsid w:val="003A47F8"/>
    <w:rsid w:val="003A5047"/>
    <w:rsid w:val="003A508B"/>
    <w:rsid w:val="003A5299"/>
    <w:rsid w:val="003A535C"/>
    <w:rsid w:val="003A55CC"/>
    <w:rsid w:val="003A56A3"/>
    <w:rsid w:val="003A5AC3"/>
    <w:rsid w:val="003A5D25"/>
    <w:rsid w:val="003A618C"/>
    <w:rsid w:val="003A61FF"/>
    <w:rsid w:val="003A62E8"/>
    <w:rsid w:val="003A6453"/>
    <w:rsid w:val="003A64B7"/>
    <w:rsid w:val="003A65BC"/>
    <w:rsid w:val="003A6ABC"/>
    <w:rsid w:val="003A6BB6"/>
    <w:rsid w:val="003A6DE3"/>
    <w:rsid w:val="003A6E56"/>
    <w:rsid w:val="003A71AF"/>
    <w:rsid w:val="003A766E"/>
    <w:rsid w:val="003A77C3"/>
    <w:rsid w:val="003A7A09"/>
    <w:rsid w:val="003A7BE6"/>
    <w:rsid w:val="003A7EAA"/>
    <w:rsid w:val="003B017F"/>
    <w:rsid w:val="003B025A"/>
    <w:rsid w:val="003B0366"/>
    <w:rsid w:val="003B039B"/>
    <w:rsid w:val="003B0676"/>
    <w:rsid w:val="003B0732"/>
    <w:rsid w:val="003B07A6"/>
    <w:rsid w:val="003B0940"/>
    <w:rsid w:val="003B0F6C"/>
    <w:rsid w:val="003B1220"/>
    <w:rsid w:val="003B140C"/>
    <w:rsid w:val="003B1478"/>
    <w:rsid w:val="003B18D9"/>
    <w:rsid w:val="003B1C78"/>
    <w:rsid w:val="003B1F4C"/>
    <w:rsid w:val="003B2834"/>
    <w:rsid w:val="003B2A77"/>
    <w:rsid w:val="003B2DDC"/>
    <w:rsid w:val="003B3164"/>
    <w:rsid w:val="003B34D4"/>
    <w:rsid w:val="003B3797"/>
    <w:rsid w:val="003B3AC6"/>
    <w:rsid w:val="003B3BE5"/>
    <w:rsid w:val="003B3DC2"/>
    <w:rsid w:val="003B3EFE"/>
    <w:rsid w:val="003B474C"/>
    <w:rsid w:val="003B49C1"/>
    <w:rsid w:val="003B4A1D"/>
    <w:rsid w:val="003B4B0F"/>
    <w:rsid w:val="003B4D5A"/>
    <w:rsid w:val="003B508D"/>
    <w:rsid w:val="003B50B0"/>
    <w:rsid w:val="003B5669"/>
    <w:rsid w:val="003B5B15"/>
    <w:rsid w:val="003B5CEF"/>
    <w:rsid w:val="003B6225"/>
    <w:rsid w:val="003B6420"/>
    <w:rsid w:val="003B6674"/>
    <w:rsid w:val="003B6A86"/>
    <w:rsid w:val="003B6BC1"/>
    <w:rsid w:val="003B6CC7"/>
    <w:rsid w:val="003B70D1"/>
    <w:rsid w:val="003B72F2"/>
    <w:rsid w:val="003B73E6"/>
    <w:rsid w:val="003B7892"/>
    <w:rsid w:val="003B7910"/>
    <w:rsid w:val="003B7BB7"/>
    <w:rsid w:val="003B7F2C"/>
    <w:rsid w:val="003C0946"/>
    <w:rsid w:val="003C0B8F"/>
    <w:rsid w:val="003C0DF7"/>
    <w:rsid w:val="003C0E25"/>
    <w:rsid w:val="003C1243"/>
    <w:rsid w:val="003C15CD"/>
    <w:rsid w:val="003C1726"/>
    <w:rsid w:val="003C1D7C"/>
    <w:rsid w:val="003C26F2"/>
    <w:rsid w:val="003C2A8D"/>
    <w:rsid w:val="003C2B2F"/>
    <w:rsid w:val="003C2C5E"/>
    <w:rsid w:val="003C2C9D"/>
    <w:rsid w:val="003C2E77"/>
    <w:rsid w:val="003C309B"/>
    <w:rsid w:val="003C31F4"/>
    <w:rsid w:val="003C33B7"/>
    <w:rsid w:val="003C347F"/>
    <w:rsid w:val="003C34CA"/>
    <w:rsid w:val="003C3792"/>
    <w:rsid w:val="003C3803"/>
    <w:rsid w:val="003C3B14"/>
    <w:rsid w:val="003C463F"/>
    <w:rsid w:val="003C4678"/>
    <w:rsid w:val="003C46C4"/>
    <w:rsid w:val="003C47C4"/>
    <w:rsid w:val="003C4A6C"/>
    <w:rsid w:val="003C4B41"/>
    <w:rsid w:val="003C4F52"/>
    <w:rsid w:val="003C5124"/>
    <w:rsid w:val="003C54B7"/>
    <w:rsid w:val="003C55B4"/>
    <w:rsid w:val="003C5D45"/>
    <w:rsid w:val="003C5F2A"/>
    <w:rsid w:val="003C6000"/>
    <w:rsid w:val="003C6109"/>
    <w:rsid w:val="003C62BB"/>
    <w:rsid w:val="003C63B8"/>
    <w:rsid w:val="003C6707"/>
    <w:rsid w:val="003C69D7"/>
    <w:rsid w:val="003C6A02"/>
    <w:rsid w:val="003C781A"/>
    <w:rsid w:val="003C78D0"/>
    <w:rsid w:val="003C7BAA"/>
    <w:rsid w:val="003C7DA8"/>
    <w:rsid w:val="003C7E70"/>
    <w:rsid w:val="003D035D"/>
    <w:rsid w:val="003D1453"/>
    <w:rsid w:val="003D1530"/>
    <w:rsid w:val="003D17BD"/>
    <w:rsid w:val="003D1908"/>
    <w:rsid w:val="003D1AAE"/>
    <w:rsid w:val="003D1E95"/>
    <w:rsid w:val="003D1F5F"/>
    <w:rsid w:val="003D219F"/>
    <w:rsid w:val="003D2451"/>
    <w:rsid w:val="003D246A"/>
    <w:rsid w:val="003D2EA9"/>
    <w:rsid w:val="003D3239"/>
    <w:rsid w:val="003D3641"/>
    <w:rsid w:val="003D3802"/>
    <w:rsid w:val="003D380E"/>
    <w:rsid w:val="003D39BC"/>
    <w:rsid w:val="003D3A67"/>
    <w:rsid w:val="003D3CB9"/>
    <w:rsid w:val="003D3EFA"/>
    <w:rsid w:val="003D40C7"/>
    <w:rsid w:val="003D439C"/>
    <w:rsid w:val="003D4768"/>
    <w:rsid w:val="003D4ADA"/>
    <w:rsid w:val="003D518F"/>
    <w:rsid w:val="003D5327"/>
    <w:rsid w:val="003D53D3"/>
    <w:rsid w:val="003D5651"/>
    <w:rsid w:val="003D59D5"/>
    <w:rsid w:val="003D59F7"/>
    <w:rsid w:val="003D68C3"/>
    <w:rsid w:val="003D6B8D"/>
    <w:rsid w:val="003D6CF4"/>
    <w:rsid w:val="003D710A"/>
    <w:rsid w:val="003D710E"/>
    <w:rsid w:val="003D72A8"/>
    <w:rsid w:val="003D74D0"/>
    <w:rsid w:val="003D762C"/>
    <w:rsid w:val="003D7697"/>
    <w:rsid w:val="003D7C9E"/>
    <w:rsid w:val="003D7CBA"/>
    <w:rsid w:val="003D7E3C"/>
    <w:rsid w:val="003E0018"/>
    <w:rsid w:val="003E0025"/>
    <w:rsid w:val="003E00EF"/>
    <w:rsid w:val="003E03AD"/>
    <w:rsid w:val="003E03D8"/>
    <w:rsid w:val="003E09F9"/>
    <w:rsid w:val="003E0AD4"/>
    <w:rsid w:val="003E1353"/>
    <w:rsid w:val="003E1382"/>
    <w:rsid w:val="003E1D6B"/>
    <w:rsid w:val="003E1FAB"/>
    <w:rsid w:val="003E2351"/>
    <w:rsid w:val="003E26CF"/>
    <w:rsid w:val="003E2824"/>
    <w:rsid w:val="003E28ED"/>
    <w:rsid w:val="003E2CC6"/>
    <w:rsid w:val="003E2D63"/>
    <w:rsid w:val="003E2EC9"/>
    <w:rsid w:val="003E2FD0"/>
    <w:rsid w:val="003E30C9"/>
    <w:rsid w:val="003E33F6"/>
    <w:rsid w:val="003E3681"/>
    <w:rsid w:val="003E3A81"/>
    <w:rsid w:val="003E3AD5"/>
    <w:rsid w:val="003E3B9D"/>
    <w:rsid w:val="003E41B6"/>
    <w:rsid w:val="003E4682"/>
    <w:rsid w:val="003E52E4"/>
    <w:rsid w:val="003E538D"/>
    <w:rsid w:val="003E5932"/>
    <w:rsid w:val="003E5A26"/>
    <w:rsid w:val="003E5C06"/>
    <w:rsid w:val="003E5F5C"/>
    <w:rsid w:val="003E6008"/>
    <w:rsid w:val="003E61BC"/>
    <w:rsid w:val="003E61E8"/>
    <w:rsid w:val="003E62AD"/>
    <w:rsid w:val="003E6311"/>
    <w:rsid w:val="003E68D6"/>
    <w:rsid w:val="003E6A56"/>
    <w:rsid w:val="003E6A7B"/>
    <w:rsid w:val="003E6C5E"/>
    <w:rsid w:val="003E727E"/>
    <w:rsid w:val="003E73C8"/>
    <w:rsid w:val="003E76C3"/>
    <w:rsid w:val="003E780E"/>
    <w:rsid w:val="003E785C"/>
    <w:rsid w:val="003E7888"/>
    <w:rsid w:val="003E7F55"/>
    <w:rsid w:val="003F0170"/>
    <w:rsid w:val="003F0347"/>
    <w:rsid w:val="003F0454"/>
    <w:rsid w:val="003F0932"/>
    <w:rsid w:val="003F0C88"/>
    <w:rsid w:val="003F1253"/>
    <w:rsid w:val="003F1CDD"/>
    <w:rsid w:val="003F1EAF"/>
    <w:rsid w:val="003F1FFF"/>
    <w:rsid w:val="003F2181"/>
    <w:rsid w:val="003F248B"/>
    <w:rsid w:val="003F2695"/>
    <w:rsid w:val="003F28A9"/>
    <w:rsid w:val="003F2B52"/>
    <w:rsid w:val="003F2E2E"/>
    <w:rsid w:val="003F2FB3"/>
    <w:rsid w:val="003F3104"/>
    <w:rsid w:val="003F311F"/>
    <w:rsid w:val="003F31C0"/>
    <w:rsid w:val="003F3260"/>
    <w:rsid w:val="003F32C8"/>
    <w:rsid w:val="003F34AF"/>
    <w:rsid w:val="003F35F5"/>
    <w:rsid w:val="003F3A1C"/>
    <w:rsid w:val="003F3CB6"/>
    <w:rsid w:val="003F3D07"/>
    <w:rsid w:val="003F3D20"/>
    <w:rsid w:val="003F40F0"/>
    <w:rsid w:val="003F42D0"/>
    <w:rsid w:val="003F468B"/>
    <w:rsid w:val="003F46A3"/>
    <w:rsid w:val="003F4F86"/>
    <w:rsid w:val="003F50E8"/>
    <w:rsid w:val="003F534F"/>
    <w:rsid w:val="003F5385"/>
    <w:rsid w:val="003F546D"/>
    <w:rsid w:val="003F5672"/>
    <w:rsid w:val="003F57FD"/>
    <w:rsid w:val="003F5907"/>
    <w:rsid w:val="003F5B1F"/>
    <w:rsid w:val="003F5E07"/>
    <w:rsid w:val="003F6056"/>
    <w:rsid w:val="003F626D"/>
    <w:rsid w:val="003F63FF"/>
    <w:rsid w:val="003F642A"/>
    <w:rsid w:val="003F6801"/>
    <w:rsid w:val="003F68FB"/>
    <w:rsid w:val="003F6A17"/>
    <w:rsid w:val="003F6C30"/>
    <w:rsid w:val="003F6D64"/>
    <w:rsid w:val="003F74D6"/>
    <w:rsid w:val="003F7620"/>
    <w:rsid w:val="003F7716"/>
    <w:rsid w:val="003F7933"/>
    <w:rsid w:val="003F7BE5"/>
    <w:rsid w:val="00400106"/>
    <w:rsid w:val="00400337"/>
    <w:rsid w:val="004003C3"/>
    <w:rsid w:val="004006F7"/>
    <w:rsid w:val="00400821"/>
    <w:rsid w:val="00400BB8"/>
    <w:rsid w:val="00400CBD"/>
    <w:rsid w:val="00401780"/>
    <w:rsid w:val="004017CF"/>
    <w:rsid w:val="004017DF"/>
    <w:rsid w:val="00401C33"/>
    <w:rsid w:val="00401C85"/>
    <w:rsid w:val="00401E79"/>
    <w:rsid w:val="00402179"/>
    <w:rsid w:val="004021CA"/>
    <w:rsid w:val="00402236"/>
    <w:rsid w:val="004022FA"/>
    <w:rsid w:val="004025A0"/>
    <w:rsid w:val="004026C9"/>
    <w:rsid w:val="004027A7"/>
    <w:rsid w:val="00402864"/>
    <w:rsid w:val="00402AED"/>
    <w:rsid w:val="00402DA9"/>
    <w:rsid w:val="00402DE8"/>
    <w:rsid w:val="00402EB9"/>
    <w:rsid w:val="004032A3"/>
    <w:rsid w:val="00403537"/>
    <w:rsid w:val="004036D7"/>
    <w:rsid w:val="00403DEA"/>
    <w:rsid w:val="00403E38"/>
    <w:rsid w:val="00403FA3"/>
    <w:rsid w:val="0040421F"/>
    <w:rsid w:val="0040452F"/>
    <w:rsid w:val="00404818"/>
    <w:rsid w:val="004048D4"/>
    <w:rsid w:val="00404ABE"/>
    <w:rsid w:val="00404C0C"/>
    <w:rsid w:val="004050DC"/>
    <w:rsid w:val="00405149"/>
    <w:rsid w:val="004054CF"/>
    <w:rsid w:val="004056E7"/>
    <w:rsid w:val="00405DE8"/>
    <w:rsid w:val="0040608F"/>
    <w:rsid w:val="00406C41"/>
    <w:rsid w:val="0040703C"/>
    <w:rsid w:val="004071F6"/>
    <w:rsid w:val="004076D4"/>
    <w:rsid w:val="00407793"/>
    <w:rsid w:val="00407FBF"/>
    <w:rsid w:val="00410977"/>
    <w:rsid w:val="00410BC2"/>
    <w:rsid w:val="00410D8C"/>
    <w:rsid w:val="004113FC"/>
    <w:rsid w:val="0041140F"/>
    <w:rsid w:val="004116A7"/>
    <w:rsid w:val="004117B6"/>
    <w:rsid w:val="004118C8"/>
    <w:rsid w:val="00411ADD"/>
    <w:rsid w:val="00411B2A"/>
    <w:rsid w:val="00411C20"/>
    <w:rsid w:val="00411C7C"/>
    <w:rsid w:val="00411D53"/>
    <w:rsid w:val="00411EE3"/>
    <w:rsid w:val="00411F7C"/>
    <w:rsid w:val="00411F8D"/>
    <w:rsid w:val="00411FD4"/>
    <w:rsid w:val="00412333"/>
    <w:rsid w:val="004123BA"/>
    <w:rsid w:val="0041251E"/>
    <w:rsid w:val="00412D9C"/>
    <w:rsid w:val="004130B6"/>
    <w:rsid w:val="0041335B"/>
    <w:rsid w:val="004134CE"/>
    <w:rsid w:val="00413713"/>
    <w:rsid w:val="00413E2B"/>
    <w:rsid w:val="00413F4C"/>
    <w:rsid w:val="00414174"/>
    <w:rsid w:val="0041458B"/>
    <w:rsid w:val="004145C1"/>
    <w:rsid w:val="00414B03"/>
    <w:rsid w:val="00414C47"/>
    <w:rsid w:val="00414D8D"/>
    <w:rsid w:val="0041505C"/>
    <w:rsid w:val="004151C2"/>
    <w:rsid w:val="00415356"/>
    <w:rsid w:val="0041541C"/>
    <w:rsid w:val="0041587E"/>
    <w:rsid w:val="00415A0A"/>
    <w:rsid w:val="00415ABC"/>
    <w:rsid w:val="00416088"/>
    <w:rsid w:val="004163CE"/>
    <w:rsid w:val="004164D2"/>
    <w:rsid w:val="00416945"/>
    <w:rsid w:val="00416DCD"/>
    <w:rsid w:val="00416E34"/>
    <w:rsid w:val="00416F83"/>
    <w:rsid w:val="004170DE"/>
    <w:rsid w:val="00417344"/>
    <w:rsid w:val="00417544"/>
    <w:rsid w:val="00417B89"/>
    <w:rsid w:val="00417C2D"/>
    <w:rsid w:val="00417F84"/>
    <w:rsid w:val="004201C5"/>
    <w:rsid w:val="00420361"/>
    <w:rsid w:val="004203A2"/>
    <w:rsid w:val="004203D1"/>
    <w:rsid w:val="00420FC1"/>
    <w:rsid w:val="0042107C"/>
    <w:rsid w:val="004210E3"/>
    <w:rsid w:val="004211E2"/>
    <w:rsid w:val="004213BA"/>
    <w:rsid w:val="00421637"/>
    <w:rsid w:val="0042170F"/>
    <w:rsid w:val="00421955"/>
    <w:rsid w:val="00421A9D"/>
    <w:rsid w:val="00421AFF"/>
    <w:rsid w:val="00421B0E"/>
    <w:rsid w:val="00421C56"/>
    <w:rsid w:val="00421CF1"/>
    <w:rsid w:val="00421EE2"/>
    <w:rsid w:val="0042204E"/>
    <w:rsid w:val="004221DD"/>
    <w:rsid w:val="004222C8"/>
    <w:rsid w:val="00422301"/>
    <w:rsid w:val="00422613"/>
    <w:rsid w:val="00422679"/>
    <w:rsid w:val="00422888"/>
    <w:rsid w:val="00422E6B"/>
    <w:rsid w:val="00422F8A"/>
    <w:rsid w:val="00423388"/>
    <w:rsid w:val="00423728"/>
    <w:rsid w:val="004238BE"/>
    <w:rsid w:val="00423982"/>
    <w:rsid w:val="004240AE"/>
    <w:rsid w:val="0042479C"/>
    <w:rsid w:val="0042479D"/>
    <w:rsid w:val="00424E4F"/>
    <w:rsid w:val="00424FFA"/>
    <w:rsid w:val="00425145"/>
    <w:rsid w:val="00425225"/>
    <w:rsid w:val="00425292"/>
    <w:rsid w:val="00425495"/>
    <w:rsid w:val="004254FD"/>
    <w:rsid w:val="00425642"/>
    <w:rsid w:val="00425ADE"/>
    <w:rsid w:val="00425E77"/>
    <w:rsid w:val="00425F09"/>
    <w:rsid w:val="004261D0"/>
    <w:rsid w:val="00426449"/>
    <w:rsid w:val="004267C9"/>
    <w:rsid w:val="00426EBD"/>
    <w:rsid w:val="004270B8"/>
    <w:rsid w:val="004274D9"/>
    <w:rsid w:val="00427695"/>
    <w:rsid w:val="00427994"/>
    <w:rsid w:val="00427A04"/>
    <w:rsid w:val="00430263"/>
    <w:rsid w:val="00430279"/>
    <w:rsid w:val="00430517"/>
    <w:rsid w:val="00430812"/>
    <w:rsid w:val="00430893"/>
    <w:rsid w:val="004309B4"/>
    <w:rsid w:val="00430CDD"/>
    <w:rsid w:val="00430D4D"/>
    <w:rsid w:val="00431061"/>
    <w:rsid w:val="00431218"/>
    <w:rsid w:val="00431297"/>
    <w:rsid w:val="004312BA"/>
    <w:rsid w:val="004317AE"/>
    <w:rsid w:val="004317D3"/>
    <w:rsid w:val="00431928"/>
    <w:rsid w:val="004321C0"/>
    <w:rsid w:val="0043250B"/>
    <w:rsid w:val="00432605"/>
    <w:rsid w:val="004326B9"/>
    <w:rsid w:val="004329B4"/>
    <w:rsid w:val="00432A51"/>
    <w:rsid w:val="00432AA4"/>
    <w:rsid w:val="00432AFC"/>
    <w:rsid w:val="00432FE8"/>
    <w:rsid w:val="0043307D"/>
    <w:rsid w:val="0043312A"/>
    <w:rsid w:val="00433CE2"/>
    <w:rsid w:val="00433D69"/>
    <w:rsid w:val="00433D9C"/>
    <w:rsid w:val="00433E1F"/>
    <w:rsid w:val="004341BE"/>
    <w:rsid w:val="00434728"/>
    <w:rsid w:val="00434F60"/>
    <w:rsid w:val="0043511C"/>
    <w:rsid w:val="00435179"/>
    <w:rsid w:val="004353ED"/>
    <w:rsid w:val="004357E2"/>
    <w:rsid w:val="00435927"/>
    <w:rsid w:val="004359C5"/>
    <w:rsid w:val="00435BAE"/>
    <w:rsid w:val="00435C17"/>
    <w:rsid w:val="0043645A"/>
    <w:rsid w:val="004367FF"/>
    <w:rsid w:val="00436849"/>
    <w:rsid w:val="004368E3"/>
    <w:rsid w:val="00436CBD"/>
    <w:rsid w:val="00436E60"/>
    <w:rsid w:val="0043718E"/>
    <w:rsid w:val="00437849"/>
    <w:rsid w:val="00437D37"/>
    <w:rsid w:val="00437EFD"/>
    <w:rsid w:val="00440563"/>
    <w:rsid w:val="00440F26"/>
    <w:rsid w:val="00441300"/>
    <w:rsid w:val="00441FBE"/>
    <w:rsid w:val="00442375"/>
    <w:rsid w:val="00442397"/>
    <w:rsid w:val="004423FB"/>
    <w:rsid w:val="0044246F"/>
    <w:rsid w:val="00442569"/>
    <w:rsid w:val="00442C57"/>
    <w:rsid w:val="00443160"/>
    <w:rsid w:val="004432CC"/>
    <w:rsid w:val="0044375B"/>
    <w:rsid w:val="004437A5"/>
    <w:rsid w:val="004437F7"/>
    <w:rsid w:val="004438AC"/>
    <w:rsid w:val="004438EA"/>
    <w:rsid w:val="00443D54"/>
    <w:rsid w:val="0044480A"/>
    <w:rsid w:val="00444B77"/>
    <w:rsid w:val="00444E71"/>
    <w:rsid w:val="00444FE3"/>
    <w:rsid w:val="00445015"/>
    <w:rsid w:val="00445252"/>
    <w:rsid w:val="00445367"/>
    <w:rsid w:val="0044544B"/>
    <w:rsid w:val="004457EF"/>
    <w:rsid w:val="00445A10"/>
    <w:rsid w:val="004461DC"/>
    <w:rsid w:val="0044662A"/>
    <w:rsid w:val="00446869"/>
    <w:rsid w:val="00446950"/>
    <w:rsid w:val="004469B8"/>
    <w:rsid w:val="00446A0F"/>
    <w:rsid w:val="00446A2E"/>
    <w:rsid w:val="00446AF8"/>
    <w:rsid w:val="00446C36"/>
    <w:rsid w:val="00446C7C"/>
    <w:rsid w:val="00446EE2"/>
    <w:rsid w:val="00446EE7"/>
    <w:rsid w:val="004471ED"/>
    <w:rsid w:val="00447934"/>
    <w:rsid w:val="00447CC3"/>
    <w:rsid w:val="004503A5"/>
    <w:rsid w:val="00450AB8"/>
    <w:rsid w:val="00450B7E"/>
    <w:rsid w:val="00450D48"/>
    <w:rsid w:val="004518E4"/>
    <w:rsid w:val="0045198D"/>
    <w:rsid w:val="00451A10"/>
    <w:rsid w:val="00452380"/>
    <w:rsid w:val="004524FA"/>
    <w:rsid w:val="004524FE"/>
    <w:rsid w:val="00452507"/>
    <w:rsid w:val="00452598"/>
    <w:rsid w:val="004527B9"/>
    <w:rsid w:val="00452950"/>
    <w:rsid w:val="00452A47"/>
    <w:rsid w:val="004537D2"/>
    <w:rsid w:val="00453A31"/>
    <w:rsid w:val="00453CB3"/>
    <w:rsid w:val="00453E30"/>
    <w:rsid w:val="00453E72"/>
    <w:rsid w:val="00454253"/>
    <w:rsid w:val="00454307"/>
    <w:rsid w:val="00454796"/>
    <w:rsid w:val="004549F3"/>
    <w:rsid w:val="00454D00"/>
    <w:rsid w:val="00455611"/>
    <w:rsid w:val="00455871"/>
    <w:rsid w:val="0045597F"/>
    <w:rsid w:val="00455C2A"/>
    <w:rsid w:val="00456113"/>
    <w:rsid w:val="004561F3"/>
    <w:rsid w:val="00457149"/>
    <w:rsid w:val="004571EA"/>
    <w:rsid w:val="00457AD6"/>
    <w:rsid w:val="00457CAE"/>
    <w:rsid w:val="00457F0F"/>
    <w:rsid w:val="004600C2"/>
    <w:rsid w:val="0046010B"/>
    <w:rsid w:val="004604EF"/>
    <w:rsid w:val="004605D3"/>
    <w:rsid w:val="00460843"/>
    <w:rsid w:val="00460DD1"/>
    <w:rsid w:val="00460E48"/>
    <w:rsid w:val="00460FE3"/>
    <w:rsid w:val="004610DA"/>
    <w:rsid w:val="00461346"/>
    <w:rsid w:val="004618CA"/>
    <w:rsid w:val="00461A91"/>
    <w:rsid w:val="004622DD"/>
    <w:rsid w:val="00462335"/>
    <w:rsid w:val="004623BF"/>
    <w:rsid w:val="00462581"/>
    <w:rsid w:val="00462B3D"/>
    <w:rsid w:val="00462E7F"/>
    <w:rsid w:val="004630D9"/>
    <w:rsid w:val="0046316A"/>
    <w:rsid w:val="0046325C"/>
    <w:rsid w:val="00463384"/>
    <w:rsid w:val="0046363B"/>
    <w:rsid w:val="004639CE"/>
    <w:rsid w:val="00463AC5"/>
    <w:rsid w:val="00463C06"/>
    <w:rsid w:val="00463C35"/>
    <w:rsid w:val="00463ECA"/>
    <w:rsid w:val="00463EFB"/>
    <w:rsid w:val="004640B8"/>
    <w:rsid w:val="004642E0"/>
    <w:rsid w:val="00464553"/>
    <w:rsid w:val="0046469F"/>
    <w:rsid w:val="00464914"/>
    <w:rsid w:val="00464B96"/>
    <w:rsid w:val="00464F83"/>
    <w:rsid w:val="00465323"/>
    <w:rsid w:val="004655B4"/>
    <w:rsid w:val="00465967"/>
    <w:rsid w:val="00465CFB"/>
    <w:rsid w:val="004661F5"/>
    <w:rsid w:val="0046643C"/>
    <w:rsid w:val="004665B0"/>
    <w:rsid w:val="0046727B"/>
    <w:rsid w:val="004676AD"/>
    <w:rsid w:val="004676E8"/>
    <w:rsid w:val="0046796B"/>
    <w:rsid w:val="00470339"/>
    <w:rsid w:val="0047046D"/>
    <w:rsid w:val="00470476"/>
    <w:rsid w:val="0047084E"/>
    <w:rsid w:val="00470F10"/>
    <w:rsid w:val="0047145C"/>
    <w:rsid w:val="0047166F"/>
    <w:rsid w:val="00471691"/>
    <w:rsid w:val="00471732"/>
    <w:rsid w:val="004719AC"/>
    <w:rsid w:val="004719C6"/>
    <w:rsid w:val="00471A2A"/>
    <w:rsid w:val="00471F16"/>
    <w:rsid w:val="0047258C"/>
    <w:rsid w:val="004726A2"/>
    <w:rsid w:val="004728A3"/>
    <w:rsid w:val="00472E42"/>
    <w:rsid w:val="00472E53"/>
    <w:rsid w:val="00472FD1"/>
    <w:rsid w:val="0047304D"/>
    <w:rsid w:val="00473910"/>
    <w:rsid w:val="00473C6C"/>
    <w:rsid w:val="00473F9F"/>
    <w:rsid w:val="00473FF0"/>
    <w:rsid w:val="00474550"/>
    <w:rsid w:val="004749CC"/>
    <w:rsid w:val="00474BC6"/>
    <w:rsid w:val="00475731"/>
    <w:rsid w:val="00475C94"/>
    <w:rsid w:val="00475DC7"/>
    <w:rsid w:val="00476039"/>
    <w:rsid w:val="0047609A"/>
    <w:rsid w:val="0047651A"/>
    <w:rsid w:val="00476A55"/>
    <w:rsid w:val="00476EF0"/>
    <w:rsid w:val="0047737A"/>
    <w:rsid w:val="004773B0"/>
    <w:rsid w:val="0047755C"/>
    <w:rsid w:val="0047784E"/>
    <w:rsid w:val="0047791C"/>
    <w:rsid w:val="00477CB2"/>
    <w:rsid w:val="00480399"/>
    <w:rsid w:val="004804F6"/>
    <w:rsid w:val="0048058B"/>
    <w:rsid w:val="0048072F"/>
    <w:rsid w:val="00480BA9"/>
    <w:rsid w:val="0048105C"/>
    <w:rsid w:val="00481138"/>
    <w:rsid w:val="00481D0A"/>
    <w:rsid w:val="00481D2C"/>
    <w:rsid w:val="00482083"/>
    <w:rsid w:val="00482978"/>
    <w:rsid w:val="00482C0E"/>
    <w:rsid w:val="00482C2B"/>
    <w:rsid w:val="00482C80"/>
    <w:rsid w:val="00483B36"/>
    <w:rsid w:val="00483CAA"/>
    <w:rsid w:val="00483CAC"/>
    <w:rsid w:val="0048417F"/>
    <w:rsid w:val="004845E7"/>
    <w:rsid w:val="0048491D"/>
    <w:rsid w:val="004849D4"/>
    <w:rsid w:val="00484C03"/>
    <w:rsid w:val="00485151"/>
    <w:rsid w:val="0048542C"/>
    <w:rsid w:val="00485889"/>
    <w:rsid w:val="004858E3"/>
    <w:rsid w:val="00485BF6"/>
    <w:rsid w:val="00485D90"/>
    <w:rsid w:val="00485DC8"/>
    <w:rsid w:val="00485FA6"/>
    <w:rsid w:val="004860A5"/>
    <w:rsid w:val="0048616A"/>
    <w:rsid w:val="004861C4"/>
    <w:rsid w:val="004861D0"/>
    <w:rsid w:val="00486B39"/>
    <w:rsid w:val="00486F30"/>
    <w:rsid w:val="00487788"/>
    <w:rsid w:val="0048795B"/>
    <w:rsid w:val="00487C94"/>
    <w:rsid w:val="00490010"/>
    <w:rsid w:val="00490209"/>
    <w:rsid w:val="00490216"/>
    <w:rsid w:val="004902C5"/>
    <w:rsid w:val="00490444"/>
    <w:rsid w:val="004904EE"/>
    <w:rsid w:val="0049091C"/>
    <w:rsid w:val="00490AB8"/>
    <w:rsid w:val="00490CDD"/>
    <w:rsid w:val="00490FEE"/>
    <w:rsid w:val="00491263"/>
    <w:rsid w:val="004912E3"/>
    <w:rsid w:val="004914D1"/>
    <w:rsid w:val="0049168C"/>
    <w:rsid w:val="00491A3B"/>
    <w:rsid w:val="00491A52"/>
    <w:rsid w:val="00491E7B"/>
    <w:rsid w:val="00491FDD"/>
    <w:rsid w:val="00492190"/>
    <w:rsid w:val="00492223"/>
    <w:rsid w:val="00492396"/>
    <w:rsid w:val="0049260D"/>
    <w:rsid w:val="00492994"/>
    <w:rsid w:val="00492A73"/>
    <w:rsid w:val="00492AF4"/>
    <w:rsid w:val="00492CDF"/>
    <w:rsid w:val="0049303D"/>
    <w:rsid w:val="00493410"/>
    <w:rsid w:val="00493539"/>
    <w:rsid w:val="00493628"/>
    <w:rsid w:val="004938C2"/>
    <w:rsid w:val="00493D63"/>
    <w:rsid w:val="00493F94"/>
    <w:rsid w:val="0049428A"/>
    <w:rsid w:val="004943E2"/>
    <w:rsid w:val="00494946"/>
    <w:rsid w:val="00494B25"/>
    <w:rsid w:val="00494F29"/>
    <w:rsid w:val="004952D7"/>
    <w:rsid w:val="00495659"/>
    <w:rsid w:val="00495728"/>
    <w:rsid w:val="004957B3"/>
    <w:rsid w:val="004959DF"/>
    <w:rsid w:val="00495A64"/>
    <w:rsid w:val="00495C00"/>
    <w:rsid w:val="004964DF"/>
    <w:rsid w:val="004966A6"/>
    <w:rsid w:val="004966F3"/>
    <w:rsid w:val="004968F7"/>
    <w:rsid w:val="00496D00"/>
    <w:rsid w:val="00496E74"/>
    <w:rsid w:val="0049706C"/>
    <w:rsid w:val="004973B7"/>
    <w:rsid w:val="00497400"/>
    <w:rsid w:val="004976FA"/>
    <w:rsid w:val="00497883"/>
    <w:rsid w:val="004979EE"/>
    <w:rsid w:val="00497B14"/>
    <w:rsid w:val="00497D60"/>
    <w:rsid w:val="00497EAD"/>
    <w:rsid w:val="004A03A5"/>
    <w:rsid w:val="004A04C4"/>
    <w:rsid w:val="004A07F4"/>
    <w:rsid w:val="004A09C4"/>
    <w:rsid w:val="004A0C24"/>
    <w:rsid w:val="004A0EFA"/>
    <w:rsid w:val="004A10B9"/>
    <w:rsid w:val="004A1160"/>
    <w:rsid w:val="004A137F"/>
    <w:rsid w:val="004A1A23"/>
    <w:rsid w:val="004A1D16"/>
    <w:rsid w:val="004A1EEB"/>
    <w:rsid w:val="004A238E"/>
    <w:rsid w:val="004A23C7"/>
    <w:rsid w:val="004A2433"/>
    <w:rsid w:val="004A291C"/>
    <w:rsid w:val="004A2E70"/>
    <w:rsid w:val="004A32E3"/>
    <w:rsid w:val="004A344D"/>
    <w:rsid w:val="004A34F7"/>
    <w:rsid w:val="004A3988"/>
    <w:rsid w:val="004A3B60"/>
    <w:rsid w:val="004A3C50"/>
    <w:rsid w:val="004A3E4A"/>
    <w:rsid w:val="004A3E76"/>
    <w:rsid w:val="004A3F41"/>
    <w:rsid w:val="004A3F59"/>
    <w:rsid w:val="004A408D"/>
    <w:rsid w:val="004A416D"/>
    <w:rsid w:val="004A42E2"/>
    <w:rsid w:val="004A43AA"/>
    <w:rsid w:val="004A47A4"/>
    <w:rsid w:val="004A4848"/>
    <w:rsid w:val="004A4AF9"/>
    <w:rsid w:val="004A4D0E"/>
    <w:rsid w:val="004A4D5D"/>
    <w:rsid w:val="004A4EE2"/>
    <w:rsid w:val="004A529B"/>
    <w:rsid w:val="004A5619"/>
    <w:rsid w:val="004A5681"/>
    <w:rsid w:val="004A5716"/>
    <w:rsid w:val="004A58C1"/>
    <w:rsid w:val="004A5B24"/>
    <w:rsid w:val="004A5BAD"/>
    <w:rsid w:val="004A5C2D"/>
    <w:rsid w:val="004A5D4D"/>
    <w:rsid w:val="004A5E4F"/>
    <w:rsid w:val="004A6095"/>
    <w:rsid w:val="004A60AF"/>
    <w:rsid w:val="004A650A"/>
    <w:rsid w:val="004A66B6"/>
    <w:rsid w:val="004A6778"/>
    <w:rsid w:val="004A67A4"/>
    <w:rsid w:val="004A6AF4"/>
    <w:rsid w:val="004A717C"/>
    <w:rsid w:val="004A7374"/>
    <w:rsid w:val="004A7967"/>
    <w:rsid w:val="004A7DB7"/>
    <w:rsid w:val="004B0343"/>
    <w:rsid w:val="004B04ED"/>
    <w:rsid w:val="004B0791"/>
    <w:rsid w:val="004B08AA"/>
    <w:rsid w:val="004B11DA"/>
    <w:rsid w:val="004B130B"/>
    <w:rsid w:val="004B136A"/>
    <w:rsid w:val="004B1529"/>
    <w:rsid w:val="004B19F0"/>
    <w:rsid w:val="004B2002"/>
    <w:rsid w:val="004B229F"/>
    <w:rsid w:val="004B2344"/>
    <w:rsid w:val="004B27E2"/>
    <w:rsid w:val="004B2D48"/>
    <w:rsid w:val="004B2DF0"/>
    <w:rsid w:val="004B331B"/>
    <w:rsid w:val="004B3807"/>
    <w:rsid w:val="004B38E1"/>
    <w:rsid w:val="004B3AB5"/>
    <w:rsid w:val="004B3AD0"/>
    <w:rsid w:val="004B41F6"/>
    <w:rsid w:val="004B485C"/>
    <w:rsid w:val="004B4AFD"/>
    <w:rsid w:val="004B4C4A"/>
    <w:rsid w:val="004B4C5C"/>
    <w:rsid w:val="004B50B9"/>
    <w:rsid w:val="004B50F6"/>
    <w:rsid w:val="004B5399"/>
    <w:rsid w:val="004B53A8"/>
    <w:rsid w:val="004B54B8"/>
    <w:rsid w:val="004B54D6"/>
    <w:rsid w:val="004B573A"/>
    <w:rsid w:val="004B57CA"/>
    <w:rsid w:val="004B5925"/>
    <w:rsid w:val="004B5C2D"/>
    <w:rsid w:val="004B5C4B"/>
    <w:rsid w:val="004B5C8C"/>
    <w:rsid w:val="004B5DE8"/>
    <w:rsid w:val="004B5F59"/>
    <w:rsid w:val="004B5FC3"/>
    <w:rsid w:val="004B613E"/>
    <w:rsid w:val="004B6CE2"/>
    <w:rsid w:val="004B701C"/>
    <w:rsid w:val="004B73DC"/>
    <w:rsid w:val="004B7413"/>
    <w:rsid w:val="004B7CA0"/>
    <w:rsid w:val="004B7D1E"/>
    <w:rsid w:val="004C0410"/>
    <w:rsid w:val="004C0492"/>
    <w:rsid w:val="004C0628"/>
    <w:rsid w:val="004C0772"/>
    <w:rsid w:val="004C0AA5"/>
    <w:rsid w:val="004C0FB5"/>
    <w:rsid w:val="004C1A80"/>
    <w:rsid w:val="004C1A84"/>
    <w:rsid w:val="004C1AC8"/>
    <w:rsid w:val="004C1CCE"/>
    <w:rsid w:val="004C1CED"/>
    <w:rsid w:val="004C209B"/>
    <w:rsid w:val="004C2293"/>
    <w:rsid w:val="004C24FF"/>
    <w:rsid w:val="004C2715"/>
    <w:rsid w:val="004C28B8"/>
    <w:rsid w:val="004C2C43"/>
    <w:rsid w:val="004C2D28"/>
    <w:rsid w:val="004C2EEC"/>
    <w:rsid w:val="004C2FAB"/>
    <w:rsid w:val="004C333E"/>
    <w:rsid w:val="004C3350"/>
    <w:rsid w:val="004C336B"/>
    <w:rsid w:val="004C3734"/>
    <w:rsid w:val="004C3A26"/>
    <w:rsid w:val="004C3B19"/>
    <w:rsid w:val="004C43F7"/>
    <w:rsid w:val="004C4948"/>
    <w:rsid w:val="004C49CC"/>
    <w:rsid w:val="004C4C4D"/>
    <w:rsid w:val="004C52BD"/>
    <w:rsid w:val="004C5409"/>
    <w:rsid w:val="004C5B7E"/>
    <w:rsid w:val="004C5E85"/>
    <w:rsid w:val="004C5F53"/>
    <w:rsid w:val="004C69B1"/>
    <w:rsid w:val="004C6A12"/>
    <w:rsid w:val="004C6A17"/>
    <w:rsid w:val="004C6B92"/>
    <w:rsid w:val="004C6BB2"/>
    <w:rsid w:val="004C6CA6"/>
    <w:rsid w:val="004C71D1"/>
    <w:rsid w:val="004C7409"/>
    <w:rsid w:val="004C7B21"/>
    <w:rsid w:val="004C7D4C"/>
    <w:rsid w:val="004C7D59"/>
    <w:rsid w:val="004C7D73"/>
    <w:rsid w:val="004C7EC0"/>
    <w:rsid w:val="004C7F2A"/>
    <w:rsid w:val="004D01F6"/>
    <w:rsid w:val="004D036E"/>
    <w:rsid w:val="004D0504"/>
    <w:rsid w:val="004D1024"/>
    <w:rsid w:val="004D10C5"/>
    <w:rsid w:val="004D1198"/>
    <w:rsid w:val="004D12F8"/>
    <w:rsid w:val="004D175B"/>
    <w:rsid w:val="004D184A"/>
    <w:rsid w:val="004D187E"/>
    <w:rsid w:val="004D1AEE"/>
    <w:rsid w:val="004D1DDC"/>
    <w:rsid w:val="004D1FC7"/>
    <w:rsid w:val="004D2668"/>
    <w:rsid w:val="004D2B8A"/>
    <w:rsid w:val="004D2C87"/>
    <w:rsid w:val="004D2EAD"/>
    <w:rsid w:val="004D3203"/>
    <w:rsid w:val="004D3445"/>
    <w:rsid w:val="004D398D"/>
    <w:rsid w:val="004D3E7D"/>
    <w:rsid w:val="004D4283"/>
    <w:rsid w:val="004D42AA"/>
    <w:rsid w:val="004D4E52"/>
    <w:rsid w:val="004D4F92"/>
    <w:rsid w:val="004D54A8"/>
    <w:rsid w:val="004D5525"/>
    <w:rsid w:val="004D5CCB"/>
    <w:rsid w:val="004D5D1B"/>
    <w:rsid w:val="004D5EA9"/>
    <w:rsid w:val="004D6118"/>
    <w:rsid w:val="004D61CD"/>
    <w:rsid w:val="004D6267"/>
    <w:rsid w:val="004D6287"/>
    <w:rsid w:val="004D6E17"/>
    <w:rsid w:val="004D6E2D"/>
    <w:rsid w:val="004D6E81"/>
    <w:rsid w:val="004D77DD"/>
    <w:rsid w:val="004D77F4"/>
    <w:rsid w:val="004D7EE6"/>
    <w:rsid w:val="004E064F"/>
    <w:rsid w:val="004E0E7F"/>
    <w:rsid w:val="004E0FA1"/>
    <w:rsid w:val="004E10FA"/>
    <w:rsid w:val="004E1113"/>
    <w:rsid w:val="004E128E"/>
    <w:rsid w:val="004E1AD4"/>
    <w:rsid w:val="004E1BA7"/>
    <w:rsid w:val="004E233A"/>
    <w:rsid w:val="004E2797"/>
    <w:rsid w:val="004E2EBB"/>
    <w:rsid w:val="004E36B9"/>
    <w:rsid w:val="004E3822"/>
    <w:rsid w:val="004E38D2"/>
    <w:rsid w:val="004E3A05"/>
    <w:rsid w:val="004E3A94"/>
    <w:rsid w:val="004E3D1D"/>
    <w:rsid w:val="004E41CC"/>
    <w:rsid w:val="004E4386"/>
    <w:rsid w:val="004E438E"/>
    <w:rsid w:val="004E4400"/>
    <w:rsid w:val="004E462F"/>
    <w:rsid w:val="004E4762"/>
    <w:rsid w:val="004E47D9"/>
    <w:rsid w:val="004E48E4"/>
    <w:rsid w:val="004E49EF"/>
    <w:rsid w:val="004E4DD7"/>
    <w:rsid w:val="004E510F"/>
    <w:rsid w:val="004E5704"/>
    <w:rsid w:val="004E595B"/>
    <w:rsid w:val="004E5C8F"/>
    <w:rsid w:val="004E6227"/>
    <w:rsid w:val="004E62E0"/>
    <w:rsid w:val="004E639B"/>
    <w:rsid w:val="004E6F4C"/>
    <w:rsid w:val="004E70FA"/>
    <w:rsid w:val="004E73A2"/>
    <w:rsid w:val="004E7467"/>
    <w:rsid w:val="004E748D"/>
    <w:rsid w:val="004E74D5"/>
    <w:rsid w:val="004E75E8"/>
    <w:rsid w:val="004E7A3F"/>
    <w:rsid w:val="004E7E88"/>
    <w:rsid w:val="004E7EB6"/>
    <w:rsid w:val="004F012A"/>
    <w:rsid w:val="004F06BD"/>
    <w:rsid w:val="004F07B7"/>
    <w:rsid w:val="004F0C9D"/>
    <w:rsid w:val="004F0E38"/>
    <w:rsid w:val="004F0E41"/>
    <w:rsid w:val="004F112A"/>
    <w:rsid w:val="004F12A5"/>
    <w:rsid w:val="004F14C4"/>
    <w:rsid w:val="004F15A9"/>
    <w:rsid w:val="004F1868"/>
    <w:rsid w:val="004F1C3B"/>
    <w:rsid w:val="004F2079"/>
    <w:rsid w:val="004F27FB"/>
    <w:rsid w:val="004F2884"/>
    <w:rsid w:val="004F2982"/>
    <w:rsid w:val="004F2E72"/>
    <w:rsid w:val="004F30B2"/>
    <w:rsid w:val="004F36D2"/>
    <w:rsid w:val="004F3A4C"/>
    <w:rsid w:val="004F3B92"/>
    <w:rsid w:val="004F42BC"/>
    <w:rsid w:val="004F4535"/>
    <w:rsid w:val="004F461A"/>
    <w:rsid w:val="004F4C62"/>
    <w:rsid w:val="004F4FA6"/>
    <w:rsid w:val="004F5359"/>
    <w:rsid w:val="004F550A"/>
    <w:rsid w:val="004F5668"/>
    <w:rsid w:val="004F5940"/>
    <w:rsid w:val="004F598B"/>
    <w:rsid w:val="004F59D1"/>
    <w:rsid w:val="004F5B67"/>
    <w:rsid w:val="004F659A"/>
    <w:rsid w:val="004F67DA"/>
    <w:rsid w:val="004F68B3"/>
    <w:rsid w:val="004F6B16"/>
    <w:rsid w:val="004F6CDA"/>
    <w:rsid w:val="004F72BA"/>
    <w:rsid w:val="004F739D"/>
    <w:rsid w:val="004F745E"/>
    <w:rsid w:val="004F774C"/>
    <w:rsid w:val="004F7841"/>
    <w:rsid w:val="004F7C9B"/>
    <w:rsid w:val="0050010B"/>
    <w:rsid w:val="00500365"/>
    <w:rsid w:val="005007DD"/>
    <w:rsid w:val="00500B38"/>
    <w:rsid w:val="00500DBD"/>
    <w:rsid w:val="00500FF4"/>
    <w:rsid w:val="00501236"/>
    <w:rsid w:val="005012CE"/>
    <w:rsid w:val="005015B4"/>
    <w:rsid w:val="005019CA"/>
    <w:rsid w:val="00501ADC"/>
    <w:rsid w:val="00501B6E"/>
    <w:rsid w:val="00501C19"/>
    <w:rsid w:val="00501C52"/>
    <w:rsid w:val="00502312"/>
    <w:rsid w:val="00502336"/>
    <w:rsid w:val="00502674"/>
    <w:rsid w:val="00502B21"/>
    <w:rsid w:val="00502C69"/>
    <w:rsid w:val="00502F19"/>
    <w:rsid w:val="00502FBB"/>
    <w:rsid w:val="005031F1"/>
    <w:rsid w:val="00503283"/>
    <w:rsid w:val="005033A5"/>
    <w:rsid w:val="00503471"/>
    <w:rsid w:val="0050368C"/>
    <w:rsid w:val="00503787"/>
    <w:rsid w:val="00503B50"/>
    <w:rsid w:val="00503C2E"/>
    <w:rsid w:val="00503DFE"/>
    <w:rsid w:val="00503E3E"/>
    <w:rsid w:val="005040BC"/>
    <w:rsid w:val="0050432D"/>
    <w:rsid w:val="0050461B"/>
    <w:rsid w:val="00504684"/>
    <w:rsid w:val="0050477C"/>
    <w:rsid w:val="005048A3"/>
    <w:rsid w:val="00504EAA"/>
    <w:rsid w:val="005050BC"/>
    <w:rsid w:val="00505344"/>
    <w:rsid w:val="005054FD"/>
    <w:rsid w:val="00505616"/>
    <w:rsid w:val="005056B5"/>
    <w:rsid w:val="00505BA6"/>
    <w:rsid w:val="00505E9D"/>
    <w:rsid w:val="00506329"/>
    <w:rsid w:val="005063DB"/>
    <w:rsid w:val="00506786"/>
    <w:rsid w:val="00506BFC"/>
    <w:rsid w:val="00506C36"/>
    <w:rsid w:val="00506CC9"/>
    <w:rsid w:val="00506DC2"/>
    <w:rsid w:val="00506E50"/>
    <w:rsid w:val="00506FA7"/>
    <w:rsid w:val="005072C1"/>
    <w:rsid w:val="005072E5"/>
    <w:rsid w:val="005072FD"/>
    <w:rsid w:val="005079DD"/>
    <w:rsid w:val="00507CF6"/>
    <w:rsid w:val="00507E3E"/>
    <w:rsid w:val="00510271"/>
    <w:rsid w:val="005106FD"/>
    <w:rsid w:val="005108B1"/>
    <w:rsid w:val="00510D5D"/>
    <w:rsid w:val="00510D81"/>
    <w:rsid w:val="00510E55"/>
    <w:rsid w:val="00510FF7"/>
    <w:rsid w:val="00511173"/>
    <w:rsid w:val="00511902"/>
    <w:rsid w:val="00511C5D"/>
    <w:rsid w:val="00511CDF"/>
    <w:rsid w:val="00511E4C"/>
    <w:rsid w:val="00511EEC"/>
    <w:rsid w:val="00511F32"/>
    <w:rsid w:val="00512018"/>
    <w:rsid w:val="005125F2"/>
    <w:rsid w:val="00512959"/>
    <w:rsid w:val="00512C4F"/>
    <w:rsid w:val="00512C79"/>
    <w:rsid w:val="00512CE8"/>
    <w:rsid w:val="005130F2"/>
    <w:rsid w:val="005133E6"/>
    <w:rsid w:val="0051357E"/>
    <w:rsid w:val="005135AA"/>
    <w:rsid w:val="00513995"/>
    <w:rsid w:val="00513ACE"/>
    <w:rsid w:val="0051411D"/>
    <w:rsid w:val="005142D0"/>
    <w:rsid w:val="00514774"/>
    <w:rsid w:val="005148C8"/>
    <w:rsid w:val="00514B95"/>
    <w:rsid w:val="00514B9A"/>
    <w:rsid w:val="00514E7F"/>
    <w:rsid w:val="00514EDF"/>
    <w:rsid w:val="00514F42"/>
    <w:rsid w:val="0051528C"/>
    <w:rsid w:val="0051568B"/>
    <w:rsid w:val="00515C8F"/>
    <w:rsid w:val="005162A8"/>
    <w:rsid w:val="005165E3"/>
    <w:rsid w:val="0051665E"/>
    <w:rsid w:val="00516D0A"/>
    <w:rsid w:val="0051717B"/>
    <w:rsid w:val="00517A58"/>
    <w:rsid w:val="00517EF9"/>
    <w:rsid w:val="00517F18"/>
    <w:rsid w:val="005205ED"/>
    <w:rsid w:val="00520638"/>
    <w:rsid w:val="005207FF"/>
    <w:rsid w:val="00520D6E"/>
    <w:rsid w:val="00521157"/>
    <w:rsid w:val="00521236"/>
    <w:rsid w:val="0052186B"/>
    <w:rsid w:val="00521973"/>
    <w:rsid w:val="00521E1F"/>
    <w:rsid w:val="0052205D"/>
    <w:rsid w:val="00522834"/>
    <w:rsid w:val="005228F0"/>
    <w:rsid w:val="00522ED8"/>
    <w:rsid w:val="005233AE"/>
    <w:rsid w:val="00523475"/>
    <w:rsid w:val="005234B1"/>
    <w:rsid w:val="00523CA3"/>
    <w:rsid w:val="00523DC8"/>
    <w:rsid w:val="00524073"/>
    <w:rsid w:val="0052422A"/>
    <w:rsid w:val="00524346"/>
    <w:rsid w:val="00524AB9"/>
    <w:rsid w:val="00524EC7"/>
    <w:rsid w:val="00524FB4"/>
    <w:rsid w:val="00525274"/>
    <w:rsid w:val="00525560"/>
    <w:rsid w:val="005259DA"/>
    <w:rsid w:val="00525C34"/>
    <w:rsid w:val="00525C8C"/>
    <w:rsid w:val="00525E5E"/>
    <w:rsid w:val="00526511"/>
    <w:rsid w:val="00526735"/>
    <w:rsid w:val="005267E9"/>
    <w:rsid w:val="00526A38"/>
    <w:rsid w:val="00526BEF"/>
    <w:rsid w:val="00526C6F"/>
    <w:rsid w:val="005278A6"/>
    <w:rsid w:val="00527B19"/>
    <w:rsid w:val="00527E09"/>
    <w:rsid w:val="00530048"/>
    <w:rsid w:val="005300DB"/>
    <w:rsid w:val="00530C00"/>
    <w:rsid w:val="00530EE5"/>
    <w:rsid w:val="0053145F"/>
    <w:rsid w:val="005314B5"/>
    <w:rsid w:val="00531A0D"/>
    <w:rsid w:val="005321BE"/>
    <w:rsid w:val="00532FD8"/>
    <w:rsid w:val="0053319A"/>
    <w:rsid w:val="00533C37"/>
    <w:rsid w:val="00533D40"/>
    <w:rsid w:val="00533E98"/>
    <w:rsid w:val="00534080"/>
    <w:rsid w:val="0053410A"/>
    <w:rsid w:val="00534134"/>
    <w:rsid w:val="00534223"/>
    <w:rsid w:val="005343B0"/>
    <w:rsid w:val="00534DBE"/>
    <w:rsid w:val="00535011"/>
    <w:rsid w:val="0053546B"/>
    <w:rsid w:val="005355A6"/>
    <w:rsid w:val="00535993"/>
    <w:rsid w:val="00535AFA"/>
    <w:rsid w:val="005361E2"/>
    <w:rsid w:val="00536B27"/>
    <w:rsid w:val="00536B89"/>
    <w:rsid w:val="00536D72"/>
    <w:rsid w:val="0053726E"/>
    <w:rsid w:val="005372FB"/>
    <w:rsid w:val="00537502"/>
    <w:rsid w:val="00537CC7"/>
    <w:rsid w:val="005402A1"/>
    <w:rsid w:val="005402F8"/>
    <w:rsid w:val="005404F6"/>
    <w:rsid w:val="005405BC"/>
    <w:rsid w:val="0054078B"/>
    <w:rsid w:val="00540960"/>
    <w:rsid w:val="005409C9"/>
    <w:rsid w:val="00540ECA"/>
    <w:rsid w:val="00541040"/>
    <w:rsid w:val="005413A3"/>
    <w:rsid w:val="00541B1D"/>
    <w:rsid w:val="00541E1E"/>
    <w:rsid w:val="00541F0B"/>
    <w:rsid w:val="00541F54"/>
    <w:rsid w:val="00541F74"/>
    <w:rsid w:val="00541F80"/>
    <w:rsid w:val="00542027"/>
    <w:rsid w:val="00542076"/>
    <w:rsid w:val="00542205"/>
    <w:rsid w:val="005425F2"/>
    <w:rsid w:val="00542612"/>
    <w:rsid w:val="00542781"/>
    <w:rsid w:val="00542A98"/>
    <w:rsid w:val="00542FF2"/>
    <w:rsid w:val="00543876"/>
    <w:rsid w:val="00544316"/>
    <w:rsid w:val="00544662"/>
    <w:rsid w:val="00544806"/>
    <w:rsid w:val="00544AD6"/>
    <w:rsid w:val="00544BC4"/>
    <w:rsid w:val="00544BF9"/>
    <w:rsid w:val="00544FB6"/>
    <w:rsid w:val="00545007"/>
    <w:rsid w:val="005458A6"/>
    <w:rsid w:val="00545CC5"/>
    <w:rsid w:val="0054608A"/>
    <w:rsid w:val="00546245"/>
    <w:rsid w:val="0054669E"/>
    <w:rsid w:val="00546D53"/>
    <w:rsid w:val="00546E66"/>
    <w:rsid w:val="00547195"/>
    <w:rsid w:val="005471F7"/>
    <w:rsid w:val="00547540"/>
    <w:rsid w:val="005478E6"/>
    <w:rsid w:val="005479AC"/>
    <w:rsid w:val="00547BCD"/>
    <w:rsid w:val="00547D2F"/>
    <w:rsid w:val="00547D4C"/>
    <w:rsid w:val="00547E3B"/>
    <w:rsid w:val="00550363"/>
    <w:rsid w:val="00550B8E"/>
    <w:rsid w:val="00550C31"/>
    <w:rsid w:val="00551032"/>
    <w:rsid w:val="0055129B"/>
    <w:rsid w:val="0055146D"/>
    <w:rsid w:val="00551636"/>
    <w:rsid w:val="005518AD"/>
    <w:rsid w:val="00551A8F"/>
    <w:rsid w:val="00551C86"/>
    <w:rsid w:val="00551DD5"/>
    <w:rsid w:val="00552087"/>
    <w:rsid w:val="0055212A"/>
    <w:rsid w:val="00552165"/>
    <w:rsid w:val="00552373"/>
    <w:rsid w:val="0055243D"/>
    <w:rsid w:val="00552862"/>
    <w:rsid w:val="00552918"/>
    <w:rsid w:val="005532BC"/>
    <w:rsid w:val="00553486"/>
    <w:rsid w:val="0055361F"/>
    <w:rsid w:val="0055393B"/>
    <w:rsid w:val="00553951"/>
    <w:rsid w:val="00553D45"/>
    <w:rsid w:val="00554041"/>
    <w:rsid w:val="005541E2"/>
    <w:rsid w:val="005544E9"/>
    <w:rsid w:val="005545CE"/>
    <w:rsid w:val="0055464B"/>
    <w:rsid w:val="00554AC3"/>
    <w:rsid w:val="00554C06"/>
    <w:rsid w:val="00554C20"/>
    <w:rsid w:val="00555124"/>
    <w:rsid w:val="00555735"/>
    <w:rsid w:val="00555A84"/>
    <w:rsid w:val="00555F86"/>
    <w:rsid w:val="0055611E"/>
    <w:rsid w:val="00556484"/>
    <w:rsid w:val="005565C4"/>
    <w:rsid w:val="00556EC3"/>
    <w:rsid w:val="005573C8"/>
    <w:rsid w:val="00557460"/>
    <w:rsid w:val="00557822"/>
    <w:rsid w:val="005601EA"/>
    <w:rsid w:val="005602F4"/>
    <w:rsid w:val="0056044F"/>
    <w:rsid w:val="00560823"/>
    <w:rsid w:val="00560AB2"/>
    <w:rsid w:val="00560BE1"/>
    <w:rsid w:val="00560FE3"/>
    <w:rsid w:val="005617AB"/>
    <w:rsid w:val="005617E7"/>
    <w:rsid w:val="00561820"/>
    <w:rsid w:val="005619E2"/>
    <w:rsid w:val="00561AB8"/>
    <w:rsid w:val="00561E76"/>
    <w:rsid w:val="00561E97"/>
    <w:rsid w:val="0056250E"/>
    <w:rsid w:val="00562569"/>
    <w:rsid w:val="0056261E"/>
    <w:rsid w:val="00562779"/>
    <w:rsid w:val="005628AE"/>
    <w:rsid w:val="00563001"/>
    <w:rsid w:val="005631F8"/>
    <w:rsid w:val="0056331B"/>
    <w:rsid w:val="0056342C"/>
    <w:rsid w:val="005634D2"/>
    <w:rsid w:val="00563592"/>
    <w:rsid w:val="00564052"/>
    <w:rsid w:val="0056413C"/>
    <w:rsid w:val="00564142"/>
    <w:rsid w:val="00564418"/>
    <w:rsid w:val="00564654"/>
    <w:rsid w:val="00564F0C"/>
    <w:rsid w:val="00564F5C"/>
    <w:rsid w:val="00565271"/>
    <w:rsid w:val="005653C2"/>
    <w:rsid w:val="005653CD"/>
    <w:rsid w:val="0056542F"/>
    <w:rsid w:val="005655BA"/>
    <w:rsid w:val="00565606"/>
    <w:rsid w:val="00565696"/>
    <w:rsid w:val="005658EA"/>
    <w:rsid w:val="00565C7A"/>
    <w:rsid w:val="0056614F"/>
    <w:rsid w:val="00566417"/>
    <w:rsid w:val="00566730"/>
    <w:rsid w:val="00566C58"/>
    <w:rsid w:val="00566C9F"/>
    <w:rsid w:val="00566D45"/>
    <w:rsid w:val="00566FA4"/>
    <w:rsid w:val="00566FDA"/>
    <w:rsid w:val="00566FE3"/>
    <w:rsid w:val="00566FF3"/>
    <w:rsid w:val="005672B5"/>
    <w:rsid w:val="005673CA"/>
    <w:rsid w:val="00567F0F"/>
    <w:rsid w:val="005701C1"/>
    <w:rsid w:val="00570332"/>
    <w:rsid w:val="00570680"/>
    <w:rsid w:val="005713E7"/>
    <w:rsid w:val="005717CB"/>
    <w:rsid w:val="00571991"/>
    <w:rsid w:val="00571F6F"/>
    <w:rsid w:val="00572309"/>
    <w:rsid w:val="005723D2"/>
    <w:rsid w:val="005724D2"/>
    <w:rsid w:val="005726D3"/>
    <w:rsid w:val="005727D0"/>
    <w:rsid w:val="005727E8"/>
    <w:rsid w:val="0057280A"/>
    <w:rsid w:val="00572A15"/>
    <w:rsid w:val="00572A23"/>
    <w:rsid w:val="00572A38"/>
    <w:rsid w:val="00572B3A"/>
    <w:rsid w:val="00572DAA"/>
    <w:rsid w:val="00572FBE"/>
    <w:rsid w:val="005731EF"/>
    <w:rsid w:val="00573404"/>
    <w:rsid w:val="005735E1"/>
    <w:rsid w:val="005738E9"/>
    <w:rsid w:val="00573C74"/>
    <w:rsid w:val="00573EE1"/>
    <w:rsid w:val="00573F93"/>
    <w:rsid w:val="00574297"/>
    <w:rsid w:val="0057443E"/>
    <w:rsid w:val="0057475A"/>
    <w:rsid w:val="00574A13"/>
    <w:rsid w:val="00574FA3"/>
    <w:rsid w:val="00574FEF"/>
    <w:rsid w:val="005750A4"/>
    <w:rsid w:val="005753CF"/>
    <w:rsid w:val="00575670"/>
    <w:rsid w:val="0057587A"/>
    <w:rsid w:val="00575BDC"/>
    <w:rsid w:val="00575C81"/>
    <w:rsid w:val="00575F71"/>
    <w:rsid w:val="00576096"/>
    <w:rsid w:val="00576152"/>
    <w:rsid w:val="005764EE"/>
    <w:rsid w:val="005764F1"/>
    <w:rsid w:val="00576508"/>
    <w:rsid w:val="005766E7"/>
    <w:rsid w:val="005769BB"/>
    <w:rsid w:val="00576C85"/>
    <w:rsid w:val="00577424"/>
    <w:rsid w:val="00577715"/>
    <w:rsid w:val="00577942"/>
    <w:rsid w:val="005779B3"/>
    <w:rsid w:val="00577A23"/>
    <w:rsid w:val="0058005A"/>
    <w:rsid w:val="00580451"/>
    <w:rsid w:val="005805C1"/>
    <w:rsid w:val="0058088C"/>
    <w:rsid w:val="005808BF"/>
    <w:rsid w:val="005808C8"/>
    <w:rsid w:val="0058099D"/>
    <w:rsid w:val="00580A1C"/>
    <w:rsid w:val="00580BE3"/>
    <w:rsid w:val="00580C3D"/>
    <w:rsid w:val="00580E07"/>
    <w:rsid w:val="005812F1"/>
    <w:rsid w:val="00581E3B"/>
    <w:rsid w:val="0058215C"/>
    <w:rsid w:val="005825F2"/>
    <w:rsid w:val="00582730"/>
    <w:rsid w:val="00582A7B"/>
    <w:rsid w:val="00582E10"/>
    <w:rsid w:val="00582F22"/>
    <w:rsid w:val="00582FCC"/>
    <w:rsid w:val="00583830"/>
    <w:rsid w:val="00583940"/>
    <w:rsid w:val="00583AC3"/>
    <w:rsid w:val="00583D06"/>
    <w:rsid w:val="0058410F"/>
    <w:rsid w:val="005843B3"/>
    <w:rsid w:val="005844E1"/>
    <w:rsid w:val="0058469B"/>
    <w:rsid w:val="00584915"/>
    <w:rsid w:val="00584C9F"/>
    <w:rsid w:val="00584DB8"/>
    <w:rsid w:val="00584F12"/>
    <w:rsid w:val="00584F4C"/>
    <w:rsid w:val="005850DA"/>
    <w:rsid w:val="005854E9"/>
    <w:rsid w:val="005856AA"/>
    <w:rsid w:val="005856C7"/>
    <w:rsid w:val="005857EC"/>
    <w:rsid w:val="0058597F"/>
    <w:rsid w:val="00585B93"/>
    <w:rsid w:val="00585BDF"/>
    <w:rsid w:val="0058628F"/>
    <w:rsid w:val="00586C57"/>
    <w:rsid w:val="00586D89"/>
    <w:rsid w:val="00586E09"/>
    <w:rsid w:val="00586E90"/>
    <w:rsid w:val="00586FCA"/>
    <w:rsid w:val="00587008"/>
    <w:rsid w:val="005870B4"/>
    <w:rsid w:val="00587300"/>
    <w:rsid w:val="005877EB"/>
    <w:rsid w:val="00587C1B"/>
    <w:rsid w:val="00587CAF"/>
    <w:rsid w:val="00590208"/>
    <w:rsid w:val="005904E0"/>
    <w:rsid w:val="00590BD2"/>
    <w:rsid w:val="00590C9D"/>
    <w:rsid w:val="005911AC"/>
    <w:rsid w:val="0059128F"/>
    <w:rsid w:val="005916AE"/>
    <w:rsid w:val="0059171F"/>
    <w:rsid w:val="0059174D"/>
    <w:rsid w:val="0059189A"/>
    <w:rsid w:val="005919FC"/>
    <w:rsid w:val="00591B94"/>
    <w:rsid w:val="00591B9F"/>
    <w:rsid w:val="00591DD0"/>
    <w:rsid w:val="00591EED"/>
    <w:rsid w:val="00591EF4"/>
    <w:rsid w:val="005928E2"/>
    <w:rsid w:val="00593CE4"/>
    <w:rsid w:val="00593EAE"/>
    <w:rsid w:val="00593F1E"/>
    <w:rsid w:val="005940D6"/>
    <w:rsid w:val="0059442F"/>
    <w:rsid w:val="0059467B"/>
    <w:rsid w:val="0059499B"/>
    <w:rsid w:val="00594DA0"/>
    <w:rsid w:val="00594F4C"/>
    <w:rsid w:val="005951B9"/>
    <w:rsid w:val="0059553C"/>
    <w:rsid w:val="005955A4"/>
    <w:rsid w:val="00595803"/>
    <w:rsid w:val="00595B16"/>
    <w:rsid w:val="00595E61"/>
    <w:rsid w:val="00596791"/>
    <w:rsid w:val="0059735D"/>
    <w:rsid w:val="00597393"/>
    <w:rsid w:val="005975DE"/>
    <w:rsid w:val="00597632"/>
    <w:rsid w:val="005977FA"/>
    <w:rsid w:val="005978C9"/>
    <w:rsid w:val="00597955"/>
    <w:rsid w:val="00597E8C"/>
    <w:rsid w:val="005A0720"/>
    <w:rsid w:val="005A0964"/>
    <w:rsid w:val="005A0A1E"/>
    <w:rsid w:val="005A0CCF"/>
    <w:rsid w:val="005A0ED5"/>
    <w:rsid w:val="005A117B"/>
    <w:rsid w:val="005A14E5"/>
    <w:rsid w:val="005A157C"/>
    <w:rsid w:val="005A16AB"/>
    <w:rsid w:val="005A179D"/>
    <w:rsid w:val="005A190C"/>
    <w:rsid w:val="005A1A2F"/>
    <w:rsid w:val="005A1B82"/>
    <w:rsid w:val="005A1D31"/>
    <w:rsid w:val="005A1F4A"/>
    <w:rsid w:val="005A2453"/>
    <w:rsid w:val="005A28F8"/>
    <w:rsid w:val="005A2B57"/>
    <w:rsid w:val="005A2FF2"/>
    <w:rsid w:val="005A36C3"/>
    <w:rsid w:val="005A3A62"/>
    <w:rsid w:val="005A409E"/>
    <w:rsid w:val="005A43D9"/>
    <w:rsid w:val="005A458F"/>
    <w:rsid w:val="005A4627"/>
    <w:rsid w:val="005A4E40"/>
    <w:rsid w:val="005A5037"/>
    <w:rsid w:val="005A5588"/>
    <w:rsid w:val="005A5ACA"/>
    <w:rsid w:val="005A5E98"/>
    <w:rsid w:val="005A6087"/>
    <w:rsid w:val="005A618A"/>
    <w:rsid w:val="005A661D"/>
    <w:rsid w:val="005A6748"/>
    <w:rsid w:val="005A676A"/>
    <w:rsid w:val="005A67F0"/>
    <w:rsid w:val="005A6DC8"/>
    <w:rsid w:val="005A6FCC"/>
    <w:rsid w:val="005A7017"/>
    <w:rsid w:val="005A7150"/>
    <w:rsid w:val="005A74A5"/>
    <w:rsid w:val="005A784E"/>
    <w:rsid w:val="005A7957"/>
    <w:rsid w:val="005A7AC7"/>
    <w:rsid w:val="005A7DB8"/>
    <w:rsid w:val="005B042A"/>
    <w:rsid w:val="005B0481"/>
    <w:rsid w:val="005B0AEF"/>
    <w:rsid w:val="005B0DE7"/>
    <w:rsid w:val="005B0E90"/>
    <w:rsid w:val="005B0EA2"/>
    <w:rsid w:val="005B0F7B"/>
    <w:rsid w:val="005B12BD"/>
    <w:rsid w:val="005B12F5"/>
    <w:rsid w:val="005B1306"/>
    <w:rsid w:val="005B1646"/>
    <w:rsid w:val="005B1D9A"/>
    <w:rsid w:val="005B1E82"/>
    <w:rsid w:val="005B22CA"/>
    <w:rsid w:val="005B23F3"/>
    <w:rsid w:val="005B2533"/>
    <w:rsid w:val="005B2739"/>
    <w:rsid w:val="005B2810"/>
    <w:rsid w:val="005B287F"/>
    <w:rsid w:val="005B2D69"/>
    <w:rsid w:val="005B2E5B"/>
    <w:rsid w:val="005B3550"/>
    <w:rsid w:val="005B381B"/>
    <w:rsid w:val="005B3A18"/>
    <w:rsid w:val="005B3C1D"/>
    <w:rsid w:val="005B3CFA"/>
    <w:rsid w:val="005B3F65"/>
    <w:rsid w:val="005B422F"/>
    <w:rsid w:val="005B4235"/>
    <w:rsid w:val="005B4262"/>
    <w:rsid w:val="005B4331"/>
    <w:rsid w:val="005B4413"/>
    <w:rsid w:val="005B4C18"/>
    <w:rsid w:val="005B4F01"/>
    <w:rsid w:val="005B4FD6"/>
    <w:rsid w:val="005B5119"/>
    <w:rsid w:val="005B531F"/>
    <w:rsid w:val="005B5778"/>
    <w:rsid w:val="005B614C"/>
    <w:rsid w:val="005B616F"/>
    <w:rsid w:val="005B6722"/>
    <w:rsid w:val="005B6905"/>
    <w:rsid w:val="005B6B8A"/>
    <w:rsid w:val="005B6DAF"/>
    <w:rsid w:val="005B7495"/>
    <w:rsid w:val="005B770D"/>
    <w:rsid w:val="005B778B"/>
    <w:rsid w:val="005B7886"/>
    <w:rsid w:val="005B7A90"/>
    <w:rsid w:val="005B7B33"/>
    <w:rsid w:val="005B7BA7"/>
    <w:rsid w:val="005B7BD1"/>
    <w:rsid w:val="005C02D8"/>
    <w:rsid w:val="005C0569"/>
    <w:rsid w:val="005C126E"/>
    <w:rsid w:val="005C12FF"/>
    <w:rsid w:val="005C18A8"/>
    <w:rsid w:val="005C1992"/>
    <w:rsid w:val="005C19D3"/>
    <w:rsid w:val="005C1BE4"/>
    <w:rsid w:val="005C2369"/>
    <w:rsid w:val="005C2375"/>
    <w:rsid w:val="005C2A3A"/>
    <w:rsid w:val="005C2DDF"/>
    <w:rsid w:val="005C3175"/>
    <w:rsid w:val="005C3349"/>
    <w:rsid w:val="005C3BF3"/>
    <w:rsid w:val="005C42A5"/>
    <w:rsid w:val="005C42AC"/>
    <w:rsid w:val="005C47A1"/>
    <w:rsid w:val="005C4F94"/>
    <w:rsid w:val="005C5530"/>
    <w:rsid w:val="005C55BC"/>
    <w:rsid w:val="005C563C"/>
    <w:rsid w:val="005C5647"/>
    <w:rsid w:val="005C5AFC"/>
    <w:rsid w:val="005C60A3"/>
    <w:rsid w:val="005C6164"/>
    <w:rsid w:val="005C6265"/>
    <w:rsid w:val="005C66A2"/>
    <w:rsid w:val="005C698C"/>
    <w:rsid w:val="005C6EAE"/>
    <w:rsid w:val="005C70F1"/>
    <w:rsid w:val="005C72BB"/>
    <w:rsid w:val="005C7846"/>
    <w:rsid w:val="005C7C46"/>
    <w:rsid w:val="005C7E2C"/>
    <w:rsid w:val="005D0024"/>
    <w:rsid w:val="005D02F3"/>
    <w:rsid w:val="005D04F9"/>
    <w:rsid w:val="005D077A"/>
    <w:rsid w:val="005D0D3D"/>
    <w:rsid w:val="005D0DEF"/>
    <w:rsid w:val="005D0E44"/>
    <w:rsid w:val="005D0E98"/>
    <w:rsid w:val="005D136A"/>
    <w:rsid w:val="005D1409"/>
    <w:rsid w:val="005D15DB"/>
    <w:rsid w:val="005D15E9"/>
    <w:rsid w:val="005D1A5D"/>
    <w:rsid w:val="005D2496"/>
    <w:rsid w:val="005D2CA4"/>
    <w:rsid w:val="005D3399"/>
    <w:rsid w:val="005D3483"/>
    <w:rsid w:val="005D3589"/>
    <w:rsid w:val="005D3665"/>
    <w:rsid w:val="005D38E5"/>
    <w:rsid w:val="005D3A84"/>
    <w:rsid w:val="005D3D80"/>
    <w:rsid w:val="005D4122"/>
    <w:rsid w:val="005D412E"/>
    <w:rsid w:val="005D4735"/>
    <w:rsid w:val="005D485E"/>
    <w:rsid w:val="005D4B33"/>
    <w:rsid w:val="005D4E29"/>
    <w:rsid w:val="005D5536"/>
    <w:rsid w:val="005D5691"/>
    <w:rsid w:val="005D5849"/>
    <w:rsid w:val="005D586A"/>
    <w:rsid w:val="005D5883"/>
    <w:rsid w:val="005D5991"/>
    <w:rsid w:val="005D59A9"/>
    <w:rsid w:val="005D5A74"/>
    <w:rsid w:val="005D5CB0"/>
    <w:rsid w:val="005D5DCE"/>
    <w:rsid w:val="005D5E76"/>
    <w:rsid w:val="005D5E99"/>
    <w:rsid w:val="005D6227"/>
    <w:rsid w:val="005D6238"/>
    <w:rsid w:val="005D6517"/>
    <w:rsid w:val="005D671D"/>
    <w:rsid w:val="005D694E"/>
    <w:rsid w:val="005D6B9A"/>
    <w:rsid w:val="005D6C52"/>
    <w:rsid w:val="005D6F30"/>
    <w:rsid w:val="005D701B"/>
    <w:rsid w:val="005D732B"/>
    <w:rsid w:val="005D74F9"/>
    <w:rsid w:val="005D763E"/>
    <w:rsid w:val="005D7B13"/>
    <w:rsid w:val="005D7E0B"/>
    <w:rsid w:val="005D7E5A"/>
    <w:rsid w:val="005E01ED"/>
    <w:rsid w:val="005E0206"/>
    <w:rsid w:val="005E035A"/>
    <w:rsid w:val="005E040E"/>
    <w:rsid w:val="005E0AB8"/>
    <w:rsid w:val="005E11BD"/>
    <w:rsid w:val="005E127E"/>
    <w:rsid w:val="005E16C4"/>
    <w:rsid w:val="005E1790"/>
    <w:rsid w:val="005E1A43"/>
    <w:rsid w:val="005E1AEF"/>
    <w:rsid w:val="005E1BF6"/>
    <w:rsid w:val="005E1D0D"/>
    <w:rsid w:val="005E1FB3"/>
    <w:rsid w:val="005E1FC2"/>
    <w:rsid w:val="005E230B"/>
    <w:rsid w:val="005E2599"/>
    <w:rsid w:val="005E266F"/>
    <w:rsid w:val="005E2711"/>
    <w:rsid w:val="005E28C4"/>
    <w:rsid w:val="005E2A59"/>
    <w:rsid w:val="005E2E62"/>
    <w:rsid w:val="005E2FB9"/>
    <w:rsid w:val="005E38A3"/>
    <w:rsid w:val="005E417B"/>
    <w:rsid w:val="005E44F6"/>
    <w:rsid w:val="005E4704"/>
    <w:rsid w:val="005E4BA3"/>
    <w:rsid w:val="005E4EDA"/>
    <w:rsid w:val="005E56A2"/>
    <w:rsid w:val="005E5ACC"/>
    <w:rsid w:val="005E5E57"/>
    <w:rsid w:val="005E6067"/>
    <w:rsid w:val="005E7257"/>
    <w:rsid w:val="005E7576"/>
    <w:rsid w:val="005E75A3"/>
    <w:rsid w:val="005E76A2"/>
    <w:rsid w:val="005E772B"/>
    <w:rsid w:val="005E794D"/>
    <w:rsid w:val="005F00A1"/>
    <w:rsid w:val="005F045F"/>
    <w:rsid w:val="005F06D5"/>
    <w:rsid w:val="005F09EE"/>
    <w:rsid w:val="005F0C17"/>
    <w:rsid w:val="005F1031"/>
    <w:rsid w:val="005F119C"/>
    <w:rsid w:val="005F1758"/>
    <w:rsid w:val="005F19A9"/>
    <w:rsid w:val="005F1AF0"/>
    <w:rsid w:val="005F1EF7"/>
    <w:rsid w:val="005F1F49"/>
    <w:rsid w:val="005F20D5"/>
    <w:rsid w:val="005F2349"/>
    <w:rsid w:val="005F246A"/>
    <w:rsid w:val="005F24DC"/>
    <w:rsid w:val="005F25B3"/>
    <w:rsid w:val="005F2650"/>
    <w:rsid w:val="005F2ACA"/>
    <w:rsid w:val="005F2C72"/>
    <w:rsid w:val="005F2CB9"/>
    <w:rsid w:val="005F2E74"/>
    <w:rsid w:val="005F30B9"/>
    <w:rsid w:val="005F3663"/>
    <w:rsid w:val="005F3E9B"/>
    <w:rsid w:val="005F3F3A"/>
    <w:rsid w:val="005F4252"/>
    <w:rsid w:val="005F46C6"/>
    <w:rsid w:val="005F4AE9"/>
    <w:rsid w:val="005F4B0C"/>
    <w:rsid w:val="005F4D0C"/>
    <w:rsid w:val="005F512E"/>
    <w:rsid w:val="005F52D8"/>
    <w:rsid w:val="005F5595"/>
    <w:rsid w:val="005F5AFB"/>
    <w:rsid w:val="005F5D62"/>
    <w:rsid w:val="005F5F9D"/>
    <w:rsid w:val="005F65E0"/>
    <w:rsid w:val="005F6726"/>
    <w:rsid w:val="005F6A9E"/>
    <w:rsid w:val="005F727D"/>
    <w:rsid w:val="005F7313"/>
    <w:rsid w:val="005F7325"/>
    <w:rsid w:val="005F75D6"/>
    <w:rsid w:val="005F7BAD"/>
    <w:rsid w:val="00600006"/>
    <w:rsid w:val="0060003F"/>
    <w:rsid w:val="00600097"/>
    <w:rsid w:val="0060024A"/>
    <w:rsid w:val="006003D8"/>
    <w:rsid w:val="006008AC"/>
    <w:rsid w:val="00600EB7"/>
    <w:rsid w:val="00600FE8"/>
    <w:rsid w:val="006010BD"/>
    <w:rsid w:val="006019A3"/>
    <w:rsid w:val="006019F9"/>
    <w:rsid w:val="00601EDC"/>
    <w:rsid w:val="0060292B"/>
    <w:rsid w:val="0060319E"/>
    <w:rsid w:val="006031BF"/>
    <w:rsid w:val="006031E3"/>
    <w:rsid w:val="006037A6"/>
    <w:rsid w:val="006038F8"/>
    <w:rsid w:val="00603AC5"/>
    <w:rsid w:val="00603AF9"/>
    <w:rsid w:val="00603F6D"/>
    <w:rsid w:val="006042F5"/>
    <w:rsid w:val="006043E9"/>
    <w:rsid w:val="00604567"/>
    <w:rsid w:val="00604865"/>
    <w:rsid w:val="00604873"/>
    <w:rsid w:val="00604F92"/>
    <w:rsid w:val="0060509B"/>
    <w:rsid w:val="0060524E"/>
    <w:rsid w:val="006052FF"/>
    <w:rsid w:val="00605336"/>
    <w:rsid w:val="00605916"/>
    <w:rsid w:val="00605A06"/>
    <w:rsid w:val="00605AB8"/>
    <w:rsid w:val="00605AD6"/>
    <w:rsid w:val="00605C2C"/>
    <w:rsid w:val="00605F7B"/>
    <w:rsid w:val="0060615B"/>
    <w:rsid w:val="0060624F"/>
    <w:rsid w:val="00606485"/>
    <w:rsid w:val="006064E2"/>
    <w:rsid w:val="006067E6"/>
    <w:rsid w:val="00606D29"/>
    <w:rsid w:val="00607052"/>
    <w:rsid w:val="0060716C"/>
    <w:rsid w:val="00607323"/>
    <w:rsid w:val="006073AB"/>
    <w:rsid w:val="00607CF5"/>
    <w:rsid w:val="00607E6C"/>
    <w:rsid w:val="00610047"/>
    <w:rsid w:val="00610227"/>
    <w:rsid w:val="00610461"/>
    <w:rsid w:val="00610663"/>
    <w:rsid w:val="0061095E"/>
    <w:rsid w:val="00610987"/>
    <w:rsid w:val="00610A68"/>
    <w:rsid w:val="00610C26"/>
    <w:rsid w:val="00610E8F"/>
    <w:rsid w:val="00610EB2"/>
    <w:rsid w:val="00611102"/>
    <w:rsid w:val="00611152"/>
    <w:rsid w:val="00611327"/>
    <w:rsid w:val="0061170E"/>
    <w:rsid w:val="00611A06"/>
    <w:rsid w:val="0061206B"/>
    <w:rsid w:val="0061232B"/>
    <w:rsid w:val="006125E0"/>
    <w:rsid w:val="00612621"/>
    <w:rsid w:val="00612759"/>
    <w:rsid w:val="00612E8F"/>
    <w:rsid w:val="00612F00"/>
    <w:rsid w:val="00612F2B"/>
    <w:rsid w:val="00612F5E"/>
    <w:rsid w:val="00613215"/>
    <w:rsid w:val="0061343D"/>
    <w:rsid w:val="0061343F"/>
    <w:rsid w:val="00613A52"/>
    <w:rsid w:val="00613F6C"/>
    <w:rsid w:val="00614360"/>
    <w:rsid w:val="00614657"/>
    <w:rsid w:val="00614AE9"/>
    <w:rsid w:val="00614CDD"/>
    <w:rsid w:val="00614D59"/>
    <w:rsid w:val="00614E90"/>
    <w:rsid w:val="00614F19"/>
    <w:rsid w:val="00614FED"/>
    <w:rsid w:val="00615321"/>
    <w:rsid w:val="00615454"/>
    <w:rsid w:val="006154C8"/>
    <w:rsid w:val="006157E1"/>
    <w:rsid w:val="00615C3D"/>
    <w:rsid w:val="006161B9"/>
    <w:rsid w:val="006161F1"/>
    <w:rsid w:val="006164EE"/>
    <w:rsid w:val="00616B57"/>
    <w:rsid w:val="00616E31"/>
    <w:rsid w:val="0061724D"/>
    <w:rsid w:val="00617677"/>
    <w:rsid w:val="00617880"/>
    <w:rsid w:val="00617C77"/>
    <w:rsid w:val="00617E58"/>
    <w:rsid w:val="00617FB5"/>
    <w:rsid w:val="0062008A"/>
    <w:rsid w:val="00621189"/>
    <w:rsid w:val="006214BB"/>
    <w:rsid w:val="00621815"/>
    <w:rsid w:val="00621ACB"/>
    <w:rsid w:val="00621FBA"/>
    <w:rsid w:val="00622155"/>
    <w:rsid w:val="006223F4"/>
    <w:rsid w:val="0062290B"/>
    <w:rsid w:val="00622A3D"/>
    <w:rsid w:val="00622B52"/>
    <w:rsid w:val="00622C71"/>
    <w:rsid w:val="00623149"/>
    <w:rsid w:val="0062341D"/>
    <w:rsid w:val="00623887"/>
    <w:rsid w:val="00623AEB"/>
    <w:rsid w:val="00623E06"/>
    <w:rsid w:val="00623E3D"/>
    <w:rsid w:val="00623EB6"/>
    <w:rsid w:val="00623FDE"/>
    <w:rsid w:val="006245E4"/>
    <w:rsid w:val="006247F2"/>
    <w:rsid w:val="00624928"/>
    <w:rsid w:val="00624BB3"/>
    <w:rsid w:val="00624CED"/>
    <w:rsid w:val="00624D1C"/>
    <w:rsid w:val="00624F22"/>
    <w:rsid w:val="00624F37"/>
    <w:rsid w:val="00624FEB"/>
    <w:rsid w:val="00625E43"/>
    <w:rsid w:val="00626956"/>
    <w:rsid w:val="00626962"/>
    <w:rsid w:val="006269F1"/>
    <w:rsid w:val="00626B7E"/>
    <w:rsid w:val="00626FA7"/>
    <w:rsid w:val="00626FFF"/>
    <w:rsid w:val="0062719A"/>
    <w:rsid w:val="006271FF"/>
    <w:rsid w:val="006273DC"/>
    <w:rsid w:val="0062775B"/>
    <w:rsid w:val="00627CDD"/>
    <w:rsid w:val="00627EF3"/>
    <w:rsid w:val="00630454"/>
    <w:rsid w:val="006308C5"/>
    <w:rsid w:val="00630E98"/>
    <w:rsid w:val="0063102D"/>
    <w:rsid w:val="0063118A"/>
    <w:rsid w:val="006313D2"/>
    <w:rsid w:val="00631A86"/>
    <w:rsid w:val="00631B9D"/>
    <w:rsid w:val="00632022"/>
    <w:rsid w:val="00632358"/>
    <w:rsid w:val="00632476"/>
    <w:rsid w:val="00632C2B"/>
    <w:rsid w:val="00632FC1"/>
    <w:rsid w:val="00633211"/>
    <w:rsid w:val="00633600"/>
    <w:rsid w:val="0063365A"/>
    <w:rsid w:val="00633799"/>
    <w:rsid w:val="00633E6C"/>
    <w:rsid w:val="00633ECC"/>
    <w:rsid w:val="00634084"/>
    <w:rsid w:val="006341DA"/>
    <w:rsid w:val="00634588"/>
    <w:rsid w:val="00634618"/>
    <w:rsid w:val="00634873"/>
    <w:rsid w:val="00634B38"/>
    <w:rsid w:val="006353E1"/>
    <w:rsid w:val="00635A1D"/>
    <w:rsid w:val="00635DEA"/>
    <w:rsid w:val="00635E75"/>
    <w:rsid w:val="00636103"/>
    <w:rsid w:val="006362CB"/>
    <w:rsid w:val="006363B0"/>
    <w:rsid w:val="0063643D"/>
    <w:rsid w:val="00636915"/>
    <w:rsid w:val="00636941"/>
    <w:rsid w:val="00636AE4"/>
    <w:rsid w:val="00636C6B"/>
    <w:rsid w:val="0063709D"/>
    <w:rsid w:val="006370AC"/>
    <w:rsid w:val="006375AD"/>
    <w:rsid w:val="00637B0F"/>
    <w:rsid w:val="00637B39"/>
    <w:rsid w:val="00637B6D"/>
    <w:rsid w:val="0064008A"/>
    <w:rsid w:val="00640181"/>
    <w:rsid w:val="0064029D"/>
    <w:rsid w:val="00640394"/>
    <w:rsid w:val="006405BD"/>
    <w:rsid w:val="006408AE"/>
    <w:rsid w:val="006408E3"/>
    <w:rsid w:val="00640A22"/>
    <w:rsid w:val="00640C8A"/>
    <w:rsid w:val="00640F5C"/>
    <w:rsid w:val="00640FE4"/>
    <w:rsid w:val="00641049"/>
    <w:rsid w:val="0064139D"/>
    <w:rsid w:val="0064175B"/>
    <w:rsid w:val="006417E4"/>
    <w:rsid w:val="00642563"/>
    <w:rsid w:val="006427B5"/>
    <w:rsid w:val="00642AEA"/>
    <w:rsid w:val="00642CC5"/>
    <w:rsid w:val="00642EEB"/>
    <w:rsid w:val="00643038"/>
    <w:rsid w:val="006432E6"/>
    <w:rsid w:val="00643576"/>
    <w:rsid w:val="00643994"/>
    <w:rsid w:val="00643B37"/>
    <w:rsid w:val="00643ED6"/>
    <w:rsid w:val="00643FF6"/>
    <w:rsid w:val="006444B9"/>
    <w:rsid w:val="00644564"/>
    <w:rsid w:val="006445F8"/>
    <w:rsid w:val="006447E8"/>
    <w:rsid w:val="00644A19"/>
    <w:rsid w:val="00644D9A"/>
    <w:rsid w:val="00644F67"/>
    <w:rsid w:val="00645012"/>
    <w:rsid w:val="00645158"/>
    <w:rsid w:val="006456C2"/>
    <w:rsid w:val="00645A4D"/>
    <w:rsid w:val="00645C1E"/>
    <w:rsid w:val="00645DF1"/>
    <w:rsid w:val="00645E3D"/>
    <w:rsid w:val="00645ED8"/>
    <w:rsid w:val="006461D8"/>
    <w:rsid w:val="00646257"/>
    <w:rsid w:val="00646305"/>
    <w:rsid w:val="0064673B"/>
    <w:rsid w:val="0064684F"/>
    <w:rsid w:val="0064690C"/>
    <w:rsid w:val="006469A4"/>
    <w:rsid w:val="00646BF1"/>
    <w:rsid w:val="00646F3D"/>
    <w:rsid w:val="00647446"/>
    <w:rsid w:val="006475FA"/>
    <w:rsid w:val="00647A00"/>
    <w:rsid w:val="00650137"/>
    <w:rsid w:val="00650465"/>
    <w:rsid w:val="006505B8"/>
    <w:rsid w:val="00650680"/>
    <w:rsid w:val="006506C5"/>
    <w:rsid w:val="00650875"/>
    <w:rsid w:val="006508B9"/>
    <w:rsid w:val="00650B9A"/>
    <w:rsid w:val="00651176"/>
    <w:rsid w:val="0065128E"/>
    <w:rsid w:val="006512AD"/>
    <w:rsid w:val="006517F2"/>
    <w:rsid w:val="00651989"/>
    <w:rsid w:val="00651ADD"/>
    <w:rsid w:val="00651BC2"/>
    <w:rsid w:val="00651F13"/>
    <w:rsid w:val="00651FDB"/>
    <w:rsid w:val="0065204D"/>
    <w:rsid w:val="00652367"/>
    <w:rsid w:val="00652531"/>
    <w:rsid w:val="00652980"/>
    <w:rsid w:val="00652EA9"/>
    <w:rsid w:val="00653469"/>
    <w:rsid w:val="00653539"/>
    <w:rsid w:val="00653945"/>
    <w:rsid w:val="0065408C"/>
    <w:rsid w:val="00654236"/>
    <w:rsid w:val="00654A44"/>
    <w:rsid w:val="00654DFF"/>
    <w:rsid w:val="00654E85"/>
    <w:rsid w:val="00654F48"/>
    <w:rsid w:val="006559BA"/>
    <w:rsid w:val="00655BF8"/>
    <w:rsid w:val="006563FF"/>
    <w:rsid w:val="00656649"/>
    <w:rsid w:val="00656C16"/>
    <w:rsid w:val="00657280"/>
    <w:rsid w:val="006575FE"/>
    <w:rsid w:val="00657866"/>
    <w:rsid w:val="0065788D"/>
    <w:rsid w:val="00657C5D"/>
    <w:rsid w:val="00657E44"/>
    <w:rsid w:val="006602FB"/>
    <w:rsid w:val="0066056E"/>
    <w:rsid w:val="0066077A"/>
    <w:rsid w:val="006607D9"/>
    <w:rsid w:val="006609F9"/>
    <w:rsid w:val="00660ECA"/>
    <w:rsid w:val="00660F9D"/>
    <w:rsid w:val="0066153F"/>
    <w:rsid w:val="0066192E"/>
    <w:rsid w:val="00661C1B"/>
    <w:rsid w:val="00661CD2"/>
    <w:rsid w:val="00661CE9"/>
    <w:rsid w:val="00661D7F"/>
    <w:rsid w:val="00661FFE"/>
    <w:rsid w:val="00662523"/>
    <w:rsid w:val="00662CA6"/>
    <w:rsid w:val="00662E4D"/>
    <w:rsid w:val="00663364"/>
    <w:rsid w:val="00663568"/>
    <w:rsid w:val="006636A1"/>
    <w:rsid w:val="00663BB4"/>
    <w:rsid w:val="00663C80"/>
    <w:rsid w:val="00663CCB"/>
    <w:rsid w:val="00663D76"/>
    <w:rsid w:val="00663EBB"/>
    <w:rsid w:val="00664150"/>
    <w:rsid w:val="00664210"/>
    <w:rsid w:val="006643D2"/>
    <w:rsid w:val="0066489E"/>
    <w:rsid w:val="00664F24"/>
    <w:rsid w:val="00665375"/>
    <w:rsid w:val="0066537D"/>
    <w:rsid w:val="006657F0"/>
    <w:rsid w:val="00665B42"/>
    <w:rsid w:val="00665D52"/>
    <w:rsid w:val="00665F10"/>
    <w:rsid w:val="00666855"/>
    <w:rsid w:val="00666BFA"/>
    <w:rsid w:val="00666CAF"/>
    <w:rsid w:val="00666CD1"/>
    <w:rsid w:val="00666F4C"/>
    <w:rsid w:val="00667212"/>
    <w:rsid w:val="0066770D"/>
    <w:rsid w:val="006679FC"/>
    <w:rsid w:val="00670184"/>
    <w:rsid w:val="00670551"/>
    <w:rsid w:val="00670557"/>
    <w:rsid w:val="006706BA"/>
    <w:rsid w:val="00670704"/>
    <w:rsid w:val="00670B30"/>
    <w:rsid w:val="00670E32"/>
    <w:rsid w:val="00670EB1"/>
    <w:rsid w:val="00670FE7"/>
    <w:rsid w:val="00671ACC"/>
    <w:rsid w:val="00671C6C"/>
    <w:rsid w:val="00671CB1"/>
    <w:rsid w:val="00671CC6"/>
    <w:rsid w:val="00671D74"/>
    <w:rsid w:val="00671E4C"/>
    <w:rsid w:val="00671EE3"/>
    <w:rsid w:val="00672476"/>
    <w:rsid w:val="00672FB3"/>
    <w:rsid w:val="0067366C"/>
    <w:rsid w:val="00673B3C"/>
    <w:rsid w:val="00673F16"/>
    <w:rsid w:val="00674398"/>
    <w:rsid w:val="00674AF4"/>
    <w:rsid w:val="00674B71"/>
    <w:rsid w:val="00674D61"/>
    <w:rsid w:val="00674E7E"/>
    <w:rsid w:val="00675470"/>
    <w:rsid w:val="0067560A"/>
    <w:rsid w:val="00675A6D"/>
    <w:rsid w:val="00676255"/>
    <w:rsid w:val="006765A0"/>
    <w:rsid w:val="00676805"/>
    <w:rsid w:val="00676DDF"/>
    <w:rsid w:val="00677752"/>
    <w:rsid w:val="00677A92"/>
    <w:rsid w:val="00677C40"/>
    <w:rsid w:val="00677D97"/>
    <w:rsid w:val="00677DC9"/>
    <w:rsid w:val="00680018"/>
    <w:rsid w:val="0068020B"/>
    <w:rsid w:val="0068040A"/>
    <w:rsid w:val="00680A41"/>
    <w:rsid w:val="00680AAF"/>
    <w:rsid w:val="00680AB7"/>
    <w:rsid w:val="00680D1C"/>
    <w:rsid w:val="00680D5D"/>
    <w:rsid w:val="0068119D"/>
    <w:rsid w:val="0068159E"/>
    <w:rsid w:val="00681E07"/>
    <w:rsid w:val="006827BA"/>
    <w:rsid w:val="00682849"/>
    <w:rsid w:val="00682A30"/>
    <w:rsid w:val="00682BC5"/>
    <w:rsid w:val="00682CD9"/>
    <w:rsid w:val="00682F15"/>
    <w:rsid w:val="0068311C"/>
    <w:rsid w:val="006831DF"/>
    <w:rsid w:val="00683542"/>
    <w:rsid w:val="0068372F"/>
    <w:rsid w:val="00683777"/>
    <w:rsid w:val="006839AA"/>
    <w:rsid w:val="00683AB4"/>
    <w:rsid w:val="00683D14"/>
    <w:rsid w:val="00684314"/>
    <w:rsid w:val="006843C5"/>
    <w:rsid w:val="00684498"/>
    <w:rsid w:val="00684953"/>
    <w:rsid w:val="00684A0C"/>
    <w:rsid w:val="00684A45"/>
    <w:rsid w:val="00684B65"/>
    <w:rsid w:val="00684F68"/>
    <w:rsid w:val="00684FBA"/>
    <w:rsid w:val="00685876"/>
    <w:rsid w:val="00685A10"/>
    <w:rsid w:val="00685C55"/>
    <w:rsid w:val="00685D32"/>
    <w:rsid w:val="00686126"/>
    <w:rsid w:val="00686165"/>
    <w:rsid w:val="006862C7"/>
    <w:rsid w:val="00686300"/>
    <w:rsid w:val="0068692A"/>
    <w:rsid w:val="00686C73"/>
    <w:rsid w:val="0068706A"/>
    <w:rsid w:val="0068724A"/>
    <w:rsid w:val="00687343"/>
    <w:rsid w:val="0068767B"/>
    <w:rsid w:val="0068796F"/>
    <w:rsid w:val="00687E36"/>
    <w:rsid w:val="00687EF5"/>
    <w:rsid w:val="0069023F"/>
    <w:rsid w:val="0069069B"/>
    <w:rsid w:val="00690B61"/>
    <w:rsid w:val="0069126C"/>
    <w:rsid w:val="00691351"/>
    <w:rsid w:val="0069151E"/>
    <w:rsid w:val="00691999"/>
    <w:rsid w:val="006919F7"/>
    <w:rsid w:val="00691A88"/>
    <w:rsid w:val="00691DE0"/>
    <w:rsid w:val="00691FFF"/>
    <w:rsid w:val="00692182"/>
    <w:rsid w:val="0069230D"/>
    <w:rsid w:val="0069234B"/>
    <w:rsid w:val="00692C20"/>
    <w:rsid w:val="00692CA6"/>
    <w:rsid w:val="00693011"/>
    <w:rsid w:val="0069359A"/>
    <w:rsid w:val="00693ECD"/>
    <w:rsid w:val="00694450"/>
    <w:rsid w:val="006944E3"/>
    <w:rsid w:val="006947ED"/>
    <w:rsid w:val="00694835"/>
    <w:rsid w:val="00694930"/>
    <w:rsid w:val="00694938"/>
    <w:rsid w:val="00694A82"/>
    <w:rsid w:val="00694FC2"/>
    <w:rsid w:val="00695170"/>
    <w:rsid w:val="00695354"/>
    <w:rsid w:val="006954A0"/>
    <w:rsid w:val="0069571E"/>
    <w:rsid w:val="00695C50"/>
    <w:rsid w:val="00695F06"/>
    <w:rsid w:val="00696749"/>
    <w:rsid w:val="00696886"/>
    <w:rsid w:val="00696B10"/>
    <w:rsid w:val="00696B1A"/>
    <w:rsid w:val="00696D2D"/>
    <w:rsid w:val="00696EDC"/>
    <w:rsid w:val="006970A5"/>
    <w:rsid w:val="00697577"/>
    <w:rsid w:val="006975E3"/>
    <w:rsid w:val="00697787"/>
    <w:rsid w:val="006978BC"/>
    <w:rsid w:val="00697958"/>
    <w:rsid w:val="00697C6A"/>
    <w:rsid w:val="00697E69"/>
    <w:rsid w:val="006A0BEC"/>
    <w:rsid w:val="006A0E2A"/>
    <w:rsid w:val="006A1241"/>
    <w:rsid w:val="006A1B6E"/>
    <w:rsid w:val="006A21FA"/>
    <w:rsid w:val="006A225A"/>
    <w:rsid w:val="006A23C7"/>
    <w:rsid w:val="006A2584"/>
    <w:rsid w:val="006A2AF5"/>
    <w:rsid w:val="006A2D24"/>
    <w:rsid w:val="006A3549"/>
    <w:rsid w:val="006A3841"/>
    <w:rsid w:val="006A3991"/>
    <w:rsid w:val="006A3D3B"/>
    <w:rsid w:val="006A3E24"/>
    <w:rsid w:val="006A4053"/>
    <w:rsid w:val="006A4376"/>
    <w:rsid w:val="006A49F1"/>
    <w:rsid w:val="006A4D2D"/>
    <w:rsid w:val="006A5297"/>
    <w:rsid w:val="006A5785"/>
    <w:rsid w:val="006A59B1"/>
    <w:rsid w:val="006A6324"/>
    <w:rsid w:val="006A6534"/>
    <w:rsid w:val="006A65C8"/>
    <w:rsid w:val="006A700A"/>
    <w:rsid w:val="006A737F"/>
    <w:rsid w:val="006A7508"/>
    <w:rsid w:val="006A7981"/>
    <w:rsid w:val="006A7E70"/>
    <w:rsid w:val="006B0347"/>
    <w:rsid w:val="006B0416"/>
    <w:rsid w:val="006B043C"/>
    <w:rsid w:val="006B050C"/>
    <w:rsid w:val="006B06D1"/>
    <w:rsid w:val="006B07E3"/>
    <w:rsid w:val="006B0C00"/>
    <w:rsid w:val="006B14C3"/>
    <w:rsid w:val="006B14DC"/>
    <w:rsid w:val="006B1740"/>
    <w:rsid w:val="006B1948"/>
    <w:rsid w:val="006B1D8F"/>
    <w:rsid w:val="006B1D9E"/>
    <w:rsid w:val="006B29FB"/>
    <w:rsid w:val="006B2C15"/>
    <w:rsid w:val="006B2CA4"/>
    <w:rsid w:val="006B2E75"/>
    <w:rsid w:val="006B2EEE"/>
    <w:rsid w:val="006B32F8"/>
    <w:rsid w:val="006B333C"/>
    <w:rsid w:val="006B34F0"/>
    <w:rsid w:val="006B3873"/>
    <w:rsid w:val="006B3C6C"/>
    <w:rsid w:val="006B3FB6"/>
    <w:rsid w:val="006B4595"/>
    <w:rsid w:val="006B5358"/>
    <w:rsid w:val="006B559C"/>
    <w:rsid w:val="006B5616"/>
    <w:rsid w:val="006B5761"/>
    <w:rsid w:val="006B57A9"/>
    <w:rsid w:val="006B58E5"/>
    <w:rsid w:val="006B5D61"/>
    <w:rsid w:val="006B602D"/>
    <w:rsid w:val="006B636C"/>
    <w:rsid w:val="006B638A"/>
    <w:rsid w:val="006B66EB"/>
    <w:rsid w:val="006B6972"/>
    <w:rsid w:val="006B6A3C"/>
    <w:rsid w:val="006B6C69"/>
    <w:rsid w:val="006B6FB2"/>
    <w:rsid w:val="006B718E"/>
    <w:rsid w:val="006B7401"/>
    <w:rsid w:val="006B78ED"/>
    <w:rsid w:val="006B7A32"/>
    <w:rsid w:val="006B7B34"/>
    <w:rsid w:val="006B7ED6"/>
    <w:rsid w:val="006C008E"/>
    <w:rsid w:val="006C04BD"/>
    <w:rsid w:val="006C082F"/>
    <w:rsid w:val="006C0C42"/>
    <w:rsid w:val="006C0EF4"/>
    <w:rsid w:val="006C1152"/>
    <w:rsid w:val="006C14F6"/>
    <w:rsid w:val="006C1529"/>
    <w:rsid w:val="006C1B34"/>
    <w:rsid w:val="006C1F5F"/>
    <w:rsid w:val="006C2012"/>
    <w:rsid w:val="006C20AF"/>
    <w:rsid w:val="006C2182"/>
    <w:rsid w:val="006C2933"/>
    <w:rsid w:val="006C2A77"/>
    <w:rsid w:val="006C2AC8"/>
    <w:rsid w:val="006C2B18"/>
    <w:rsid w:val="006C2B33"/>
    <w:rsid w:val="006C2F5A"/>
    <w:rsid w:val="006C34FA"/>
    <w:rsid w:val="006C3637"/>
    <w:rsid w:val="006C382A"/>
    <w:rsid w:val="006C3D63"/>
    <w:rsid w:val="006C4C3C"/>
    <w:rsid w:val="006C4E32"/>
    <w:rsid w:val="006C53EE"/>
    <w:rsid w:val="006C5809"/>
    <w:rsid w:val="006C5DA8"/>
    <w:rsid w:val="006C5FE4"/>
    <w:rsid w:val="006C6053"/>
    <w:rsid w:val="006C63CD"/>
    <w:rsid w:val="006C646C"/>
    <w:rsid w:val="006C6643"/>
    <w:rsid w:val="006C6AB1"/>
    <w:rsid w:val="006C6E2A"/>
    <w:rsid w:val="006C6EAF"/>
    <w:rsid w:val="006C6ED4"/>
    <w:rsid w:val="006C70AF"/>
    <w:rsid w:val="006C7B3C"/>
    <w:rsid w:val="006C7C36"/>
    <w:rsid w:val="006D009F"/>
    <w:rsid w:val="006D027B"/>
    <w:rsid w:val="006D0501"/>
    <w:rsid w:val="006D050F"/>
    <w:rsid w:val="006D0698"/>
    <w:rsid w:val="006D0BB2"/>
    <w:rsid w:val="006D0C16"/>
    <w:rsid w:val="006D0DC5"/>
    <w:rsid w:val="006D1A45"/>
    <w:rsid w:val="006D1A6E"/>
    <w:rsid w:val="006D1B30"/>
    <w:rsid w:val="006D1C67"/>
    <w:rsid w:val="006D1E5E"/>
    <w:rsid w:val="006D1FC3"/>
    <w:rsid w:val="006D2480"/>
    <w:rsid w:val="006D28E7"/>
    <w:rsid w:val="006D2C51"/>
    <w:rsid w:val="006D2CF6"/>
    <w:rsid w:val="006D2D14"/>
    <w:rsid w:val="006D3178"/>
    <w:rsid w:val="006D354C"/>
    <w:rsid w:val="006D35F0"/>
    <w:rsid w:val="006D375B"/>
    <w:rsid w:val="006D3764"/>
    <w:rsid w:val="006D3962"/>
    <w:rsid w:val="006D3B48"/>
    <w:rsid w:val="006D3D52"/>
    <w:rsid w:val="006D404C"/>
    <w:rsid w:val="006D4782"/>
    <w:rsid w:val="006D4AB8"/>
    <w:rsid w:val="006D4C25"/>
    <w:rsid w:val="006D525C"/>
    <w:rsid w:val="006D52E9"/>
    <w:rsid w:val="006D5350"/>
    <w:rsid w:val="006D54F8"/>
    <w:rsid w:val="006D57B4"/>
    <w:rsid w:val="006D59C1"/>
    <w:rsid w:val="006D59E1"/>
    <w:rsid w:val="006D62C6"/>
    <w:rsid w:val="006D6632"/>
    <w:rsid w:val="006D6764"/>
    <w:rsid w:val="006D6845"/>
    <w:rsid w:val="006D68C2"/>
    <w:rsid w:val="006D74F5"/>
    <w:rsid w:val="006D7AC9"/>
    <w:rsid w:val="006D7CB8"/>
    <w:rsid w:val="006D7CD1"/>
    <w:rsid w:val="006D7E48"/>
    <w:rsid w:val="006D7EC0"/>
    <w:rsid w:val="006E0838"/>
    <w:rsid w:val="006E0B5B"/>
    <w:rsid w:val="006E10AB"/>
    <w:rsid w:val="006E10E0"/>
    <w:rsid w:val="006E125D"/>
    <w:rsid w:val="006E140F"/>
    <w:rsid w:val="006E14B5"/>
    <w:rsid w:val="006E16F3"/>
    <w:rsid w:val="006E19A7"/>
    <w:rsid w:val="006E19E6"/>
    <w:rsid w:val="006E1B4C"/>
    <w:rsid w:val="006E204F"/>
    <w:rsid w:val="006E2288"/>
    <w:rsid w:val="006E22ED"/>
    <w:rsid w:val="006E26A9"/>
    <w:rsid w:val="006E2732"/>
    <w:rsid w:val="006E2E74"/>
    <w:rsid w:val="006E32B1"/>
    <w:rsid w:val="006E3356"/>
    <w:rsid w:val="006E3535"/>
    <w:rsid w:val="006E3C52"/>
    <w:rsid w:val="006E4179"/>
    <w:rsid w:val="006E4277"/>
    <w:rsid w:val="006E4684"/>
    <w:rsid w:val="006E472F"/>
    <w:rsid w:val="006E4DFF"/>
    <w:rsid w:val="006E4E96"/>
    <w:rsid w:val="006E4FBD"/>
    <w:rsid w:val="006E55D8"/>
    <w:rsid w:val="006E571E"/>
    <w:rsid w:val="006E5947"/>
    <w:rsid w:val="006E5E8A"/>
    <w:rsid w:val="006E5EE0"/>
    <w:rsid w:val="006E5F55"/>
    <w:rsid w:val="006E630C"/>
    <w:rsid w:val="006E679E"/>
    <w:rsid w:val="006E67E7"/>
    <w:rsid w:val="006E6887"/>
    <w:rsid w:val="006E69C0"/>
    <w:rsid w:val="006E6CCA"/>
    <w:rsid w:val="006E7130"/>
    <w:rsid w:val="006E7390"/>
    <w:rsid w:val="006E7637"/>
    <w:rsid w:val="006E78CC"/>
    <w:rsid w:val="006E7E99"/>
    <w:rsid w:val="006F0073"/>
    <w:rsid w:val="006F0214"/>
    <w:rsid w:val="006F0FAC"/>
    <w:rsid w:val="006F116F"/>
    <w:rsid w:val="006F127B"/>
    <w:rsid w:val="006F17FE"/>
    <w:rsid w:val="006F1CFB"/>
    <w:rsid w:val="006F21BE"/>
    <w:rsid w:val="006F22CB"/>
    <w:rsid w:val="006F297F"/>
    <w:rsid w:val="006F2AF2"/>
    <w:rsid w:val="006F2CF1"/>
    <w:rsid w:val="006F346C"/>
    <w:rsid w:val="006F3481"/>
    <w:rsid w:val="006F3571"/>
    <w:rsid w:val="006F3B37"/>
    <w:rsid w:val="006F3D2F"/>
    <w:rsid w:val="006F43C1"/>
    <w:rsid w:val="006F4888"/>
    <w:rsid w:val="006F4D0E"/>
    <w:rsid w:val="006F4E9F"/>
    <w:rsid w:val="006F51AB"/>
    <w:rsid w:val="006F5396"/>
    <w:rsid w:val="006F5421"/>
    <w:rsid w:val="006F596E"/>
    <w:rsid w:val="006F5FB7"/>
    <w:rsid w:val="006F6157"/>
    <w:rsid w:val="006F62B9"/>
    <w:rsid w:val="006F6A93"/>
    <w:rsid w:val="006F6AC6"/>
    <w:rsid w:val="006F6C3F"/>
    <w:rsid w:val="006F6DBB"/>
    <w:rsid w:val="006F6EE0"/>
    <w:rsid w:val="006F7075"/>
    <w:rsid w:val="006F72E9"/>
    <w:rsid w:val="006F7692"/>
    <w:rsid w:val="006F7E26"/>
    <w:rsid w:val="00700229"/>
    <w:rsid w:val="0070073D"/>
    <w:rsid w:val="00700A60"/>
    <w:rsid w:val="00701135"/>
    <w:rsid w:val="007013ED"/>
    <w:rsid w:val="00701644"/>
    <w:rsid w:val="0070181D"/>
    <w:rsid w:val="00701F3A"/>
    <w:rsid w:val="007025C7"/>
    <w:rsid w:val="0070288F"/>
    <w:rsid w:val="007028DF"/>
    <w:rsid w:val="00702BF3"/>
    <w:rsid w:val="0070360E"/>
    <w:rsid w:val="0070372D"/>
    <w:rsid w:val="007039A9"/>
    <w:rsid w:val="00704064"/>
    <w:rsid w:val="0070425A"/>
    <w:rsid w:val="00704335"/>
    <w:rsid w:val="00704722"/>
    <w:rsid w:val="0070475B"/>
    <w:rsid w:val="007048B3"/>
    <w:rsid w:val="00704B8B"/>
    <w:rsid w:val="00704C7C"/>
    <w:rsid w:val="00704EBC"/>
    <w:rsid w:val="00704FB0"/>
    <w:rsid w:val="00705247"/>
    <w:rsid w:val="00705BDF"/>
    <w:rsid w:val="00705ECC"/>
    <w:rsid w:val="00706293"/>
    <w:rsid w:val="00706363"/>
    <w:rsid w:val="0070698C"/>
    <w:rsid w:val="00706B42"/>
    <w:rsid w:val="00706BF7"/>
    <w:rsid w:val="00706D06"/>
    <w:rsid w:val="007071D2"/>
    <w:rsid w:val="007072F2"/>
    <w:rsid w:val="00707596"/>
    <w:rsid w:val="00707608"/>
    <w:rsid w:val="007076FB"/>
    <w:rsid w:val="00707919"/>
    <w:rsid w:val="00707E89"/>
    <w:rsid w:val="00707F91"/>
    <w:rsid w:val="007100B8"/>
    <w:rsid w:val="007101CC"/>
    <w:rsid w:val="00710767"/>
    <w:rsid w:val="00710B29"/>
    <w:rsid w:val="00710B33"/>
    <w:rsid w:val="00710D59"/>
    <w:rsid w:val="00710F4D"/>
    <w:rsid w:val="00710FF2"/>
    <w:rsid w:val="007110AC"/>
    <w:rsid w:val="007113CA"/>
    <w:rsid w:val="0071153E"/>
    <w:rsid w:val="00711585"/>
    <w:rsid w:val="00711722"/>
    <w:rsid w:val="00711A67"/>
    <w:rsid w:val="00711AB3"/>
    <w:rsid w:val="00711D1D"/>
    <w:rsid w:val="00711DD2"/>
    <w:rsid w:val="00711E28"/>
    <w:rsid w:val="00711EAF"/>
    <w:rsid w:val="00711EC3"/>
    <w:rsid w:val="007120CB"/>
    <w:rsid w:val="00712311"/>
    <w:rsid w:val="00712514"/>
    <w:rsid w:val="0071258F"/>
    <w:rsid w:val="007125AE"/>
    <w:rsid w:val="007125FE"/>
    <w:rsid w:val="00712D01"/>
    <w:rsid w:val="00712D32"/>
    <w:rsid w:val="00712D54"/>
    <w:rsid w:val="007130FD"/>
    <w:rsid w:val="0071313D"/>
    <w:rsid w:val="007131A2"/>
    <w:rsid w:val="00713397"/>
    <w:rsid w:val="007133E3"/>
    <w:rsid w:val="00713581"/>
    <w:rsid w:val="00713584"/>
    <w:rsid w:val="00713934"/>
    <w:rsid w:val="0071395F"/>
    <w:rsid w:val="00713AC1"/>
    <w:rsid w:val="00714298"/>
    <w:rsid w:val="00714355"/>
    <w:rsid w:val="00714442"/>
    <w:rsid w:val="00714460"/>
    <w:rsid w:val="00714702"/>
    <w:rsid w:val="007149BC"/>
    <w:rsid w:val="00714B68"/>
    <w:rsid w:val="00714CB7"/>
    <w:rsid w:val="007156B5"/>
    <w:rsid w:val="00715726"/>
    <w:rsid w:val="007157FF"/>
    <w:rsid w:val="00715825"/>
    <w:rsid w:val="00715946"/>
    <w:rsid w:val="00715B07"/>
    <w:rsid w:val="00715E5A"/>
    <w:rsid w:val="00716360"/>
    <w:rsid w:val="0071649B"/>
    <w:rsid w:val="007164CF"/>
    <w:rsid w:val="00716591"/>
    <w:rsid w:val="007165AD"/>
    <w:rsid w:val="00716DAD"/>
    <w:rsid w:val="00716FFF"/>
    <w:rsid w:val="007174A8"/>
    <w:rsid w:val="007200A9"/>
    <w:rsid w:val="007203F6"/>
    <w:rsid w:val="00720669"/>
    <w:rsid w:val="007207C6"/>
    <w:rsid w:val="0072097D"/>
    <w:rsid w:val="00720E25"/>
    <w:rsid w:val="007211BF"/>
    <w:rsid w:val="007212C4"/>
    <w:rsid w:val="00721451"/>
    <w:rsid w:val="00721498"/>
    <w:rsid w:val="00721549"/>
    <w:rsid w:val="00721AF7"/>
    <w:rsid w:val="00721F04"/>
    <w:rsid w:val="00721F78"/>
    <w:rsid w:val="0072201F"/>
    <w:rsid w:val="007223FB"/>
    <w:rsid w:val="00722E38"/>
    <w:rsid w:val="00722EEC"/>
    <w:rsid w:val="00723310"/>
    <w:rsid w:val="007233E5"/>
    <w:rsid w:val="0072349E"/>
    <w:rsid w:val="0072389D"/>
    <w:rsid w:val="007238FE"/>
    <w:rsid w:val="00723E07"/>
    <w:rsid w:val="00723F7C"/>
    <w:rsid w:val="00724019"/>
    <w:rsid w:val="00724334"/>
    <w:rsid w:val="0072442C"/>
    <w:rsid w:val="00724556"/>
    <w:rsid w:val="00724DCA"/>
    <w:rsid w:val="00724F3A"/>
    <w:rsid w:val="00725088"/>
    <w:rsid w:val="00725371"/>
    <w:rsid w:val="00725674"/>
    <w:rsid w:val="00725687"/>
    <w:rsid w:val="00725947"/>
    <w:rsid w:val="007261FA"/>
    <w:rsid w:val="00726215"/>
    <w:rsid w:val="00726917"/>
    <w:rsid w:val="00726B7B"/>
    <w:rsid w:val="00726CB8"/>
    <w:rsid w:val="00726EC7"/>
    <w:rsid w:val="00727105"/>
    <w:rsid w:val="007272AE"/>
    <w:rsid w:val="00727461"/>
    <w:rsid w:val="00727914"/>
    <w:rsid w:val="00727C54"/>
    <w:rsid w:val="0073039C"/>
    <w:rsid w:val="00730853"/>
    <w:rsid w:val="00730BC1"/>
    <w:rsid w:val="007317EE"/>
    <w:rsid w:val="00731AC6"/>
    <w:rsid w:val="0073207D"/>
    <w:rsid w:val="0073212C"/>
    <w:rsid w:val="0073222E"/>
    <w:rsid w:val="00732A84"/>
    <w:rsid w:val="00732FE7"/>
    <w:rsid w:val="00733199"/>
    <w:rsid w:val="007336C7"/>
    <w:rsid w:val="00733781"/>
    <w:rsid w:val="00733A74"/>
    <w:rsid w:val="00735060"/>
    <w:rsid w:val="007350F2"/>
    <w:rsid w:val="007350FE"/>
    <w:rsid w:val="0073515E"/>
    <w:rsid w:val="00735188"/>
    <w:rsid w:val="0073563A"/>
    <w:rsid w:val="00735775"/>
    <w:rsid w:val="0073596E"/>
    <w:rsid w:val="00736421"/>
    <w:rsid w:val="0073690C"/>
    <w:rsid w:val="007369F0"/>
    <w:rsid w:val="00736C14"/>
    <w:rsid w:val="0073705E"/>
    <w:rsid w:val="00737119"/>
    <w:rsid w:val="0073772E"/>
    <w:rsid w:val="00737DF1"/>
    <w:rsid w:val="00737F52"/>
    <w:rsid w:val="00740006"/>
    <w:rsid w:val="007400C9"/>
    <w:rsid w:val="007403D9"/>
    <w:rsid w:val="0074048D"/>
    <w:rsid w:val="00740528"/>
    <w:rsid w:val="00740A3E"/>
    <w:rsid w:val="00740CC8"/>
    <w:rsid w:val="00740ED6"/>
    <w:rsid w:val="00741124"/>
    <w:rsid w:val="00741165"/>
    <w:rsid w:val="007413DA"/>
    <w:rsid w:val="00741B9D"/>
    <w:rsid w:val="0074230F"/>
    <w:rsid w:val="00742329"/>
    <w:rsid w:val="00742637"/>
    <w:rsid w:val="007428B6"/>
    <w:rsid w:val="007428FA"/>
    <w:rsid w:val="00742AF1"/>
    <w:rsid w:val="00742E75"/>
    <w:rsid w:val="007436BD"/>
    <w:rsid w:val="00743847"/>
    <w:rsid w:val="00743AFD"/>
    <w:rsid w:val="00743B65"/>
    <w:rsid w:val="00744737"/>
    <w:rsid w:val="00744749"/>
    <w:rsid w:val="00744A9D"/>
    <w:rsid w:val="00745ADB"/>
    <w:rsid w:val="00745EB8"/>
    <w:rsid w:val="007460EE"/>
    <w:rsid w:val="007462E9"/>
    <w:rsid w:val="0074655B"/>
    <w:rsid w:val="007467A2"/>
    <w:rsid w:val="00746904"/>
    <w:rsid w:val="00746E07"/>
    <w:rsid w:val="00746F90"/>
    <w:rsid w:val="007470F6"/>
    <w:rsid w:val="007478F8"/>
    <w:rsid w:val="00747F93"/>
    <w:rsid w:val="007502D9"/>
    <w:rsid w:val="00750373"/>
    <w:rsid w:val="007503AA"/>
    <w:rsid w:val="0075094B"/>
    <w:rsid w:val="00750B15"/>
    <w:rsid w:val="00750DE3"/>
    <w:rsid w:val="00750E98"/>
    <w:rsid w:val="007517B5"/>
    <w:rsid w:val="007519CA"/>
    <w:rsid w:val="00751B36"/>
    <w:rsid w:val="0075248D"/>
    <w:rsid w:val="00752664"/>
    <w:rsid w:val="0075269A"/>
    <w:rsid w:val="007526C5"/>
    <w:rsid w:val="0075270C"/>
    <w:rsid w:val="00752731"/>
    <w:rsid w:val="007527B2"/>
    <w:rsid w:val="00752D36"/>
    <w:rsid w:val="00752DF8"/>
    <w:rsid w:val="00752E29"/>
    <w:rsid w:val="00753087"/>
    <w:rsid w:val="00753190"/>
    <w:rsid w:val="007531F3"/>
    <w:rsid w:val="007538F4"/>
    <w:rsid w:val="007541FA"/>
    <w:rsid w:val="00754333"/>
    <w:rsid w:val="007549A9"/>
    <w:rsid w:val="00754A1F"/>
    <w:rsid w:val="00754E92"/>
    <w:rsid w:val="00754EFF"/>
    <w:rsid w:val="007553BF"/>
    <w:rsid w:val="0075568E"/>
    <w:rsid w:val="007557ED"/>
    <w:rsid w:val="00755865"/>
    <w:rsid w:val="007558FA"/>
    <w:rsid w:val="0075593F"/>
    <w:rsid w:val="00755EC3"/>
    <w:rsid w:val="0075618E"/>
    <w:rsid w:val="00756335"/>
    <w:rsid w:val="0075636C"/>
    <w:rsid w:val="00756395"/>
    <w:rsid w:val="007564CF"/>
    <w:rsid w:val="00756516"/>
    <w:rsid w:val="00756882"/>
    <w:rsid w:val="007569AC"/>
    <w:rsid w:val="00756A34"/>
    <w:rsid w:val="00756AA0"/>
    <w:rsid w:val="00756B80"/>
    <w:rsid w:val="00756C67"/>
    <w:rsid w:val="00756E20"/>
    <w:rsid w:val="00756F0B"/>
    <w:rsid w:val="00756FE5"/>
    <w:rsid w:val="00757239"/>
    <w:rsid w:val="00757475"/>
    <w:rsid w:val="0075766D"/>
    <w:rsid w:val="00757855"/>
    <w:rsid w:val="00757888"/>
    <w:rsid w:val="00757ACB"/>
    <w:rsid w:val="00757C95"/>
    <w:rsid w:val="00757CDF"/>
    <w:rsid w:val="00757DCA"/>
    <w:rsid w:val="00760A48"/>
    <w:rsid w:val="00760CC4"/>
    <w:rsid w:val="00760DAB"/>
    <w:rsid w:val="00760FAA"/>
    <w:rsid w:val="00761163"/>
    <w:rsid w:val="0076126D"/>
    <w:rsid w:val="007613EE"/>
    <w:rsid w:val="00761D39"/>
    <w:rsid w:val="00761D93"/>
    <w:rsid w:val="00762138"/>
    <w:rsid w:val="007623DD"/>
    <w:rsid w:val="00762554"/>
    <w:rsid w:val="007628D2"/>
    <w:rsid w:val="007629A2"/>
    <w:rsid w:val="00762C41"/>
    <w:rsid w:val="00763438"/>
    <w:rsid w:val="007634ED"/>
    <w:rsid w:val="00763BF1"/>
    <w:rsid w:val="00763D15"/>
    <w:rsid w:val="0076424A"/>
    <w:rsid w:val="00764251"/>
    <w:rsid w:val="0076428D"/>
    <w:rsid w:val="007643D9"/>
    <w:rsid w:val="00764418"/>
    <w:rsid w:val="00764993"/>
    <w:rsid w:val="00764DED"/>
    <w:rsid w:val="00764F8F"/>
    <w:rsid w:val="007652F7"/>
    <w:rsid w:val="00765583"/>
    <w:rsid w:val="007657F5"/>
    <w:rsid w:val="00765941"/>
    <w:rsid w:val="00765B07"/>
    <w:rsid w:val="00765C7D"/>
    <w:rsid w:val="00765CCB"/>
    <w:rsid w:val="00765CDF"/>
    <w:rsid w:val="00765D87"/>
    <w:rsid w:val="00766400"/>
    <w:rsid w:val="007669DB"/>
    <w:rsid w:val="00766B5F"/>
    <w:rsid w:val="00766B6A"/>
    <w:rsid w:val="00766BF9"/>
    <w:rsid w:val="00766CF7"/>
    <w:rsid w:val="00766D1D"/>
    <w:rsid w:val="00766E73"/>
    <w:rsid w:val="0076714F"/>
    <w:rsid w:val="007671DF"/>
    <w:rsid w:val="007672A3"/>
    <w:rsid w:val="0076746E"/>
    <w:rsid w:val="00767AE3"/>
    <w:rsid w:val="00767CE0"/>
    <w:rsid w:val="00767DBB"/>
    <w:rsid w:val="00767E5F"/>
    <w:rsid w:val="00770358"/>
    <w:rsid w:val="007703E1"/>
    <w:rsid w:val="007703F4"/>
    <w:rsid w:val="00770416"/>
    <w:rsid w:val="00770639"/>
    <w:rsid w:val="007706CC"/>
    <w:rsid w:val="00770D55"/>
    <w:rsid w:val="00770EA1"/>
    <w:rsid w:val="00770FA5"/>
    <w:rsid w:val="007711D4"/>
    <w:rsid w:val="007713B7"/>
    <w:rsid w:val="00771917"/>
    <w:rsid w:val="00771A53"/>
    <w:rsid w:val="00771C17"/>
    <w:rsid w:val="00771FC8"/>
    <w:rsid w:val="00772920"/>
    <w:rsid w:val="00772EE4"/>
    <w:rsid w:val="00773010"/>
    <w:rsid w:val="0077350E"/>
    <w:rsid w:val="00773D63"/>
    <w:rsid w:val="007742C3"/>
    <w:rsid w:val="0077450F"/>
    <w:rsid w:val="0077475D"/>
    <w:rsid w:val="007747CA"/>
    <w:rsid w:val="00774BF8"/>
    <w:rsid w:val="00774C24"/>
    <w:rsid w:val="00774CF9"/>
    <w:rsid w:val="00774DD8"/>
    <w:rsid w:val="00774FF0"/>
    <w:rsid w:val="007750D6"/>
    <w:rsid w:val="0077536F"/>
    <w:rsid w:val="0077548D"/>
    <w:rsid w:val="00775776"/>
    <w:rsid w:val="007757AE"/>
    <w:rsid w:val="00775FBF"/>
    <w:rsid w:val="007760E3"/>
    <w:rsid w:val="007767CF"/>
    <w:rsid w:val="00776B84"/>
    <w:rsid w:val="00776EA3"/>
    <w:rsid w:val="00776F1C"/>
    <w:rsid w:val="00776F83"/>
    <w:rsid w:val="007770C4"/>
    <w:rsid w:val="00777407"/>
    <w:rsid w:val="007777EA"/>
    <w:rsid w:val="0077780A"/>
    <w:rsid w:val="0077782A"/>
    <w:rsid w:val="007779A3"/>
    <w:rsid w:val="00777BE7"/>
    <w:rsid w:val="00777C4D"/>
    <w:rsid w:val="00777E27"/>
    <w:rsid w:val="00780481"/>
    <w:rsid w:val="00780A04"/>
    <w:rsid w:val="00780C24"/>
    <w:rsid w:val="00780D70"/>
    <w:rsid w:val="00780DE0"/>
    <w:rsid w:val="00780E33"/>
    <w:rsid w:val="007811A1"/>
    <w:rsid w:val="007816C4"/>
    <w:rsid w:val="007817AC"/>
    <w:rsid w:val="00781B8E"/>
    <w:rsid w:val="00781BDC"/>
    <w:rsid w:val="00781DB8"/>
    <w:rsid w:val="007826DB"/>
    <w:rsid w:val="00782726"/>
    <w:rsid w:val="007828AE"/>
    <w:rsid w:val="00782908"/>
    <w:rsid w:val="00782DA7"/>
    <w:rsid w:val="00783142"/>
    <w:rsid w:val="00783153"/>
    <w:rsid w:val="007834DF"/>
    <w:rsid w:val="00783673"/>
    <w:rsid w:val="00783A28"/>
    <w:rsid w:val="00784527"/>
    <w:rsid w:val="00784817"/>
    <w:rsid w:val="00784DDF"/>
    <w:rsid w:val="00784DFF"/>
    <w:rsid w:val="0078561D"/>
    <w:rsid w:val="0078594B"/>
    <w:rsid w:val="00785AE7"/>
    <w:rsid w:val="00785CD3"/>
    <w:rsid w:val="00786269"/>
    <w:rsid w:val="00786770"/>
    <w:rsid w:val="007868AC"/>
    <w:rsid w:val="00786A29"/>
    <w:rsid w:val="00787385"/>
    <w:rsid w:val="00787476"/>
    <w:rsid w:val="0079063E"/>
    <w:rsid w:val="00790658"/>
    <w:rsid w:val="007908DB"/>
    <w:rsid w:val="00790B0E"/>
    <w:rsid w:val="00790BE8"/>
    <w:rsid w:val="00790D95"/>
    <w:rsid w:val="0079166C"/>
    <w:rsid w:val="007916BC"/>
    <w:rsid w:val="00791B04"/>
    <w:rsid w:val="00791E80"/>
    <w:rsid w:val="00792132"/>
    <w:rsid w:val="007921BC"/>
    <w:rsid w:val="00792798"/>
    <w:rsid w:val="00792B8A"/>
    <w:rsid w:val="00792C5A"/>
    <w:rsid w:val="007930FB"/>
    <w:rsid w:val="007931DE"/>
    <w:rsid w:val="0079329A"/>
    <w:rsid w:val="007935F6"/>
    <w:rsid w:val="007936B1"/>
    <w:rsid w:val="00793C02"/>
    <w:rsid w:val="0079450C"/>
    <w:rsid w:val="007946BA"/>
    <w:rsid w:val="00794AD7"/>
    <w:rsid w:val="00794DB5"/>
    <w:rsid w:val="007954C3"/>
    <w:rsid w:val="00795625"/>
    <w:rsid w:val="0079569E"/>
    <w:rsid w:val="007957FD"/>
    <w:rsid w:val="00796175"/>
    <w:rsid w:val="0079634F"/>
    <w:rsid w:val="007966D3"/>
    <w:rsid w:val="00796940"/>
    <w:rsid w:val="00796AD9"/>
    <w:rsid w:val="00796C67"/>
    <w:rsid w:val="00796EBF"/>
    <w:rsid w:val="0079703C"/>
    <w:rsid w:val="007972D3"/>
    <w:rsid w:val="00797329"/>
    <w:rsid w:val="0079740F"/>
    <w:rsid w:val="007977A4"/>
    <w:rsid w:val="00797A72"/>
    <w:rsid w:val="00797DB1"/>
    <w:rsid w:val="00797F56"/>
    <w:rsid w:val="007A0305"/>
    <w:rsid w:val="007A0B55"/>
    <w:rsid w:val="007A0D3A"/>
    <w:rsid w:val="007A0DE2"/>
    <w:rsid w:val="007A1040"/>
    <w:rsid w:val="007A106B"/>
    <w:rsid w:val="007A1274"/>
    <w:rsid w:val="007A12A5"/>
    <w:rsid w:val="007A12A6"/>
    <w:rsid w:val="007A16A3"/>
    <w:rsid w:val="007A17F1"/>
    <w:rsid w:val="007A1A4A"/>
    <w:rsid w:val="007A1EC1"/>
    <w:rsid w:val="007A23A2"/>
    <w:rsid w:val="007A244D"/>
    <w:rsid w:val="007A26F2"/>
    <w:rsid w:val="007A29B6"/>
    <w:rsid w:val="007A2DE3"/>
    <w:rsid w:val="007A30FE"/>
    <w:rsid w:val="007A34E9"/>
    <w:rsid w:val="007A355F"/>
    <w:rsid w:val="007A3689"/>
    <w:rsid w:val="007A36F1"/>
    <w:rsid w:val="007A370D"/>
    <w:rsid w:val="007A38E4"/>
    <w:rsid w:val="007A3A08"/>
    <w:rsid w:val="007A3B9C"/>
    <w:rsid w:val="007A3CCD"/>
    <w:rsid w:val="007A4275"/>
    <w:rsid w:val="007A429E"/>
    <w:rsid w:val="007A4510"/>
    <w:rsid w:val="007A4605"/>
    <w:rsid w:val="007A4629"/>
    <w:rsid w:val="007A4770"/>
    <w:rsid w:val="007A4B04"/>
    <w:rsid w:val="007A5054"/>
    <w:rsid w:val="007A5192"/>
    <w:rsid w:val="007A5397"/>
    <w:rsid w:val="007A552A"/>
    <w:rsid w:val="007A56A1"/>
    <w:rsid w:val="007A5863"/>
    <w:rsid w:val="007A5A34"/>
    <w:rsid w:val="007A5B1D"/>
    <w:rsid w:val="007A5C0B"/>
    <w:rsid w:val="007A69FC"/>
    <w:rsid w:val="007A6CC1"/>
    <w:rsid w:val="007A74C5"/>
    <w:rsid w:val="007A76E1"/>
    <w:rsid w:val="007A7E4C"/>
    <w:rsid w:val="007A7ED4"/>
    <w:rsid w:val="007A7F39"/>
    <w:rsid w:val="007B01B0"/>
    <w:rsid w:val="007B0787"/>
    <w:rsid w:val="007B0ADC"/>
    <w:rsid w:val="007B0C39"/>
    <w:rsid w:val="007B0D56"/>
    <w:rsid w:val="007B0E96"/>
    <w:rsid w:val="007B11FF"/>
    <w:rsid w:val="007B1368"/>
    <w:rsid w:val="007B17B1"/>
    <w:rsid w:val="007B1A8E"/>
    <w:rsid w:val="007B1B6D"/>
    <w:rsid w:val="007B1BBB"/>
    <w:rsid w:val="007B1C0D"/>
    <w:rsid w:val="007B2349"/>
    <w:rsid w:val="007B29C1"/>
    <w:rsid w:val="007B2AE8"/>
    <w:rsid w:val="007B2C58"/>
    <w:rsid w:val="007B2D11"/>
    <w:rsid w:val="007B2DE3"/>
    <w:rsid w:val="007B2E0D"/>
    <w:rsid w:val="007B2E63"/>
    <w:rsid w:val="007B2E7D"/>
    <w:rsid w:val="007B3640"/>
    <w:rsid w:val="007B3A02"/>
    <w:rsid w:val="007B3B22"/>
    <w:rsid w:val="007B3C53"/>
    <w:rsid w:val="007B3F98"/>
    <w:rsid w:val="007B4CFB"/>
    <w:rsid w:val="007B4F44"/>
    <w:rsid w:val="007B5720"/>
    <w:rsid w:val="007B5818"/>
    <w:rsid w:val="007B5CC0"/>
    <w:rsid w:val="007B5DEB"/>
    <w:rsid w:val="007B6032"/>
    <w:rsid w:val="007B605F"/>
    <w:rsid w:val="007B639A"/>
    <w:rsid w:val="007B6706"/>
    <w:rsid w:val="007B673F"/>
    <w:rsid w:val="007B6801"/>
    <w:rsid w:val="007B685F"/>
    <w:rsid w:val="007B68B4"/>
    <w:rsid w:val="007B6FA1"/>
    <w:rsid w:val="007B7096"/>
    <w:rsid w:val="007B7298"/>
    <w:rsid w:val="007B7449"/>
    <w:rsid w:val="007B78F1"/>
    <w:rsid w:val="007B794E"/>
    <w:rsid w:val="007B7ACB"/>
    <w:rsid w:val="007B7AE1"/>
    <w:rsid w:val="007B7C02"/>
    <w:rsid w:val="007B7E56"/>
    <w:rsid w:val="007B7FA0"/>
    <w:rsid w:val="007C0018"/>
    <w:rsid w:val="007C00EA"/>
    <w:rsid w:val="007C0309"/>
    <w:rsid w:val="007C0509"/>
    <w:rsid w:val="007C05BB"/>
    <w:rsid w:val="007C07A2"/>
    <w:rsid w:val="007C09DC"/>
    <w:rsid w:val="007C0A35"/>
    <w:rsid w:val="007C0A9B"/>
    <w:rsid w:val="007C0D95"/>
    <w:rsid w:val="007C0F82"/>
    <w:rsid w:val="007C0FF6"/>
    <w:rsid w:val="007C10DF"/>
    <w:rsid w:val="007C1137"/>
    <w:rsid w:val="007C1277"/>
    <w:rsid w:val="007C1307"/>
    <w:rsid w:val="007C1379"/>
    <w:rsid w:val="007C17E1"/>
    <w:rsid w:val="007C1821"/>
    <w:rsid w:val="007C19A2"/>
    <w:rsid w:val="007C1C02"/>
    <w:rsid w:val="007C1CA2"/>
    <w:rsid w:val="007C2190"/>
    <w:rsid w:val="007C2307"/>
    <w:rsid w:val="007C2B38"/>
    <w:rsid w:val="007C2F71"/>
    <w:rsid w:val="007C321B"/>
    <w:rsid w:val="007C33A4"/>
    <w:rsid w:val="007C33B4"/>
    <w:rsid w:val="007C38A1"/>
    <w:rsid w:val="007C3B3B"/>
    <w:rsid w:val="007C3E44"/>
    <w:rsid w:val="007C3ED2"/>
    <w:rsid w:val="007C3FE8"/>
    <w:rsid w:val="007C4066"/>
    <w:rsid w:val="007C430B"/>
    <w:rsid w:val="007C49DB"/>
    <w:rsid w:val="007C4D22"/>
    <w:rsid w:val="007C524A"/>
    <w:rsid w:val="007C52B9"/>
    <w:rsid w:val="007C55B8"/>
    <w:rsid w:val="007C590D"/>
    <w:rsid w:val="007C5A2D"/>
    <w:rsid w:val="007C5AE1"/>
    <w:rsid w:val="007C6076"/>
    <w:rsid w:val="007C6476"/>
    <w:rsid w:val="007C6543"/>
    <w:rsid w:val="007C68FD"/>
    <w:rsid w:val="007C6A50"/>
    <w:rsid w:val="007C6A7A"/>
    <w:rsid w:val="007C6DED"/>
    <w:rsid w:val="007C6FCF"/>
    <w:rsid w:val="007C73C7"/>
    <w:rsid w:val="007C75B7"/>
    <w:rsid w:val="007C78FF"/>
    <w:rsid w:val="007D0267"/>
    <w:rsid w:val="007D0365"/>
    <w:rsid w:val="007D0393"/>
    <w:rsid w:val="007D044C"/>
    <w:rsid w:val="007D0AB2"/>
    <w:rsid w:val="007D0F3A"/>
    <w:rsid w:val="007D138E"/>
    <w:rsid w:val="007D16A3"/>
    <w:rsid w:val="007D17E8"/>
    <w:rsid w:val="007D1800"/>
    <w:rsid w:val="007D1CB3"/>
    <w:rsid w:val="007D1F1E"/>
    <w:rsid w:val="007D1F81"/>
    <w:rsid w:val="007D20C5"/>
    <w:rsid w:val="007D2227"/>
    <w:rsid w:val="007D238A"/>
    <w:rsid w:val="007D25F6"/>
    <w:rsid w:val="007D293F"/>
    <w:rsid w:val="007D2F42"/>
    <w:rsid w:val="007D3421"/>
    <w:rsid w:val="007D3A7E"/>
    <w:rsid w:val="007D3B3D"/>
    <w:rsid w:val="007D3C1C"/>
    <w:rsid w:val="007D3C69"/>
    <w:rsid w:val="007D3F1B"/>
    <w:rsid w:val="007D4586"/>
    <w:rsid w:val="007D4933"/>
    <w:rsid w:val="007D4965"/>
    <w:rsid w:val="007D4AF0"/>
    <w:rsid w:val="007D4B6F"/>
    <w:rsid w:val="007D550D"/>
    <w:rsid w:val="007D58DB"/>
    <w:rsid w:val="007D5BBD"/>
    <w:rsid w:val="007D5D7E"/>
    <w:rsid w:val="007D5EFF"/>
    <w:rsid w:val="007D6129"/>
    <w:rsid w:val="007D61E3"/>
    <w:rsid w:val="007D65EA"/>
    <w:rsid w:val="007D6BD4"/>
    <w:rsid w:val="007D6BF4"/>
    <w:rsid w:val="007D6D3D"/>
    <w:rsid w:val="007D7015"/>
    <w:rsid w:val="007D7919"/>
    <w:rsid w:val="007D7CC9"/>
    <w:rsid w:val="007D7D16"/>
    <w:rsid w:val="007D7DE6"/>
    <w:rsid w:val="007E01AE"/>
    <w:rsid w:val="007E0212"/>
    <w:rsid w:val="007E0254"/>
    <w:rsid w:val="007E035F"/>
    <w:rsid w:val="007E0E0C"/>
    <w:rsid w:val="007E0F85"/>
    <w:rsid w:val="007E1438"/>
    <w:rsid w:val="007E1581"/>
    <w:rsid w:val="007E1598"/>
    <w:rsid w:val="007E1674"/>
    <w:rsid w:val="007E188F"/>
    <w:rsid w:val="007E19CE"/>
    <w:rsid w:val="007E1C87"/>
    <w:rsid w:val="007E267F"/>
    <w:rsid w:val="007E2A92"/>
    <w:rsid w:val="007E2CFF"/>
    <w:rsid w:val="007E2D7F"/>
    <w:rsid w:val="007E300E"/>
    <w:rsid w:val="007E3047"/>
    <w:rsid w:val="007E38E6"/>
    <w:rsid w:val="007E39EE"/>
    <w:rsid w:val="007E3D8A"/>
    <w:rsid w:val="007E3DA6"/>
    <w:rsid w:val="007E4678"/>
    <w:rsid w:val="007E47A1"/>
    <w:rsid w:val="007E493D"/>
    <w:rsid w:val="007E49B2"/>
    <w:rsid w:val="007E4A19"/>
    <w:rsid w:val="007E509A"/>
    <w:rsid w:val="007E509F"/>
    <w:rsid w:val="007E544A"/>
    <w:rsid w:val="007E576C"/>
    <w:rsid w:val="007E57A6"/>
    <w:rsid w:val="007E59B2"/>
    <w:rsid w:val="007E5B89"/>
    <w:rsid w:val="007E5B8A"/>
    <w:rsid w:val="007E5EEF"/>
    <w:rsid w:val="007E624B"/>
    <w:rsid w:val="007E6427"/>
    <w:rsid w:val="007E66B9"/>
    <w:rsid w:val="007E677B"/>
    <w:rsid w:val="007E67C8"/>
    <w:rsid w:val="007E6C11"/>
    <w:rsid w:val="007E7099"/>
    <w:rsid w:val="007E7154"/>
    <w:rsid w:val="007E7539"/>
    <w:rsid w:val="007E7576"/>
    <w:rsid w:val="007E7EF6"/>
    <w:rsid w:val="007E7F4B"/>
    <w:rsid w:val="007E7F55"/>
    <w:rsid w:val="007F0137"/>
    <w:rsid w:val="007F0786"/>
    <w:rsid w:val="007F0DC8"/>
    <w:rsid w:val="007F0DE2"/>
    <w:rsid w:val="007F0E58"/>
    <w:rsid w:val="007F1043"/>
    <w:rsid w:val="007F1587"/>
    <w:rsid w:val="007F16C0"/>
    <w:rsid w:val="007F1AE7"/>
    <w:rsid w:val="007F1B44"/>
    <w:rsid w:val="007F1C00"/>
    <w:rsid w:val="007F1CF0"/>
    <w:rsid w:val="007F2689"/>
    <w:rsid w:val="007F2759"/>
    <w:rsid w:val="007F2A40"/>
    <w:rsid w:val="007F320C"/>
    <w:rsid w:val="007F3629"/>
    <w:rsid w:val="007F3EF5"/>
    <w:rsid w:val="007F3FB3"/>
    <w:rsid w:val="007F4551"/>
    <w:rsid w:val="007F4A0D"/>
    <w:rsid w:val="007F4A38"/>
    <w:rsid w:val="007F4E55"/>
    <w:rsid w:val="007F5066"/>
    <w:rsid w:val="007F51F0"/>
    <w:rsid w:val="007F546E"/>
    <w:rsid w:val="007F58E6"/>
    <w:rsid w:val="007F5D14"/>
    <w:rsid w:val="007F63B6"/>
    <w:rsid w:val="007F681E"/>
    <w:rsid w:val="007F696C"/>
    <w:rsid w:val="007F6A01"/>
    <w:rsid w:val="007F6BBB"/>
    <w:rsid w:val="007F6E26"/>
    <w:rsid w:val="007F6F77"/>
    <w:rsid w:val="007F72B0"/>
    <w:rsid w:val="007F7391"/>
    <w:rsid w:val="007F7750"/>
    <w:rsid w:val="007F796E"/>
    <w:rsid w:val="008001C5"/>
    <w:rsid w:val="00800230"/>
    <w:rsid w:val="008002AE"/>
    <w:rsid w:val="0080042C"/>
    <w:rsid w:val="00800A54"/>
    <w:rsid w:val="00800D0B"/>
    <w:rsid w:val="00800F56"/>
    <w:rsid w:val="00801077"/>
    <w:rsid w:val="0080121F"/>
    <w:rsid w:val="00801255"/>
    <w:rsid w:val="0080188E"/>
    <w:rsid w:val="008018DA"/>
    <w:rsid w:val="008019EA"/>
    <w:rsid w:val="00801C0C"/>
    <w:rsid w:val="00801C8A"/>
    <w:rsid w:val="00801D41"/>
    <w:rsid w:val="00802EEE"/>
    <w:rsid w:val="00803136"/>
    <w:rsid w:val="0080385F"/>
    <w:rsid w:val="008039B9"/>
    <w:rsid w:val="008039DE"/>
    <w:rsid w:val="008039E6"/>
    <w:rsid w:val="00803BAE"/>
    <w:rsid w:val="00803E14"/>
    <w:rsid w:val="00804180"/>
    <w:rsid w:val="0080439A"/>
    <w:rsid w:val="00804761"/>
    <w:rsid w:val="00804B97"/>
    <w:rsid w:val="00804D3D"/>
    <w:rsid w:val="00804DDF"/>
    <w:rsid w:val="00805448"/>
    <w:rsid w:val="0080561C"/>
    <w:rsid w:val="00805B5E"/>
    <w:rsid w:val="00805DE7"/>
    <w:rsid w:val="00805FC5"/>
    <w:rsid w:val="00806163"/>
    <w:rsid w:val="00806266"/>
    <w:rsid w:val="00806314"/>
    <w:rsid w:val="0080639A"/>
    <w:rsid w:val="00806428"/>
    <w:rsid w:val="008066C1"/>
    <w:rsid w:val="008067D4"/>
    <w:rsid w:val="008068B2"/>
    <w:rsid w:val="00806961"/>
    <w:rsid w:val="00806B30"/>
    <w:rsid w:val="00806C99"/>
    <w:rsid w:val="008072F1"/>
    <w:rsid w:val="00807737"/>
    <w:rsid w:val="008079DC"/>
    <w:rsid w:val="00807A6A"/>
    <w:rsid w:val="00807ABE"/>
    <w:rsid w:val="00807B77"/>
    <w:rsid w:val="00810019"/>
    <w:rsid w:val="0081015B"/>
    <w:rsid w:val="0081029E"/>
    <w:rsid w:val="0081033B"/>
    <w:rsid w:val="00810BA9"/>
    <w:rsid w:val="00811180"/>
    <w:rsid w:val="00811423"/>
    <w:rsid w:val="008114C8"/>
    <w:rsid w:val="0081153F"/>
    <w:rsid w:val="008115CD"/>
    <w:rsid w:val="008116B7"/>
    <w:rsid w:val="00811712"/>
    <w:rsid w:val="00811A5F"/>
    <w:rsid w:val="00811A7F"/>
    <w:rsid w:val="0081218A"/>
    <w:rsid w:val="00812476"/>
    <w:rsid w:val="0081266C"/>
    <w:rsid w:val="008126E4"/>
    <w:rsid w:val="00812DEA"/>
    <w:rsid w:val="00813367"/>
    <w:rsid w:val="0081358E"/>
    <w:rsid w:val="00813828"/>
    <w:rsid w:val="00813B75"/>
    <w:rsid w:val="0081401D"/>
    <w:rsid w:val="008141A7"/>
    <w:rsid w:val="00814320"/>
    <w:rsid w:val="00814490"/>
    <w:rsid w:val="00814C51"/>
    <w:rsid w:val="00814F61"/>
    <w:rsid w:val="00814F66"/>
    <w:rsid w:val="00815253"/>
    <w:rsid w:val="0081550A"/>
    <w:rsid w:val="00815632"/>
    <w:rsid w:val="00815757"/>
    <w:rsid w:val="00815C78"/>
    <w:rsid w:val="0081658E"/>
    <w:rsid w:val="0081691D"/>
    <w:rsid w:val="008169BE"/>
    <w:rsid w:val="0081729A"/>
    <w:rsid w:val="00817CFD"/>
    <w:rsid w:val="00817E6F"/>
    <w:rsid w:val="00820103"/>
    <w:rsid w:val="0082019B"/>
    <w:rsid w:val="0082036A"/>
    <w:rsid w:val="0082064D"/>
    <w:rsid w:val="008208A3"/>
    <w:rsid w:val="008208D2"/>
    <w:rsid w:val="008209A6"/>
    <w:rsid w:val="00821326"/>
    <w:rsid w:val="00821332"/>
    <w:rsid w:val="008213A2"/>
    <w:rsid w:val="0082179D"/>
    <w:rsid w:val="008221C3"/>
    <w:rsid w:val="00822454"/>
    <w:rsid w:val="00822840"/>
    <w:rsid w:val="0082327D"/>
    <w:rsid w:val="008235E8"/>
    <w:rsid w:val="00823B2C"/>
    <w:rsid w:val="00823CB6"/>
    <w:rsid w:val="00823F27"/>
    <w:rsid w:val="00824C64"/>
    <w:rsid w:val="00824FC8"/>
    <w:rsid w:val="00825B4C"/>
    <w:rsid w:val="00826052"/>
    <w:rsid w:val="0082605E"/>
    <w:rsid w:val="008260BC"/>
    <w:rsid w:val="00826338"/>
    <w:rsid w:val="00826CC7"/>
    <w:rsid w:val="00826D57"/>
    <w:rsid w:val="0082700A"/>
    <w:rsid w:val="0082719D"/>
    <w:rsid w:val="0082755D"/>
    <w:rsid w:val="0082788A"/>
    <w:rsid w:val="00827BAC"/>
    <w:rsid w:val="00827CD7"/>
    <w:rsid w:val="0083019E"/>
    <w:rsid w:val="008302FE"/>
    <w:rsid w:val="00830338"/>
    <w:rsid w:val="00830609"/>
    <w:rsid w:val="00830A21"/>
    <w:rsid w:val="00830AB9"/>
    <w:rsid w:val="00830F4E"/>
    <w:rsid w:val="008319FA"/>
    <w:rsid w:val="00832441"/>
    <w:rsid w:val="0083244A"/>
    <w:rsid w:val="008326A9"/>
    <w:rsid w:val="0083272B"/>
    <w:rsid w:val="00832A01"/>
    <w:rsid w:val="00832B3E"/>
    <w:rsid w:val="00832E53"/>
    <w:rsid w:val="00832EFE"/>
    <w:rsid w:val="00832F92"/>
    <w:rsid w:val="0083300E"/>
    <w:rsid w:val="00833160"/>
    <w:rsid w:val="00833178"/>
    <w:rsid w:val="00833626"/>
    <w:rsid w:val="008338AF"/>
    <w:rsid w:val="00833A4A"/>
    <w:rsid w:val="0083445D"/>
    <w:rsid w:val="00834782"/>
    <w:rsid w:val="00834892"/>
    <w:rsid w:val="00834ABB"/>
    <w:rsid w:val="0083518E"/>
    <w:rsid w:val="008356FC"/>
    <w:rsid w:val="0083618D"/>
    <w:rsid w:val="00836339"/>
    <w:rsid w:val="008369DB"/>
    <w:rsid w:val="00836C87"/>
    <w:rsid w:val="00836D29"/>
    <w:rsid w:val="00836E09"/>
    <w:rsid w:val="00837148"/>
    <w:rsid w:val="00837522"/>
    <w:rsid w:val="00837800"/>
    <w:rsid w:val="0083786B"/>
    <w:rsid w:val="00837A4A"/>
    <w:rsid w:val="00837A68"/>
    <w:rsid w:val="00837C8F"/>
    <w:rsid w:val="008400E3"/>
    <w:rsid w:val="0084034A"/>
    <w:rsid w:val="00840521"/>
    <w:rsid w:val="008406E4"/>
    <w:rsid w:val="00840883"/>
    <w:rsid w:val="00840E54"/>
    <w:rsid w:val="00841046"/>
    <w:rsid w:val="00841425"/>
    <w:rsid w:val="008416AD"/>
    <w:rsid w:val="008417DD"/>
    <w:rsid w:val="00841975"/>
    <w:rsid w:val="00841AAE"/>
    <w:rsid w:val="008422E2"/>
    <w:rsid w:val="00842540"/>
    <w:rsid w:val="00842D04"/>
    <w:rsid w:val="00843673"/>
    <w:rsid w:val="00843710"/>
    <w:rsid w:val="0084371F"/>
    <w:rsid w:val="00843C50"/>
    <w:rsid w:val="00843C72"/>
    <w:rsid w:val="00843C88"/>
    <w:rsid w:val="00844039"/>
    <w:rsid w:val="0084418D"/>
    <w:rsid w:val="0084451C"/>
    <w:rsid w:val="00844962"/>
    <w:rsid w:val="00844AC7"/>
    <w:rsid w:val="0084538A"/>
    <w:rsid w:val="008453B8"/>
    <w:rsid w:val="00845E09"/>
    <w:rsid w:val="00845F12"/>
    <w:rsid w:val="00845FD4"/>
    <w:rsid w:val="008463C4"/>
    <w:rsid w:val="008464DE"/>
    <w:rsid w:val="00846921"/>
    <w:rsid w:val="00846B07"/>
    <w:rsid w:val="00846BA0"/>
    <w:rsid w:val="00846CAE"/>
    <w:rsid w:val="00846F50"/>
    <w:rsid w:val="00846FA8"/>
    <w:rsid w:val="0084707D"/>
    <w:rsid w:val="008472F5"/>
    <w:rsid w:val="00847393"/>
    <w:rsid w:val="00847540"/>
    <w:rsid w:val="008475F8"/>
    <w:rsid w:val="00847D2F"/>
    <w:rsid w:val="00847E36"/>
    <w:rsid w:val="0085025E"/>
    <w:rsid w:val="008504AD"/>
    <w:rsid w:val="00850514"/>
    <w:rsid w:val="00850C18"/>
    <w:rsid w:val="0085103F"/>
    <w:rsid w:val="008513A7"/>
    <w:rsid w:val="0085173D"/>
    <w:rsid w:val="00851BF9"/>
    <w:rsid w:val="00851D34"/>
    <w:rsid w:val="00851E09"/>
    <w:rsid w:val="00851E26"/>
    <w:rsid w:val="00851F03"/>
    <w:rsid w:val="00851F29"/>
    <w:rsid w:val="00851F8F"/>
    <w:rsid w:val="00852153"/>
    <w:rsid w:val="008522BA"/>
    <w:rsid w:val="008522C2"/>
    <w:rsid w:val="00852357"/>
    <w:rsid w:val="0085272D"/>
    <w:rsid w:val="0085294A"/>
    <w:rsid w:val="00852AC9"/>
    <w:rsid w:val="008535EF"/>
    <w:rsid w:val="008536E7"/>
    <w:rsid w:val="008538F0"/>
    <w:rsid w:val="00853E34"/>
    <w:rsid w:val="00853E53"/>
    <w:rsid w:val="00854412"/>
    <w:rsid w:val="008547DF"/>
    <w:rsid w:val="008551C8"/>
    <w:rsid w:val="0085527A"/>
    <w:rsid w:val="00855667"/>
    <w:rsid w:val="008559B9"/>
    <w:rsid w:val="00855BAC"/>
    <w:rsid w:val="00855FDB"/>
    <w:rsid w:val="00856071"/>
    <w:rsid w:val="00856085"/>
    <w:rsid w:val="0085625E"/>
    <w:rsid w:val="008566BE"/>
    <w:rsid w:val="00856827"/>
    <w:rsid w:val="00856B43"/>
    <w:rsid w:val="00856E02"/>
    <w:rsid w:val="00856FFC"/>
    <w:rsid w:val="00857175"/>
    <w:rsid w:val="008573B6"/>
    <w:rsid w:val="00857441"/>
    <w:rsid w:val="00857A6A"/>
    <w:rsid w:val="0086046E"/>
    <w:rsid w:val="00860C25"/>
    <w:rsid w:val="00860FE4"/>
    <w:rsid w:val="008616C6"/>
    <w:rsid w:val="00861821"/>
    <w:rsid w:val="00861E9E"/>
    <w:rsid w:val="008620E7"/>
    <w:rsid w:val="0086266B"/>
    <w:rsid w:val="008628F1"/>
    <w:rsid w:val="008631E1"/>
    <w:rsid w:val="00863280"/>
    <w:rsid w:val="00863E74"/>
    <w:rsid w:val="00864204"/>
    <w:rsid w:val="008642D8"/>
    <w:rsid w:val="0086430B"/>
    <w:rsid w:val="00864436"/>
    <w:rsid w:val="008645ED"/>
    <w:rsid w:val="00864699"/>
    <w:rsid w:val="00864816"/>
    <w:rsid w:val="00864F68"/>
    <w:rsid w:val="0086537B"/>
    <w:rsid w:val="008658D3"/>
    <w:rsid w:val="00865A85"/>
    <w:rsid w:val="00865EAA"/>
    <w:rsid w:val="00865F08"/>
    <w:rsid w:val="00866322"/>
    <w:rsid w:val="008667D4"/>
    <w:rsid w:val="008667DA"/>
    <w:rsid w:val="008668B0"/>
    <w:rsid w:val="0086693A"/>
    <w:rsid w:val="00866A7A"/>
    <w:rsid w:val="00866C70"/>
    <w:rsid w:val="00866FD0"/>
    <w:rsid w:val="008671A7"/>
    <w:rsid w:val="00867470"/>
    <w:rsid w:val="00867968"/>
    <w:rsid w:val="00867973"/>
    <w:rsid w:val="00867E75"/>
    <w:rsid w:val="00867E9A"/>
    <w:rsid w:val="00867EC9"/>
    <w:rsid w:val="0087029D"/>
    <w:rsid w:val="008703F6"/>
    <w:rsid w:val="008703F7"/>
    <w:rsid w:val="008708EE"/>
    <w:rsid w:val="00870921"/>
    <w:rsid w:val="00870C77"/>
    <w:rsid w:val="008714F4"/>
    <w:rsid w:val="0087178D"/>
    <w:rsid w:val="00871D0A"/>
    <w:rsid w:val="00871E96"/>
    <w:rsid w:val="00872013"/>
    <w:rsid w:val="0087212C"/>
    <w:rsid w:val="008721FE"/>
    <w:rsid w:val="0087247A"/>
    <w:rsid w:val="00872C36"/>
    <w:rsid w:val="00873490"/>
    <w:rsid w:val="0087358E"/>
    <w:rsid w:val="0087362D"/>
    <w:rsid w:val="00873783"/>
    <w:rsid w:val="00873A06"/>
    <w:rsid w:val="00873D52"/>
    <w:rsid w:val="00873E0C"/>
    <w:rsid w:val="00873F2B"/>
    <w:rsid w:val="008742C9"/>
    <w:rsid w:val="00874A46"/>
    <w:rsid w:val="0087569D"/>
    <w:rsid w:val="008759BC"/>
    <w:rsid w:val="00875F1F"/>
    <w:rsid w:val="00876091"/>
    <w:rsid w:val="008761B4"/>
    <w:rsid w:val="008761DB"/>
    <w:rsid w:val="008763AB"/>
    <w:rsid w:val="00876468"/>
    <w:rsid w:val="008765FD"/>
    <w:rsid w:val="00876648"/>
    <w:rsid w:val="00876DDF"/>
    <w:rsid w:val="008771DC"/>
    <w:rsid w:val="008776C9"/>
    <w:rsid w:val="008776F0"/>
    <w:rsid w:val="00877A67"/>
    <w:rsid w:val="00877C10"/>
    <w:rsid w:val="00877CF6"/>
    <w:rsid w:val="00880168"/>
    <w:rsid w:val="0088032E"/>
    <w:rsid w:val="00880705"/>
    <w:rsid w:val="008807F3"/>
    <w:rsid w:val="008808FE"/>
    <w:rsid w:val="00880DA3"/>
    <w:rsid w:val="00880E6B"/>
    <w:rsid w:val="008812A9"/>
    <w:rsid w:val="00881836"/>
    <w:rsid w:val="00881892"/>
    <w:rsid w:val="00881B54"/>
    <w:rsid w:val="008822B7"/>
    <w:rsid w:val="008822E7"/>
    <w:rsid w:val="008823E0"/>
    <w:rsid w:val="00882470"/>
    <w:rsid w:val="008824FE"/>
    <w:rsid w:val="00882677"/>
    <w:rsid w:val="008827CC"/>
    <w:rsid w:val="0088293E"/>
    <w:rsid w:val="00882F7B"/>
    <w:rsid w:val="0088327C"/>
    <w:rsid w:val="00883280"/>
    <w:rsid w:val="008833C5"/>
    <w:rsid w:val="008837D5"/>
    <w:rsid w:val="00883864"/>
    <w:rsid w:val="0088391C"/>
    <w:rsid w:val="00883BEC"/>
    <w:rsid w:val="00883D51"/>
    <w:rsid w:val="00883EFF"/>
    <w:rsid w:val="00883F2C"/>
    <w:rsid w:val="00884275"/>
    <w:rsid w:val="0088481B"/>
    <w:rsid w:val="00884837"/>
    <w:rsid w:val="00884D5E"/>
    <w:rsid w:val="00884FD3"/>
    <w:rsid w:val="00884FF0"/>
    <w:rsid w:val="0088585D"/>
    <w:rsid w:val="00885E7F"/>
    <w:rsid w:val="0088605E"/>
    <w:rsid w:val="008862C5"/>
    <w:rsid w:val="0088674F"/>
    <w:rsid w:val="00886795"/>
    <w:rsid w:val="00886944"/>
    <w:rsid w:val="00886988"/>
    <w:rsid w:val="008869C7"/>
    <w:rsid w:val="00886E44"/>
    <w:rsid w:val="00886EBD"/>
    <w:rsid w:val="00887431"/>
    <w:rsid w:val="00887492"/>
    <w:rsid w:val="008874E4"/>
    <w:rsid w:val="008877A4"/>
    <w:rsid w:val="008877F0"/>
    <w:rsid w:val="008878C0"/>
    <w:rsid w:val="008879A7"/>
    <w:rsid w:val="008879BA"/>
    <w:rsid w:val="00887CB5"/>
    <w:rsid w:val="00887FC2"/>
    <w:rsid w:val="0089028B"/>
    <w:rsid w:val="008905D0"/>
    <w:rsid w:val="00890846"/>
    <w:rsid w:val="008910A8"/>
    <w:rsid w:val="00891259"/>
    <w:rsid w:val="008914DF"/>
    <w:rsid w:val="00891A37"/>
    <w:rsid w:val="00891F69"/>
    <w:rsid w:val="00892412"/>
    <w:rsid w:val="008926AC"/>
    <w:rsid w:val="00892CA1"/>
    <w:rsid w:val="008930EC"/>
    <w:rsid w:val="008931D2"/>
    <w:rsid w:val="00893640"/>
    <w:rsid w:val="008939DF"/>
    <w:rsid w:val="00893C5E"/>
    <w:rsid w:val="00894105"/>
    <w:rsid w:val="008943DC"/>
    <w:rsid w:val="008948BC"/>
    <w:rsid w:val="008948D8"/>
    <w:rsid w:val="00894913"/>
    <w:rsid w:val="00894B17"/>
    <w:rsid w:val="00894C83"/>
    <w:rsid w:val="00895096"/>
    <w:rsid w:val="008950A3"/>
    <w:rsid w:val="008950C0"/>
    <w:rsid w:val="0089538B"/>
    <w:rsid w:val="0089559A"/>
    <w:rsid w:val="00895CE7"/>
    <w:rsid w:val="008960CE"/>
    <w:rsid w:val="00896241"/>
    <w:rsid w:val="008964C4"/>
    <w:rsid w:val="008967E8"/>
    <w:rsid w:val="00896B8A"/>
    <w:rsid w:val="00896CD8"/>
    <w:rsid w:val="00897001"/>
    <w:rsid w:val="008974C9"/>
    <w:rsid w:val="008974FE"/>
    <w:rsid w:val="00897AC3"/>
    <w:rsid w:val="00897CD2"/>
    <w:rsid w:val="00897D7D"/>
    <w:rsid w:val="00897F35"/>
    <w:rsid w:val="008A03F5"/>
    <w:rsid w:val="008A0429"/>
    <w:rsid w:val="008A0762"/>
    <w:rsid w:val="008A0AE2"/>
    <w:rsid w:val="008A0F5D"/>
    <w:rsid w:val="008A1122"/>
    <w:rsid w:val="008A1BE2"/>
    <w:rsid w:val="008A1D5F"/>
    <w:rsid w:val="008A210D"/>
    <w:rsid w:val="008A21B8"/>
    <w:rsid w:val="008A23AC"/>
    <w:rsid w:val="008A261E"/>
    <w:rsid w:val="008A26B0"/>
    <w:rsid w:val="008A2718"/>
    <w:rsid w:val="008A2848"/>
    <w:rsid w:val="008A288B"/>
    <w:rsid w:val="008A2DAD"/>
    <w:rsid w:val="008A2FFC"/>
    <w:rsid w:val="008A30CD"/>
    <w:rsid w:val="008A35C2"/>
    <w:rsid w:val="008A3622"/>
    <w:rsid w:val="008A38FC"/>
    <w:rsid w:val="008A3C99"/>
    <w:rsid w:val="008A3D7C"/>
    <w:rsid w:val="008A3DC1"/>
    <w:rsid w:val="008A45C3"/>
    <w:rsid w:val="008A47C5"/>
    <w:rsid w:val="008A4845"/>
    <w:rsid w:val="008A4995"/>
    <w:rsid w:val="008A4E4F"/>
    <w:rsid w:val="008A5189"/>
    <w:rsid w:val="008A521D"/>
    <w:rsid w:val="008A52C0"/>
    <w:rsid w:val="008A55DF"/>
    <w:rsid w:val="008A5CEB"/>
    <w:rsid w:val="008A60EA"/>
    <w:rsid w:val="008A6117"/>
    <w:rsid w:val="008A6168"/>
    <w:rsid w:val="008A6566"/>
    <w:rsid w:val="008A66B9"/>
    <w:rsid w:val="008A6793"/>
    <w:rsid w:val="008A6EE8"/>
    <w:rsid w:val="008A6F68"/>
    <w:rsid w:val="008A7350"/>
    <w:rsid w:val="008A754F"/>
    <w:rsid w:val="008A7A39"/>
    <w:rsid w:val="008A7BCF"/>
    <w:rsid w:val="008B0106"/>
    <w:rsid w:val="008B08B9"/>
    <w:rsid w:val="008B08DF"/>
    <w:rsid w:val="008B092E"/>
    <w:rsid w:val="008B0A0C"/>
    <w:rsid w:val="008B0C1A"/>
    <w:rsid w:val="008B0D40"/>
    <w:rsid w:val="008B0DA7"/>
    <w:rsid w:val="008B0EB1"/>
    <w:rsid w:val="008B1235"/>
    <w:rsid w:val="008B15C5"/>
    <w:rsid w:val="008B2247"/>
    <w:rsid w:val="008B241C"/>
    <w:rsid w:val="008B24EA"/>
    <w:rsid w:val="008B25A6"/>
    <w:rsid w:val="008B2677"/>
    <w:rsid w:val="008B26A5"/>
    <w:rsid w:val="008B2889"/>
    <w:rsid w:val="008B288A"/>
    <w:rsid w:val="008B2B41"/>
    <w:rsid w:val="008B321C"/>
    <w:rsid w:val="008B33AD"/>
    <w:rsid w:val="008B3804"/>
    <w:rsid w:val="008B38E7"/>
    <w:rsid w:val="008B39B7"/>
    <w:rsid w:val="008B3A2A"/>
    <w:rsid w:val="008B3C33"/>
    <w:rsid w:val="008B41CA"/>
    <w:rsid w:val="008B45C6"/>
    <w:rsid w:val="008B468B"/>
    <w:rsid w:val="008B4938"/>
    <w:rsid w:val="008B5282"/>
    <w:rsid w:val="008B53D4"/>
    <w:rsid w:val="008B5A36"/>
    <w:rsid w:val="008B5CAA"/>
    <w:rsid w:val="008B6330"/>
    <w:rsid w:val="008B64C6"/>
    <w:rsid w:val="008B64FD"/>
    <w:rsid w:val="008B6B08"/>
    <w:rsid w:val="008B6BE4"/>
    <w:rsid w:val="008B6C81"/>
    <w:rsid w:val="008B6D44"/>
    <w:rsid w:val="008B6E46"/>
    <w:rsid w:val="008B6F03"/>
    <w:rsid w:val="008B6F31"/>
    <w:rsid w:val="008B701D"/>
    <w:rsid w:val="008B750E"/>
    <w:rsid w:val="008B77BF"/>
    <w:rsid w:val="008B78F0"/>
    <w:rsid w:val="008B79C2"/>
    <w:rsid w:val="008B7D22"/>
    <w:rsid w:val="008B7F0B"/>
    <w:rsid w:val="008B7F94"/>
    <w:rsid w:val="008C0219"/>
    <w:rsid w:val="008C0266"/>
    <w:rsid w:val="008C08A0"/>
    <w:rsid w:val="008C08D8"/>
    <w:rsid w:val="008C08EC"/>
    <w:rsid w:val="008C0CE4"/>
    <w:rsid w:val="008C11B1"/>
    <w:rsid w:val="008C11C5"/>
    <w:rsid w:val="008C1929"/>
    <w:rsid w:val="008C1991"/>
    <w:rsid w:val="008C19A5"/>
    <w:rsid w:val="008C1E6C"/>
    <w:rsid w:val="008C227D"/>
    <w:rsid w:val="008C283F"/>
    <w:rsid w:val="008C2ACD"/>
    <w:rsid w:val="008C2B41"/>
    <w:rsid w:val="008C2DE8"/>
    <w:rsid w:val="008C3299"/>
    <w:rsid w:val="008C335C"/>
    <w:rsid w:val="008C3411"/>
    <w:rsid w:val="008C35CE"/>
    <w:rsid w:val="008C3E26"/>
    <w:rsid w:val="008C3EC4"/>
    <w:rsid w:val="008C41F9"/>
    <w:rsid w:val="008C4648"/>
    <w:rsid w:val="008C4770"/>
    <w:rsid w:val="008C4B14"/>
    <w:rsid w:val="008C4B96"/>
    <w:rsid w:val="008C52A6"/>
    <w:rsid w:val="008C5607"/>
    <w:rsid w:val="008C5ABB"/>
    <w:rsid w:val="008C5C2B"/>
    <w:rsid w:val="008C5DD6"/>
    <w:rsid w:val="008C5EA8"/>
    <w:rsid w:val="008C5F04"/>
    <w:rsid w:val="008C60CB"/>
    <w:rsid w:val="008C61B0"/>
    <w:rsid w:val="008C6604"/>
    <w:rsid w:val="008C671F"/>
    <w:rsid w:val="008C6812"/>
    <w:rsid w:val="008C698B"/>
    <w:rsid w:val="008C6DA9"/>
    <w:rsid w:val="008C6DAF"/>
    <w:rsid w:val="008C700D"/>
    <w:rsid w:val="008C738C"/>
    <w:rsid w:val="008C741C"/>
    <w:rsid w:val="008C74B7"/>
    <w:rsid w:val="008C75A5"/>
    <w:rsid w:val="008C77CA"/>
    <w:rsid w:val="008C7867"/>
    <w:rsid w:val="008C7B81"/>
    <w:rsid w:val="008C7C13"/>
    <w:rsid w:val="008D0202"/>
    <w:rsid w:val="008D024A"/>
    <w:rsid w:val="008D030E"/>
    <w:rsid w:val="008D0649"/>
    <w:rsid w:val="008D079F"/>
    <w:rsid w:val="008D0956"/>
    <w:rsid w:val="008D0A60"/>
    <w:rsid w:val="008D0ED4"/>
    <w:rsid w:val="008D0F22"/>
    <w:rsid w:val="008D0FEA"/>
    <w:rsid w:val="008D10B8"/>
    <w:rsid w:val="008D1123"/>
    <w:rsid w:val="008D142D"/>
    <w:rsid w:val="008D1655"/>
    <w:rsid w:val="008D1772"/>
    <w:rsid w:val="008D1898"/>
    <w:rsid w:val="008D1DC7"/>
    <w:rsid w:val="008D226B"/>
    <w:rsid w:val="008D2373"/>
    <w:rsid w:val="008D23C3"/>
    <w:rsid w:val="008D2422"/>
    <w:rsid w:val="008D25CA"/>
    <w:rsid w:val="008D2A7B"/>
    <w:rsid w:val="008D322C"/>
    <w:rsid w:val="008D42C4"/>
    <w:rsid w:val="008D442F"/>
    <w:rsid w:val="008D4514"/>
    <w:rsid w:val="008D45DB"/>
    <w:rsid w:val="008D4664"/>
    <w:rsid w:val="008D46C9"/>
    <w:rsid w:val="008D48B6"/>
    <w:rsid w:val="008D4903"/>
    <w:rsid w:val="008D490E"/>
    <w:rsid w:val="008D49AF"/>
    <w:rsid w:val="008D4C2F"/>
    <w:rsid w:val="008D4CBA"/>
    <w:rsid w:val="008D5038"/>
    <w:rsid w:val="008D53D4"/>
    <w:rsid w:val="008D5548"/>
    <w:rsid w:val="008D5560"/>
    <w:rsid w:val="008D59FF"/>
    <w:rsid w:val="008D5F6C"/>
    <w:rsid w:val="008D608C"/>
    <w:rsid w:val="008D60FC"/>
    <w:rsid w:val="008D6223"/>
    <w:rsid w:val="008D6277"/>
    <w:rsid w:val="008D640E"/>
    <w:rsid w:val="008D6756"/>
    <w:rsid w:val="008D6778"/>
    <w:rsid w:val="008D6CDC"/>
    <w:rsid w:val="008D6E8C"/>
    <w:rsid w:val="008D6E92"/>
    <w:rsid w:val="008D6EC0"/>
    <w:rsid w:val="008D71D7"/>
    <w:rsid w:val="008D74E7"/>
    <w:rsid w:val="008D78CB"/>
    <w:rsid w:val="008D7A61"/>
    <w:rsid w:val="008D7DFD"/>
    <w:rsid w:val="008D7F8E"/>
    <w:rsid w:val="008E0361"/>
    <w:rsid w:val="008E06EB"/>
    <w:rsid w:val="008E0B20"/>
    <w:rsid w:val="008E0D1F"/>
    <w:rsid w:val="008E12BC"/>
    <w:rsid w:val="008E1714"/>
    <w:rsid w:val="008E1946"/>
    <w:rsid w:val="008E1BA6"/>
    <w:rsid w:val="008E1DA3"/>
    <w:rsid w:val="008E1DB3"/>
    <w:rsid w:val="008E1DBF"/>
    <w:rsid w:val="008E250A"/>
    <w:rsid w:val="008E2FCF"/>
    <w:rsid w:val="008E31F6"/>
    <w:rsid w:val="008E367D"/>
    <w:rsid w:val="008E369E"/>
    <w:rsid w:val="008E37E8"/>
    <w:rsid w:val="008E3A34"/>
    <w:rsid w:val="008E3A87"/>
    <w:rsid w:val="008E3C00"/>
    <w:rsid w:val="008E42F2"/>
    <w:rsid w:val="008E4399"/>
    <w:rsid w:val="008E45FB"/>
    <w:rsid w:val="008E468E"/>
    <w:rsid w:val="008E4702"/>
    <w:rsid w:val="008E4AD4"/>
    <w:rsid w:val="008E4B7F"/>
    <w:rsid w:val="008E5168"/>
    <w:rsid w:val="008E56A4"/>
    <w:rsid w:val="008E59B0"/>
    <w:rsid w:val="008E5AF2"/>
    <w:rsid w:val="008E60EC"/>
    <w:rsid w:val="008E6383"/>
    <w:rsid w:val="008E63DE"/>
    <w:rsid w:val="008E63E5"/>
    <w:rsid w:val="008E6763"/>
    <w:rsid w:val="008E6A3F"/>
    <w:rsid w:val="008E6A57"/>
    <w:rsid w:val="008E6AE8"/>
    <w:rsid w:val="008E6FFB"/>
    <w:rsid w:val="008E7803"/>
    <w:rsid w:val="008E7B91"/>
    <w:rsid w:val="008E7D7B"/>
    <w:rsid w:val="008F0143"/>
    <w:rsid w:val="008F0353"/>
    <w:rsid w:val="008F05E1"/>
    <w:rsid w:val="008F0797"/>
    <w:rsid w:val="008F0827"/>
    <w:rsid w:val="008F0E63"/>
    <w:rsid w:val="008F0FC5"/>
    <w:rsid w:val="008F11D8"/>
    <w:rsid w:val="008F131F"/>
    <w:rsid w:val="008F154D"/>
    <w:rsid w:val="008F15B9"/>
    <w:rsid w:val="008F1A82"/>
    <w:rsid w:val="008F1B70"/>
    <w:rsid w:val="008F1C77"/>
    <w:rsid w:val="008F1DEB"/>
    <w:rsid w:val="008F2016"/>
    <w:rsid w:val="008F2113"/>
    <w:rsid w:val="008F24B3"/>
    <w:rsid w:val="008F2665"/>
    <w:rsid w:val="008F29D4"/>
    <w:rsid w:val="008F2B53"/>
    <w:rsid w:val="008F2CF9"/>
    <w:rsid w:val="008F2E65"/>
    <w:rsid w:val="008F2F51"/>
    <w:rsid w:val="008F2FEC"/>
    <w:rsid w:val="008F3181"/>
    <w:rsid w:val="008F325A"/>
    <w:rsid w:val="008F32C9"/>
    <w:rsid w:val="008F344A"/>
    <w:rsid w:val="008F3B73"/>
    <w:rsid w:val="008F3DE9"/>
    <w:rsid w:val="008F3F7A"/>
    <w:rsid w:val="008F3FF5"/>
    <w:rsid w:val="008F4169"/>
    <w:rsid w:val="008F4359"/>
    <w:rsid w:val="008F437A"/>
    <w:rsid w:val="008F443F"/>
    <w:rsid w:val="008F479B"/>
    <w:rsid w:val="008F47D3"/>
    <w:rsid w:val="008F495B"/>
    <w:rsid w:val="008F4C11"/>
    <w:rsid w:val="008F4D06"/>
    <w:rsid w:val="008F4DB1"/>
    <w:rsid w:val="008F4E51"/>
    <w:rsid w:val="008F5384"/>
    <w:rsid w:val="008F5A2F"/>
    <w:rsid w:val="008F6148"/>
    <w:rsid w:val="008F6200"/>
    <w:rsid w:val="008F673B"/>
    <w:rsid w:val="008F69A9"/>
    <w:rsid w:val="008F69DB"/>
    <w:rsid w:val="008F6AEA"/>
    <w:rsid w:val="008F7121"/>
    <w:rsid w:val="008F75F6"/>
    <w:rsid w:val="008F77C4"/>
    <w:rsid w:val="008F787F"/>
    <w:rsid w:val="008F7AB1"/>
    <w:rsid w:val="008F7B0C"/>
    <w:rsid w:val="00900167"/>
    <w:rsid w:val="009002DC"/>
    <w:rsid w:val="00900B87"/>
    <w:rsid w:val="00901174"/>
    <w:rsid w:val="00901322"/>
    <w:rsid w:val="009015F7"/>
    <w:rsid w:val="00901721"/>
    <w:rsid w:val="009017F2"/>
    <w:rsid w:val="009020DA"/>
    <w:rsid w:val="00902295"/>
    <w:rsid w:val="0090248B"/>
    <w:rsid w:val="00902F1A"/>
    <w:rsid w:val="009035FA"/>
    <w:rsid w:val="00903733"/>
    <w:rsid w:val="0090375E"/>
    <w:rsid w:val="009037C6"/>
    <w:rsid w:val="00903872"/>
    <w:rsid w:val="00903A03"/>
    <w:rsid w:val="00903BA1"/>
    <w:rsid w:val="00903CED"/>
    <w:rsid w:val="00903F58"/>
    <w:rsid w:val="0090445D"/>
    <w:rsid w:val="00904F81"/>
    <w:rsid w:val="00905423"/>
    <w:rsid w:val="00905714"/>
    <w:rsid w:val="0090576C"/>
    <w:rsid w:val="00905FEF"/>
    <w:rsid w:val="0090696D"/>
    <w:rsid w:val="00906B76"/>
    <w:rsid w:val="00907077"/>
    <w:rsid w:val="0090712B"/>
    <w:rsid w:val="00907873"/>
    <w:rsid w:val="00907949"/>
    <w:rsid w:val="0091008B"/>
    <w:rsid w:val="0091052B"/>
    <w:rsid w:val="009105AC"/>
    <w:rsid w:val="0091080D"/>
    <w:rsid w:val="00910996"/>
    <w:rsid w:val="00910CCF"/>
    <w:rsid w:val="00910FF9"/>
    <w:rsid w:val="0091120A"/>
    <w:rsid w:val="0091149E"/>
    <w:rsid w:val="0091156C"/>
    <w:rsid w:val="009115B4"/>
    <w:rsid w:val="0091160C"/>
    <w:rsid w:val="009119D9"/>
    <w:rsid w:val="00911AA2"/>
    <w:rsid w:val="00911B7F"/>
    <w:rsid w:val="00911B83"/>
    <w:rsid w:val="00911E2C"/>
    <w:rsid w:val="00911E98"/>
    <w:rsid w:val="0091269A"/>
    <w:rsid w:val="0091273D"/>
    <w:rsid w:val="00912BA1"/>
    <w:rsid w:val="00912FB5"/>
    <w:rsid w:val="00913328"/>
    <w:rsid w:val="0091391A"/>
    <w:rsid w:val="009139AB"/>
    <w:rsid w:val="00913C17"/>
    <w:rsid w:val="00913DEB"/>
    <w:rsid w:val="009140F9"/>
    <w:rsid w:val="00914144"/>
    <w:rsid w:val="00914510"/>
    <w:rsid w:val="0091530F"/>
    <w:rsid w:val="00915647"/>
    <w:rsid w:val="00915937"/>
    <w:rsid w:val="0091598B"/>
    <w:rsid w:val="00915A78"/>
    <w:rsid w:val="00915D6E"/>
    <w:rsid w:val="00915EA9"/>
    <w:rsid w:val="00916112"/>
    <w:rsid w:val="00916200"/>
    <w:rsid w:val="00916291"/>
    <w:rsid w:val="00916491"/>
    <w:rsid w:val="00916603"/>
    <w:rsid w:val="009166EC"/>
    <w:rsid w:val="009168A1"/>
    <w:rsid w:val="009169C5"/>
    <w:rsid w:val="00916A17"/>
    <w:rsid w:val="00917196"/>
    <w:rsid w:val="0091742E"/>
    <w:rsid w:val="0091746F"/>
    <w:rsid w:val="00917A00"/>
    <w:rsid w:val="00917A43"/>
    <w:rsid w:val="00917EC0"/>
    <w:rsid w:val="009200AC"/>
    <w:rsid w:val="0092036F"/>
    <w:rsid w:val="00920748"/>
    <w:rsid w:val="009208D6"/>
    <w:rsid w:val="00921020"/>
    <w:rsid w:val="0092114E"/>
    <w:rsid w:val="0092142D"/>
    <w:rsid w:val="00921484"/>
    <w:rsid w:val="009217BF"/>
    <w:rsid w:val="00921A3F"/>
    <w:rsid w:val="00921A50"/>
    <w:rsid w:val="00921B85"/>
    <w:rsid w:val="00921C45"/>
    <w:rsid w:val="009226E9"/>
    <w:rsid w:val="00922739"/>
    <w:rsid w:val="00922897"/>
    <w:rsid w:val="00922BC2"/>
    <w:rsid w:val="00922BC6"/>
    <w:rsid w:val="00922D85"/>
    <w:rsid w:val="00923391"/>
    <w:rsid w:val="009234E0"/>
    <w:rsid w:val="0092387B"/>
    <w:rsid w:val="00923F7C"/>
    <w:rsid w:val="0092401B"/>
    <w:rsid w:val="00924028"/>
    <w:rsid w:val="009243A3"/>
    <w:rsid w:val="00924B79"/>
    <w:rsid w:val="00924BF1"/>
    <w:rsid w:val="00924F6C"/>
    <w:rsid w:val="00925044"/>
    <w:rsid w:val="00925E91"/>
    <w:rsid w:val="0092612E"/>
    <w:rsid w:val="009261E3"/>
    <w:rsid w:val="0092634D"/>
    <w:rsid w:val="00926C53"/>
    <w:rsid w:val="00926D3B"/>
    <w:rsid w:val="00927213"/>
    <w:rsid w:val="009277C2"/>
    <w:rsid w:val="009278F6"/>
    <w:rsid w:val="00927B60"/>
    <w:rsid w:val="00927C40"/>
    <w:rsid w:val="00927E17"/>
    <w:rsid w:val="00927E4F"/>
    <w:rsid w:val="009301C1"/>
    <w:rsid w:val="00930CF3"/>
    <w:rsid w:val="00930F3B"/>
    <w:rsid w:val="0093108E"/>
    <w:rsid w:val="00931352"/>
    <w:rsid w:val="00931444"/>
    <w:rsid w:val="0093158F"/>
    <w:rsid w:val="00931866"/>
    <w:rsid w:val="00931CC1"/>
    <w:rsid w:val="00931D07"/>
    <w:rsid w:val="009321BC"/>
    <w:rsid w:val="0093228A"/>
    <w:rsid w:val="009322E7"/>
    <w:rsid w:val="0093298F"/>
    <w:rsid w:val="00932AAF"/>
    <w:rsid w:val="00932AE2"/>
    <w:rsid w:val="00933031"/>
    <w:rsid w:val="0093324F"/>
    <w:rsid w:val="009332DD"/>
    <w:rsid w:val="009334F1"/>
    <w:rsid w:val="00933A31"/>
    <w:rsid w:val="00933B8E"/>
    <w:rsid w:val="00933CEF"/>
    <w:rsid w:val="00933E4A"/>
    <w:rsid w:val="00933F83"/>
    <w:rsid w:val="00934123"/>
    <w:rsid w:val="00934177"/>
    <w:rsid w:val="0093450B"/>
    <w:rsid w:val="009345D6"/>
    <w:rsid w:val="009346DE"/>
    <w:rsid w:val="00934767"/>
    <w:rsid w:val="00934A48"/>
    <w:rsid w:val="00934ABB"/>
    <w:rsid w:val="00934AD3"/>
    <w:rsid w:val="00934C9D"/>
    <w:rsid w:val="00934F50"/>
    <w:rsid w:val="00934FB3"/>
    <w:rsid w:val="009356E8"/>
    <w:rsid w:val="00935853"/>
    <w:rsid w:val="009358C9"/>
    <w:rsid w:val="00935ADA"/>
    <w:rsid w:val="009362BE"/>
    <w:rsid w:val="00936797"/>
    <w:rsid w:val="009367A8"/>
    <w:rsid w:val="00936861"/>
    <w:rsid w:val="00936876"/>
    <w:rsid w:val="009371F3"/>
    <w:rsid w:val="00937C01"/>
    <w:rsid w:val="00937E86"/>
    <w:rsid w:val="00940063"/>
    <w:rsid w:val="009402C1"/>
    <w:rsid w:val="009413E9"/>
    <w:rsid w:val="0094150E"/>
    <w:rsid w:val="0094182A"/>
    <w:rsid w:val="009418C1"/>
    <w:rsid w:val="009423D7"/>
    <w:rsid w:val="00942555"/>
    <w:rsid w:val="00942599"/>
    <w:rsid w:val="00942631"/>
    <w:rsid w:val="009427C7"/>
    <w:rsid w:val="00942AB1"/>
    <w:rsid w:val="00942ECF"/>
    <w:rsid w:val="00942EDE"/>
    <w:rsid w:val="00942F9A"/>
    <w:rsid w:val="009436B6"/>
    <w:rsid w:val="009436C4"/>
    <w:rsid w:val="009438DD"/>
    <w:rsid w:val="0094394C"/>
    <w:rsid w:val="00943BD3"/>
    <w:rsid w:val="00943E33"/>
    <w:rsid w:val="00943EFC"/>
    <w:rsid w:val="00944065"/>
    <w:rsid w:val="00944598"/>
    <w:rsid w:val="0094467D"/>
    <w:rsid w:val="00944872"/>
    <w:rsid w:val="00944955"/>
    <w:rsid w:val="00944990"/>
    <w:rsid w:val="009449CF"/>
    <w:rsid w:val="00944AD6"/>
    <w:rsid w:val="00944DBB"/>
    <w:rsid w:val="00944EFF"/>
    <w:rsid w:val="00944FE0"/>
    <w:rsid w:val="0094554D"/>
    <w:rsid w:val="00945D3A"/>
    <w:rsid w:val="0094613C"/>
    <w:rsid w:val="009462F9"/>
    <w:rsid w:val="00946A86"/>
    <w:rsid w:val="00946B9D"/>
    <w:rsid w:val="00946BFA"/>
    <w:rsid w:val="00946CF6"/>
    <w:rsid w:val="0094726A"/>
    <w:rsid w:val="009472E8"/>
    <w:rsid w:val="00947A08"/>
    <w:rsid w:val="00947D2E"/>
    <w:rsid w:val="00947DA3"/>
    <w:rsid w:val="00947F14"/>
    <w:rsid w:val="0095074E"/>
    <w:rsid w:val="009507D1"/>
    <w:rsid w:val="009508A0"/>
    <w:rsid w:val="00950A6E"/>
    <w:rsid w:val="00950FFD"/>
    <w:rsid w:val="00951598"/>
    <w:rsid w:val="00951667"/>
    <w:rsid w:val="00951FCB"/>
    <w:rsid w:val="0095235F"/>
    <w:rsid w:val="009523C2"/>
    <w:rsid w:val="009523F9"/>
    <w:rsid w:val="009526E7"/>
    <w:rsid w:val="009528CE"/>
    <w:rsid w:val="00952BE4"/>
    <w:rsid w:val="0095333C"/>
    <w:rsid w:val="00953474"/>
    <w:rsid w:val="009539BB"/>
    <w:rsid w:val="00953A9B"/>
    <w:rsid w:val="00953B49"/>
    <w:rsid w:val="00953BD3"/>
    <w:rsid w:val="00953E73"/>
    <w:rsid w:val="00954864"/>
    <w:rsid w:val="00954CCC"/>
    <w:rsid w:val="00954F10"/>
    <w:rsid w:val="00955031"/>
    <w:rsid w:val="009555A7"/>
    <w:rsid w:val="009556D1"/>
    <w:rsid w:val="0095576D"/>
    <w:rsid w:val="009557DF"/>
    <w:rsid w:val="00955850"/>
    <w:rsid w:val="00955936"/>
    <w:rsid w:val="00955B5E"/>
    <w:rsid w:val="00955DC0"/>
    <w:rsid w:val="00955F8E"/>
    <w:rsid w:val="00956060"/>
    <w:rsid w:val="009560E3"/>
    <w:rsid w:val="009560EC"/>
    <w:rsid w:val="009561AB"/>
    <w:rsid w:val="00956208"/>
    <w:rsid w:val="009562EB"/>
    <w:rsid w:val="00957071"/>
    <w:rsid w:val="0095722B"/>
    <w:rsid w:val="009574D7"/>
    <w:rsid w:val="009575BF"/>
    <w:rsid w:val="00957EF4"/>
    <w:rsid w:val="009603FC"/>
    <w:rsid w:val="009608D0"/>
    <w:rsid w:val="00960ADD"/>
    <w:rsid w:val="00960CD0"/>
    <w:rsid w:val="00960F59"/>
    <w:rsid w:val="00961061"/>
    <w:rsid w:val="00961152"/>
    <w:rsid w:val="009612C4"/>
    <w:rsid w:val="00961512"/>
    <w:rsid w:val="00961973"/>
    <w:rsid w:val="00961BD5"/>
    <w:rsid w:val="009622F6"/>
    <w:rsid w:val="0096231B"/>
    <w:rsid w:val="00962445"/>
    <w:rsid w:val="00962C6E"/>
    <w:rsid w:val="00962DFB"/>
    <w:rsid w:val="00962E20"/>
    <w:rsid w:val="00962EDF"/>
    <w:rsid w:val="00962F1C"/>
    <w:rsid w:val="009635E3"/>
    <w:rsid w:val="00963C6D"/>
    <w:rsid w:val="00963D5B"/>
    <w:rsid w:val="00963DFC"/>
    <w:rsid w:val="0096403E"/>
    <w:rsid w:val="009640F7"/>
    <w:rsid w:val="00964232"/>
    <w:rsid w:val="009645F5"/>
    <w:rsid w:val="00964989"/>
    <w:rsid w:val="00964A12"/>
    <w:rsid w:val="00964A5C"/>
    <w:rsid w:val="00964B15"/>
    <w:rsid w:val="00965299"/>
    <w:rsid w:val="00965770"/>
    <w:rsid w:val="009658BF"/>
    <w:rsid w:val="00965A0A"/>
    <w:rsid w:val="00965CAE"/>
    <w:rsid w:val="00965D72"/>
    <w:rsid w:val="00965E92"/>
    <w:rsid w:val="00965ECE"/>
    <w:rsid w:val="00966019"/>
    <w:rsid w:val="009660A6"/>
    <w:rsid w:val="00966209"/>
    <w:rsid w:val="009663C3"/>
    <w:rsid w:val="00966782"/>
    <w:rsid w:val="009667A1"/>
    <w:rsid w:val="00966988"/>
    <w:rsid w:val="00966F58"/>
    <w:rsid w:val="0096714E"/>
    <w:rsid w:val="00967481"/>
    <w:rsid w:val="0096763D"/>
    <w:rsid w:val="0096770A"/>
    <w:rsid w:val="00967BA1"/>
    <w:rsid w:val="00967BEB"/>
    <w:rsid w:val="00967E96"/>
    <w:rsid w:val="0097007E"/>
    <w:rsid w:val="00970137"/>
    <w:rsid w:val="009701DC"/>
    <w:rsid w:val="00970347"/>
    <w:rsid w:val="00970397"/>
    <w:rsid w:val="00970649"/>
    <w:rsid w:val="00970CE7"/>
    <w:rsid w:val="009712B7"/>
    <w:rsid w:val="009714FB"/>
    <w:rsid w:val="00971580"/>
    <w:rsid w:val="009715D4"/>
    <w:rsid w:val="00971760"/>
    <w:rsid w:val="00971AA1"/>
    <w:rsid w:val="00971B1D"/>
    <w:rsid w:val="00971E1D"/>
    <w:rsid w:val="00971EE2"/>
    <w:rsid w:val="0097246A"/>
    <w:rsid w:val="009725B0"/>
    <w:rsid w:val="00972CE2"/>
    <w:rsid w:val="00972DE7"/>
    <w:rsid w:val="00973480"/>
    <w:rsid w:val="009734D7"/>
    <w:rsid w:val="0097385E"/>
    <w:rsid w:val="009738BA"/>
    <w:rsid w:val="0097390B"/>
    <w:rsid w:val="00973A08"/>
    <w:rsid w:val="00973B15"/>
    <w:rsid w:val="00973BC4"/>
    <w:rsid w:val="00973E4D"/>
    <w:rsid w:val="00973E7B"/>
    <w:rsid w:val="00973FBA"/>
    <w:rsid w:val="00974446"/>
    <w:rsid w:val="009745D0"/>
    <w:rsid w:val="00974810"/>
    <w:rsid w:val="00974988"/>
    <w:rsid w:val="009753A9"/>
    <w:rsid w:val="009753F4"/>
    <w:rsid w:val="009756AF"/>
    <w:rsid w:val="009756FE"/>
    <w:rsid w:val="00975C10"/>
    <w:rsid w:val="00975E1C"/>
    <w:rsid w:val="00975EEA"/>
    <w:rsid w:val="0097644F"/>
    <w:rsid w:val="00976595"/>
    <w:rsid w:val="00976749"/>
    <w:rsid w:val="009767D6"/>
    <w:rsid w:val="0097682A"/>
    <w:rsid w:val="00976855"/>
    <w:rsid w:val="00976C41"/>
    <w:rsid w:val="00976F56"/>
    <w:rsid w:val="009770B2"/>
    <w:rsid w:val="009772D1"/>
    <w:rsid w:val="00977408"/>
    <w:rsid w:val="0097774B"/>
    <w:rsid w:val="009778B0"/>
    <w:rsid w:val="00977BFC"/>
    <w:rsid w:val="009803CB"/>
    <w:rsid w:val="00980504"/>
    <w:rsid w:val="009805E5"/>
    <w:rsid w:val="00980860"/>
    <w:rsid w:val="009808E3"/>
    <w:rsid w:val="00981CE3"/>
    <w:rsid w:val="00981D70"/>
    <w:rsid w:val="009820CF"/>
    <w:rsid w:val="00982286"/>
    <w:rsid w:val="00982CA0"/>
    <w:rsid w:val="00982F0C"/>
    <w:rsid w:val="00982F31"/>
    <w:rsid w:val="009830A3"/>
    <w:rsid w:val="00983714"/>
    <w:rsid w:val="00983817"/>
    <w:rsid w:val="009838A2"/>
    <w:rsid w:val="00983A4F"/>
    <w:rsid w:val="00984017"/>
    <w:rsid w:val="009840AF"/>
    <w:rsid w:val="0098422E"/>
    <w:rsid w:val="0098458B"/>
    <w:rsid w:val="00984942"/>
    <w:rsid w:val="00984AAE"/>
    <w:rsid w:val="00984B78"/>
    <w:rsid w:val="00984DCD"/>
    <w:rsid w:val="00984F39"/>
    <w:rsid w:val="0098500B"/>
    <w:rsid w:val="00985319"/>
    <w:rsid w:val="00985F03"/>
    <w:rsid w:val="00986204"/>
    <w:rsid w:val="00986631"/>
    <w:rsid w:val="0098689E"/>
    <w:rsid w:val="00986A35"/>
    <w:rsid w:val="00986C12"/>
    <w:rsid w:val="00986C51"/>
    <w:rsid w:val="00987244"/>
    <w:rsid w:val="009872FB"/>
    <w:rsid w:val="00987599"/>
    <w:rsid w:val="009877C4"/>
    <w:rsid w:val="009877D3"/>
    <w:rsid w:val="00987842"/>
    <w:rsid w:val="009879CD"/>
    <w:rsid w:val="00987B31"/>
    <w:rsid w:val="00987C4B"/>
    <w:rsid w:val="00987E33"/>
    <w:rsid w:val="0099041F"/>
    <w:rsid w:val="0099049E"/>
    <w:rsid w:val="00990636"/>
    <w:rsid w:val="00990681"/>
    <w:rsid w:val="0099077F"/>
    <w:rsid w:val="00990909"/>
    <w:rsid w:val="00990AB1"/>
    <w:rsid w:val="00990DA7"/>
    <w:rsid w:val="00990E3A"/>
    <w:rsid w:val="009911F1"/>
    <w:rsid w:val="00992043"/>
    <w:rsid w:val="00992163"/>
    <w:rsid w:val="00992408"/>
    <w:rsid w:val="00992415"/>
    <w:rsid w:val="0099271D"/>
    <w:rsid w:val="009927D7"/>
    <w:rsid w:val="009927F0"/>
    <w:rsid w:val="00992982"/>
    <w:rsid w:val="00992A80"/>
    <w:rsid w:val="00992AB8"/>
    <w:rsid w:val="00992B37"/>
    <w:rsid w:val="00992B51"/>
    <w:rsid w:val="00992FB1"/>
    <w:rsid w:val="00992FD5"/>
    <w:rsid w:val="009930F0"/>
    <w:rsid w:val="0099324C"/>
    <w:rsid w:val="00993E15"/>
    <w:rsid w:val="00994038"/>
    <w:rsid w:val="0099470D"/>
    <w:rsid w:val="0099471D"/>
    <w:rsid w:val="0099478F"/>
    <w:rsid w:val="0099497F"/>
    <w:rsid w:val="00994B11"/>
    <w:rsid w:val="00994C32"/>
    <w:rsid w:val="00995307"/>
    <w:rsid w:val="00995498"/>
    <w:rsid w:val="009955E0"/>
    <w:rsid w:val="00995A5C"/>
    <w:rsid w:val="00995CFF"/>
    <w:rsid w:val="009962F3"/>
    <w:rsid w:val="009965DB"/>
    <w:rsid w:val="009967C1"/>
    <w:rsid w:val="00996888"/>
    <w:rsid w:val="009968A3"/>
    <w:rsid w:val="0099691F"/>
    <w:rsid w:val="00996C40"/>
    <w:rsid w:val="00996CB1"/>
    <w:rsid w:val="00996E13"/>
    <w:rsid w:val="009973CF"/>
    <w:rsid w:val="00997409"/>
    <w:rsid w:val="0099742A"/>
    <w:rsid w:val="00997B35"/>
    <w:rsid w:val="00997BAE"/>
    <w:rsid w:val="009A042F"/>
    <w:rsid w:val="009A04D9"/>
    <w:rsid w:val="009A0569"/>
    <w:rsid w:val="009A060C"/>
    <w:rsid w:val="009A07DF"/>
    <w:rsid w:val="009A0810"/>
    <w:rsid w:val="009A0AF4"/>
    <w:rsid w:val="009A0EAB"/>
    <w:rsid w:val="009A13A9"/>
    <w:rsid w:val="009A14E0"/>
    <w:rsid w:val="009A1A0E"/>
    <w:rsid w:val="009A1CDC"/>
    <w:rsid w:val="009A2608"/>
    <w:rsid w:val="009A26A4"/>
    <w:rsid w:val="009A291B"/>
    <w:rsid w:val="009A2A25"/>
    <w:rsid w:val="009A2F67"/>
    <w:rsid w:val="009A31AA"/>
    <w:rsid w:val="009A359A"/>
    <w:rsid w:val="009A3B11"/>
    <w:rsid w:val="009A3C32"/>
    <w:rsid w:val="009A404F"/>
    <w:rsid w:val="009A437D"/>
    <w:rsid w:val="009A45DC"/>
    <w:rsid w:val="009A50BF"/>
    <w:rsid w:val="009A5264"/>
    <w:rsid w:val="009A5281"/>
    <w:rsid w:val="009A52BF"/>
    <w:rsid w:val="009A5666"/>
    <w:rsid w:val="009A5A08"/>
    <w:rsid w:val="009A5BC9"/>
    <w:rsid w:val="009A615A"/>
    <w:rsid w:val="009A6201"/>
    <w:rsid w:val="009A6640"/>
    <w:rsid w:val="009A6AA9"/>
    <w:rsid w:val="009A73E3"/>
    <w:rsid w:val="009A772A"/>
    <w:rsid w:val="009A7732"/>
    <w:rsid w:val="009A7DEF"/>
    <w:rsid w:val="009A7EDD"/>
    <w:rsid w:val="009B0120"/>
    <w:rsid w:val="009B054B"/>
    <w:rsid w:val="009B088B"/>
    <w:rsid w:val="009B09C9"/>
    <w:rsid w:val="009B0B2E"/>
    <w:rsid w:val="009B0C34"/>
    <w:rsid w:val="009B0C43"/>
    <w:rsid w:val="009B0DFC"/>
    <w:rsid w:val="009B1BA8"/>
    <w:rsid w:val="009B1FD2"/>
    <w:rsid w:val="009B22D7"/>
    <w:rsid w:val="009B2486"/>
    <w:rsid w:val="009B284B"/>
    <w:rsid w:val="009B2E51"/>
    <w:rsid w:val="009B2FC7"/>
    <w:rsid w:val="009B307B"/>
    <w:rsid w:val="009B420B"/>
    <w:rsid w:val="009B44A2"/>
    <w:rsid w:val="009B4735"/>
    <w:rsid w:val="009B4C34"/>
    <w:rsid w:val="009B4E6B"/>
    <w:rsid w:val="009B5160"/>
    <w:rsid w:val="009B560F"/>
    <w:rsid w:val="009B5A45"/>
    <w:rsid w:val="009B5AAF"/>
    <w:rsid w:val="009B5C42"/>
    <w:rsid w:val="009B5DF7"/>
    <w:rsid w:val="009B5FBD"/>
    <w:rsid w:val="009B63E0"/>
    <w:rsid w:val="009B6496"/>
    <w:rsid w:val="009B6505"/>
    <w:rsid w:val="009B65E8"/>
    <w:rsid w:val="009B667A"/>
    <w:rsid w:val="009B6B7E"/>
    <w:rsid w:val="009B7130"/>
    <w:rsid w:val="009B733E"/>
    <w:rsid w:val="009B767A"/>
    <w:rsid w:val="009B7721"/>
    <w:rsid w:val="009B7761"/>
    <w:rsid w:val="009B7775"/>
    <w:rsid w:val="009B778A"/>
    <w:rsid w:val="009B7E91"/>
    <w:rsid w:val="009B7EB9"/>
    <w:rsid w:val="009C032C"/>
    <w:rsid w:val="009C03DF"/>
    <w:rsid w:val="009C08C3"/>
    <w:rsid w:val="009C0CB3"/>
    <w:rsid w:val="009C0D1B"/>
    <w:rsid w:val="009C0FF7"/>
    <w:rsid w:val="009C172A"/>
    <w:rsid w:val="009C18EF"/>
    <w:rsid w:val="009C193C"/>
    <w:rsid w:val="009C1DD8"/>
    <w:rsid w:val="009C1F05"/>
    <w:rsid w:val="009C1F80"/>
    <w:rsid w:val="009C243F"/>
    <w:rsid w:val="009C2671"/>
    <w:rsid w:val="009C30EE"/>
    <w:rsid w:val="009C38BF"/>
    <w:rsid w:val="009C3C92"/>
    <w:rsid w:val="009C3DCD"/>
    <w:rsid w:val="009C4131"/>
    <w:rsid w:val="009C4357"/>
    <w:rsid w:val="009C436C"/>
    <w:rsid w:val="009C48CB"/>
    <w:rsid w:val="009C4ED7"/>
    <w:rsid w:val="009C5149"/>
    <w:rsid w:val="009C5198"/>
    <w:rsid w:val="009C5674"/>
    <w:rsid w:val="009C590F"/>
    <w:rsid w:val="009C5D3C"/>
    <w:rsid w:val="009C5F73"/>
    <w:rsid w:val="009C603B"/>
    <w:rsid w:val="009C66CC"/>
    <w:rsid w:val="009C67B1"/>
    <w:rsid w:val="009C6844"/>
    <w:rsid w:val="009C6882"/>
    <w:rsid w:val="009C69DF"/>
    <w:rsid w:val="009C6A12"/>
    <w:rsid w:val="009C6A93"/>
    <w:rsid w:val="009C6B64"/>
    <w:rsid w:val="009C6C78"/>
    <w:rsid w:val="009C6E21"/>
    <w:rsid w:val="009C707F"/>
    <w:rsid w:val="009C70FD"/>
    <w:rsid w:val="009C7333"/>
    <w:rsid w:val="009C735E"/>
    <w:rsid w:val="009C75A1"/>
    <w:rsid w:val="009C76A8"/>
    <w:rsid w:val="009C770A"/>
    <w:rsid w:val="009C7823"/>
    <w:rsid w:val="009C7A15"/>
    <w:rsid w:val="009C7A38"/>
    <w:rsid w:val="009C7AF7"/>
    <w:rsid w:val="009C7C21"/>
    <w:rsid w:val="009C7FD8"/>
    <w:rsid w:val="009D03B0"/>
    <w:rsid w:val="009D0982"/>
    <w:rsid w:val="009D0F81"/>
    <w:rsid w:val="009D10FE"/>
    <w:rsid w:val="009D12BB"/>
    <w:rsid w:val="009D15A9"/>
    <w:rsid w:val="009D1662"/>
    <w:rsid w:val="009D17A4"/>
    <w:rsid w:val="009D1DAC"/>
    <w:rsid w:val="009D201A"/>
    <w:rsid w:val="009D209B"/>
    <w:rsid w:val="009D2573"/>
    <w:rsid w:val="009D2A97"/>
    <w:rsid w:val="009D2B97"/>
    <w:rsid w:val="009D30B8"/>
    <w:rsid w:val="009D3403"/>
    <w:rsid w:val="009D348D"/>
    <w:rsid w:val="009D364A"/>
    <w:rsid w:val="009D3A88"/>
    <w:rsid w:val="009D3D34"/>
    <w:rsid w:val="009D408E"/>
    <w:rsid w:val="009D4787"/>
    <w:rsid w:val="009D4A41"/>
    <w:rsid w:val="009D4C4F"/>
    <w:rsid w:val="009D4E87"/>
    <w:rsid w:val="009D4F17"/>
    <w:rsid w:val="009D4F3E"/>
    <w:rsid w:val="009D509F"/>
    <w:rsid w:val="009D50BB"/>
    <w:rsid w:val="009D51FD"/>
    <w:rsid w:val="009D578E"/>
    <w:rsid w:val="009D5A2F"/>
    <w:rsid w:val="009D5B46"/>
    <w:rsid w:val="009D5BDA"/>
    <w:rsid w:val="009D5D0A"/>
    <w:rsid w:val="009D63C7"/>
    <w:rsid w:val="009D63CD"/>
    <w:rsid w:val="009D6435"/>
    <w:rsid w:val="009D6880"/>
    <w:rsid w:val="009D7483"/>
    <w:rsid w:val="009D75B9"/>
    <w:rsid w:val="009D796F"/>
    <w:rsid w:val="009D7EA7"/>
    <w:rsid w:val="009E0316"/>
    <w:rsid w:val="009E037F"/>
    <w:rsid w:val="009E0413"/>
    <w:rsid w:val="009E08FA"/>
    <w:rsid w:val="009E0AE7"/>
    <w:rsid w:val="009E0BA4"/>
    <w:rsid w:val="009E0C88"/>
    <w:rsid w:val="009E0F34"/>
    <w:rsid w:val="009E0FB7"/>
    <w:rsid w:val="009E1058"/>
    <w:rsid w:val="009E1208"/>
    <w:rsid w:val="009E13C8"/>
    <w:rsid w:val="009E1781"/>
    <w:rsid w:val="009E18AC"/>
    <w:rsid w:val="009E1AA5"/>
    <w:rsid w:val="009E2244"/>
    <w:rsid w:val="009E23EB"/>
    <w:rsid w:val="009E2448"/>
    <w:rsid w:val="009E24CC"/>
    <w:rsid w:val="009E2545"/>
    <w:rsid w:val="009E2633"/>
    <w:rsid w:val="009E2976"/>
    <w:rsid w:val="009E3337"/>
    <w:rsid w:val="009E3404"/>
    <w:rsid w:val="009E3508"/>
    <w:rsid w:val="009E3675"/>
    <w:rsid w:val="009E386D"/>
    <w:rsid w:val="009E38DC"/>
    <w:rsid w:val="009E3A57"/>
    <w:rsid w:val="009E3EB6"/>
    <w:rsid w:val="009E3EFB"/>
    <w:rsid w:val="009E413B"/>
    <w:rsid w:val="009E4763"/>
    <w:rsid w:val="009E4961"/>
    <w:rsid w:val="009E4C10"/>
    <w:rsid w:val="009E4E19"/>
    <w:rsid w:val="009E4F04"/>
    <w:rsid w:val="009E51A7"/>
    <w:rsid w:val="009E5240"/>
    <w:rsid w:val="009E5679"/>
    <w:rsid w:val="009E5C80"/>
    <w:rsid w:val="009E5D51"/>
    <w:rsid w:val="009E6378"/>
    <w:rsid w:val="009E6445"/>
    <w:rsid w:val="009E6527"/>
    <w:rsid w:val="009E695D"/>
    <w:rsid w:val="009E6AC4"/>
    <w:rsid w:val="009E6C62"/>
    <w:rsid w:val="009E6CE4"/>
    <w:rsid w:val="009E6E38"/>
    <w:rsid w:val="009E6F88"/>
    <w:rsid w:val="009E713D"/>
    <w:rsid w:val="009E7145"/>
    <w:rsid w:val="009E741A"/>
    <w:rsid w:val="009E74C9"/>
    <w:rsid w:val="009E74D3"/>
    <w:rsid w:val="009F029B"/>
    <w:rsid w:val="009F06C2"/>
    <w:rsid w:val="009F07AC"/>
    <w:rsid w:val="009F0A50"/>
    <w:rsid w:val="009F0ADA"/>
    <w:rsid w:val="009F0C4B"/>
    <w:rsid w:val="009F0D43"/>
    <w:rsid w:val="009F0F94"/>
    <w:rsid w:val="009F11A6"/>
    <w:rsid w:val="009F17DE"/>
    <w:rsid w:val="009F18BF"/>
    <w:rsid w:val="009F2295"/>
    <w:rsid w:val="009F2662"/>
    <w:rsid w:val="009F26BB"/>
    <w:rsid w:val="009F28D4"/>
    <w:rsid w:val="009F297A"/>
    <w:rsid w:val="009F2B1A"/>
    <w:rsid w:val="009F2DED"/>
    <w:rsid w:val="009F383E"/>
    <w:rsid w:val="009F3BCD"/>
    <w:rsid w:val="009F3DC9"/>
    <w:rsid w:val="009F421F"/>
    <w:rsid w:val="009F48E4"/>
    <w:rsid w:val="009F495E"/>
    <w:rsid w:val="009F4CDE"/>
    <w:rsid w:val="009F5098"/>
    <w:rsid w:val="009F516D"/>
    <w:rsid w:val="009F51FA"/>
    <w:rsid w:val="009F5560"/>
    <w:rsid w:val="009F5901"/>
    <w:rsid w:val="009F5924"/>
    <w:rsid w:val="009F5F1A"/>
    <w:rsid w:val="009F6243"/>
    <w:rsid w:val="009F639E"/>
    <w:rsid w:val="009F65D7"/>
    <w:rsid w:val="009F6608"/>
    <w:rsid w:val="009F6A65"/>
    <w:rsid w:val="009F7176"/>
    <w:rsid w:val="009F7609"/>
    <w:rsid w:val="009F7801"/>
    <w:rsid w:val="009F780B"/>
    <w:rsid w:val="009F7F70"/>
    <w:rsid w:val="00A00FFD"/>
    <w:rsid w:val="00A010A6"/>
    <w:rsid w:val="00A0124E"/>
    <w:rsid w:val="00A013EF"/>
    <w:rsid w:val="00A01D84"/>
    <w:rsid w:val="00A0245E"/>
    <w:rsid w:val="00A02889"/>
    <w:rsid w:val="00A02AF1"/>
    <w:rsid w:val="00A02F54"/>
    <w:rsid w:val="00A03066"/>
    <w:rsid w:val="00A0338E"/>
    <w:rsid w:val="00A03432"/>
    <w:rsid w:val="00A0374E"/>
    <w:rsid w:val="00A03E93"/>
    <w:rsid w:val="00A03EC3"/>
    <w:rsid w:val="00A03F05"/>
    <w:rsid w:val="00A04051"/>
    <w:rsid w:val="00A04197"/>
    <w:rsid w:val="00A0430B"/>
    <w:rsid w:val="00A048C2"/>
    <w:rsid w:val="00A05802"/>
    <w:rsid w:val="00A05C6D"/>
    <w:rsid w:val="00A05E39"/>
    <w:rsid w:val="00A05F88"/>
    <w:rsid w:val="00A06366"/>
    <w:rsid w:val="00A065E6"/>
    <w:rsid w:val="00A06DAC"/>
    <w:rsid w:val="00A06FC2"/>
    <w:rsid w:val="00A07FA0"/>
    <w:rsid w:val="00A07FBA"/>
    <w:rsid w:val="00A1009F"/>
    <w:rsid w:val="00A10153"/>
    <w:rsid w:val="00A10363"/>
    <w:rsid w:val="00A10B03"/>
    <w:rsid w:val="00A10BC0"/>
    <w:rsid w:val="00A10DE5"/>
    <w:rsid w:val="00A10EE4"/>
    <w:rsid w:val="00A10EFC"/>
    <w:rsid w:val="00A11001"/>
    <w:rsid w:val="00A1111E"/>
    <w:rsid w:val="00A114A3"/>
    <w:rsid w:val="00A119CB"/>
    <w:rsid w:val="00A11AF1"/>
    <w:rsid w:val="00A11C8E"/>
    <w:rsid w:val="00A11DF2"/>
    <w:rsid w:val="00A11EBD"/>
    <w:rsid w:val="00A11F4A"/>
    <w:rsid w:val="00A127AC"/>
    <w:rsid w:val="00A12A0E"/>
    <w:rsid w:val="00A12A7A"/>
    <w:rsid w:val="00A12CDF"/>
    <w:rsid w:val="00A13165"/>
    <w:rsid w:val="00A13EDD"/>
    <w:rsid w:val="00A14159"/>
    <w:rsid w:val="00A1450B"/>
    <w:rsid w:val="00A146F3"/>
    <w:rsid w:val="00A147BF"/>
    <w:rsid w:val="00A147D4"/>
    <w:rsid w:val="00A14C38"/>
    <w:rsid w:val="00A15510"/>
    <w:rsid w:val="00A159DE"/>
    <w:rsid w:val="00A15B07"/>
    <w:rsid w:val="00A15F1C"/>
    <w:rsid w:val="00A16416"/>
    <w:rsid w:val="00A16467"/>
    <w:rsid w:val="00A164BC"/>
    <w:rsid w:val="00A165B5"/>
    <w:rsid w:val="00A166FE"/>
    <w:rsid w:val="00A16AB8"/>
    <w:rsid w:val="00A16B27"/>
    <w:rsid w:val="00A173D2"/>
    <w:rsid w:val="00A17616"/>
    <w:rsid w:val="00A17762"/>
    <w:rsid w:val="00A17851"/>
    <w:rsid w:val="00A1792A"/>
    <w:rsid w:val="00A179D7"/>
    <w:rsid w:val="00A17F18"/>
    <w:rsid w:val="00A17F31"/>
    <w:rsid w:val="00A17F7C"/>
    <w:rsid w:val="00A17FE7"/>
    <w:rsid w:val="00A20111"/>
    <w:rsid w:val="00A20335"/>
    <w:rsid w:val="00A203EF"/>
    <w:rsid w:val="00A20510"/>
    <w:rsid w:val="00A207FF"/>
    <w:rsid w:val="00A20E14"/>
    <w:rsid w:val="00A21154"/>
    <w:rsid w:val="00A212F1"/>
    <w:rsid w:val="00A215FF"/>
    <w:rsid w:val="00A2161D"/>
    <w:rsid w:val="00A21689"/>
    <w:rsid w:val="00A218B9"/>
    <w:rsid w:val="00A21D17"/>
    <w:rsid w:val="00A21F61"/>
    <w:rsid w:val="00A22210"/>
    <w:rsid w:val="00A224A2"/>
    <w:rsid w:val="00A22788"/>
    <w:rsid w:val="00A2294C"/>
    <w:rsid w:val="00A22F41"/>
    <w:rsid w:val="00A22F9B"/>
    <w:rsid w:val="00A231A6"/>
    <w:rsid w:val="00A23281"/>
    <w:rsid w:val="00A232B8"/>
    <w:rsid w:val="00A2353F"/>
    <w:rsid w:val="00A236C0"/>
    <w:rsid w:val="00A236E0"/>
    <w:rsid w:val="00A23780"/>
    <w:rsid w:val="00A23B65"/>
    <w:rsid w:val="00A240AB"/>
    <w:rsid w:val="00A241BA"/>
    <w:rsid w:val="00A2455D"/>
    <w:rsid w:val="00A24B65"/>
    <w:rsid w:val="00A24DA2"/>
    <w:rsid w:val="00A25170"/>
    <w:rsid w:val="00A258DF"/>
    <w:rsid w:val="00A25A25"/>
    <w:rsid w:val="00A25A5B"/>
    <w:rsid w:val="00A25B86"/>
    <w:rsid w:val="00A25CB9"/>
    <w:rsid w:val="00A25E64"/>
    <w:rsid w:val="00A26546"/>
    <w:rsid w:val="00A2663A"/>
    <w:rsid w:val="00A26767"/>
    <w:rsid w:val="00A267E9"/>
    <w:rsid w:val="00A26957"/>
    <w:rsid w:val="00A26AC0"/>
    <w:rsid w:val="00A26D4C"/>
    <w:rsid w:val="00A26F30"/>
    <w:rsid w:val="00A27238"/>
    <w:rsid w:val="00A2729D"/>
    <w:rsid w:val="00A27595"/>
    <w:rsid w:val="00A27692"/>
    <w:rsid w:val="00A27814"/>
    <w:rsid w:val="00A27A4C"/>
    <w:rsid w:val="00A27C59"/>
    <w:rsid w:val="00A30020"/>
    <w:rsid w:val="00A301C6"/>
    <w:rsid w:val="00A301EB"/>
    <w:rsid w:val="00A304B9"/>
    <w:rsid w:val="00A309F3"/>
    <w:rsid w:val="00A30F0D"/>
    <w:rsid w:val="00A316E7"/>
    <w:rsid w:val="00A319AB"/>
    <w:rsid w:val="00A31A56"/>
    <w:rsid w:val="00A31C9F"/>
    <w:rsid w:val="00A31DFA"/>
    <w:rsid w:val="00A320A7"/>
    <w:rsid w:val="00A3212E"/>
    <w:rsid w:val="00A3233C"/>
    <w:rsid w:val="00A3254F"/>
    <w:rsid w:val="00A327DE"/>
    <w:rsid w:val="00A328E2"/>
    <w:rsid w:val="00A32976"/>
    <w:rsid w:val="00A32B96"/>
    <w:rsid w:val="00A32B9E"/>
    <w:rsid w:val="00A32C63"/>
    <w:rsid w:val="00A32CE8"/>
    <w:rsid w:val="00A32E65"/>
    <w:rsid w:val="00A330B6"/>
    <w:rsid w:val="00A3343F"/>
    <w:rsid w:val="00A335D8"/>
    <w:rsid w:val="00A33A04"/>
    <w:rsid w:val="00A3448D"/>
    <w:rsid w:val="00A34499"/>
    <w:rsid w:val="00A34669"/>
    <w:rsid w:val="00A347AD"/>
    <w:rsid w:val="00A3482B"/>
    <w:rsid w:val="00A34BDA"/>
    <w:rsid w:val="00A34C22"/>
    <w:rsid w:val="00A34ED8"/>
    <w:rsid w:val="00A34F59"/>
    <w:rsid w:val="00A34F5E"/>
    <w:rsid w:val="00A351AE"/>
    <w:rsid w:val="00A351C9"/>
    <w:rsid w:val="00A357F4"/>
    <w:rsid w:val="00A35B20"/>
    <w:rsid w:val="00A35E47"/>
    <w:rsid w:val="00A363D3"/>
    <w:rsid w:val="00A36425"/>
    <w:rsid w:val="00A36491"/>
    <w:rsid w:val="00A36C09"/>
    <w:rsid w:val="00A36C4D"/>
    <w:rsid w:val="00A36E85"/>
    <w:rsid w:val="00A36F8D"/>
    <w:rsid w:val="00A372F3"/>
    <w:rsid w:val="00A37321"/>
    <w:rsid w:val="00A3768D"/>
    <w:rsid w:val="00A3769E"/>
    <w:rsid w:val="00A376A2"/>
    <w:rsid w:val="00A37891"/>
    <w:rsid w:val="00A378FB"/>
    <w:rsid w:val="00A379E5"/>
    <w:rsid w:val="00A37D8E"/>
    <w:rsid w:val="00A4025F"/>
    <w:rsid w:val="00A406A8"/>
    <w:rsid w:val="00A40732"/>
    <w:rsid w:val="00A40A38"/>
    <w:rsid w:val="00A410C6"/>
    <w:rsid w:val="00A4155A"/>
    <w:rsid w:val="00A417B3"/>
    <w:rsid w:val="00A41BF0"/>
    <w:rsid w:val="00A41C56"/>
    <w:rsid w:val="00A41DBF"/>
    <w:rsid w:val="00A41E5E"/>
    <w:rsid w:val="00A41E89"/>
    <w:rsid w:val="00A42302"/>
    <w:rsid w:val="00A42371"/>
    <w:rsid w:val="00A42885"/>
    <w:rsid w:val="00A4290F"/>
    <w:rsid w:val="00A429FE"/>
    <w:rsid w:val="00A42A71"/>
    <w:rsid w:val="00A42A8E"/>
    <w:rsid w:val="00A4308C"/>
    <w:rsid w:val="00A43179"/>
    <w:rsid w:val="00A431FA"/>
    <w:rsid w:val="00A434F1"/>
    <w:rsid w:val="00A4359D"/>
    <w:rsid w:val="00A435F9"/>
    <w:rsid w:val="00A43688"/>
    <w:rsid w:val="00A43B99"/>
    <w:rsid w:val="00A43C83"/>
    <w:rsid w:val="00A445C9"/>
    <w:rsid w:val="00A44678"/>
    <w:rsid w:val="00A447EB"/>
    <w:rsid w:val="00A448CE"/>
    <w:rsid w:val="00A44BE2"/>
    <w:rsid w:val="00A44C2A"/>
    <w:rsid w:val="00A44C31"/>
    <w:rsid w:val="00A44CE9"/>
    <w:rsid w:val="00A459B6"/>
    <w:rsid w:val="00A45AF9"/>
    <w:rsid w:val="00A45C43"/>
    <w:rsid w:val="00A45D63"/>
    <w:rsid w:val="00A45E2E"/>
    <w:rsid w:val="00A45F41"/>
    <w:rsid w:val="00A461C9"/>
    <w:rsid w:val="00A465FD"/>
    <w:rsid w:val="00A46A75"/>
    <w:rsid w:val="00A46BF8"/>
    <w:rsid w:val="00A46D3C"/>
    <w:rsid w:val="00A46E2F"/>
    <w:rsid w:val="00A47004"/>
    <w:rsid w:val="00A47DE7"/>
    <w:rsid w:val="00A47F03"/>
    <w:rsid w:val="00A500A0"/>
    <w:rsid w:val="00A502A5"/>
    <w:rsid w:val="00A502AE"/>
    <w:rsid w:val="00A504A1"/>
    <w:rsid w:val="00A50FEB"/>
    <w:rsid w:val="00A51127"/>
    <w:rsid w:val="00A51322"/>
    <w:rsid w:val="00A5170E"/>
    <w:rsid w:val="00A5195F"/>
    <w:rsid w:val="00A51DEF"/>
    <w:rsid w:val="00A51F4F"/>
    <w:rsid w:val="00A5253C"/>
    <w:rsid w:val="00A52652"/>
    <w:rsid w:val="00A5269A"/>
    <w:rsid w:val="00A52708"/>
    <w:rsid w:val="00A52995"/>
    <w:rsid w:val="00A52EEC"/>
    <w:rsid w:val="00A52F11"/>
    <w:rsid w:val="00A5302D"/>
    <w:rsid w:val="00A53A2B"/>
    <w:rsid w:val="00A53D05"/>
    <w:rsid w:val="00A541F7"/>
    <w:rsid w:val="00A54506"/>
    <w:rsid w:val="00A54595"/>
    <w:rsid w:val="00A54660"/>
    <w:rsid w:val="00A546BC"/>
    <w:rsid w:val="00A54B3C"/>
    <w:rsid w:val="00A54BD1"/>
    <w:rsid w:val="00A54E39"/>
    <w:rsid w:val="00A54E46"/>
    <w:rsid w:val="00A55449"/>
    <w:rsid w:val="00A556E4"/>
    <w:rsid w:val="00A55E0A"/>
    <w:rsid w:val="00A5672F"/>
    <w:rsid w:val="00A56862"/>
    <w:rsid w:val="00A56A7D"/>
    <w:rsid w:val="00A56B61"/>
    <w:rsid w:val="00A56BBC"/>
    <w:rsid w:val="00A56BC5"/>
    <w:rsid w:val="00A56C89"/>
    <w:rsid w:val="00A56E2A"/>
    <w:rsid w:val="00A56E65"/>
    <w:rsid w:val="00A57265"/>
    <w:rsid w:val="00A574DE"/>
    <w:rsid w:val="00A5789F"/>
    <w:rsid w:val="00A5797A"/>
    <w:rsid w:val="00A57BA2"/>
    <w:rsid w:val="00A607A0"/>
    <w:rsid w:val="00A609E6"/>
    <w:rsid w:val="00A60D87"/>
    <w:rsid w:val="00A60DC0"/>
    <w:rsid w:val="00A60E2B"/>
    <w:rsid w:val="00A60EA0"/>
    <w:rsid w:val="00A6112A"/>
    <w:rsid w:val="00A61376"/>
    <w:rsid w:val="00A61476"/>
    <w:rsid w:val="00A62054"/>
    <w:rsid w:val="00A622B9"/>
    <w:rsid w:val="00A622DE"/>
    <w:rsid w:val="00A62480"/>
    <w:rsid w:val="00A6253B"/>
    <w:rsid w:val="00A62681"/>
    <w:rsid w:val="00A62E9B"/>
    <w:rsid w:val="00A63060"/>
    <w:rsid w:val="00A630E7"/>
    <w:rsid w:val="00A632D8"/>
    <w:rsid w:val="00A636BE"/>
    <w:rsid w:val="00A637BA"/>
    <w:rsid w:val="00A63B47"/>
    <w:rsid w:val="00A63BE0"/>
    <w:rsid w:val="00A63D41"/>
    <w:rsid w:val="00A63DE6"/>
    <w:rsid w:val="00A63E2A"/>
    <w:rsid w:val="00A643A6"/>
    <w:rsid w:val="00A6467E"/>
    <w:rsid w:val="00A64752"/>
    <w:rsid w:val="00A6476A"/>
    <w:rsid w:val="00A65247"/>
    <w:rsid w:val="00A65795"/>
    <w:rsid w:val="00A659E9"/>
    <w:rsid w:val="00A65BD6"/>
    <w:rsid w:val="00A65C14"/>
    <w:rsid w:val="00A65E67"/>
    <w:rsid w:val="00A66425"/>
    <w:rsid w:val="00A66B97"/>
    <w:rsid w:val="00A66BF0"/>
    <w:rsid w:val="00A66DCD"/>
    <w:rsid w:val="00A67101"/>
    <w:rsid w:val="00A6721C"/>
    <w:rsid w:val="00A67ACB"/>
    <w:rsid w:val="00A67D58"/>
    <w:rsid w:val="00A70130"/>
    <w:rsid w:val="00A703CE"/>
    <w:rsid w:val="00A708CD"/>
    <w:rsid w:val="00A7092B"/>
    <w:rsid w:val="00A70A8A"/>
    <w:rsid w:val="00A70FE3"/>
    <w:rsid w:val="00A7139C"/>
    <w:rsid w:val="00A7153C"/>
    <w:rsid w:val="00A715E6"/>
    <w:rsid w:val="00A71650"/>
    <w:rsid w:val="00A71A7B"/>
    <w:rsid w:val="00A71DA1"/>
    <w:rsid w:val="00A71DB2"/>
    <w:rsid w:val="00A71EA6"/>
    <w:rsid w:val="00A71ED3"/>
    <w:rsid w:val="00A721EA"/>
    <w:rsid w:val="00A72700"/>
    <w:rsid w:val="00A72B80"/>
    <w:rsid w:val="00A72E01"/>
    <w:rsid w:val="00A72E61"/>
    <w:rsid w:val="00A73199"/>
    <w:rsid w:val="00A73242"/>
    <w:rsid w:val="00A7336D"/>
    <w:rsid w:val="00A73664"/>
    <w:rsid w:val="00A737CA"/>
    <w:rsid w:val="00A73F7B"/>
    <w:rsid w:val="00A74502"/>
    <w:rsid w:val="00A7461B"/>
    <w:rsid w:val="00A74901"/>
    <w:rsid w:val="00A74C0D"/>
    <w:rsid w:val="00A74E81"/>
    <w:rsid w:val="00A74EB3"/>
    <w:rsid w:val="00A75300"/>
    <w:rsid w:val="00A7584F"/>
    <w:rsid w:val="00A7588C"/>
    <w:rsid w:val="00A75BD0"/>
    <w:rsid w:val="00A76020"/>
    <w:rsid w:val="00A761AB"/>
    <w:rsid w:val="00A76298"/>
    <w:rsid w:val="00A76356"/>
    <w:rsid w:val="00A76422"/>
    <w:rsid w:val="00A775AE"/>
    <w:rsid w:val="00A776ED"/>
    <w:rsid w:val="00A777B2"/>
    <w:rsid w:val="00A8003D"/>
    <w:rsid w:val="00A803A6"/>
    <w:rsid w:val="00A804D2"/>
    <w:rsid w:val="00A8060F"/>
    <w:rsid w:val="00A80BB7"/>
    <w:rsid w:val="00A80DFA"/>
    <w:rsid w:val="00A80EE5"/>
    <w:rsid w:val="00A81031"/>
    <w:rsid w:val="00A813D1"/>
    <w:rsid w:val="00A81F3D"/>
    <w:rsid w:val="00A82475"/>
    <w:rsid w:val="00A8258D"/>
    <w:rsid w:val="00A82799"/>
    <w:rsid w:val="00A82B3B"/>
    <w:rsid w:val="00A82EDD"/>
    <w:rsid w:val="00A8323D"/>
    <w:rsid w:val="00A832BF"/>
    <w:rsid w:val="00A83603"/>
    <w:rsid w:val="00A8365E"/>
    <w:rsid w:val="00A83817"/>
    <w:rsid w:val="00A844B7"/>
    <w:rsid w:val="00A84529"/>
    <w:rsid w:val="00A847C2"/>
    <w:rsid w:val="00A84E53"/>
    <w:rsid w:val="00A84E73"/>
    <w:rsid w:val="00A84EA5"/>
    <w:rsid w:val="00A852FF"/>
    <w:rsid w:val="00A854D9"/>
    <w:rsid w:val="00A858EB"/>
    <w:rsid w:val="00A85D56"/>
    <w:rsid w:val="00A85E53"/>
    <w:rsid w:val="00A8623E"/>
    <w:rsid w:val="00A8695E"/>
    <w:rsid w:val="00A86D67"/>
    <w:rsid w:val="00A87250"/>
    <w:rsid w:val="00A87480"/>
    <w:rsid w:val="00A874D8"/>
    <w:rsid w:val="00A874D9"/>
    <w:rsid w:val="00A900C1"/>
    <w:rsid w:val="00A90165"/>
    <w:rsid w:val="00A902B0"/>
    <w:rsid w:val="00A9054D"/>
    <w:rsid w:val="00A90C63"/>
    <w:rsid w:val="00A90CBB"/>
    <w:rsid w:val="00A915EC"/>
    <w:rsid w:val="00A91AF7"/>
    <w:rsid w:val="00A91DFD"/>
    <w:rsid w:val="00A91F01"/>
    <w:rsid w:val="00A9215D"/>
    <w:rsid w:val="00A923AA"/>
    <w:rsid w:val="00A927C8"/>
    <w:rsid w:val="00A92C04"/>
    <w:rsid w:val="00A92C38"/>
    <w:rsid w:val="00A92CEC"/>
    <w:rsid w:val="00A92EDF"/>
    <w:rsid w:val="00A93492"/>
    <w:rsid w:val="00A938EF"/>
    <w:rsid w:val="00A9399C"/>
    <w:rsid w:val="00A93AD6"/>
    <w:rsid w:val="00A941CA"/>
    <w:rsid w:val="00A944D8"/>
    <w:rsid w:val="00A944E6"/>
    <w:rsid w:val="00A94502"/>
    <w:rsid w:val="00A94620"/>
    <w:rsid w:val="00A94AAC"/>
    <w:rsid w:val="00A94BE4"/>
    <w:rsid w:val="00A94D77"/>
    <w:rsid w:val="00A94DAC"/>
    <w:rsid w:val="00A94EC6"/>
    <w:rsid w:val="00A951BB"/>
    <w:rsid w:val="00A95298"/>
    <w:rsid w:val="00A957BF"/>
    <w:rsid w:val="00A958E6"/>
    <w:rsid w:val="00A95ACA"/>
    <w:rsid w:val="00A95BFC"/>
    <w:rsid w:val="00A95D9F"/>
    <w:rsid w:val="00A9624A"/>
    <w:rsid w:val="00A96761"/>
    <w:rsid w:val="00A96C39"/>
    <w:rsid w:val="00A97168"/>
    <w:rsid w:val="00A97771"/>
    <w:rsid w:val="00A979B9"/>
    <w:rsid w:val="00A97EB3"/>
    <w:rsid w:val="00A97F48"/>
    <w:rsid w:val="00AA03EC"/>
    <w:rsid w:val="00AA0A5B"/>
    <w:rsid w:val="00AA1005"/>
    <w:rsid w:val="00AA10C4"/>
    <w:rsid w:val="00AA139E"/>
    <w:rsid w:val="00AA156C"/>
    <w:rsid w:val="00AA16D0"/>
    <w:rsid w:val="00AA183E"/>
    <w:rsid w:val="00AA1C5A"/>
    <w:rsid w:val="00AA2060"/>
    <w:rsid w:val="00AA22A8"/>
    <w:rsid w:val="00AA2534"/>
    <w:rsid w:val="00AA258D"/>
    <w:rsid w:val="00AA2866"/>
    <w:rsid w:val="00AA2E4E"/>
    <w:rsid w:val="00AA345E"/>
    <w:rsid w:val="00AA38D3"/>
    <w:rsid w:val="00AA396E"/>
    <w:rsid w:val="00AA3A35"/>
    <w:rsid w:val="00AA3A5B"/>
    <w:rsid w:val="00AA3AE3"/>
    <w:rsid w:val="00AA3DA9"/>
    <w:rsid w:val="00AA3F44"/>
    <w:rsid w:val="00AA414B"/>
    <w:rsid w:val="00AA41E2"/>
    <w:rsid w:val="00AA4315"/>
    <w:rsid w:val="00AA44D0"/>
    <w:rsid w:val="00AA460C"/>
    <w:rsid w:val="00AA46E8"/>
    <w:rsid w:val="00AA4766"/>
    <w:rsid w:val="00AA49F8"/>
    <w:rsid w:val="00AA4A0A"/>
    <w:rsid w:val="00AA4B1E"/>
    <w:rsid w:val="00AA4BCA"/>
    <w:rsid w:val="00AA4FA3"/>
    <w:rsid w:val="00AA57B9"/>
    <w:rsid w:val="00AA6120"/>
    <w:rsid w:val="00AA620F"/>
    <w:rsid w:val="00AA6242"/>
    <w:rsid w:val="00AA643D"/>
    <w:rsid w:val="00AA66D2"/>
    <w:rsid w:val="00AA6A74"/>
    <w:rsid w:val="00AA6C09"/>
    <w:rsid w:val="00AA6EAA"/>
    <w:rsid w:val="00AA7162"/>
    <w:rsid w:val="00AA725D"/>
    <w:rsid w:val="00AA73A0"/>
    <w:rsid w:val="00AA75FE"/>
    <w:rsid w:val="00AA7770"/>
    <w:rsid w:val="00AA7842"/>
    <w:rsid w:val="00AB028F"/>
    <w:rsid w:val="00AB03BE"/>
    <w:rsid w:val="00AB03FB"/>
    <w:rsid w:val="00AB049A"/>
    <w:rsid w:val="00AB0556"/>
    <w:rsid w:val="00AB06B2"/>
    <w:rsid w:val="00AB07E4"/>
    <w:rsid w:val="00AB07F7"/>
    <w:rsid w:val="00AB0B9B"/>
    <w:rsid w:val="00AB107A"/>
    <w:rsid w:val="00AB1157"/>
    <w:rsid w:val="00AB1786"/>
    <w:rsid w:val="00AB17C1"/>
    <w:rsid w:val="00AB1965"/>
    <w:rsid w:val="00AB1F02"/>
    <w:rsid w:val="00AB1F4B"/>
    <w:rsid w:val="00AB1FF5"/>
    <w:rsid w:val="00AB20A7"/>
    <w:rsid w:val="00AB25FD"/>
    <w:rsid w:val="00AB286E"/>
    <w:rsid w:val="00AB2961"/>
    <w:rsid w:val="00AB30CF"/>
    <w:rsid w:val="00AB31B5"/>
    <w:rsid w:val="00AB322C"/>
    <w:rsid w:val="00AB3311"/>
    <w:rsid w:val="00AB36F9"/>
    <w:rsid w:val="00AB392F"/>
    <w:rsid w:val="00AB3D50"/>
    <w:rsid w:val="00AB3F05"/>
    <w:rsid w:val="00AB47BF"/>
    <w:rsid w:val="00AB48BA"/>
    <w:rsid w:val="00AB495A"/>
    <w:rsid w:val="00AB49CD"/>
    <w:rsid w:val="00AB49CE"/>
    <w:rsid w:val="00AB4D76"/>
    <w:rsid w:val="00AB4D96"/>
    <w:rsid w:val="00AB4F0C"/>
    <w:rsid w:val="00AB53F0"/>
    <w:rsid w:val="00AB561E"/>
    <w:rsid w:val="00AB5AD0"/>
    <w:rsid w:val="00AB5B8E"/>
    <w:rsid w:val="00AB5EBA"/>
    <w:rsid w:val="00AB5FA0"/>
    <w:rsid w:val="00AB63EB"/>
    <w:rsid w:val="00AB667C"/>
    <w:rsid w:val="00AB75FA"/>
    <w:rsid w:val="00AB785C"/>
    <w:rsid w:val="00AB7884"/>
    <w:rsid w:val="00AC0083"/>
    <w:rsid w:val="00AC0370"/>
    <w:rsid w:val="00AC04C7"/>
    <w:rsid w:val="00AC07AB"/>
    <w:rsid w:val="00AC0C87"/>
    <w:rsid w:val="00AC0CF8"/>
    <w:rsid w:val="00AC0E11"/>
    <w:rsid w:val="00AC0F0E"/>
    <w:rsid w:val="00AC1282"/>
    <w:rsid w:val="00AC15FA"/>
    <w:rsid w:val="00AC18FE"/>
    <w:rsid w:val="00AC19ED"/>
    <w:rsid w:val="00AC1BB6"/>
    <w:rsid w:val="00AC1C4C"/>
    <w:rsid w:val="00AC1C77"/>
    <w:rsid w:val="00AC1F20"/>
    <w:rsid w:val="00AC214E"/>
    <w:rsid w:val="00AC25EE"/>
    <w:rsid w:val="00AC28AE"/>
    <w:rsid w:val="00AC29B9"/>
    <w:rsid w:val="00AC2BFA"/>
    <w:rsid w:val="00AC3784"/>
    <w:rsid w:val="00AC38AA"/>
    <w:rsid w:val="00AC39CD"/>
    <w:rsid w:val="00AC3A85"/>
    <w:rsid w:val="00AC3C15"/>
    <w:rsid w:val="00AC4672"/>
    <w:rsid w:val="00AC467C"/>
    <w:rsid w:val="00AC478F"/>
    <w:rsid w:val="00AC4C8C"/>
    <w:rsid w:val="00AC4EAD"/>
    <w:rsid w:val="00AC5491"/>
    <w:rsid w:val="00AC5597"/>
    <w:rsid w:val="00AC573A"/>
    <w:rsid w:val="00AC594D"/>
    <w:rsid w:val="00AC5F6A"/>
    <w:rsid w:val="00AC60E5"/>
    <w:rsid w:val="00AC6220"/>
    <w:rsid w:val="00AC68E9"/>
    <w:rsid w:val="00AC6E1D"/>
    <w:rsid w:val="00AC6E20"/>
    <w:rsid w:val="00AC6F30"/>
    <w:rsid w:val="00AC7095"/>
    <w:rsid w:val="00AC755B"/>
    <w:rsid w:val="00AC775B"/>
    <w:rsid w:val="00AC7859"/>
    <w:rsid w:val="00AC7906"/>
    <w:rsid w:val="00AC7C90"/>
    <w:rsid w:val="00AC7CEF"/>
    <w:rsid w:val="00AC7E87"/>
    <w:rsid w:val="00AC7EF7"/>
    <w:rsid w:val="00AD003A"/>
    <w:rsid w:val="00AD0376"/>
    <w:rsid w:val="00AD0DEA"/>
    <w:rsid w:val="00AD104F"/>
    <w:rsid w:val="00AD14D6"/>
    <w:rsid w:val="00AD17D1"/>
    <w:rsid w:val="00AD1A2B"/>
    <w:rsid w:val="00AD1DB0"/>
    <w:rsid w:val="00AD1E5E"/>
    <w:rsid w:val="00AD1EDE"/>
    <w:rsid w:val="00AD2106"/>
    <w:rsid w:val="00AD24BF"/>
    <w:rsid w:val="00AD28E7"/>
    <w:rsid w:val="00AD2B60"/>
    <w:rsid w:val="00AD2DC1"/>
    <w:rsid w:val="00AD30E4"/>
    <w:rsid w:val="00AD329B"/>
    <w:rsid w:val="00AD32BA"/>
    <w:rsid w:val="00AD3723"/>
    <w:rsid w:val="00AD3778"/>
    <w:rsid w:val="00AD3798"/>
    <w:rsid w:val="00AD3C58"/>
    <w:rsid w:val="00AD3DBC"/>
    <w:rsid w:val="00AD415C"/>
    <w:rsid w:val="00AD45E5"/>
    <w:rsid w:val="00AD4B8D"/>
    <w:rsid w:val="00AD4CC9"/>
    <w:rsid w:val="00AD4F32"/>
    <w:rsid w:val="00AD4F56"/>
    <w:rsid w:val="00AD50B5"/>
    <w:rsid w:val="00AD54C5"/>
    <w:rsid w:val="00AD56DA"/>
    <w:rsid w:val="00AD59AA"/>
    <w:rsid w:val="00AD59F7"/>
    <w:rsid w:val="00AD5A75"/>
    <w:rsid w:val="00AD5AB9"/>
    <w:rsid w:val="00AD6155"/>
    <w:rsid w:val="00AD646A"/>
    <w:rsid w:val="00AD66D7"/>
    <w:rsid w:val="00AD6B59"/>
    <w:rsid w:val="00AD6CBC"/>
    <w:rsid w:val="00AD74DD"/>
    <w:rsid w:val="00AD75AA"/>
    <w:rsid w:val="00AD7808"/>
    <w:rsid w:val="00AE00FE"/>
    <w:rsid w:val="00AE04D6"/>
    <w:rsid w:val="00AE0515"/>
    <w:rsid w:val="00AE0558"/>
    <w:rsid w:val="00AE085B"/>
    <w:rsid w:val="00AE0D1D"/>
    <w:rsid w:val="00AE0DC6"/>
    <w:rsid w:val="00AE0EC2"/>
    <w:rsid w:val="00AE10E7"/>
    <w:rsid w:val="00AE1166"/>
    <w:rsid w:val="00AE1516"/>
    <w:rsid w:val="00AE17A5"/>
    <w:rsid w:val="00AE19B2"/>
    <w:rsid w:val="00AE1B2C"/>
    <w:rsid w:val="00AE1D35"/>
    <w:rsid w:val="00AE2120"/>
    <w:rsid w:val="00AE214F"/>
    <w:rsid w:val="00AE2561"/>
    <w:rsid w:val="00AE25FE"/>
    <w:rsid w:val="00AE2968"/>
    <w:rsid w:val="00AE2B3D"/>
    <w:rsid w:val="00AE2BE8"/>
    <w:rsid w:val="00AE2FF8"/>
    <w:rsid w:val="00AE3483"/>
    <w:rsid w:val="00AE34BE"/>
    <w:rsid w:val="00AE365C"/>
    <w:rsid w:val="00AE3A65"/>
    <w:rsid w:val="00AE3C47"/>
    <w:rsid w:val="00AE434E"/>
    <w:rsid w:val="00AE43AB"/>
    <w:rsid w:val="00AE43B0"/>
    <w:rsid w:val="00AE43F6"/>
    <w:rsid w:val="00AE44DB"/>
    <w:rsid w:val="00AE47B1"/>
    <w:rsid w:val="00AE4ADE"/>
    <w:rsid w:val="00AE4E2F"/>
    <w:rsid w:val="00AE5005"/>
    <w:rsid w:val="00AE5242"/>
    <w:rsid w:val="00AE5352"/>
    <w:rsid w:val="00AE5BBA"/>
    <w:rsid w:val="00AE5E11"/>
    <w:rsid w:val="00AE61AC"/>
    <w:rsid w:val="00AE630A"/>
    <w:rsid w:val="00AE6318"/>
    <w:rsid w:val="00AE635B"/>
    <w:rsid w:val="00AE63CD"/>
    <w:rsid w:val="00AE64DB"/>
    <w:rsid w:val="00AE66FA"/>
    <w:rsid w:val="00AE6B14"/>
    <w:rsid w:val="00AE7211"/>
    <w:rsid w:val="00AE7A08"/>
    <w:rsid w:val="00AF00B1"/>
    <w:rsid w:val="00AF00B8"/>
    <w:rsid w:val="00AF0410"/>
    <w:rsid w:val="00AF045E"/>
    <w:rsid w:val="00AF04A4"/>
    <w:rsid w:val="00AF04DA"/>
    <w:rsid w:val="00AF0594"/>
    <w:rsid w:val="00AF0BBE"/>
    <w:rsid w:val="00AF10E6"/>
    <w:rsid w:val="00AF11A0"/>
    <w:rsid w:val="00AF12A3"/>
    <w:rsid w:val="00AF15BD"/>
    <w:rsid w:val="00AF184D"/>
    <w:rsid w:val="00AF1878"/>
    <w:rsid w:val="00AF1ADB"/>
    <w:rsid w:val="00AF21A8"/>
    <w:rsid w:val="00AF2318"/>
    <w:rsid w:val="00AF2F2F"/>
    <w:rsid w:val="00AF2FD1"/>
    <w:rsid w:val="00AF2FF0"/>
    <w:rsid w:val="00AF35A3"/>
    <w:rsid w:val="00AF3DF1"/>
    <w:rsid w:val="00AF3E29"/>
    <w:rsid w:val="00AF43A5"/>
    <w:rsid w:val="00AF4A1A"/>
    <w:rsid w:val="00AF4D25"/>
    <w:rsid w:val="00AF5228"/>
    <w:rsid w:val="00AF5269"/>
    <w:rsid w:val="00AF52DA"/>
    <w:rsid w:val="00AF535C"/>
    <w:rsid w:val="00AF54B7"/>
    <w:rsid w:val="00AF563E"/>
    <w:rsid w:val="00AF5C4C"/>
    <w:rsid w:val="00AF5F79"/>
    <w:rsid w:val="00AF6548"/>
    <w:rsid w:val="00AF6825"/>
    <w:rsid w:val="00AF6C40"/>
    <w:rsid w:val="00AF6D17"/>
    <w:rsid w:val="00AF7107"/>
    <w:rsid w:val="00AF7563"/>
    <w:rsid w:val="00AF7BEC"/>
    <w:rsid w:val="00AF7F35"/>
    <w:rsid w:val="00B004D0"/>
    <w:rsid w:val="00B00621"/>
    <w:rsid w:val="00B01014"/>
    <w:rsid w:val="00B01034"/>
    <w:rsid w:val="00B010BC"/>
    <w:rsid w:val="00B0126A"/>
    <w:rsid w:val="00B014A8"/>
    <w:rsid w:val="00B01558"/>
    <w:rsid w:val="00B01577"/>
    <w:rsid w:val="00B01683"/>
    <w:rsid w:val="00B017CC"/>
    <w:rsid w:val="00B01931"/>
    <w:rsid w:val="00B0198C"/>
    <w:rsid w:val="00B019EE"/>
    <w:rsid w:val="00B028CF"/>
    <w:rsid w:val="00B028DC"/>
    <w:rsid w:val="00B02B33"/>
    <w:rsid w:val="00B02B6A"/>
    <w:rsid w:val="00B02D81"/>
    <w:rsid w:val="00B02EBC"/>
    <w:rsid w:val="00B031E6"/>
    <w:rsid w:val="00B0366B"/>
    <w:rsid w:val="00B037FD"/>
    <w:rsid w:val="00B03CC2"/>
    <w:rsid w:val="00B03E33"/>
    <w:rsid w:val="00B04097"/>
    <w:rsid w:val="00B04307"/>
    <w:rsid w:val="00B0441E"/>
    <w:rsid w:val="00B0487B"/>
    <w:rsid w:val="00B0489A"/>
    <w:rsid w:val="00B04BD6"/>
    <w:rsid w:val="00B04C56"/>
    <w:rsid w:val="00B051F2"/>
    <w:rsid w:val="00B052BE"/>
    <w:rsid w:val="00B055E0"/>
    <w:rsid w:val="00B05680"/>
    <w:rsid w:val="00B05A89"/>
    <w:rsid w:val="00B05C18"/>
    <w:rsid w:val="00B05CA8"/>
    <w:rsid w:val="00B05D06"/>
    <w:rsid w:val="00B061CF"/>
    <w:rsid w:val="00B0622A"/>
    <w:rsid w:val="00B0648C"/>
    <w:rsid w:val="00B06584"/>
    <w:rsid w:val="00B066CC"/>
    <w:rsid w:val="00B06E68"/>
    <w:rsid w:val="00B0705F"/>
    <w:rsid w:val="00B07458"/>
    <w:rsid w:val="00B076F2"/>
    <w:rsid w:val="00B07B48"/>
    <w:rsid w:val="00B07CDE"/>
    <w:rsid w:val="00B07D43"/>
    <w:rsid w:val="00B07D7E"/>
    <w:rsid w:val="00B07E34"/>
    <w:rsid w:val="00B10059"/>
    <w:rsid w:val="00B1005C"/>
    <w:rsid w:val="00B106C0"/>
    <w:rsid w:val="00B10C5A"/>
    <w:rsid w:val="00B10D4D"/>
    <w:rsid w:val="00B10DCB"/>
    <w:rsid w:val="00B11543"/>
    <w:rsid w:val="00B1159F"/>
    <w:rsid w:val="00B1194F"/>
    <w:rsid w:val="00B119E8"/>
    <w:rsid w:val="00B11A3B"/>
    <w:rsid w:val="00B11BC4"/>
    <w:rsid w:val="00B11ED4"/>
    <w:rsid w:val="00B11F41"/>
    <w:rsid w:val="00B11FE6"/>
    <w:rsid w:val="00B122C0"/>
    <w:rsid w:val="00B122C1"/>
    <w:rsid w:val="00B123C5"/>
    <w:rsid w:val="00B12495"/>
    <w:rsid w:val="00B12583"/>
    <w:rsid w:val="00B1263A"/>
    <w:rsid w:val="00B12CFF"/>
    <w:rsid w:val="00B13137"/>
    <w:rsid w:val="00B1389D"/>
    <w:rsid w:val="00B138C6"/>
    <w:rsid w:val="00B13AB2"/>
    <w:rsid w:val="00B13EA9"/>
    <w:rsid w:val="00B140AC"/>
    <w:rsid w:val="00B141BD"/>
    <w:rsid w:val="00B144DE"/>
    <w:rsid w:val="00B14569"/>
    <w:rsid w:val="00B148C2"/>
    <w:rsid w:val="00B150FF"/>
    <w:rsid w:val="00B152A2"/>
    <w:rsid w:val="00B15347"/>
    <w:rsid w:val="00B157A0"/>
    <w:rsid w:val="00B15970"/>
    <w:rsid w:val="00B15F63"/>
    <w:rsid w:val="00B16134"/>
    <w:rsid w:val="00B162C3"/>
    <w:rsid w:val="00B16478"/>
    <w:rsid w:val="00B16C80"/>
    <w:rsid w:val="00B16CBC"/>
    <w:rsid w:val="00B17801"/>
    <w:rsid w:val="00B17824"/>
    <w:rsid w:val="00B1787C"/>
    <w:rsid w:val="00B178A6"/>
    <w:rsid w:val="00B17ACA"/>
    <w:rsid w:val="00B17C52"/>
    <w:rsid w:val="00B17D55"/>
    <w:rsid w:val="00B2040D"/>
    <w:rsid w:val="00B20458"/>
    <w:rsid w:val="00B20467"/>
    <w:rsid w:val="00B209D4"/>
    <w:rsid w:val="00B20C1B"/>
    <w:rsid w:val="00B2110E"/>
    <w:rsid w:val="00B21365"/>
    <w:rsid w:val="00B2140B"/>
    <w:rsid w:val="00B215EF"/>
    <w:rsid w:val="00B217AE"/>
    <w:rsid w:val="00B21E64"/>
    <w:rsid w:val="00B21EC8"/>
    <w:rsid w:val="00B21ED9"/>
    <w:rsid w:val="00B22165"/>
    <w:rsid w:val="00B222DA"/>
    <w:rsid w:val="00B22AD6"/>
    <w:rsid w:val="00B22C9F"/>
    <w:rsid w:val="00B22D2B"/>
    <w:rsid w:val="00B22E53"/>
    <w:rsid w:val="00B2366F"/>
    <w:rsid w:val="00B237E9"/>
    <w:rsid w:val="00B237F6"/>
    <w:rsid w:val="00B23B03"/>
    <w:rsid w:val="00B23CE5"/>
    <w:rsid w:val="00B23E69"/>
    <w:rsid w:val="00B23EA9"/>
    <w:rsid w:val="00B247AD"/>
    <w:rsid w:val="00B24C8E"/>
    <w:rsid w:val="00B24D6E"/>
    <w:rsid w:val="00B24EBC"/>
    <w:rsid w:val="00B25975"/>
    <w:rsid w:val="00B25990"/>
    <w:rsid w:val="00B25CD5"/>
    <w:rsid w:val="00B25DB1"/>
    <w:rsid w:val="00B2625B"/>
    <w:rsid w:val="00B26485"/>
    <w:rsid w:val="00B26787"/>
    <w:rsid w:val="00B269EF"/>
    <w:rsid w:val="00B271E8"/>
    <w:rsid w:val="00B2748C"/>
    <w:rsid w:val="00B27A58"/>
    <w:rsid w:val="00B3042C"/>
    <w:rsid w:val="00B30506"/>
    <w:rsid w:val="00B30532"/>
    <w:rsid w:val="00B30C36"/>
    <w:rsid w:val="00B30C80"/>
    <w:rsid w:val="00B30CA1"/>
    <w:rsid w:val="00B310A6"/>
    <w:rsid w:val="00B324A4"/>
    <w:rsid w:val="00B32579"/>
    <w:rsid w:val="00B327BD"/>
    <w:rsid w:val="00B327D8"/>
    <w:rsid w:val="00B327DA"/>
    <w:rsid w:val="00B32B45"/>
    <w:rsid w:val="00B32CF0"/>
    <w:rsid w:val="00B32D68"/>
    <w:rsid w:val="00B32F76"/>
    <w:rsid w:val="00B3330A"/>
    <w:rsid w:val="00B335C6"/>
    <w:rsid w:val="00B33632"/>
    <w:rsid w:val="00B33654"/>
    <w:rsid w:val="00B336B1"/>
    <w:rsid w:val="00B3414D"/>
    <w:rsid w:val="00B3417C"/>
    <w:rsid w:val="00B341D2"/>
    <w:rsid w:val="00B346C9"/>
    <w:rsid w:val="00B349B4"/>
    <w:rsid w:val="00B34A12"/>
    <w:rsid w:val="00B34FDB"/>
    <w:rsid w:val="00B3542C"/>
    <w:rsid w:val="00B35446"/>
    <w:rsid w:val="00B35582"/>
    <w:rsid w:val="00B35B46"/>
    <w:rsid w:val="00B36333"/>
    <w:rsid w:val="00B36842"/>
    <w:rsid w:val="00B36B00"/>
    <w:rsid w:val="00B36D37"/>
    <w:rsid w:val="00B36DB0"/>
    <w:rsid w:val="00B37378"/>
    <w:rsid w:val="00B37720"/>
    <w:rsid w:val="00B3786A"/>
    <w:rsid w:val="00B37949"/>
    <w:rsid w:val="00B37A29"/>
    <w:rsid w:val="00B37CE7"/>
    <w:rsid w:val="00B37F34"/>
    <w:rsid w:val="00B40148"/>
    <w:rsid w:val="00B40205"/>
    <w:rsid w:val="00B40330"/>
    <w:rsid w:val="00B40536"/>
    <w:rsid w:val="00B40905"/>
    <w:rsid w:val="00B409F4"/>
    <w:rsid w:val="00B40A85"/>
    <w:rsid w:val="00B40A92"/>
    <w:rsid w:val="00B40E04"/>
    <w:rsid w:val="00B41071"/>
    <w:rsid w:val="00B41396"/>
    <w:rsid w:val="00B41B07"/>
    <w:rsid w:val="00B41B29"/>
    <w:rsid w:val="00B41B67"/>
    <w:rsid w:val="00B41C01"/>
    <w:rsid w:val="00B41E33"/>
    <w:rsid w:val="00B42140"/>
    <w:rsid w:val="00B422A4"/>
    <w:rsid w:val="00B42363"/>
    <w:rsid w:val="00B4249F"/>
    <w:rsid w:val="00B42963"/>
    <w:rsid w:val="00B42D9C"/>
    <w:rsid w:val="00B4339A"/>
    <w:rsid w:val="00B435EC"/>
    <w:rsid w:val="00B43A21"/>
    <w:rsid w:val="00B440D5"/>
    <w:rsid w:val="00B44EC2"/>
    <w:rsid w:val="00B4547D"/>
    <w:rsid w:val="00B457A5"/>
    <w:rsid w:val="00B45FC2"/>
    <w:rsid w:val="00B465D6"/>
    <w:rsid w:val="00B46707"/>
    <w:rsid w:val="00B4670B"/>
    <w:rsid w:val="00B46D0E"/>
    <w:rsid w:val="00B47069"/>
    <w:rsid w:val="00B4707A"/>
    <w:rsid w:val="00B47103"/>
    <w:rsid w:val="00B472AE"/>
    <w:rsid w:val="00B477FB"/>
    <w:rsid w:val="00B47E78"/>
    <w:rsid w:val="00B500CA"/>
    <w:rsid w:val="00B500E9"/>
    <w:rsid w:val="00B503BA"/>
    <w:rsid w:val="00B50598"/>
    <w:rsid w:val="00B508D1"/>
    <w:rsid w:val="00B50F12"/>
    <w:rsid w:val="00B510A2"/>
    <w:rsid w:val="00B5123D"/>
    <w:rsid w:val="00B51374"/>
    <w:rsid w:val="00B5251C"/>
    <w:rsid w:val="00B52647"/>
    <w:rsid w:val="00B52980"/>
    <w:rsid w:val="00B52CED"/>
    <w:rsid w:val="00B52D8E"/>
    <w:rsid w:val="00B53206"/>
    <w:rsid w:val="00B53435"/>
    <w:rsid w:val="00B53552"/>
    <w:rsid w:val="00B54002"/>
    <w:rsid w:val="00B5428E"/>
    <w:rsid w:val="00B544AA"/>
    <w:rsid w:val="00B544DC"/>
    <w:rsid w:val="00B548B7"/>
    <w:rsid w:val="00B54A04"/>
    <w:rsid w:val="00B54C17"/>
    <w:rsid w:val="00B54C65"/>
    <w:rsid w:val="00B54DA5"/>
    <w:rsid w:val="00B550D4"/>
    <w:rsid w:val="00B55252"/>
    <w:rsid w:val="00B552B3"/>
    <w:rsid w:val="00B55CA1"/>
    <w:rsid w:val="00B55EA1"/>
    <w:rsid w:val="00B56783"/>
    <w:rsid w:val="00B56F3B"/>
    <w:rsid w:val="00B57136"/>
    <w:rsid w:val="00B573AF"/>
    <w:rsid w:val="00B5745E"/>
    <w:rsid w:val="00B575F8"/>
    <w:rsid w:val="00B577C2"/>
    <w:rsid w:val="00B57850"/>
    <w:rsid w:val="00B57B5A"/>
    <w:rsid w:val="00B605FD"/>
    <w:rsid w:val="00B60784"/>
    <w:rsid w:val="00B60E7D"/>
    <w:rsid w:val="00B61693"/>
    <w:rsid w:val="00B61B04"/>
    <w:rsid w:val="00B61C08"/>
    <w:rsid w:val="00B61E3D"/>
    <w:rsid w:val="00B61EEA"/>
    <w:rsid w:val="00B621C2"/>
    <w:rsid w:val="00B621C6"/>
    <w:rsid w:val="00B62C55"/>
    <w:rsid w:val="00B62C60"/>
    <w:rsid w:val="00B62DD2"/>
    <w:rsid w:val="00B62FAD"/>
    <w:rsid w:val="00B63903"/>
    <w:rsid w:val="00B6398A"/>
    <w:rsid w:val="00B639F4"/>
    <w:rsid w:val="00B63CB8"/>
    <w:rsid w:val="00B63E8F"/>
    <w:rsid w:val="00B63F31"/>
    <w:rsid w:val="00B64031"/>
    <w:rsid w:val="00B6407C"/>
    <w:rsid w:val="00B64120"/>
    <w:rsid w:val="00B641C9"/>
    <w:rsid w:val="00B646D9"/>
    <w:rsid w:val="00B64ADA"/>
    <w:rsid w:val="00B64D04"/>
    <w:rsid w:val="00B64DCC"/>
    <w:rsid w:val="00B6541C"/>
    <w:rsid w:val="00B65663"/>
    <w:rsid w:val="00B656B0"/>
    <w:rsid w:val="00B6579C"/>
    <w:rsid w:val="00B65E77"/>
    <w:rsid w:val="00B65E86"/>
    <w:rsid w:val="00B65F59"/>
    <w:rsid w:val="00B666DF"/>
    <w:rsid w:val="00B66731"/>
    <w:rsid w:val="00B66A87"/>
    <w:rsid w:val="00B6764A"/>
    <w:rsid w:val="00B67C7E"/>
    <w:rsid w:val="00B67E42"/>
    <w:rsid w:val="00B70059"/>
    <w:rsid w:val="00B70131"/>
    <w:rsid w:val="00B7017B"/>
    <w:rsid w:val="00B703D3"/>
    <w:rsid w:val="00B70420"/>
    <w:rsid w:val="00B70570"/>
    <w:rsid w:val="00B705CD"/>
    <w:rsid w:val="00B70827"/>
    <w:rsid w:val="00B70848"/>
    <w:rsid w:val="00B70914"/>
    <w:rsid w:val="00B70A56"/>
    <w:rsid w:val="00B70C8E"/>
    <w:rsid w:val="00B70D3F"/>
    <w:rsid w:val="00B71635"/>
    <w:rsid w:val="00B71951"/>
    <w:rsid w:val="00B719DB"/>
    <w:rsid w:val="00B71DC1"/>
    <w:rsid w:val="00B72125"/>
    <w:rsid w:val="00B725F9"/>
    <w:rsid w:val="00B728C7"/>
    <w:rsid w:val="00B72B78"/>
    <w:rsid w:val="00B73294"/>
    <w:rsid w:val="00B7332D"/>
    <w:rsid w:val="00B733A3"/>
    <w:rsid w:val="00B73472"/>
    <w:rsid w:val="00B735F6"/>
    <w:rsid w:val="00B73AA2"/>
    <w:rsid w:val="00B73B64"/>
    <w:rsid w:val="00B73EA4"/>
    <w:rsid w:val="00B73FEA"/>
    <w:rsid w:val="00B742BC"/>
    <w:rsid w:val="00B748BB"/>
    <w:rsid w:val="00B749D7"/>
    <w:rsid w:val="00B74AD8"/>
    <w:rsid w:val="00B74E00"/>
    <w:rsid w:val="00B753E6"/>
    <w:rsid w:val="00B75D50"/>
    <w:rsid w:val="00B75F74"/>
    <w:rsid w:val="00B760E2"/>
    <w:rsid w:val="00B760EB"/>
    <w:rsid w:val="00B762B7"/>
    <w:rsid w:val="00B7647E"/>
    <w:rsid w:val="00B76505"/>
    <w:rsid w:val="00B76577"/>
    <w:rsid w:val="00B767D0"/>
    <w:rsid w:val="00B769D7"/>
    <w:rsid w:val="00B76AF7"/>
    <w:rsid w:val="00B76F65"/>
    <w:rsid w:val="00B77CAA"/>
    <w:rsid w:val="00B800F0"/>
    <w:rsid w:val="00B8019E"/>
    <w:rsid w:val="00B8034A"/>
    <w:rsid w:val="00B80421"/>
    <w:rsid w:val="00B80504"/>
    <w:rsid w:val="00B808DB"/>
    <w:rsid w:val="00B80A6F"/>
    <w:rsid w:val="00B80BD8"/>
    <w:rsid w:val="00B80F76"/>
    <w:rsid w:val="00B81020"/>
    <w:rsid w:val="00B81112"/>
    <w:rsid w:val="00B81A8C"/>
    <w:rsid w:val="00B81C3A"/>
    <w:rsid w:val="00B82280"/>
    <w:rsid w:val="00B82674"/>
    <w:rsid w:val="00B827A8"/>
    <w:rsid w:val="00B82954"/>
    <w:rsid w:val="00B82F97"/>
    <w:rsid w:val="00B83096"/>
    <w:rsid w:val="00B8309F"/>
    <w:rsid w:val="00B83385"/>
    <w:rsid w:val="00B834AC"/>
    <w:rsid w:val="00B8367A"/>
    <w:rsid w:val="00B83BF5"/>
    <w:rsid w:val="00B84186"/>
    <w:rsid w:val="00B84866"/>
    <w:rsid w:val="00B849E3"/>
    <w:rsid w:val="00B84CBD"/>
    <w:rsid w:val="00B84E15"/>
    <w:rsid w:val="00B85019"/>
    <w:rsid w:val="00B8554B"/>
    <w:rsid w:val="00B857CE"/>
    <w:rsid w:val="00B8584E"/>
    <w:rsid w:val="00B8589D"/>
    <w:rsid w:val="00B85979"/>
    <w:rsid w:val="00B85A2B"/>
    <w:rsid w:val="00B85C2F"/>
    <w:rsid w:val="00B85EF2"/>
    <w:rsid w:val="00B862A3"/>
    <w:rsid w:val="00B86422"/>
    <w:rsid w:val="00B86922"/>
    <w:rsid w:val="00B869D9"/>
    <w:rsid w:val="00B86E7D"/>
    <w:rsid w:val="00B8708C"/>
    <w:rsid w:val="00B87101"/>
    <w:rsid w:val="00B87932"/>
    <w:rsid w:val="00B87ECE"/>
    <w:rsid w:val="00B9002F"/>
    <w:rsid w:val="00B901AB"/>
    <w:rsid w:val="00B9031F"/>
    <w:rsid w:val="00B90360"/>
    <w:rsid w:val="00B906FC"/>
    <w:rsid w:val="00B907CB"/>
    <w:rsid w:val="00B907F2"/>
    <w:rsid w:val="00B9096D"/>
    <w:rsid w:val="00B90B7C"/>
    <w:rsid w:val="00B90BE7"/>
    <w:rsid w:val="00B90E0F"/>
    <w:rsid w:val="00B9100E"/>
    <w:rsid w:val="00B910BD"/>
    <w:rsid w:val="00B911A4"/>
    <w:rsid w:val="00B914D0"/>
    <w:rsid w:val="00B91611"/>
    <w:rsid w:val="00B91E83"/>
    <w:rsid w:val="00B9204B"/>
    <w:rsid w:val="00B92157"/>
    <w:rsid w:val="00B92199"/>
    <w:rsid w:val="00B92662"/>
    <w:rsid w:val="00B92FD3"/>
    <w:rsid w:val="00B931CA"/>
    <w:rsid w:val="00B9320F"/>
    <w:rsid w:val="00B9326A"/>
    <w:rsid w:val="00B9327D"/>
    <w:rsid w:val="00B93892"/>
    <w:rsid w:val="00B93B11"/>
    <w:rsid w:val="00B93D62"/>
    <w:rsid w:val="00B93EE0"/>
    <w:rsid w:val="00B94391"/>
    <w:rsid w:val="00B944AA"/>
    <w:rsid w:val="00B944E2"/>
    <w:rsid w:val="00B94516"/>
    <w:rsid w:val="00B945B6"/>
    <w:rsid w:val="00B9461C"/>
    <w:rsid w:val="00B94939"/>
    <w:rsid w:val="00B94B7F"/>
    <w:rsid w:val="00B9544B"/>
    <w:rsid w:val="00B9546D"/>
    <w:rsid w:val="00B95530"/>
    <w:rsid w:val="00B956E1"/>
    <w:rsid w:val="00B9595C"/>
    <w:rsid w:val="00B95A8D"/>
    <w:rsid w:val="00B95B2D"/>
    <w:rsid w:val="00B95D1F"/>
    <w:rsid w:val="00B95D5A"/>
    <w:rsid w:val="00B968EA"/>
    <w:rsid w:val="00B96A0C"/>
    <w:rsid w:val="00B96D6E"/>
    <w:rsid w:val="00B96D9B"/>
    <w:rsid w:val="00B96E5F"/>
    <w:rsid w:val="00B974C0"/>
    <w:rsid w:val="00B97BC5"/>
    <w:rsid w:val="00B97CDD"/>
    <w:rsid w:val="00BA042E"/>
    <w:rsid w:val="00BA044A"/>
    <w:rsid w:val="00BA08DF"/>
    <w:rsid w:val="00BA0A8C"/>
    <w:rsid w:val="00BA0AC4"/>
    <w:rsid w:val="00BA0E83"/>
    <w:rsid w:val="00BA114C"/>
    <w:rsid w:val="00BA16B9"/>
    <w:rsid w:val="00BA1B51"/>
    <w:rsid w:val="00BA1C0A"/>
    <w:rsid w:val="00BA20D7"/>
    <w:rsid w:val="00BA210E"/>
    <w:rsid w:val="00BA2270"/>
    <w:rsid w:val="00BA22B0"/>
    <w:rsid w:val="00BA2A1D"/>
    <w:rsid w:val="00BA2E1F"/>
    <w:rsid w:val="00BA32BE"/>
    <w:rsid w:val="00BA36FC"/>
    <w:rsid w:val="00BA3727"/>
    <w:rsid w:val="00BA413B"/>
    <w:rsid w:val="00BA431B"/>
    <w:rsid w:val="00BA439B"/>
    <w:rsid w:val="00BA4955"/>
    <w:rsid w:val="00BA4A30"/>
    <w:rsid w:val="00BA4E0C"/>
    <w:rsid w:val="00BA5110"/>
    <w:rsid w:val="00BA5176"/>
    <w:rsid w:val="00BA5C99"/>
    <w:rsid w:val="00BA5D0B"/>
    <w:rsid w:val="00BA5DEC"/>
    <w:rsid w:val="00BA5FB2"/>
    <w:rsid w:val="00BA6462"/>
    <w:rsid w:val="00BA6520"/>
    <w:rsid w:val="00BA6705"/>
    <w:rsid w:val="00BA6AB2"/>
    <w:rsid w:val="00BA6B35"/>
    <w:rsid w:val="00BA6B6E"/>
    <w:rsid w:val="00BA6F59"/>
    <w:rsid w:val="00BA7A44"/>
    <w:rsid w:val="00BA7AD5"/>
    <w:rsid w:val="00BA7C8E"/>
    <w:rsid w:val="00BA7F44"/>
    <w:rsid w:val="00BA7FF6"/>
    <w:rsid w:val="00BB0051"/>
    <w:rsid w:val="00BB0D66"/>
    <w:rsid w:val="00BB0D76"/>
    <w:rsid w:val="00BB0F06"/>
    <w:rsid w:val="00BB0F55"/>
    <w:rsid w:val="00BB11EA"/>
    <w:rsid w:val="00BB12B6"/>
    <w:rsid w:val="00BB1316"/>
    <w:rsid w:val="00BB15AA"/>
    <w:rsid w:val="00BB1638"/>
    <w:rsid w:val="00BB16FF"/>
    <w:rsid w:val="00BB183E"/>
    <w:rsid w:val="00BB18D3"/>
    <w:rsid w:val="00BB1DEC"/>
    <w:rsid w:val="00BB21EF"/>
    <w:rsid w:val="00BB2521"/>
    <w:rsid w:val="00BB2772"/>
    <w:rsid w:val="00BB2B4F"/>
    <w:rsid w:val="00BB2CDB"/>
    <w:rsid w:val="00BB2EAB"/>
    <w:rsid w:val="00BB305F"/>
    <w:rsid w:val="00BB31F8"/>
    <w:rsid w:val="00BB32CC"/>
    <w:rsid w:val="00BB36F1"/>
    <w:rsid w:val="00BB3AB8"/>
    <w:rsid w:val="00BB3B4C"/>
    <w:rsid w:val="00BB3FBB"/>
    <w:rsid w:val="00BB3FC9"/>
    <w:rsid w:val="00BB4442"/>
    <w:rsid w:val="00BB44D5"/>
    <w:rsid w:val="00BB4804"/>
    <w:rsid w:val="00BB4D3B"/>
    <w:rsid w:val="00BB4DCC"/>
    <w:rsid w:val="00BB5614"/>
    <w:rsid w:val="00BB5AB1"/>
    <w:rsid w:val="00BB5B07"/>
    <w:rsid w:val="00BB5B82"/>
    <w:rsid w:val="00BB5E5F"/>
    <w:rsid w:val="00BB6218"/>
    <w:rsid w:val="00BB6484"/>
    <w:rsid w:val="00BB65FD"/>
    <w:rsid w:val="00BB665F"/>
    <w:rsid w:val="00BB6ACD"/>
    <w:rsid w:val="00BB6D06"/>
    <w:rsid w:val="00BB6D64"/>
    <w:rsid w:val="00BB6E93"/>
    <w:rsid w:val="00BB7176"/>
    <w:rsid w:val="00BB73C4"/>
    <w:rsid w:val="00BB7405"/>
    <w:rsid w:val="00BB77C3"/>
    <w:rsid w:val="00BB79A5"/>
    <w:rsid w:val="00BB7D49"/>
    <w:rsid w:val="00BB7D56"/>
    <w:rsid w:val="00BC00A1"/>
    <w:rsid w:val="00BC0E80"/>
    <w:rsid w:val="00BC16C2"/>
    <w:rsid w:val="00BC1BEE"/>
    <w:rsid w:val="00BC1F58"/>
    <w:rsid w:val="00BC2383"/>
    <w:rsid w:val="00BC2384"/>
    <w:rsid w:val="00BC24B2"/>
    <w:rsid w:val="00BC2A23"/>
    <w:rsid w:val="00BC2A39"/>
    <w:rsid w:val="00BC2B46"/>
    <w:rsid w:val="00BC2E33"/>
    <w:rsid w:val="00BC2F99"/>
    <w:rsid w:val="00BC333E"/>
    <w:rsid w:val="00BC352E"/>
    <w:rsid w:val="00BC4275"/>
    <w:rsid w:val="00BC4302"/>
    <w:rsid w:val="00BC46B8"/>
    <w:rsid w:val="00BC48A5"/>
    <w:rsid w:val="00BC4F4D"/>
    <w:rsid w:val="00BC4F4E"/>
    <w:rsid w:val="00BC50F6"/>
    <w:rsid w:val="00BC5286"/>
    <w:rsid w:val="00BC5337"/>
    <w:rsid w:val="00BC583F"/>
    <w:rsid w:val="00BC5B0D"/>
    <w:rsid w:val="00BC5BB5"/>
    <w:rsid w:val="00BC5F4C"/>
    <w:rsid w:val="00BC60E2"/>
    <w:rsid w:val="00BC6A2A"/>
    <w:rsid w:val="00BC6D5F"/>
    <w:rsid w:val="00BC6F72"/>
    <w:rsid w:val="00BC6FAB"/>
    <w:rsid w:val="00BC773C"/>
    <w:rsid w:val="00BC77D3"/>
    <w:rsid w:val="00BC79DB"/>
    <w:rsid w:val="00BC7A0D"/>
    <w:rsid w:val="00BC7A6B"/>
    <w:rsid w:val="00BC7B9D"/>
    <w:rsid w:val="00BC7C7D"/>
    <w:rsid w:val="00BC7E79"/>
    <w:rsid w:val="00BD0228"/>
    <w:rsid w:val="00BD036E"/>
    <w:rsid w:val="00BD04A5"/>
    <w:rsid w:val="00BD0D87"/>
    <w:rsid w:val="00BD110E"/>
    <w:rsid w:val="00BD1422"/>
    <w:rsid w:val="00BD146E"/>
    <w:rsid w:val="00BD1C46"/>
    <w:rsid w:val="00BD1FE5"/>
    <w:rsid w:val="00BD22CF"/>
    <w:rsid w:val="00BD250C"/>
    <w:rsid w:val="00BD2718"/>
    <w:rsid w:val="00BD2867"/>
    <w:rsid w:val="00BD2B7C"/>
    <w:rsid w:val="00BD2C0C"/>
    <w:rsid w:val="00BD2C4F"/>
    <w:rsid w:val="00BD2D92"/>
    <w:rsid w:val="00BD2E0B"/>
    <w:rsid w:val="00BD2F80"/>
    <w:rsid w:val="00BD39BF"/>
    <w:rsid w:val="00BD3A25"/>
    <w:rsid w:val="00BD3AAC"/>
    <w:rsid w:val="00BD3FBE"/>
    <w:rsid w:val="00BD42EE"/>
    <w:rsid w:val="00BD44C7"/>
    <w:rsid w:val="00BD45FF"/>
    <w:rsid w:val="00BD4648"/>
    <w:rsid w:val="00BD491F"/>
    <w:rsid w:val="00BD4DDE"/>
    <w:rsid w:val="00BD518D"/>
    <w:rsid w:val="00BD534E"/>
    <w:rsid w:val="00BD53CB"/>
    <w:rsid w:val="00BD55BA"/>
    <w:rsid w:val="00BD58B7"/>
    <w:rsid w:val="00BD5B58"/>
    <w:rsid w:val="00BD6929"/>
    <w:rsid w:val="00BD69D3"/>
    <w:rsid w:val="00BD6EF6"/>
    <w:rsid w:val="00BD6EFD"/>
    <w:rsid w:val="00BD6F52"/>
    <w:rsid w:val="00BD7525"/>
    <w:rsid w:val="00BD7901"/>
    <w:rsid w:val="00BD7A42"/>
    <w:rsid w:val="00BE0078"/>
    <w:rsid w:val="00BE0173"/>
    <w:rsid w:val="00BE017F"/>
    <w:rsid w:val="00BE01BD"/>
    <w:rsid w:val="00BE0271"/>
    <w:rsid w:val="00BE08B0"/>
    <w:rsid w:val="00BE0B33"/>
    <w:rsid w:val="00BE0D89"/>
    <w:rsid w:val="00BE1181"/>
    <w:rsid w:val="00BE11ED"/>
    <w:rsid w:val="00BE1252"/>
    <w:rsid w:val="00BE148C"/>
    <w:rsid w:val="00BE180D"/>
    <w:rsid w:val="00BE1D4D"/>
    <w:rsid w:val="00BE1F57"/>
    <w:rsid w:val="00BE20EC"/>
    <w:rsid w:val="00BE22FE"/>
    <w:rsid w:val="00BE238C"/>
    <w:rsid w:val="00BE287F"/>
    <w:rsid w:val="00BE2A6F"/>
    <w:rsid w:val="00BE32EC"/>
    <w:rsid w:val="00BE33CC"/>
    <w:rsid w:val="00BE3464"/>
    <w:rsid w:val="00BE348B"/>
    <w:rsid w:val="00BE3587"/>
    <w:rsid w:val="00BE39B9"/>
    <w:rsid w:val="00BE3FBA"/>
    <w:rsid w:val="00BE45BC"/>
    <w:rsid w:val="00BE4A6A"/>
    <w:rsid w:val="00BE5333"/>
    <w:rsid w:val="00BE550F"/>
    <w:rsid w:val="00BE5CA6"/>
    <w:rsid w:val="00BE5D44"/>
    <w:rsid w:val="00BE5DE2"/>
    <w:rsid w:val="00BE64EB"/>
    <w:rsid w:val="00BE64F7"/>
    <w:rsid w:val="00BE6F2E"/>
    <w:rsid w:val="00BE6F8E"/>
    <w:rsid w:val="00BE74C9"/>
    <w:rsid w:val="00BE7B42"/>
    <w:rsid w:val="00BE7BAE"/>
    <w:rsid w:val="00BF006B"/>
    <w:rsid w:val="00BF04C1"/>
    <w:rsid w:val="00BF0995"/>
    <w:rsid w:val="00BF0AE3"/>
    <w:rsid w:val="00BF0CDE"/>
    <w:rsid w:val="00BF1697"/>
    <w:rsid w:val="00BF1983"/>
    <w:rsid w:val="00BF1C76"/>
    <w:rsid w:val="00BF1E52"/>
    <w:rsid w:val="00BF2065"/>
    <w:rsid w:val="00BF23A5"/>
    <w:rsid w:val="00BF23E1"/>
    <w:rsid w:val="00BF2485"/>
    <w:rsid w:val="00BF28AF"/>
    <w:rsid w:val="00BF2E0A"/>
    <w:rsid w:val="00BF3063"/>
    <w:rsid w:val="00BF3CC1"/>
    <w:rsid w:val="00BF3D73"/>
    <w:rsid w:val="00BF3E1F"/>
    <w:rsid w:val="00BF4430"/>
    <w:rsid w:val="00BF4B82"/>
    <w:rsid w:val="00BF52D4"/>
    <w:rsid w:val="00BF5B67"/>
    <w:rsid w:val="00BF5E2B"/>
    <w:rsid w:val="00BF6001"/>
    <w:rsid w:val="00BF653A"/>
    <w:rsid w:val="00BF6912"/>
    <w:rsid w:val="00BF6C82"/>
    <w:rsid w:val="00BF6E86"/>
    <w:rsid w:val="00BF7956"/>
    <w:rsid w:val="00BF7BE2"/>
    <w:rsid w:val="00C000A3"/>
    <w:rsid w:val="00C00131"/>
    <w:rsid w:val="00C00322"/>
    <w:rsid w:val="00C00410"/>
    <w:rsid w:val="00C006AE"/>
    <w:rsid w:val="00C006B6"/>
    <w:rsid w:val="00C013C3"/>
    <w:rsid w:val="00C0160E"/>
    <w:rsid w:val="00C01785"/>
    <w:rsid w:val="00C01AC8"/>
    <w:rsid w:val="00C01B7A"/>
    <w:rsid w:val="00C01C34"/>
    <w:rsid w:val="00C022EC"/>
    <w:rsid w:val="00C022FF"/>
    <w:rsid w:val="00C02649"/>
    <w:rsid w:val="00C02B95"/>
    <w:rsid w:val="00C02E56"/>
    <w:rsid w:val="00C0309D"/>
    <w:rsid w:val="00C031DA"/>
    <w:rsid w:val="00C0351A"/>
    <w:rsid w:val="00C03564"/>
    <w:rsid w:val="00C0377A"/>
    <w:rsid w:val="00C0380A"/>
    <w:rsid w:val="00C03877"/>
    <w:rsid w:val="00C038ED"/>
    <w:rsid w:val="00C03937"/>
    <w:rsid w:val="00C03AC5"/>
    <w:rsid w:val="00C03AF7"/>
    <w:rsid w:val="00C03C35"/>
    <w:rsid w:val="00C045A0"/>
    <w:rsid w:val="00C046BD"/>
    <w:rsid w:val="00C0477B"/>
    <w:rsid w:val="00C04C2E"/>
    <w:rsid w:val="00C05169"/>
    <w:rsid w:val="00C052B5"/>
    <w:rsid w:val="00C0532C"/>
    <w:rsid w:val="00C053F0"/>
    <w:rsid w:val="00C0571D"/>
    <w:rsid w:val="00C05934"/>
    <w:rsid w:val="00C05975"/>
    <w:rsid w:val="00C05A52"/>
    <w:rsid w:val="00C05B46"/>
    <w:rsid w:val="00C0628C"/>
    <w:rsid w:val="00C064B5"/>
    <w:rsid w:val="00C06AC2"/>
    <w:rsid w:val="00C06B0D"/>
    <w:rsid w:val="00C06B4B"/>
    <w:rsid w:val="00C06DE8"/>
    <w:rsid w:val="00C0705B"/>
    <w:rsid w:val="00C071E1"/>
    <w:rsid w:val="00C07347"/>
    <w:rsid w:val="00C07943"/>
    <w:rsid w:val="00C079EA"/>
    <w:rsid w:val="00C07A07"/>
    <w:rsid w:val="00C07B22"/>
    <w:rsid w:val="00C07B83"/>
    <w:rsid w:val="00C07E1E"/>
    <w:rsid w:val="00C10112"/>
    <w:rsid w:val="00C10328"/>
    <w:rsid w:val="00C10953"/>
    <w:rsid w:val="00C10E4F"/>
    <w:rsid w:val="00C10FFC"/>
    <w:rsid w:val="00C112BA"/>
    <w:rsid w:val="00C114C7"/>
    <w:rsid w:val="00C11658"/>
    <w:rsid w:val="00C11893"/>
    <w:rsid w:val="00C11A92"/>
    <w:rsid w:val="00C11C46"/>
    <w:rsid w:val="00C121C6"/>
    <w:rsid w:val="00C1238A"/>
    <w:rsid w:val="00C125AD"/>
    <w:rsid w:val="00C12761"/>
    <w:rsid w:val="00C127B7"/>
    <w:rsid w:val="00C12965"/>
    <w:rsid w:val="00C12D1C"/>
    <w:rsid w:val="00C12DF1"/>
    <w:rsid w:val="00C12E84"/>
    <w:rsid w:val="00C13553"/>
    <w:rsid w:val="00C139BB"/>
    <w:rsid w:val="00C13C93"/>
    <w:rsid w:val="00C13D86"/>
    <w:rsid w:val="00C13FEF"/>
    <w:rsid w:val="00C1482C"/>
    <w:rsid w:val="00C15288"/>
    <w:rsid w:val="00C153EB"/>
    <w:rsid w:val="00C15414"/>
    <w:rsid w:val="00C15507"/>
    <w:rsid w:val="00C1563C"/>
    <w:rsid w:val="00C15ACD"/>
    <w:rsid w:val="00C15CF4"/>
    <w:rsid w:val="00C15EC3"/>
    <w:rsid w:val="00C16122"/>
    <w:rsid w:val="00C16DE9"/>
    <w:rsid w:val="00C16E23"/>
    <w:rsid w:val="00C16F55"/>
    <w:rsid w:val="00C17026"/>
    <w:rsid w:val="00C1704A"/>
    <w:rsid w:val="00C17099"/>
    <w:rsid w:val="00C17203"/>
    <w:rsid w:val="00C177E6"/>
    <w:rsid w:val="00C17A30"/>
    <w:rsid w:val="00C17C7B"/>
    <w:rsid w:val="00C17C8A"/>
    <w:rsid w:val="00C17ECB"/>
    <w:rsid w:val="00C17EFC"/>
    <w:rsid w:val="00C205CC"/>
    <w:rsid w:val="00C20CBD"/>
    <w:rsid w:val="00C21029"/>
    <w:rsid w:val="00C21072"/>
    <w:rsid w:val="00C210ED"/>
    <w:rsid w:val="00C210F8"/>
    <w:rsid w:val="00C2134C"/>
    <w:rsid w:val="00C214D5"/>
    <w:rsid w:val="00C21A13"/>
    <w:rsid w:val="00C21E6F"/>
    <w:rsid w:val="00C21F73"/>
    <w:rsid w:val="00C22102"/>
    <w:rsid w:val="00C229AB"/>
    <w:rsid w:val="00C22D4E"/>
    <w:rsid w:val="00C22FF4"/>
    <w:rsid w:val="00C23140"/>
    <w:rsid w:val="00C2317F"/>
    <w:rsid w:val="00C23243"/>
    <w:rsid w:val="00C23589"/>
    <w:rsid w:val="00C235A9"/>
    <w:rsid w:val="00C2362E"/>
    <w:rsid w:val="00C23AB7"/>
    <w:rsid w:val="00C23D4E"/>
    <w:rsid w:val="00C23EB1"/>
    <w:rsid w:val="00C23EE1"/>
    <w:rsid w:val="00C242F8"/>
    <w:rsid w:val="00C24382"/>
    <w:rsid w:val="00C2446B"/>
    <w:rsid w:val="00C24991"/>
    <w:rsid w:val="00C253BC"/>
    <w:rsid w:val="00C2547E"/>
    <w:rsid w:val="00C2597B"/>
    <w:rsid w:val="00C25A7B"/>
    <w:rsid w:val="00C25DD3"/>
    <w:rsid w:val="00C25FAC"/>
    <w:rsid w:val="00C2692C"/>
    <w:rsid w:val="00C26AF7"/>
    <w:rsid w:val="00C27109"/>
    <w:rsid w:val="00C271B8"/>
    <w:rsid w:val="00C274C6"/>
    <w:rsid w:val="00C2756B"/>
    <w:rsid w:val="00C275C9"/>
    <w:rsid w:val="00C27771"/>
    <w:rsid w:val="00C27828"/>
    <w:rsid w:val="00C27942"/>
    <w:rsid w:val="00C279D3"/>
    <w:rsid w:val="00C27A57"/>
    <w:rsid w:val="00C27AE7"/>
    <w:rsid w:val="00C27E19"/>
    <w:rsid w:val="00C300B1"/>
    <w:rsid w:val="00C30241"/>
    <w:rsid w:val="00C305E1"/>
    <w:rsid w:val="00C3064D"/>
    <w:rsid w:val="00C30FD8"/>
    <w:rsid w:val="00C31047"/>
    <w:rsid w:val="00C31270"/>
    <w:rsid w:val="00C312E2"/>
    <w:rsid w:val="00C31300"/>
    <w:rsid w:val="00C314B7"/>
    <w:rsid w:val="00C31600"/>
    <w:rsid w:val="00C318A8"/>
    <w:rsid w:val="00C318F6"/>
    <w:rsid w:val="00C31933"/>
    <w:rsid w:val="00C3196E"/>
    <w:rsid w:val="00C31A0E"/>
    <w:rsid w:val="00C31A19"/>
    <w:rsid w:val="00C31D4D"/>
    <w:rsid w:val="00C32505"/>
    <w:rsid w:val="00C32726"/>
    <w:rsid w:val="00C32A78"/>
    <w:rsid w:val="00C3317A"/>
    <w:rsid w:val="00C3354B"/>
    <w:rsid w:val="00C335AD"/>
    <w:rsid w:val="00C337D9"/>
    <w:rsid w:val="00C33818"/>
    <w:rsid w:val="00C33A9C"/>
    <w:rsid w:val="00C33E56"/>
    <w:rsid w:val="00C34241"/>
    <w:rsid w:val="00C342FC"/>
    <w:rsid w:val="00C343EB"/>
    <w:rsid w:val="00C346BE"/>
    <w:rsid w:val="00C348F0"/>
    <w:rsid w:val="00C34A1E"/>
    <w:rsid w:val="00C34FCF"/>
    <w:rsid w:val="00C35085"/>
    <w:rsid w:val="00C3523D"/>
    <w:rsid w:val="00C355C3"/>
    <w:rsid w:val="00C35862"/>
    <w:rsid w:val="00C35C04"/>
    <w:rsid w:val="00C35CF4"/>
    <w:rsid w:val="00C35D6D"/>
    <w:rsid w:val="00C35E4B"/>
    <w:rsid w:val="00C36051"/>
    <w:rsid w:val="00C363FC"/>
    <w:rsid w:val="00C36599"/>
    <w:rsid w:val="00C3665F"/>
    <w:rsid w:val="00C36817"/>
    <w:rsid w:val="00C36AAC"/>
    <w:rsid w:val="00C36BF1"/>
    <w:rsid w:val="00C36E79"/>
    <w:rsid w:val="00C36E97"/>
    <w:rsid w:val="00C36E9C"/>
    <w:rsid w:val="00C36EEC"/>
    <w:rsid w:val="00C371EA"/>
    <w:rsid w:val="00C37868"/>
    <w:rsid w:val="00C378AB"/>
    <w:rsid w:val="00C378D6"/>
    <w:rsid w:val="00C378E9"/>
    <w:rsid w:val="00C37D75"/>
    <w:rsid w:val="00C40D5C"/>
    <w:rsid w:val="00C41B3C"/>
    <w:rsid w:val="00C41CFB"/>
    <w:rsid w:val="00C41D0D"/>
    <w:rsid w:val="00C4201C"/>
    <w:rsid w:val="00C42631"/>
    <w:rsid w:val="00C42951"/>
    <w:rsid w:val="00C42DBE"/>
    <w:rsid w:val="00C42F32"/>
    <w:rsid w:val="00C4300E"/>
    <w:rsid w:val="00C431B0"/>
    <w:rsid w:val="00C432EA"/>
    <w:rsid w:val="00C435A6"/>
    <w:rsid w:val="00C43691"/>
    <w:rsid w:val="00C436F8"/>
    <w:rsid w:val="00C4383F"/>
    <w:rsid w:val="00C439C0"/>
    <w:rsid w:val="00C4473B"/>
    <w:rsid w:val="00C44794"/>
    <w:rsid w:val="00C44B21"/>
    <w:rsid w:val="00C45347"/>
    <w:rsid w:val="00C4539C"/>
    <w:rsid w:val="00C457DB"/>
    <w:rsid w:val="00C458AB"/>
    <w:rsid w:val="00C45AEF"/>
    <w:rsid w:val="00C45F4F"/>
    <w:rsid w:val="00C4620B"/>
    <w:rsid w:val="00C46516"/>
    <w:rsid w:val="00C466EB"/>
    <w:rsid w:val="00C46D28"/>
    <w:rsid w:val="00C47008"/>
    <w:rsid w:val="00C471E7"/>
    <w:rsid w:val="00C472E7"/>
    <w:rsid w:val="00C474FF"/>
    <w:rsid w:val="00C47685"/>
    <w:rsid w:val="00C50E4E"/>
    <w:rsid w:val="00C50F17"/>
    <w:rsid w:val="00C51227"/>
    <w:rsid w:val="00C5187F"/>
    <w:rsid w:val="00C5192D"/>
    <w:rsid w:val="00C51BEF"/>
    <w:rsid w:val="00C525D5"/>
    <w:rsid w:val="00C52884"/>
    <w:rsid w:val="00C52BA6"/>
    <w:rsid w:val="00C52C00"/>
    <w:rsid w:val="00C52CC5"/>
    <w:rsid w:val="00C52D21"/>
    <w:rsid w:val="00C53763"/>
    <w:rsid w:val="00C5379F"/>
    <w:rsid w:val="00C53932"/>
    <w:rsid w:val="00C5393E"/>
    <w:rsid w:val="00C5399C"/>
    <w:rsid w:val="00C540D5"/>
    <w:rsid w:val="00C54400"/>
    <w:rsid w:val="00C54481"/>
    <w:rsid w:val="00C5455D"/>
    <w:rsid w:val="00C5469F"/>
    <w:rsid w:val="00C54802"/>
    <w:rsid w:val="00C54EFE"/>
    <w:rsid w:val="00C5537D"/>
    <w:rsid w:val="00C55844"/>
    <w:rsid w:val="00C5588A"/>
    <w:rsid w:val="00C55A21"/>
    <w:rsid w:val="00C55F7D"/>
    <w:rsid w:val="00C56AF7"/>
    <w:rsid w:val="00C56B6B"/>
    <w:rsid w:val="00C56BBC"/>
    <w:rsid w:val="00C56D75"/>
    <w:rsid w:val="00C56E2A"/>
    <w:rsid w:val="00C570F4"/>
    <w:rsid w:val="00C570FF"/>
    <w:rsid w:val="00C574AA"/>
    <w:rsid w:val="00C5780D"/>
    <w:rsid w:val="00C5781D"/>
    <w:rsid w:val="00C57A81"/>
    <w:rsid w:val="00C57C21"/>
    <w:rsid w:val="00C609D4"/>
    <w:rsid w:val="00C60B4C"/>
    <w:rsid w:val="00C60C7B"/>
    <w:rsid w:val="00C60D31"/>
    <w:rsid w:val="00C60E7B"/>
    <w:rsid w:val="00C61372"/>
    <w:rsid w:val="00C61748"/>
    <w:rsid w:val="00C6186E"/>
    <w:rsid w:val="00C61C1B"/>
    <w:rsid w:val="00C61D28"/>
    <w:rsid w:val="00C61FE7"/>
    <w:rsid w:val="00C62139"/>
    <w:rsid w:val="00C62273"/>
    <w:rsid w:val="00C623D4"/>
    <w:rsid w:val="00C625B4"/>
    <w:rsid w:val="00C62E95"/>
    <w:rsid w:val="00C6350D"/>
    <w:rsid w:val="00C6357D"/>
    <w:rsid w:val="00C63841"/>
    <w:rsid w:val="00C638B9"/>
    <w:rsid w:val="00C63A97"/>
    <w:rsid w:val="00C63F4D"/>
    <w:rsid w:val="00C649C2"/>
    <w:rsid w:val="00C64A2B"/>
    <w:rsid w:val="00C64B63"/>
    <w:rsid w:val="00C6521E"/>
    <w:rsid w:val="00C654A0"/>
    <w:rsid w:val="00C6579F"/>
    <w:rsid w:val="00C6592E"/>
    <w:rsid w:val="00C65A35"/>
    <w:rsid w:val="00C65BD4"/>
    <w:rsid w:val="00C65C36"/>
    <w:rsid w:val="00C65D1C"/>
    <w:rsid w:val="00C65E9E"/>
    <w:rsid w:val="00C65ED1"/>
    <w:rsid w:val="00C65F9D"/>
    <w:rsid w:val="00C660DF"/>
    <w:rsid w:val="00C6624D"/>
    <w:rsid w:val="00C66553"/>
    <w:rsid w:val="00C6665E"/>
    <w:rsid w:val="00C66A62"/>
    <w:rsid w:val="00C66FB6"/>
    <w:rsid w:val="00C670A4"/>
    <w:rsid w:val="00C672CE"/>
    <w:rsid w:val="00C6754B"/>
    <w:rsid w:val="00C675FD"/>
    <w:rsid w:val="00C678A3"/>
    <w:rsid w:val="00C67D31"/>
    <w:rsid w:val="00C67DA3"/>
    <w:rsid w:val="00C70150"/>
    <w:rsid w:val="00C701FB"/>
    <w:rsid w:val="00C706C0"/>
    <w:rsid w:val="00C709B7"/>
    <w:rsid w:val="00C71D40"/>
    <w:rsid w:val="00C72082"/>
    <w:rsid w:val="00C72978"/>
    <w:rsid w:val="00C72B27"/>
    <w:rsid w:val="00C72D5E"/>
    <w:rsid w:val="00C72EB0"/>
    <w:rsid w:val="00C73144"/>
    <w:rsid w:val="00C73431"/>
    <w:rsid w:val="00C73536"/>
    <w:rsid w:val="00C735CC"/>
    <w:rsid w:val="00C73D77"/>
    <w:rsid w:val="00C73FE5"/>
    <w:rsid w:val="00C744A0"/>
    <w:rsid w:val="00C745CB"/>
    <w:rsid w:val="00C74AD2"/>
    <w:rsid w:val="00C74FDA"/>
    <w:rsid w:val="00C75071"/>
    <w:rsid w:val="00C7557E"/>
    <w:rsid w:val="00C759FD"/>
    <w:rsid w:val="00C75BB6"/>
    <w:rsid w:val="00C75CCE"/>
    <w:rsid w:val="00C75E33"/>
    <w:rsid w:val="00C7618A"/>
    <w:rsid w:val="00C76864"/>
    <w:rsid w:val="00C768D8"/>
    <w:rsid w:val="00C76B2D"/>
    <w:rsid w:val="00C77160"/>
    <w:rsid w:val="00C7730E"/>
    <w:rsid w:val="00C775CF"/>
    <w:rsid w:val="00C77610"/>
    <w:rsid w:val="00C77D6A"/>
    <w:rsid w:val="00C802D4"/>
    <w:rsid w:val="00C80328"/>
    <w:rsid w:val="00C80954"/>
    <w:rsid w:val="00C80F1B"/>
    <w:rsid w:val="00C81198"/>
    <w:rsid w:val="00C81B00"/>
    <w:rsid w:val="00C81BF7"/>
    <w:rsid w:val="00C82329"/>
    <w:rsid w:val="00C823D7"/>
    <w:rsid w:val="00C82563"/>
    <w:rsid w:val="00C8260C"/>
    <w:rsid w:val="00C8290D"/>
    <w:rsid w:val="00C82B80"/>
    <w:rsid w:val="00C82B96"/>
    <w:rsid w:val="00C82C99"/>
    <w:rsid w:val="00C82E31"/>
    <w:rsid w:val="00C8323F"/>
    <w:rsid w:val="00C8349A"/>
    <w:rsid w:val="00C834A0"/>
    <w:rsid w:val="00C8366C"/>
    <w:rsid w:val="00C836FF"/>
    <w:rsid w:val="00C83979"/>
    <w:rsid w:val="00C8399B"/>
    <w:rsid w:val="00C83D73"/>
    <w:rsid w:val="00C84380"/>
    <w:rsid w:val="00C84D32"/>
    <w:rsid w:val="00C84DF1"/>
    <w:rsid w:val="00C8543E"/>
    <w:rsid w:val="00C85865"/>
    <w:rsid w:val="00C85EB7"/>
    <w:rsid w:val="00C863D3"/>
    <w:rsid w:val="00C86681"/>
    <w:rsid w:val="00C868F9"/>
    <w:rsid w:val="00C86B89"/>
    <w:rsid w:val="00C8725F"/>
    <w:rsid w:val="00C874A3"/>
    <w:rsid w:val="00C900FB"/>
    <w:rsid w:val="00C90111"/>
    <w:rsid w:val="00C904A8"/>
    <w:rsid w:val="00C9079D"/>
    <w:rsid w:val="00C90B5A"/>
    <w:rsid w:val="00C90B78"/>
    <w:rsid w:val="00C90C6C"/>
    <w:rsid w:val="00C91416"/>
    <w:rsid w:val="00C916DA"/>
    <w:rsid w:val="00C91BBE"/>
    <w:rsid w:val="00C91C0C"/>
    <w:rsid w:val="00C91D96"/>
    <w:rsid w:val="00C920C2"/>
    <w:rsid w:val="00C92306"/>
    <w:rsid w:val="00C924ED"/>
    <w:rsid w:val="00C9257F"/>
    <w:rsid w:val="00C92735"/>
    <w:rsid w:val="00C9288B"/>
    <w:rsid w:val="00C928A8"/>
    <w:rsid w:val="00C92BA4"/>
    <w:rsid w:val="00C92C0C"/>
    <w:rsid w:val="00C92E00"/>
    <w:rsid w:val="00C92F9C"/>
    <w:rsid w:val="00C93394"/>
    <w:rsid w:val="00C93DE5"/>
    <w:rsid w:val="00C93E78"/>
    <w:rsid w:val="00C93E9D"/>
    <w:rsid w:val="00C9423F"/>
    <w:rsid w:val="00C943B2"/>
    <w:rsid w:val="00C9449A"/>
    <w:rsid w:val="00C945C0"/>
    <w:rsid w:val="00C946C8"/>
    <w:rsid w:val="00C94913"/>
    <w:rsid w:val="00C94CC3"/>
    <w:rsid w:val="00C9508B"/>
    <w:rsid w:val="00C952F2"/>
    <w:rsid w:val="00C954C3"/>
    <w:rsid w:val="00C95A6C"/>
    <w:rsid w:val="00C95B17"/>
    <w:rsid w:val="00C95D6F"/>
    <w:rsid w:val="00C95EBD"/>
    <w:rsid w:val="00C960A8"/>
    <w:rsid w:val="00C96301"/>
    <w:rsid w:val="00C96499"/>
    <w:rsid w:val="00C966C3"/>
    <w:rsid w:val="00C96A1E"/>
    <w:rsid w:val="00C96DDE"/>
    <w:rsid w:val="00C97379"/>
    <w:rsid w:val="00C973D6"/>
    <w:rsid w:val="00C97456"/>
    <w:rsid w:val="00C9745D"/>
    <w:rsid w:val="00C976D4"/>
    <w:rsid w:val="00C97B6F"/>
    <w:rsid w:val="00C97F85"/>
    <w:rsid w:val="00CA00A3"/>
    <w:rsid w:val="00CA0316"/>
    <w:rsid w:val="00CA0A42"/>
    <w:rsid w:val="00CA0AF3"/>
    <w:rsid w:val="00CA0C5E"/>
    <w:rsid w:val="00CA1EE8"/>
    <w:rsid w:val="00CA1F39"/>
    <w:rsid w:val="00CA1FB8"/>
    <w:rsid w:val="00CA22D0"/>
    <w:rsid w:val="00CA27BA"/>
    <w:rsid w:val="00CA285E"/>
    <w:rsid w:val="00CA2D15"/>
    <w:rsid w:val="00CA2E77"/>
    <w:rsid w:val="00CA334C"/>
    <w:rsid w:val="00CA3BF7"/>
    <w:rsid w:val="00CA3E0C"/>
    <w:rsid w:val="00CA3E0F"/>
    <w:rsid w:val="00CA431B"/>
    <w:rsid w:val="00CA45C0"/>
    <w:rsid w:val="00CA4952"/>
    <w:rsid w:val="00CA4A27"/>
    <w:rsid w:val="00CA4B09"/>
    <w:rsid w:val="00CA4CBB"/>
    <w:rsid w:val="00CA550A"/>
    <w:rsid w:val="00CA5EF7"/>
    <w:rsid w:val="00CA60FC"/>
    <w:rsid w:val="00CA627A"/>
    <w:rsid w:val="00CA64C4"/>
    <w:rsid w:val="00CA655B"/>
    <w:rsid w:val="00CA65FD"/>
    <w:rsid w:val="00CA676D"/>
    <w:rsid w:val="00CA694B"/>
    <w:rsid w:val="00CA6B2B"/>
    <w:rsid w:val="00CA6B6D"/>
    <w:rsid w:val="00CA6F73"/>
    <w:rsid w:val="00CA7334"/>
    <w:rsid w:val="00CA75D3"/>
    <w:rsid w:val="00CA775D"/>
    <w:rsid w:val="00CA7789"/>
    <w:rsid w:val="00CA78FF"/>
    <w:rsid w:val="00CA7979"/>
    <w:rsid w:val="00CA7D88"/>
    <w:rsid w:val="00CA7E73"/>
    <w:rsid w:val="00CB0433"/>
    <w:rsid w:val="00CB0983"/>
    <w:rsid w:val="00CB0D6D"/>
    <w:rsid w:val="00CB0E82"/>
    <w:rsid w:val="00CB0F77"/>
    <w:rsid w:val="00CB10B1"/>
    <w:rsid w:val="00CB12D7"/>
    <w:rsid w:val="00CB1591"/>
    <w:rsid w:val="00CB188C"/>
    <w:rsid w:val="00CB1B55"/>
    <w:rsid w:val="00CB1E90"/>
    <w:rsid w:val="00CB2336"/>
    <w:rsid w:val="00CB24B2"/>
    <w:rsid w:val="00CB2655"/>
    <w:rsid w:val="00CB2D67"/>
    <w:rsid w:val="00CB35C4"/>
    <w:rsid w:val="00CB3E9A"/>
    <w:rsid w:val="00CB3F09"/>
    <w:rsid w:val="00CB3FB8"/>
    <w:rsid w:val="00CB42F0"/>
    <w:rsid w:val="00CB43A5"/>
    <w:rsid w:val="00CB459F"/>
    <w:rsid w:val="00CB484C"/>
    <w:rsid w:val="00CB4A14"/>
    <w:rsid w:val="00CB4FF3"/>
    <w:rsid w:val="00CB503B"/>
    <w:rsid w:val="00CB53CB"/>
    <w:rsid w:val="00CB5698"/>
    <w:rsid w:val="00CB56CA"/>
    <w:rsid w:val="00CB58ED"/>
    <w:rsid w:val="00CB5A1A"/>
    <w:rsid w:val="00CB5B0F"/>
    <w:rsid w:val="00CB5E58"/>
    <w:rsid w:val="00CB655F"/>
    <w:rsid w:val="00CB6FA3"/>
    <w:rsid w:val="00CB72F7"/>
    <w:rsid w:val="00CB7439"/>
    <w:rsid w:val="00CB7BF2"/>
    <w:rsid w:val="00CB7E84"/>
    <w:rsid w:val="00CC00F9"/>
    <w:rsid w:val="00CC03B8"/>
    <w:rsid w:val="00CC04E7"/>
    <w:rsid w:val="00CC0888"/>
    <w:rsid w:val="00CC0D65"/>
    <w:rsid w:val="00CC0DBA"/>
    <w:rsid w:val="00CC0E3D"/>
    <w:rsid w:val="00CC16ED"/>
    <w:rsid w:val="00CC170C"/>
    <w:rsid w:val="00CC18B1"/>
    <w:rsid w:val="00CC18C3"/>
    <w:rsid w:val="00CC19F2"/>
    <w:rsid w:val="00CC1B20"/>
    <w:rsid w:val="00CC1E34"/>
    <w:rsid w:val="00CC1F2A"/>
    <w:rsid w:val="00CC254C"/>
    <w:rsid w:val="00CC269F"/>
    <w:rsid w:val="00CC26FA"/>
    <w:rsid w:val="00CC29A4"/>
    <w:rsid w:val="00CC2C3E"/>
    <w:rsid w:val="00CC2D59"/>
    <w:rsid w:val="00CC2D83"/>
    <w:rsid w:val="00CC30FA"/>
    <w:rsid w:val="00CC3906"/>
    <w:rsid w:val="00CC3E7E"/>
    <w:rsid w:val="00CC3F1D"/>
    <w:rsid w:val="00CC42E4"/>
    <w:rsid w:val="00CC4694"/>
    <w:rsid w:val="00CC46B0"/>
    <w:rsid w:val="00CC4778"/>
    <w:rsid w:val="00CC4866"/>
    <w:rsid w:val="00CC492C"/>
    <w:rsid w:val="00CC50E9"/>
    <w:rsid w:val="00CC52F2"/>
    <w:rsid w:val="00CC52FF"/>
    <w:rsid w:val="00CC5522"/>
    <w:rsid w:val="00CC55FB"/>
    <w:rsid w:val="00CC57BA"/>
    <w:rsid w:val="00CC581B"/>
    <w:rsid w:val="00CC5934"/>
    <w:rsid w:val="00CC5985"/>
    <w:rsid w:val="00CC5DDD"/>
    <w:rsid w:val="00CC61D4"/>
    <w:rsid w:val="00CC63EF"/>
    <w:rsid w:val="00CC64C5"/>
    <w:rsid w:val="00CC66CA"/>
    <w:rsid w:val="00CC66F0"/>
    <w:rsid w:val="00CC6AF5"/>
    <w:rsid w:val="00CC6E9D"/>
    <w:rsid w:val="00CC6EBA"/>
    <w:rsid w:val="00CC7754"/>
    <w:rsid w:val="00CC791D"/>
    <w:rsid w:val="00CC7E02"/>
    <w:rsid w:val="00CC7F91"/>
    <w:rsid w:val="00CD04D9"/>
    <w:rsid w:val="00CD0969"/>
    <w:rsid w:val="00CD0D7A"/>
    <w:rsid w:val="00CD0EB1"/>
    <w:rsid w:val="00CD116A"/>
    <w:rsid w:val="00CD1748"/>
    <w:rsid w:val="00CD17A7"/>
    <w:rsid w:val="00CD1C1C"/>
    <w:rsid w:val="00CD1F00"/>
    <w:rsid w:val="00CD21A4"/>
    <w:rsid w:val="00CD243A"/>
    <w:rsid w:val="00CD262C"/>
    <w:rsid w:val="00CD2B4D"/>
    <w:rsid w:val="00CD2E02"/>
    <w:rsid w:val="00CD2E87"/>
    <w:rsid w:val="00CD363A"/>
    <w:rsid w:val="00CD36BC"/>
    <w:rsid w:val="00CD36C4"/>
    <w:rsid w:val="00CD428E"/>
    <w:rsid w:val="00CD4573"/>
    <w:rsid w:val="00CD46F0"/>
    <w:rsid w:val="00CD47D2"/>
    <w:rsid w:val="00CD48F3"/>
    <w:rsid w:val="00CD4F00"/>
    <w:rsid w:val="00CD5008"/>
    <w:rsid w:val="00CD50A3"/>
    <w:rsid w:val="00CD539E"/>
    <w:rsid w:val="00CD5545"/>
    <w:rsid w:val="00CD5813"/>
    <w:rsid w:val="00CD5EF2"/>
    <w:rsid w:val="00CD6362"/>
    <w:rsid w:val="00CD637C"/>
    <w:rsid w:val="00CD6872"/>
    <w:rsid w:val="00CD6BE3"/>
    <w:rsid w:val="00CD7160"/>
    <w:rsid w:val="00CD766A"/>
    <w:rsid w:val="00CD7832"/>
    <w:rsid w:val="00CE0281"/>
    <w:rsid w:val="00CE02A7"/>
    <w:rsid w:val="00CE02D3"/>
    <w:rsid w:val="00CE062A"/>
    <w:rsid w:val="00CE07B2"/>
    <w:rsid w:val="00CE09D2"/>
    <w:rsid w:val="00CE0E12"/>
    <w:rsid w:val="00CE101C"/>
    <w:rsid w:val="00CE1867"/>
    <w:rsid w:val="00CE1869"/>
    <w:rsid w:val="00CE1DCB"/>
    <w:rsid w:val="00CE208F"/>
    <w:rsid w:val="00CE228B"/>
    <w:rsid w:val="00CE25F7"/>
    <w:rsid w:val="00CE2887"/>
    <w:rsid w:val="00CE2A7B"/>
    <w:rsid w:val="00CE2BDA"/>
    <w:rsid w:val="00CE2D85"/>
    <w:rsid w:val="00CE3242"/>
    <w:rsid w:val="00CE338D"/>
    <w:rsid w:val="00CE35C8"/>
    <w:rsid w:val="00CE3A3C"/>
    <w:rsid w:val="00CE3A73"/>
    <w:rsid w:val="00CE3EB3"/>
    <w:rsid w:val="00CE428C"/>
    <w:rsid w:val="00CE440C"/>
    <w:rsid w:val="00CE44CD"/>
    <w:rsid w:val="00CE4555"/>
    <w:rsid w:val="00CE4869"/>
    <w:rsid w:val="00CE492B"/>
    <w:rsid w:val="00CE4C3F"/>
    <w:rsid w:val="00CE4C6C"/>
    <w:rsid w:val="00CE4D9E"/>
    <w:rsid w:val="00CE4F59"/>
    <w:rsid w:val="00CE50E0"/>
    <w:rsid w:val="00CE52A5"/>
    <w:rsid w:val="00CE542D"/>
    <w:rsid w:val="00CE54AF"/>
    <w:rsid w:val="00CE56BA"/>
    <w:rsid w:val="00CE5B98"/>
    <w:rsid w:val="00CE5CDE"/>
    <w:rsid w:val="00CE5D46"/>
    <w:rsid w:val="00CE67C0"/>
    <w:rsid w:val="00CE680C"/>
    <w:rsid w:val="00CE716B"/>
    <w:rsid w:val="00CE736A"/>
    <w:rsid w:val="00CE778E"/>
    <w:rsid w:val="00CE78A8"/>
    <w:rsid w:val="00CE7BCA"/>
    <w:rsid w:val="00CE7CAE"/>
    <w:rsid w:val="00CE7D1B"/>
    <w:rsid w:val="00CE7DD3"/>
    <w:rsid w:val="00CE7FC8"/>
    <w:rsid w:val="00CF020A"/>
    <w:rsid w:val="00CF05EB"/>
    <w:rsid w:val="00CF082C"/>
    <w:rsid w:val="00CF0A4A"/>
    <w:rsid w:val="00CF0C1C"/>
    <w:rsid w:val="00CF0DBF"/>
    <w:rsid w:val="00CF0E07"/>
    <w:rsid w:val="00CF13DF"/>
    <w:rsid w:val="00CF17B2"/>
    <w:rsid w:val="00CF180F"/>
    <w:rsid w:val="00CF1971"/>
    <w:rsid w:val="00CF1AFB"/>
    <w:rsid w:val="00CF1B62"/>
    <w:rsid w:val="00CF1BF0"/>
    <w:rsid w:val="00CF1C17"/>
    <w:rsid w:val="00CF1E51"/>
    <w:rsid w:val="00CF2481"/>
    <w:rsid w:val="00CF2587"/>
    <w:rsid w:val="00CF2714"/>
    <w:rsid w:val="00CF279D"/>
    <w:rsid w:val="00CF2A56"/>
    <w:rsid w:val="00CF2D43"/>
    <w:rsid w:val="00CF2D54"/>
    <w:rsid w:val="00CF2E79"/>
    <w:rsid w:val="00CF33E9"/>
    <w:rsid w:val="00CF3511"/>
    <w:rsid w:val="00CF3583"/>
    <w:rsid w:val="00CF35B6"/>
    <w:rsid w:val="00CF39BE"/>
    <w:rsid w:val="00CF3BFF"/>
    <w:rsid w:val="00CF4138"/>
    <w:rsid w:val="00CF43EF"/>
    <w:rsid w:val="00CF43FB"/>
    <w:rsid w:val="00CF4700"/>
    <w:rsid w:val="00CF4989"/>
    <w:rsid w:val="00CF4C1B"/>
    <w:rsid w:val="00CF4D3A"/>
    <w:rsid w:val="00CF4D52"/>
    <w:rsid w:val="00CF4D5A"/>
    <w:rsid w:val="00CF57D9"/>
    <w:rsid w:val="00CF5833"/>
    <w:rsid w:val="00CF5863"/>
    <w:rsid w:val="00CF5F42"/>
    <w:rsid w:val="00CF60C8"/>
    <w:rsid w:val="00CF6301"/>
    <w:rsid w:val="00CF646D"/>
    <w:rsid w:val="00CF6A09"/>
    <w:rsid w:val="00CF6F1D"/>
    <w:rsid w:val="00CF7224"/>
    <w:rsid w:val="00CF7445"/>
    <w:rsid w:val="00CF75B1"/>
    <w:rsid w:val="00CF7D53"/>
    <w:rsid w:val="00CF7ED0"/>
    <w:rsid w:val="00CF7FC0"/>
    <w:rsid w:val="00D0048F"/>
    <w:rsid w:val="00D00711"/>
    <w:rsid w:val="00D009C8"/>
    <w:rsid w:val="00D00B16"/>
    <w:rsid w:val="00D00BC3"/>
    <w:rsid w:val="00D00F20"/>
    <w:rsid w:val="00D0107D"/>
    <w:rsid w:val="00D01151"/>
    <w:rsid w:val="00D0135F"/>
    <w:rsid w:val="00D01AA7"/>
    <w:rsid w:val="00D0218E"/>
    <w:rsid w:val="00D0228A"/>
    <w:rsid w:val="00D02356"/>
    <w:rsid w:val="00D0248B"/>
    <w:rsid w:val="00D025B4"/>
    <w:rsid w:val="00D02807"/>
    <w:rsid w:val="00D0284E"/>
    <w:rsid w:val="00D02AE4"/>
    <w:rsid w:val="00D02C49"/>
    <w:rsid w:val="00D030C1"/>
    <w:rsid w:val="00D03105"/>
    <w:rsid w:val="00D0315F"/>
    <w:rsid w:val="00D035FA"/>
    <w:rsid w:val="00D03773"/>
    <w:rsid w:val="00D03892"/>
    <w:rsid w:val="00D03D71"/>
    <w:rsid w:val="00D043B1"/>
    <w:rsid w:val="00D043D5"/>
    <w:rsid w:val="00D04508"/>
    <w:rsid w:val="00D047B3"/>
    <w:rsid w:val="00D048C0"/>
    <w:rsid w:val="00D049AE"/>
    <w:rsid w:val="00D04E6F"/>
    <w:rsid w:val="00D0506A"/>
    <w:rsid w:val="00D054DB"/>
    <w:rsid w:val="00D05522"/>
    <w:rsid w:val="00D0554F"/>
    <w:rsid w:val="00D05761"/>
    <w:rsid w:val="00D05D90"/>
    <w:rsid w:val="00D0602D"/>
    <w:rsid w:val="00D06546"/>
    <w:rsid w:val="00D0682B"/>
    <w:rsid w:val="00D068B0"/>
    <w:rsid w:val="00D06A29"/>
    <w:rsid w:val="00D06C74"/>
    <w:rsid w:val="00D07468"/>
    <w:rsid w:val="00D077A3"/>
    <w:rsid w:val="00D0799C"/>
    <w:rsid w:val="00D07C58"/>
    <w:rsid w:val="00D103BC"/>
    <w:rsid w:val="00D1072C"/>
    <w:rsid w:val="00D108B1"/>
    <w:rsid w:val="00D10A27"/>
    <w:rsid w:val="00D10D8D"/>
    <w:rsid w:val="00D1168C"/>
    <w:rsid w:val="00D11DE9"/>
    <w:rsid w:val="00D11FB3"/>
    <w:rsid w:val="00D12515"/>
    <w:rsid w:val="00D1281C"/>
    <w:rsid w:val="00D12950"/>
    <w:rsid w:val="00D12AED"/>
    <w:rsid w:val="00D12EB3"/>
    <w:rsid w:val="00D1312C"/>
    <w:rsid w:val="00D1314C"/>
    <w:rsid w:val="00D134F3"/>
    <w:rsid w:val="00D134F4"/>
    <w:rsid w:val="00D13804"/>
    <w:rsid w:val="00D145A4"/>
    <w:rsid w:val="00D14628"/>
    <w:rsid w:val="00D14A3F"/>
    <w:rsid w:val="00D14C77"/>
    <w:rsid w:val="00D14F0F"/>
    <w:rsid w:val="00D14F1A"/>
    <w:rsid w:val="00D15557"/>
    <w:rsid w:val="00D159BA"/>
    <w:rsid w:val="00D15A3C"/>
    <w:rsid w:val="00D1603D"/>
    <w:rsid w:val="00D160A4"/>
    <w:rsid w:val="00D16563"/>
    <w:rsid w:val="00D1664C"/>
    <w:rsid w:val="00D16822"/>
    <w:rsid w:val="00D169D7"/>
    <w:rsid w:val="00D16B58"/>
    <w:rsid w:val="00D16BED"/>
    <w:rsid w:val="00D17775"/>
    <w:rsid w:val="00D17A5C"/>
    <w:rsid w:val="00D17B9C"/>
    <w:rsid w:val="00D20015"/>
    <w:rsid w:val="00D20814"/>
    <w:rsid w:val="00D20C67"/>
    <w:rsid w:val="00D20ECF"/>
    <w:rsid w:val="00D210F0"/>
    <w:rsid w:val="00D2167C"/>
    <w:rsid w:val="00D217CB"/>
    <w:rsid w:val="00D21E32"/>
    <w:rsid w:val="00D22271"/>
    <w:rsid w:val="00D2230E"/>
    <w:rsid w:val="00D2237E"/>
    <w:rsid w:val="00D2288A"/>
    <w:rsid w:val="00D22BD8"/>
    <w:rsid w:val="00D22C54"/>
    <w:rsid w:val="00D22DB0"/>
    <w:rsid w:val="00D22DB3"/>
    <w:rsid w:val="00D235E3"/>
    <w:rsid w:val="00D23662"/>
    <w:rsid w:val="00D23787"/>
    <w:rsid w:val="00D23E3A"/>
    <w:rsid w:val="00D24472"/>
    <w:rsid w:val="00D24498"/>
    <w:rsid w:val="00D24699"/>
    <w:rsid w:val="00D24858"/>
    <w:rsid w:val="00D24FE4"/>
    <w:rsid w:val="00D25006"/>
    <w:rsid w:val="00D253C1"/>
    <w:rsid w:val="00D2557F"/>
    <w:rsid w:val="00D257A0"/>
    <w:rsid w:val="00D25A76"/>
    <w:rsid w:val="00D25ED9"/>
    <w:rsid w:val="00D2602D"/>
    <w:rsid w:val="00D261D4"/>
    <w:rsid w:val="00D262D8"/>
    <w:rsid w:val="00D26B23"/>
    <w:rsid w:val="00D26B86"/>
    <w:rsid w:val="00D26CBE"/>
    <w:rsid w:val="00D271A8"/>
    <w:rsid w:val="00D2734F"/>
    <w:rsid w:val="00D274A2"/>
    <w:rsid w:val="00D27D66"/>
    <w:rsid w:val="00D27DA4"/>
    <w:rsid w:val="00D30403"/>
    <w:rsid w:val="00D308A8"/>
    <w:rsid w:val="00D30BA9"/>
    <w:rsid w:val="00D310DD"/>
    <w:rsid w:val="00D31353"/>
    <w:rsid w:val="00D3145E"/>
    <w:rsid w:val="00D316FA"/>
    <w:rsid w:val="00D31AB4"/>
    <w:rsid w:val="00D31C78"/>
    <w:rsid w:val="00D320D8"/>
    <w:rsid w:val="00D3218B"/>
    <w:rsid w:val="00D32528"/>
    <w:rsid w:val="00D325BD"/>
    <w:rsid w:val="00D329FB"/>
    <w:rsid w:val="00D32C8D"/>
    <w:rsid w:val="00D32DC9"/>
    <w:rsid w:val="00D32E94"/>
    <w:rsid w:val="00D331AE"/>
    <w:rsid w:val="00D335F3"/>
    <w:rsid w:val="00D33BFD"/>
    <w:rsid w:val="00D33EB6"/>
    <w:rsid w:val="00D33F4F"/>
    <w:rsid w:val="00D345CD"/>
    <w:rsid w:val="00D34643"/>
    <w:rsid w:val="00D34685"/>
    <w:rsid w:val="00D34712"/>
    <w:rsid w:val="00D3486A"/>
    <w:rsid w:val="00D349B5"/>
    <w:rsid w:val="00D34B6E"/>
    <w:rsid w:val="00D34BBE"/>
    <w:rsid w:val="00D34CD4"/>
    <w:rsid w:val="00D34DF6"/>
    <w:rsid w:val="00D35080"/>
    <w:rsid w:val="00D35307"/>
    <w:rsid w:val="00D35335"/>
    <w:rsid w:val="00D3572B"/>
    <w:rsid w:val="00D35748"/>
    <w:rsid w:val="00D35C3B"/>
    <w:rsid w:val="00D35E12"/>
    <w:rsid w:val="00D3606C"/>
    <w:rsid w:val="00D365F3"/>
    <w:rsid w:val="00D36AA2"/>
    <w:rsid w:val="00D36ECB"/>
    <w:rsid w:val="00D371F9"/>
    <w:rsid w:val="00D3768E"/>
    <w:rsid w:val="00D37753"/>
    <w:rsid w:val="00D378E7"/>
    <w:rsid w:val="00D378FE"/>
    <w:rsid w:val="00D37B7E"/>
    <w:rsid w:val="00D37DF9"/>
    <w:rsid w:val="00D40056"/>
    <w:rsid w:val="00D40326"/>
    <w:rsid w:val="00D404BA"/>
    <w:rsid w:val="00D408CC"/>
    <w:rsid w:val="00D40CE1"/>
    <w:rsid w:val="00D40CF8"/>
    <w:rsid w:val="00D40D6F"/>
    <w:rsid w:val="00D40EB9"/>
    <w:rsid w:val="00D412C9"/>
    <w:rsid w:val="00D4193C"/>
    <w:rsid w:val="00D41951"/>
    <w:rsid w:val="00D41BD7"/>
    <w:rsid w:val="00D41E5A"/>
    <w:rsid w:val="00D42272"/>
    <w:rsid w:val="00D42744"/>
    <w:rsid w:val="00D4278B"/>
    <w:rsid w:val="00D428B7"/>
    <w:rsid w:val="00D42DD9"/>
    <w:rsid w:val="00D42F2F"/>
    <w:rsid w:val="00D4307C"/>
    <w:rsid w:val="00D43DA4"/>
    <w:rsid w:val="00D440EA"/>
    <w:rsid w:val="00D44503"/>
    <w:rsid w:val="00D4453A"/>
    <w:rsid w:val="00D44EA0"/>
    <w:rsid w:val="00D44F95"/>
    <w:rsid w:val="00D45330"/>
    <w:rsid w:val="00D45424"/>
    <w:rsid w:val="00D45832"/>
    <w:rsid w:val="00D45B23"/>
    <w:rsid w:val="00D45BDD"/>
    <w:rsid w:val="00D45CE3"/>
    <w:rsid w:val="00D45DAE"/>
    <w:rsid w:val="00D460CF"/>
    <w:rsid w:val="00D46167"/>
    <w:rsid w:val="00D46533"/>
    <w:rsid w:val="00D465F9"/>
    <w:rsid w:val="00D46AF5"/>
    <w:rsid w:val="00D46DD5"/>
    <w:rsid w:val="00D46DD8"/>
    <w:rsid w:val="00D4713C"/>
    <w:rsid w:val="00D471B3"/>
    <w:rsid w:val="00D471FD"/>
    <w:rsid w:val="00D4737D"/>
    <w:rsid w:val="00D47433"/>
    <w:rsid w:val="00D4753C"/>
    <w:rsid w:val="00D477C3"/>
    <w:rsid w:val="00D47BCC"/>
    <w:rsid w:val="00D47C41"/>
    <w:rsid w:val="00D47D3B"/>
    <w:rsid w:val="00D50005"/>
    <w:rsid w:val="00D501C0"/>
    <w:rsid w:val="00D501C8"/>
    <w:rsid w:val="00D507DB"/>
    <w:rsid w:val="00D508E4"/>
    <w:rsid w:val="00D50AB2"/>
    <w:rsid w:val="00D50CE8"/>
    <w:rsid w:val="00D50DC9"/>
    <w:rsid w:val="00D50F17"/>
    <w:rsid w:val="00D50F1C"/>
    <w:rsid w:val="00D5106F"/>
    <w:rsid w:val="00D516BD"/>
    <w:rsid w:val="00D516D9"/>
    <w:rsid w:val="00D516ED"/>
    <w:rsid w:val="00D51A6D"/>
    <w:rsid w:val="00D52864"/>
    <w:rsid w:val="00D52968"/>
    <w:rsid w:val="00D52E9F"/>
    <w:rsid w:val="00D5302E"/>
    <w:rsid w:val="00D530A0"/>
    <w:rsid w:val="00D535ED"/>
    <w:rsid w:val="00D53640"/>
    <w:rsid w:val="00D536E6"/>
    <w:rsid w:val="00D53821"/>
    <w:rsid w:val="00D53A01"/>
    <w:rsid w:val="00D53EFE"/>
    <w:rsid w:val="00D5465C"/>
    <w:rsid w:val="00D546CA"/>
    <w:rsid w:val="00D546EA"/>
    <w:rsid w:val="00D5498E"/>
    <w:rsid w:val="00D54B7F"/>
    <w:rsid w:val="00D54BC2"/>
    <w:rsid w:val="00D54F7F"/>
    <w:rsid w:val="00D54FFE"/>
    <w:rsid w:val="00D550ED"/>
    <w:rsid w:val="00D55381"/>
    <w:rsid w:val="00D55B17"/>
    <w:rsid w:val="00D55BAF"/>
    <w:rsid w:val="00D55D6D"/>
    <w:rsid w:val="00D560FE"/>
    <w:rsid w:val="00D56251"/>
    <w:rsid w:val="00D56537"/>
    <w:rsid w:val="00D5662F"/>
    <w:rsid w:val="00D568A7"/>
    <w:rsid w:val="00D5742C"/>
    <w:rsid w:val="00D5754F"/>
    <w:rsid w:val="00D57793"/>
    <w:rsid w:val="00D579BE"/>
    <w:rsid w:val="00D57A2D"/>
    <w:rsid w:val="00D57CB8"/>
    <w:rsid w:val="00D6045F"/>
    <w:rsid w:val="00D6052B"/>
    <w:rsid w:val="00D605A2"/>
    <w:rsid w:val="00D60632"/>
    <w:rsid w:val="00D608C1"/>
    <w:rsid w:val="00D60AE3"/>
    <w:rsid w:val="00D60D47"/>
    <w:rsid w:val="00D610CE"/>
    <w:rsid w:val="00D612B1"/>
    <w:rsid w:val="00D61C24"/>
    <w:rsid w:val="00D61CDB"/>
    <w:rsid w:val="00D61EAA"/>
    <w:rsid w:val="00D6200D"/>
    <w:rsid w:val="00D62173"/>
    <w:rsid w:val="00D622AE"/>
    <w:rsid w:val="00D6236F"/>
    <w:rsid w:val="00D62BB2"/>
    <w:rsid w:val="00D62BDD"/>
    <w:rsid w:val="00D6310E"/>
    <w:rsid w:val="00D63551"/>
    <w:rsid w:val="00D636EC"/>
    <w:rsid w:val="00D63A71"/>
    <w:rsid w:val="00D63C10"/>
    <w:rsid w:val="00D63D80"/>
    <w:rsid w:val="00D63DD2"/>
    <w:rsid w:val="00D63E91"/>
    <w:rsid w:val="00D64043"/>
    <w:rsid w:val="00D642A4"/>
    <w:rsid w:val="00D64324"/>
    <w:rsid w:val="00D64492"/>
    <w:rsid w:val="00D64572"/>
    <w:rsid w:val="00D645BD"/>
    <w:rsid w:val="00D645ED"/>
    <w:rsid w:val="00D64AA6"/>
    <w:rsid w:val="00D64C3D"/>
    <w:rsid w:val="00D64D93"/>
    <w:rsid w:val="00D650CF"/>
    <w:rsid w:val="00D65179"/>
    <w:rsid w:val="00D654E8"/>
    <w:rsid w:val="00D6564B"/>
    <w:rsid w:val="00D65889"/>
    <w:rsid w:val="00D65B36"/>
    <w:rsid w:val="00D65C90"/>
    <w:rsid w:val="00D65CE3"/>
    <w:rsid w:val="00D65E0C"/>
    <w:rsid w:val="00D664CD"/>
    <w:rsid w:val="00D66725"/>
    <w:rsid w:val="00D66843"/>
    <w:rsid w:val="00D668DD"/>
    <w:rsid w:val="00D66A7C"/>
    <w:rsid w:val="00D66C4D"/>
    <w:rsid w:val="00D67C7D"/>
    <w:rsid w:val="00D70062"/>
    <w:rsid w:val="00D7041E"/>
    <w:rsid w:val="00D704E9"/>
    <w:rsid w:val="00D70608"/>
    <w:rsid w:val="00D7064B"/>
    <w:rsid w:val="00D706E2"/>
    <w:rsid w:val="00D7070B"/>
    <w:rsid w:val="00D70A68"/>
    <w:rsid w:val="00D70B70"/>
    <w:rsid w:val="00D71B2C"/>
    <w:rsid w:val="00D71D19"/>
    <w:rsid w:val="00D7203A"/>
    <w:rsid w:val="00D72309"/>
    <w:rsid w:val="00D72782"/>
    <w:rsid w:val="00D72B3A"/>
    <w:rsid w:val="00D72CF9"/>
    <w:rsid w:val="00D72DFD"/>
    <w:rsid w:val="00D73044"/>
    <w:rsid w:val="00D730F3"/>
    <w:rsid w:val="00D73151"/>
    <w:rsid w:val="00D731D5"/>
    <w:rsid w:val="00D73287"/>
    <w:rsid w:val="00D7373A"/>
    <w:rsid w:val="00D74257"/>
    <w:rsid w:val="00D74581"/>
    <w:rsid w:val="00D74651"/>
    <w:rsid w:val="00D746CC"/>
    <w:rsid w:val="00D74A56"/>
    <w:rsid w:val="00D74C94"/>
    <w:rsid w:val="00D7503F"/>
    <w:rsid w:val="00D755E1"/>
    <w:rsid w:val="00D758CD"/>
    <w:rsid w:val="00D75BEE"/>
    <w:rsid w:val="00D7630D"/>
    <w:rsid w:val="00D76489"/>
    <w:rsid w:val="00D7655B"/>
    <w:rsid w:val="00D768B9"/>
    <w:rsid w:val="00D76D83"/>
    <w:rsid w:val="00D76DA5"/>
    <w:rsid w:val="00D76EFF"/>
    <w:rsid w:val="00D76F85"/>
    <w:rsid w:val="00D779BB"/>
    <w:rsid w:val="00D77DC9"/>
    <w:rsid w:val="00D800B7"/>
    <w:rsid w:val="00D80120"/>
    <w:rsid w:val="00D801BA"/>
    <w:rsid w:val="00D8028D"/>
    <w:rsid w:val="00D804C8"/>
    <w:rsid w:val="00D80862"/>
    <w:rsid w:val="00D8092A"/>
    <w:rsid w:val="00D8098D"/>
    <w:rsid w:val="00D80D63"/>
    <w:rsid w:val="00D80E1E"/>
    <w:rsid w:val="00D81085"/>
    <w:rsid w:val="00D81340"/>
    <w:rsid w:val="00D8141F"/>
    <w:rsid w:val="00D816CC"/>
    <w:rsid w:val="00D8171A"/>
    <w:rsid w:val="00D81B21"/>
    <w:rsid w:val="00D81CE8"/>
    <w:rsid w:val="00D8205B"/>
    <w:rsid w:val="00D82118"/>
    <w:rsid w:val="00D82276"/>
    <w:rsid w:val="00D822C8"/>
    <w:rsid w:val="00D826F7"/>
    <w:rsid w:val="00D82830"/>
    <w:rsid w:val="00D82995"/>
    <w:rsid w:val="00D82A32"/>
    <w:rsid w:val="00D82F7C"/>
    <w:rsid w:val="00D837F9"/>
    <w:rsid w:val="00D83D75"/>
    <w:rsid w:val="00D83EDA"/>
    <w:rsid w:val="00D83FF3"/>
    <w:rsid w:val="00D84234"/>
    <w:rsid w:val="00D84240"/>
    <w:rsid w:val="00D844AE"/>
    <w:rsid w:val="00D847F2"/>
    <w:rsid w:val="00D84AD0"/>
    <w:rsid w:val="00D84C1B"/>
    <w:rsid w:val="00D84D0F"/>
    <w:rsid w:val="00D84DF1"/>
    <w:rsid w:val="00D84F6F"/>
    <w:rsid w:val="00D84FDA"/>
    <w:rsid w:val="00D85635"/>
    <w:rsid w:val="00D85A99"/>
    <w:rsid w:val="00D86016"/>
    <w:rsid w:val="00D86848"/>
    <w:rsid w:val="00D869D7"/>
    <w:rsid w:val="00D869D9"/>
    <w:rsid w:val="00D86C1C"/>
    <w:rsid w:val="00D86D1B"/>
    <w:rsid w:val="00D870A7"/>
    <w:rsid w:val="00D870F2"/>
    <w:rsid w:val="00D87237"/>
    <w:rsid w:val="00D877F3"/>
    <w:rsid w:val="00D87D66"/>
    <w:rsid w:val="00D90316"/>
    <w:rsid w:val="00D905E6"/>
    <w:rsid w:val="00D9067F"/>
    <w:rsid w:val="00D9077A"/>
    <w:rsid w:val="00D90A18"/>
    <w:rsid w:val="00D90ABC"/>
    <w:rsid w:val="00D90F96"/>
    <w:rsid w:val="00D9157E"/>
    <w:rsid w:val="00D915A2"/>
    <w:rsid w:val="00D91822"/>
    <w:rsid w:val="00D91B01"/>
    <w:rsid w:val="00D91DD7"/>
    <w:rsid w:val="00D91EF4"/>
    <w:rsid w:val="00D91F3C"/>
    <w:rsid w:val="00D92257"/>
    <w:rsid w:val="00D92577"/>
    <w:rsid w:val="00D92F61"/>
    <w:rsid w:val="00D938ED"/>
    <w:rsid w:val="00D93936"/>
    <w:rsid w:val="00D93C4E"/>
    <w:rsid w:val="00D93D28"/>
    <w:rsid w:val="00D9423D"/>
    <w:rsid w:val="00D945B3"/>
    <w:rsid w:val="00D9468B"/>
    <w:rsid w:val="00D946B9"/>
    <w:rsid w:val="00D949BB"/>
    <w:rsid w:val="00D94D39"/>
    <w:rsid w:val="00D9548B"/>
    <w:rsid w:val="00D9555D"/>
    <w:rsid w:val="00D955F1"/>
    <w:rsid w:val="00D95699"/>
    <w:rsid w:val="00D956C0"/>
    <w:rsid w:val="00D957E3"/>
    <w:rsid w:val="00D95C39"/>
    <w:rsid w:val="00D95C40"/>
    <w:rsid w:val="00D95D00"/>
    <w:rsid w:val="00D95E60"/>
    <w:rsid w:val="00D96149"/>
    <w:rsid w:val="00D9634D"/>
    <w:rsid w:val="00D96A74"/>
    <w:rsid w:val="00D96C84"/>
    <w:rsid w:val="00D96C9B"/>
    <w:rsid w:val="00D9722B"/>
    <w:rsid w:val="00D97362"/>
    <w:rsid w:val="00D97527"/>
    <w:rsid w:val="00D97529"/>
    <w:rsid w:val="00D97860"/>
    <w:rsid w:val="00D979DD"/>
    <w:rsid w:val="00D97EC6"/>
    <w:rsid w:val="00D97F5C"/>
    <w:rsid w:val="00DA0094"/>
    <w:rsid w:val="00DA0147"/>
    <w:rsid w:val="00DA0482"/>
    <w:rsid w:val="00DA0CA3"/>
    <w:rsid w:val="00DA0CD7"/>
    <w:rsid w:val="00DA0D96"/>
    <w:rsid w:val="00DA0F6D"/>
    <w:rsid w:val="00DA1733"/>
    <w:rsid w:val="00DA1874"/>
    <w:rsid w:val="00DA18F2"/>
    <w:rsid w:val="00DA1B14"/>
    <w:rsid w:val="00DA1BAD"/>
    <w:rsid w:val="00DA1D46"/>
    <w:rsid w:val="00DA1D61"/>
    <w:rsid w:val="00DA20D6"/>
    <w:rsid w:val="00DA21CE"/>
    <w:rsid w:val="00DA2819"/>
    <w:rsid w:val="00DA2B82"/>
    <w:rsid w:val="00DA2B94"/>
    <w:rsid w:val="00DA2C46"/>
    <w:rsid w:val="00DA2CDA"/>
    <w:rsid w:val="00DA2E9E"/>
    <w:rsid w:val="00DA2F55"/>
    <w:rsid w:val="00DA33BA"/>
    <w:rsid w:val="00DA3503"/>
    <w:rsid w:val="00DA39C2"/>
    <w:rsid w:val="00DA3DB1"/>
    <w:rsid w:val="00DA419E"/>
    <w:rsid w:val="00DA42A1"/>
    <w:rsid w:val="00DA48E2"/>
    <w:rsid w:val="00DA49CA"/>
    <w:rsid w:val="00DA4D08"/>
    <w:rsid w:val="00DA504C"/>
    <w:rsid w:val="00DA511D"/>
    <w:rsid w:val="00DA5151"/>
    <w:rsid w:val="00DA53A3"/>
    <w:rsid w:val="00DA53FB"/>
    <w:rsid w:val="00DA568B"/>
    <w:rsid w:val="00DA56F9"/>
    <w:rsid w:val="00DA57B5"/>
    <w:rsid w:val="00DA5898"/>
    <w:rsid w:val="00DA611B"/>
    <w:rsid w:val="00DA624E"/>
    <w:rsid w:val="00DA66B4"/>
    <w:rsid w:val="00DA66CF"/>
    <w:rsid w:val="00DA67F8"/>
    <w:rsid w:val="00DA6CB2"/>
    <w:rsid w:val="00DA6CDC"/>
    <w:rsid w:val="00DA6DD8"/>
    <w:rsid w:val="00DA6E3D"/>
    <w:rsid w:val="00DA6FC0"/>
    <w:rsid w:val="00DA718E"/>
    <w:rsid w:val="00DA73F5"/>
    <w:rsid w:val="00DA7524"/>
    <w:rsid w:val="00DA757A"/>
    <w:rsid w:val="00DA7A5A"/>
    <w:rsid w:val="00DA7BEE"/>
    <w:rsid w:val="00DA7C2E"/>
    <w:rsid w:val="00DA7D25"/>
    <w:rsid w:val="00DA7E62"/>
    <w:rsid w:val="00DB0473"/>
    <w:rsid w:val="00DB0E15"/>
    <w:rsid w:val="00DB0E9C"/>
    <w:rsid w:val="00DB0EB3"/>
    <w:rsid w:val="00DB0EE3"/>
    <w:rsid w:val="00DB0F6D"/>
    <w:rsid w:val="00DB16DF"/>
    <w:rsid w:val="00DB181A"/>
    <w:rsid w:val="00DB19B9"/>
    <w:rsid w:val="00DB25BD"/>
    <w:rsid w:val="00DB2956"/>
    <w:rsid w:val="00DB2BE4"/>
    <w:rsid w:val="00DB2EED"/>
    <w:rsid w:val="00DB301F"/>
    <w:rsid w:val="00DB3105"/>
    <w:rsid w:val="00DB39D4"/>
    <w:rsid w:val="00DB3A9C"/>
    <w:rsid w:val="00DB3B0C"/>
    <w:rsid w:val="00DB3C6D"/>
    <w:rsid w:val="00DB4040"/>
    <w:rsid w:val="00DB4570"/>
    <w:rsid w:val="00DB4755"/>
    <w:rsid w:val="00DB4875"/>
    <w:rsid w:val="00DB4931"/>
    <w:rsid w:val="00DB4BF9"/>
    <w:rsid w:val="00DB4CA8"/>
    <w:rsid w:val="00DB5147"/>
    <w:rsid w:val="00DB5244"/>
    <w:rsid w:val="00DB56CE"/>
    <w:rsid w:val="00DB5A57"/>
    <w:rsid w:val="00DB5C0C"/>
    <w:rsid w:val="00DB5C14"/>
    <w:rsid w:val="00DB5DE5"/>
    <w:rsid w:val="00DB5EE2"/>
    <w:rsid w:val="00DB5FFC"/>
    <w:rsid w:val="00DB6127"/>
    <w:rsid w:val="00DB61D2"/>
    <w:rsid w:val="00DB667C"/>
    <w:rsid w:val="00DB6714"/>
    <w:rsid w:val="00DB6809"/>
    <w:rsid w:val="00DB694C"/>
    <w:rsid w:val="00DB6976"/>
    <w:rsid w:val="00DB7185"/>
    <w:rsid w:val="00DB7393"/>
    <w:rsid w:val="00DB7C6C"/>
    <w:rsid w:val="00DC041D"/>
    <w:rsid w:val="00DC08BA"/>
    <w:rsid w:val="00DC1006"/>
    <w:rsid w:val="00DC1013"/>
    <w:rsid w:val="00DC10DC"/>
    <w:rsid w:val="00DC1131"/>
    <w:rsid w:val="00DC126B"/>
    <w:rsid w:val="00DC145B"/>
    <w:rsid w:val="00DC14BF"/>
    <w:rsid w:val="00DC15CE"/>
    <w:rsid w:val="00DC15F3"/>
    <w:rsid w:val="00DC19EB"/>
    <w:rsid w:val="00DC1A29"/>
    <w:rsid w:val="00DC1EF4"/>
    <w:rsid w:val="00DC21F0"/>
    <w:rsid w:val="00DC22B2"/>
    <w:rsid w:val="00DC2637"/>
    <w:rsid w:val="00DC264E"/>
    <w:rsid w:val="00DC2B95"/>
    <w:rsid w:val="00DC2FA2"/>
    <w:rsid w:val="00DC358B"/>
    <w:rsid w:val="00DC368B"/>
    <w:rsid w:val="00DC3856"/>
    <w:rsid w:val="00DC3BEC"/>
    <w:rsid w:val="00DC460F"/>
    <w:rsid w:val="00DC4A82"/>
    <w:rsid w:val="00DC4D04"/>
    <w:rsid w:val="00DC522D"/>
    <w:rsid w:val="00DC52CB"/>
    <w:rsid w:val="00DC547A"/>
    <w:rsid w:val="00DC6158"/>
    <w:rsid w:val="00DC6211"/>
    <w:rsid w:val="00DC64A6"/>
    <w:rsid w:val="00DC6802"/>
    <w:rsid w:val="00DC6852"/>
    <w:rsid w:val="00DC68F6"/>
    <w:rsid w:val="00DC69C7"/>
    <w:rsid w:val="00DC69F5"/>
    <w:rsid w:val="00DC7040"/>
    <w:rsid w:val="00DC71D9"/>
    <w:rsid w:val="00DC7288"/>
    <w:rsid w:val="00DC7301"/>
    <w:rsid w:val="00DC74C2"/>
    <w:rsid w:val="00DC7601"/>
    <w:rsid w:val="00DC7C28"/>
    <w:rsid w:val="00DD00EC"/>
    <w:rsid w:val="00DD02D3"/>
    <w:rsid w:val="00DD06C4"/>
    <w:rsid w:val="00DD0C84"/>
    <w:rsid w:val="00DD0E3F"/>
    <w:rsid w:val="00DD0F76"/>
    <w:rsid w:val="00DD10B7"/>
    <w:rsid w:val="00DD189D"/>
    <w:rsid w:val="00DD1C57"/>
    <w:rsid w:val="00DD1D56"/>
    <w:rsid w:val="00DD1E20"/>
    <w:rsid w:val="00DD2984"/>
    <w:rsid w:val="00DD2A29"/>
    <w:rsid w:val="00DD2E65"/>
    <w:rsid w:val="00DD36A9"/>
    <w:rsid w:val="00DD3CD0"/>
    <w:rsid w:val="00DD41C6"/>
    <w:rsid w:val="00DD4D70"/>
    <w:rsid w:val="00DD543D"/>
    <w:rsid w:val="00DD576D"/>
    <w:rsid w:val="00DD59D8"/>
    <w:rsid w:val="00DD5C1B"/>
    <w:rsid w:val="00DD5DBC"/>
    <w:rsid w:val="00DD6D03"/>
    <w:rsid w:val="00DD6E09"/>
    <w:rsid w:val="00DD7461"/>
    <w:rsid w:val="00DD7477"/>
    <w:rsid w:val="00DD782D"/>
    <w:rsid w:val="00DD7AED"/>
    <w:rsid w:val="00DE0045"/>
    <w:rsid w:val="00DE0354"/>
    <w:rsid w:val="00DE0592"/>
    <w:rsid w:val="00DE0852"/>
    <w:rsid w:val="00DE096C"/>
    <w:rsid w:val="00DE0B86"/>
    <w:rsid w:val="00DE0FCB"/>
    <w:rsid w:val="00DE11E4"/>
    <w:rsid w:val="00DE17CB"/>
    <w:rsid w:val="00DE181C"/>
    <w:rsid w:val="00DE191F"/>
    <w:rsid w:val="00DE1F7F"/>
    <w:rsid w:val="00DE26B0"/>
    <w:rsid w:val="00DE2733"/>
    <w:rsid w:val="00DE27C7"/>
    <w:rsid w:val="00DE2849"/>
    <w:rsid w:val="00DE28E5"/>
    <w:rsid w:val="00DE2A5D"/>
    <w:rsid w:val="00DE2E02"/>
    <w:rsid w:val="00DE2E33"/>
    <w:rsid w:val="00DE3324"/>
    <w:rsid w:val="00DE34B7"/>
    <w:rsid w:val="00DE3A27"/>
    <w:rsid w:val="00DE3C99"/>
    <w:rsid w:val="00DE3D14"/>
    <w:rsid w:val="00DE3DC4"/>
    <w:rsid w:val="00DE4073"/>
    <w:rsid w:val="00DE429B"/>
    <w:rsid w:val="00DE443B"/>
    <w:rsid w:val="00DE4902"/>
    <w:rsid w:val="00DE4A06"/>
    <w:rsid w:val="00DE5203"/>
    <w:rsid w:val="00DE53C8"/>
    <w:rsid w:val="00DE543E"/>
    <w:rsid w:val="00DE5667"/>
    <w:rsid w:val="00DE5999"/>
    <w:rsid w:val="00DE5A6D"/>
    <w:rsid w:val="00DE60E3"/>
    <w:rsid w:val="00DE67F0"/>
    <w:rsid w:val="00DE6B67"/>
    <w:rsid w:val="00DE6BDC"/>
    <w:rsid w:val="00DE6D08"/>
    <w:rsid w:val="00DE6DE0"/>
    <w:rsid w:val="00DE723C"/>
    <w:rsid w:val="00DE75B9"/>
    <w:rsid w:val="00DE7752"/>
    <w:rsid w:val="00DE775E"/>
    <w:rsid w:val="00DE7BD6"/>
    <w:rsid w:val="00DE7C11"/>
    <w:rsid w:val="00DE7CCE"/>
    <w:rsid w:val="00DF042B"/>
    <w:rsid w:val="00DF0BD4"/>
    <w:rsid w:val="00DF0D0B"/>
    <w:rsid w:val="00DF18EF"/>
    <w:rsid w:val="00DF1A11"/>
    <w:rsid w:val="00DF1CE2"/>
    <w:rsid w:val="00DF2205"/>
    <w:rsid w:val="00DF2385"/>
    <w:rsid w:val="00DF2868"/>
    <w:rsid w:val="00DF2D3D"/>
    <w:rsid w:val="00DF2FDF"/>
    <w:rsid w:val="00DF35D6"/>
    <w:rsid w:val="00DF37C5"/>
    <w:rsid w:val="00DF38FA"/>
    <w:rsid w:val="00DF3B65"/>
    <w:rsid w:val="00DF3B9E"/>
    <w:rsid w:val="00DF407E"/>
    <w:rsid w:val="00DF422D"/>
    <w:rsid w:val="00DF48AF"/>
    <w:rsid w:val="00DF498C"/>
    <w:rsid w:val="00DF4D08"/>
    <w:rsid w:val="00DF4EEC"/>
    <w:rsid w:val="00DF5062"/>
    <w:rsid w:val="00DF5069"/>
    <w:rsid w:val="00DF5359"/>
    <w:rsid w:val="00DF5B1F"/>
    <w:rsid w:val="00DF5E1B"/>
    <w:rsid w:val="00DF5EB4"/>
    <w:rsid w:val="00DF5EC1"/>
    <w:rsid w:val="00DF5EDA"/>
    <w:rsid w:val="00DF6396"/>
    <w:rsid w:val="00DF6E68"/>
    <w:rsid w:val="00DF6EB2"/>
    <w:rsid w:val="00DF6F97"/>
    <w:rsid w:val="00DF7300"/>
    <w:rsid w:val="00DF77E1"/>
    <w:rsid w:val="00DF7930"/>
    <w:rsid w:val="00DF79B3"/>
    <w:rsid w:val="00DF7B52"/>
    <w:rsid w:val="00DF7BB2"/>
    <w:rsid w:val="00E00558"/>
    <w:rsid w:val="00E00575"/>
    <w:rsid w:val="00E0079F"/>
    <w:rsid w:val="00E00802"/>
    <w:rsid w:val="00E00835"/>
    <w:rsid w:val="00E00A06"/>
    <w:rsid w:val="00E00B13"/>
    <w:rsid w:val="00E0107A"/>
    <w:rsid w:val="00E011ED"/>
    <w:rsid w:val="00E0134F"/>
    <w:rsid w:val="00E015AC"/>
    <w:rsid w:val="00E01972"/>
    <w:rsid w:val="00E01A0B"/>
    <w:rsid w:val="00E01AE9"/>
    <w:rsid w:val="00E01B38"/>
    <w:rsid w:val="00E01D0A"/>
    <w:rsid w:val="00E01D86"/>
    <w:rsid w:val="00E01FD5"/>
    <w:rsid w:val="00E025B9"/>
    <w:rsid w:val="00E0263A"/>
    <w:rsid w:val="00E02892"/>
    <w:rsid w:val="00E029C0"/>
    <w:rsid w:val="00E02A6C"/>
    <w:rsid w:val="00E02C47"/>
    <w:rsid w:val="00E02CE9"/>
    <w:rsid w:val="00E02D7A"/>
    <w:rsid w:val="00E02E10"/>
    <w:rsid w:val="00E02FF2"/>
    <w:rsid w:val="00E03962"/>
    <w:rsid w:val="00E039DA"/>
    <w:rsid w:val="00E039E8"/>
    <w:rsid w:val="00E039F7"/>
    <w:rsid w:val="00E042E3"/>
    <w:rsid w:val="00E045E3"/>
    <w:rsid w:val="00E049CD"/>
    <w:rsid w:val="00E04CA4"/>
    <w:rsid w:val="00E04DA5"/>
    <w:rsid w:val="00E053A7"/>
    <w:rsid w:val="00E054BC"/>
    <w:rsid w:val="00E05520"/>
    <w:rsid w:val="00E05D4B"/>
    <w:rsid w:val="00E05D61"/>
    <w:rsid w:val="00E0635E"/>
    <w:rsid w:val="00E06480"/>
    <w:rsid w:val="00E069E5"/>
    <w:rsid w:val="00E06C04"/>
    <w:rsid w:val="00E06FD1"/>
    <w:rsid w:val="00E071AC"/>
    <w:rsid w:val="00E07530"/>
    <w:rsid w:val="00E07734"/>
    <w:rsid w:val="00E077BA"/>
    <w:rsid w:val="00E07F72"/>
    <w:rsid w:val="00E10472"/>
    <w:rsid w:val="00E108E0"/>
    <w:rsid w:val="00E109AA"/>
    <w:rsid w:val="00E10AD9"/>
    <w:rsid w:val="00E11322"/>
    <w:rsid w:val="00E1140F"/>
    <w:rsid w:val="00E11A79"/>
    <w:rsid w:val="00E11F6B"/>
    <w:rsid w:val="00E12215"/>
    <w:rsid w:val="00E12727"/>
    <w:rsid w:val="00E130CA"/>
    <w:rsid w:val="00E1310B"/>
    <w:rsid w:val="00E134B4"/>
    <w:rsid w:val="00E13841"/>
    <w:rsid w:val="00E13B6B"/>
    <w:rsid w:val="00E13B94"/>
    <w:rsid w:val="00E13DC4"/>
    <w:rsid w:val="00E140AD"/>
    <w:rsid w:val="00E14188"/>
    <w:rsid w:val="00E14417"/>
    <w:rsid w:val="00E1468E"/>
    <w:rsid w:val="00E14D6C"/>
    <w:rsid w:val="00E14FC4"/>
    <w:rsid w:val="00E15658"/>
    <w:rsid w:val="00E158C5"/>
    <w:rsid w:val="00E1593A"/>
    <w:rsid w:val="00E15C80"/>
    <w:rsid w:val="00E16134"/>
    <w:rsid w:val="00E16405"/>
    <w:rsid w:val="00E1648D"/>
    <w:rsid w:val="00E164CB"/>
    <w:rsid w:val="00E16567"/>
    <w:rsid w:val="00E1658B"/>
    <w:rsid w:val="00E16E75"/>
    <w:rsid w:val="00E17393"/>
    <w:rsid w:val="00E17787"/>
    <w:rsid w:val="00E17F04"/>
    <w:rsid w:val="00E20753"/>
    <w:rsid w:val="00E209EB"/>
    <w:rsid w:val="00E20B21"/>
    <w:rsid w:val="00E20B37"/>
    <w:rsid w:val="00E20CF4"/>
    <w:rsid w:val="00E20D9C"/>
    <w:rsid w:val="00E20E64"/>
    <w:rsid w:val="00E21291"/>
    <w:rsid w:val="00E218AF"/>
    <w:rsid w:val="00E21DA1"/>
    <w:rsid w:val="00E225AA"/>
    <w:rsid w:val="00E2267D"/>
    <w:rsid w:val="00E228FF"/>
    <w:rsid w:val="00E22AAF"/>
    <w:rsid w:val="00E231D7"/>
    <w:rsid w:val="00E2352F"/>
    <w:rsid w:val="00E236CF"/>
    <w:rsid w:val="00E23A0A"/>
    <w:rsid w:val="00E23ACC"/>
    <w:rsid w:val="00E23F57"/>
    <w:rsid w:val="00E24441"/>
    <w:rsid w:val="00E24759"/>
    <w:rsid w:val="00E24D70"/>
    <w:rsid w:val="00E24F48"/>
    <w:rsid w:val="00E25603"/>
    <w:rsid w:val="00E25681"/>
    <w:rsid w:val="00E256AE"/>
    <w:rsid w:val="00E256BB"/>
    <w:rsid w:val="00E2570A"/>
    <w:rsid w:val="00E2578D"/>
    <w:rsid w:val="00E259F4"/>
    <w:rsid w:val="00E25C09"/>
    <w:rsid w:val="00E261B7"/>
    <w:rsid w:val="00E261F7"/>
    <w:rsid w:val="00E2654E"/>
    <w:rsid w:val="00E26C77"/>
    <w:rsid w:val="00E279CC"/>
    <w:rsid w:val="00E27AB9"/>
    <w:rsid w:val="00E27C42"/>
    <w:rsid w:val="00E27E33"/>
    <w:rsid w:val="00E27FD8"/>
    <w:rsid w:val="00E300AA"/>
    <w:rsid w:val="00E30E88"/>
    <w:rsid w:val="00E30EC3"/>
    <w:rsid w:val="00E30F2F"/>
    <w:rsid w:val="00E312F0"/>
    <w:rsid w:val="00E31452"/>
    <w:rsid w:val="00E31E42"/>
    <w:rsid w:val="00E31E49"/>
    <w:rsid w:val="00E31ED3"/>
    <w:rsid w:val="00E32074"/>
    <w:rsid w:val="00E32388"/>
    <w:rsid w:val="00E323CB"/>
    <w:rsid w:val="00E32B5A"/>
    <w:rsid w:val="00E32DA3"/>
    <w:rsid w:val="00E32F25"/>
    <w:rsid w:val="00E33085"/>
    <w:rsid w:val="00E33570"/>
    <w:rsid w:val="00E33702"/>
    <w:rsid w:val="00E33F4D"/>
    <w:rsid w:val="00E34062"/>
    <w:rsid w:val="00E34717"/>
    <w:rsid w:val="00E34909"/>
    <w:rsid w:val="00E349F6"/>
    <w:rsid w:val="00E34D16"/>
    <w:rsid w:val="00E34F19"/>
    <w:rsid w:val="00E355CB"/>
    <w:rsid w:val="00E35643"/>
    <w:rsid w:val="00E35A90"/>
    <w:rsid w:val="00E35B26"/>
    <w:rsid w:val="00E35FBF"/>
    <w:rsid w:val="00E361EC"/>
    <w:rsid w:val="00E36439"/>
    <w:rsid w:val="00E365F8"/>
    <w:rsid w:val="00E366A1"/>
    <w:rsid w:val="00E36F35"/>
    <w:rsid w:val="00E371A2"/>
    <w:rsid w:val="00E378C1"/>
    <w:rsid w:val="00E37B84"/>
    <w:rsid w:val="00E37D69"/>
    <w:rsid w:val="00E37D88"/>
    <w:rsid w:val="00E37D98"/>
    <w:rsid w:val="00E37FC8"/>
    <w:rsid w:val="00E401CB"/>
    <w:rsid w:val="00E4022B"/>
    <w:rsid w:val="00E4074B"/>
    <w:rsid w:val="00E409EE"/>
    <w:rsid w:val="00E40ADD"/>
    <w:rsid w:val="00E40E46"/>
    <w:rsid w:val="00E40E4A"/>
    <w:rsid w:val="00E41073"/>
    <w:rsid w:val="00E41176"/>
    <w:rsid w:val="00E41585"/>
    <w:rsid w:val="00E41A6B"/>
    <w:rsid w:val="00E41A93"/>
    <w:rsid w:val="00E4228E"/>
    <w:rsid w:val="00E42315"/>
    <w:rsid w:val="00E42A94"/>
    <w:rsid w:val="00E42B2A"/>
    <w:rsid w:val="00E42EF1"/>
    <w:rsid w:val="00E430A1"/>
    <w:rsid w:val="00E432A8"/>
    <w:rsid w:val="00E43844"/>
    <w:rsid w:val="00E43AF2"/>
    <w:rsid w:val="00E43D23"/>
    <w:rsid w:val="00E43FF4"/>
    <w:rsid w:val="00E4416C"/>
    <w:rsid w:val="00E44213"/>
    <w:rsid w:val="00E44294"/>
    <w:rsid w:val="00E4468F"/>
    <w:rsid w:val="00E44B7C"/>
    <w:rsid w:val="00E44BC4"/>
    <w:rsid w:val="00E4526F"/>
    <w:rsid w:val="00E45662"/>
    <w:rsid w:val="00E4580B"/>
    <w:rsid w:val="00E45EF5"/>
    <w:rsid w:val="00E4604A"/>
    <w:rsid w:val="00E4612B"/>
    <w:rsid w:val="00E46171"/>
    <w:rsid w:val="00E464A3"/>
    <w:rsid w:val="00E46646"/>
    <w:rsid w:val="00E46860"/>
    <w:rsid w:val="00E46912"/>
    <w:rsid w:val="00E46FDB"/>
    <w:rsid w:val="00E474D1"/>
    <w:rsid w:val="00E47505"/>
    <w:rsid w:val="00E47C51"/>
    <w:rsid w:val="00E47E0D"/>
    <w:rsid w:val="00E47F2D"/>
    <w:rsid w:val="00E47F7B"/>
    <w:rsid w:val="00E50380"/>
    <w:rsid w:val="00E5094B"/>
    <w:rsid w:val="00E50AC6"/>
    <w:rsid w:val="00E50B57"/>
    <w:rsid w:val="00E50C71"/>
    <w:rsid w:val="00E50FC2"/>
    <w:rsid w:val="00E5106E"/>
    <w:rsid w:val="00E5127E"/>
    <w:rsid w:val="00E514CA"/>
    <w:rsid w:val="00E514F6"/>
    <w:rsid w:val="00E5198E"/>
    <w:rsid w:val="00E51E55"/>
    <w:rsid w:val="00E522FA"/>
    <w:rsid w:val="00E52FA7"/>
    <w:rsid w:val="00E53853"/>
    <w:rsid w:val="00E53A88"/>
    <w:rsid w:val="00E53F25"/>
    <w:rsid w:val="00E53F89"/>
    <w:rsid w:val="00E5442E"/>
    <w:rsid w:val="00E54696"/>
    <w:rsid w:val="00E54A69"/>
    <w:rsid w:val="00E54C8D"/>
    <w:rsid w:val="00E554A4"/>
    <w:rsid w:val="00E556A1"/>
    <w:rsid w:val="00E55904"/>
    <w:rsid w:val="00E55FFF"/>
    <w:rsid w:val="00E56124"/>
    <w:rsid w:val="00E5675F"/>
    <w:rsid w:val="00E56E20"/>
    <w:rsid w:val="00E56EB1"/>
    <w:rsid w:val="00E5713B"/>
    <w:rsid w:val="00E57375"/>
    <w:rsid w:val="00E575EE"/>
    <w:rsid w:val="00E57963"/>
    <w:rsid w:val="00E57AB8"/>
    <w:rsid w:val="00E57C0C"/>
    <w:rsid w:val="00E57CDA"/>
    <w:rsid w:val="00E57E31"/>
    <w:rsid w:val="00E60062"/>
    <w:rsid w:val="00E600FD"/>
    <w:rsid w:val="00E60588"/>
    <w:rsid w:val="00E605E4"/>
    <w:rsid w:val="00E60744"/>
    <w:rsid w:val="00E609C9"/>
    <w:rsid w:val="00E61091"/>
    <w:rsid w:val="00E61096"/>
    <w:rsid w:val="00E6116C"/>
    <w:rsid w:val="00E61402"/>
    <w:rsid w:val="00E6187A"/>
    <w:rsid w:val="00E6190F"/>
    <w:rsid w:val="00E61BD2"/>
    <w:rsid w:val="00E61BFD"/>
    <w:rsid w:val="00E61C83"/>
    <w:rsid w:val="00E61E51"/>
    <w:rsid w:val="00E62368"/>
    <w:rsid w:val="00E62596"/>
    <w:rsid w:val="00E628DF"/>
    <w:rsid w:val="00E62A25"/>
    <w:rsid w:val="00E62AC9"/>
    <w:rsid w:val="00E62FA5"/>
    <w:rsid w:val="00E630C1"/>
    <w:rsid w:val="00E6316B"/>
    <w:rsid w:val="00E63EF1"/>
    <w:rsid w:val="00E6408D"/>
    <w:rsid w:val="00E640F4"/>
    <w:rsid w:val="00E64382"/>
    <w:rsid w:val="00E64714"/>
    <w:rsid w:val="00E647E6"/>
    <w:rsid w:val="00E64BE7"/>
    <w:rsid w:val="00E64C8F"/>
    <w:rsid w:val="00E655B6"/>
    <w:rsid w:val="00E656A9"/>
    <w:rsid w:val="00E657C7"/>
    <w:rsid w:val="00E65A41"/>
    <w:rsid w:val="00E65A5E"/>
    <w:rsid w:val="00E65DEF"/>
    <w:rsid w:val="00E65FCA"/>
    <w:rsid w:val="00E6603E"/>
    <w:rsid w:val="00E66ED6"/>
    <w:rsid w:val="00E672D6"/>
    <w:rsid w:val="00E673DA"/>
    <w:rsid w:val="00E67627"/>
    <w:rsid w:val="00E676C2"/>
    <w:rsid w:val="00E679D3"/>
    <w:rsid w:val="00E67E3B"/>
    <w:rsid w:val="00E70265"/>
    <w:rsid w:val="00E702C3"/>
    <w:rsid w:val="00E7099C"/>
    <w:rsid w:val="00E70A0B"/>
    <w:rsid w:val="00E70AF0"/>
    <w:rsid w:val="00E70C1A"/>
    <w:rsid w:val="00E70DC8"/>
    <w:rsid w:val="00E70F39"/>
    <w:rsid w:val="00E7111F"/>
    <w:rsid w:val="00E7115C"/>
    <w:rsid w:val="00E711BD"/>
    <w:rsid w:val="00E71393"/>
    <w:rsid w:val="00E71501"/>
    <w:rsid w:val="00E71724"/>
    <w:rsid w:val="00E71B2B"/>
    <w:rsid w:val="00E72557"/>
    <w:rsid w:val="00E7264E"/>
    <w:rsid w:val="00E728B5"/>
    <w:rsid w:val="00E72A77"/>
    <w:rsid w:val="00E72F4E"/>
    <w:rsid w:val="00E73361"/>
    <w:rsid w:val="00E739F3"/>
    <w:rsid w:val="00E73CC0"/>
    <w:rsid w:val="00E741A4"/>
    <w:rsid w:val="00E7493C"/>
    <w:rsid w:val="00E74A22"/>
    <w:rsid w:val="00E74ED3"/>
    <w:rsid w:val="00E752B6"/>
    <w:rsid w:val="00E7540C"/>
    <w:rsid w:val="00E75ABA"/>
    <w:rsid w:val="00E75B76"/>
    <w:rsid w:val="00E75BAA"/>
    <w:rsid w:val="00E75C26"/>
    <w:rsid w:val="00E75D23"/>
    <w:rsid w:val="00E75F03"/>
    <w:rsid w:val="00E760DD"/>
    <w:rsid w:val="00E76134"/>
    <w:rsid w:val="00E766F9"/>
    <w:rsid w:val="00E76957"/>
    <w:rsid w:val="00E77362"/>
    <w:rsid w:val="00E77543"/>
    <w:rsid w:val="00E77AD4"/>
    <w:rsid w:val="00E77B94"/>
    <w:rsid w:val="00E80029"/>
    <w:rsid w:val="00E800E0"/>
    <w:rsid w:val="00E8038D"/>
    <w:rsid w:val="00E8052E"/>
    <w:rsid w:val="00E807A4"/>
    <w:rsid w:val="00E8094E"/>
    <w:rsid w:val="00E80B2B"/>
    <w:rsid w:val="00E80D74"/>
    <w:rsid w:val="00E81139"/>
    <w:rsid w:val="00E813F7"/>
    <w:rsid w:val="00E814A8"/>
    <w:rsid w:val="00E8156E"/>
    <w:rsid w:val="00E81C54"/>
    <w:rsid w:val="00E81D61"/>
    <w:rsid w:val="00E8227A"/>
    <w:rsid w:val="00E8279D"/>
    <w:rsid w:val="00E82854"/>
    <w:rsid w:val="00E82A43"/>
    <w:rsid w:val="00E82B97"/>
    <w:rsid w:val="00E83188"/>
    <w:rsid w:val="00E832C0"/>
    <w:rsid w:val="00E836C6"/>
    <w:rsid w:val="00E83A29"/>
    <w:rsid w:val="00E8414A"/>
    <w:rsid w:val="00E84D10"/>
    <w:rsid w:val="00E84D55"/>
    <w:rsid w:val="00E84DA1"/>
    <w:rsid w:val="00E84E26"/>
    <w:rsid w:val="00E85214"/>
    <w:rsid w:val="00E85422"/>
    <w:rsid w:val="00E85710"/>
    <w:rsid w:val="00E85C6D"/>
    <w:rsid w:val="00E85D27"/>
    <w:rsid w:val="00E85D51"/>
    <w:rsid w:val="00E85D59"/>
    <w:rsid w:val="00E85F49"/>
    <w:rsid w:val="00E86072"/>
    <w:rsid w:val="00E862ED"/>
    <w:rsid w:val="00E865ED"/>
    <w:rsid w:val="00E866B9"/>
    <w:rsid w:val="00E8670C"/>
    <w:rsid w:val="00E86E9E"/>
    <w:rsid w:val="00E87019"/>
    <w:rsid w:val="00E87B87"/>
    <w:rsid w:val="00E87F18"/>
    <w:rsid w:val="00E90083"/>
    <w:rsid w:val="00E900C0"/>
    <w:rsid w:val="00E90137"/>
    <w:rsid w:val="00E90167"/>
    <w:rsid w:val="00E906DA"/>
    <w:rsid w:val="00E906ED"/>
    <w:rsid w:val="00E90EB1"/>
    <w:rsid w:val="00E91605"/>
    <w:rsid w:val="00E9171F"/>
    <w:rsid w:val="00E9196B"/>
    <w:rsid w:val="00E91DE5"/>
    <w:rsid w:val="00E91F8D"/>
    <w:rsid w:val="00E92774"/>
    <w:rsid w:val="00E927CB"/>
    <w:rsid w:val="00E92A01"/>
    <w:rsid w:val="00E92E45"/>
    <w:rsid w:val="00E92E8F"/>
    <w:rsid w:val="00E93169"/>
    <w:rsid w:val="00E9360F"/>
    <w:rsid w:val="00E93806"/>
    <w:rsid w:val="00E9385A"/>
    <w:rsid w:val="00E93B10"/>
    <w:rsid w:val="00E93B3A"/>
    <w:rsid w:val="00E93E3C"/>
    <w:rsid w:val="00E947A1"/>
    <w:rsid w:val="00E949BE"/>
    <w:rsid w:val="00E950C6"/>
    <w:rsid w:val="00E950E0"/>
    <w:rsid w:val="00E952AF"/>
    <w:rsid w:val="00E9558E"/>
    <w:rsid w:val="00E95A24"/>
    <w:rsid w:val="00E95AD7"/>
    <w:rsid w:val="00E95D92"/>
    <w:rsid w:val="00E960AF"/>
    <w:rsid w:val="00E960B9"/>
    <w:rsid w:val="00E963F0"/>
    <w:rsid w:val="00E9650C"/>
    <w:rsid w:val="00E96545"/>
    <w:rsid w:val="00E96648"/>
    <w:rsid w:val="00E966B2"/>
    <w:rsid w:val="00E96A41"/>
    <w:rsid w:val="00E96F75"/>
    <w:rsid w:val="00E97071"/>
    <w:rsid w:val="00E97465"/>
    <w:rsid w:val="00E976C8"/>
    <w:rsid w:val="00E977E6"/>
    <w:rsid w:val="00E97C09"/>
    <w:rsid w:val="00E97E62"/>
    <w:rsid w:val="00EA07D1"/>
    <w:rsid w:val="00EA0897"/>
    <w:rsid w:val="00EA0A0F"/>
    <w:rsid w:val="00EA0A16"/>
    <w:rsid w:val="00EA0BB0"/>
    <w:rsid w:val="00EA0EC8"/>
    <w:rsid w:val="00EA0F22"/>
    <w:rsid w:val="00EA157F"/>
    <w:rsid w:val="00EA15F5"/>
    <w:rsid w:val="00EA19B3"/>
    <w:rsid w:val="00EA1AB6"/>
    <w:rsid w:val="00EA1E3E"/>
    <w:rsid w:val="00EA1E6C"/>
    <w:rsid w:val="00EA20BC"/>
    <w:rsid w:val="00EA211D"/>
    <w:rsid w:val="00EA2446"/>
    <w:rsid w:val="00EA28EB"/>
    <w:rsid w:val="00EA2AEB"/>
    <w:rsid w:val="00EA2BF3"/>
    <w:rsid w:val="00EA2CA1"/>
    <w:rsid w:val="00EA2D6E"/>
    <w:rsid w:val="00EA2EB1"/>
    <w:rsid w:val="00EA32C3"/>
    <w:rsid w:val="00EA35E4"/>
    <w:rsid w:val="00EA3757"/>
    <w:rsid w:val="00EA38FA"/>
    <w:rsid w:val="00EA3A2E"/>
    <w:rsid w:val="00EA3E97"/>
    <w:rsid w:val="00EA3F4A"/>
    <w:rsid w:val="00EA439B"/>
    <w:rsid w:val="00EA4801"/>
    <w:rsid w:val="00EA4835"/>
    <w:rsid w:val="00EA4B52"/>
    <w:rsid w:val="00EA4BB1"/>
    <w:rsid w:val="00EA4F1B"/>
    <w:rsid w:val="00EA55AA"/>
    <w:rsid w:val="00EA5730"/>
    <w:rsid w:val="00EA5736"/>
    <w:rsid w:val="00EA58AD"/>
    <w:rsid w:val="00EA59A0"/>
    <w:rsid w:val="00EA5A9B"/>
    <w:rsid w:val="00EA5B3C"/>
    <w:rsid w:val="00EA5D8F"/>
    <w:rsid w:val="00EA5EFB"/>
    <w:rsid w:val="00EA5F3F"/>
    <w:rsid w:val="00EA5F8E"/>
    <w:rsid w:val="00EA6186"/>
    <w:rsid w:val="00EA627B"/>
    <w:rsid w:val="00EA643B"/>
    <w:rsid w:val="00EA6747"/>
    <w:rsid w:val="00EA69F4"/>
    <w:rsid w:val="00EA719F"/>
    <w:rsid w:val="00EA77C6"/>
    <w:rsid w:val="00EA78DD"/>
    <w:rsid w:val="00EA7976"/>
    <w:rsid w:val="00EA7AC7"/>
    <w:rsid w:val="00EA7AF1"/>
    <w:rsid w:val="00EA7C69"/>
    <w:rsid w:val="00EA7CAF"/>
    <w:rsid w:val="00EA7CDB"/>
    <w:rsid w:val="00EB0540"/>
    <w:rsid w:val="00EB06D8"/>
    <w:rsid w:val="00EB0717"/>
    <w:rsid w:val="00EB0971"/>
    <w:rsid w:val="00EB0FBD"/>
    <w:rsid w:val="00EB1A70"/>
    <w:rsid w:val="00EB1A72"/>
    <w:rsid w:val="00EB1B43"/>
    <w:rsid w:val="00EB1E19"/>
    <w:rsid w:val="00EB232E"/>
    <w:rsid w:val="00EB2577"/>
    <w:rsid w:val="00EB25A4"/>
    <w:rsid w:val="00EB293A"/>
    <w:rsid w:val="00EB2ABC"/>
    <w:rsid w:val="00EB2CDB"/>
    <w:rsid w:val="00EB2D3C"/>
    <w:rsid w:val="00EB321F"/>
    <w:rsid w:val="00EB3345"/>
    <w:rsid w:val="00EB3667"/>
    <w:rsid w:val="00EB373D"/>
    <w:rsid w:val="00EB39BF"/>
    <w:rsid w:val="00EB3D76"/>
    <w:rsid w:val="00EB3E67"/>
    <w:rsid w:val="00EB46B2"/>
    <w:rsid w:val="00EB489A"/>
    <w:rsid w:val="00EB4C8D"/>
    <w:rsid w:val="00EB52CF"/>
    <w:rsid w:val="00EB52DB"/>
    <w:rsid w:val="00EB54B1"/>
    <w:rsid w:val="00EB56BF"/>
    <w:rsid w:val="00EB5C60"/>
    <w:rsid w:val="00EB62C6"/>
    <w:rsid w:val="00EB63C3"/>
    <w:rsid w:val="00EB63F5"/>
    <w:rsid w:val="00EB6442"/>
    <w:rsid w:val="00EB6A97"/>
    <w:rsid w:val="00EB6EF1"/>
    <w:rsid w:val="00EB6F11"/>
    <w:rsid w:val="00EB709D"/>
    <w:rsid w:val="00EB7175"/>
    <w:rsid w:val="00EB7331"/>
    <w:rsid w:val="00EB7683"/>
    <w:rsid w:val="00EB76FD"/>
    <w:rsid w:val="00EB7AD5"/>
    <w:rsid w:val="00EB7C53"/>
    <w:rsid w:val="00EB7DB4"/>
    <w:rsid w:val="00EB7E18"/>
    <w:rsid w:val="00EC00FA"/>
    <w:rsid w:val="00EC0314"/>
    <w:rsid w:val="00EC0A15"/>
    <w:rsid w:val="00EC0D40"/>
    <w:rsid w:val="00EC1011"/>
    <w:rsid w:val="00EC1398"/>
    <w:rsid w:val="00EC14DA"/>
    <w:rsid w:val="00EC1DC1"/>
    <w:rsid w:val="00EC1EC0"/>
    <w:rsid w:val="00EC2070"/>
    <w:rsid w:val="00EC265F"/>
    <w:rsid w:val="00EC2BAB"/>
    <w:rsid w:val="00EC2CB8"/>
    <w:rsid w:val="00EC2EDF"/>
    <w:rsid w:val="00EC2F38"/>
    <w:rsid w:val="00EC3226"/>
    <w:rsid w:val="00EC3305"/>
    <w:rsid w:val="00EC3399"/>
    <w:rsid w:val="00EC3DB6"/>
    <w:rsid w:val="00EC3E79"/>
    <w:rsid w:val="00EC3FF4"/>
    <w:rsid w:val="00EC40F4"/>
    <w:rsid w:val="00EC4AA5"/>
    <w:rsid w:val="00EC4D22"/>
    <w:rsid w:val="00EC4E05"/>
    <w:rsid w:val="00EC510A"/>
    <w:rsid w:val="00EC5507"/>
    <w:rsid w:val="00EC59FC"/>
    <w:rsid w:val="00EC5A3D"/>
    <w:rsid w:val="00EC5CCF"/>
    <w:rsid w:val="00EC6228"/>
    <w:rsid w:val="00EC627C"/>
    <w:rsid w:val="00EC65C1"/>
    <w:rsid w:val="00EC69CF"/>
    <w:rsid w:val="00EC69D1"/>
    <w:rsid w:val="00EC6B0F"/>
    <w:rsid w:val="00EC6FD2"/>
    <w:rsid w:val="00EC721F"/>
    <w:rsid w:val="00EC7246"/>
    <w:rsid w:val="00EC759A"/>
    <w:rsid w:val="00EC767A"/>
    <w:rsid w:val="00EC7753"/>
    <w:rsid w:val="00EC7870"/>
    <w:rsid w:val="00EC799D"/>
    <w:rsid w:val="00EC7AAA"/>
    <w:rsid w:val="00EC7DB0"/>
    <w:rsid w:val="00EC7EDE"/>
    <w:rsid w:val="00EC7F82"/>
    <w:rsid w:val="00ED0180"/>
    <w:rsid w:val="00ED04BF"/>
    <w:rsid w:val="00ED057B"/>
    <w:rsid w:val="00ED06E0"/>
    <w:rsid w:val="00ED0CDA"/>
    <w:rsid w:val="00ED0E1E"/>
    <w:rsid w:val="00ED0F64"/>
    <w:rsid w:val="00ED1106"/>
    <w:rsid w:val="00ED17B7"/>
    <w:rsid w:val="00ED1B96"/>
    <w:rsid w:val="00ED1C29"/>
    <w:rsid w:val="00ED2010"/>
    <w:rsid w:val="00ED2307"/>
    <w:rsid w:val="00ED2486"/>
    <w:rsid w:val="00ED2712"/>
    <w:rsid w:val="00ED2A43"/>
    <w:rsid w:val="00ED2CEE"/>
    <w:rsid w:val="00ED2D20"/>
    <w:rsid w:val="00ED30FF"/>
    <w:rsid w:val="00ED3373"/>
    <w:rsid w:val="00ED3839"/>
    <w:rsid w:val="00ED39D9"/>
    <w:rsid w:val="00ED3CE1"/>
    <w:rsid w:val="00ED4275"/>
    <w:rsid w:val="00ED4579"/>
    <w:rsid w:val="00ED468C"/>
    <w:rsid w:val="00ED475D"/>
    <w:rsid w:val="00ED4862"/>
    <w:rsid w:val="00ED5B56"/>
    <w:rsid w:val="00ED5BF9"/>
    <w:rsid w:val="00ED5E8F"/>
    <w:rsid w:val="00ED5E98"/>
    <w:rsid w:val="00ED64EB"/>
    <w:rsid w:val="00ED6985"/>
    <w:rsid w:val="00ED6CB1"/>
    <w:rsid w:val="00ED6D54"/>
    <w:rsid w:val="00ED6D9E"/>
    <w:rsid w:val="00ED70DF"/>
    <w:rsid w:val="00ED71F4"/>
    <w:rsid w:val="00ED74F6"/>
    <w:rsid w:val="00ED75DC"/>
    <w:rsid w:val="00ED78B3"/>
    <w:rsid w:val="00ED7AD8"/>
    <w:rsid w:val="00ED7BFA"/>
    <w:rsid w:val="00ED7D6D"/>
    <w:rsid w:val="00ED7F24"/>
    <w:rsid w:val="00EE013E"/>
    <w:rsid w:val="00EE0191"/>
    <w:rsid w:val="00EE02A2"/>
    <w:rsid w:val="00EE0309"/>
    <w:rsid w:val="00EE0354"/>
    <w:rsid w:val="00EE0492"/>
    <w:rsid w:val="00EE0854"/>
    <w:rsid w:val="00EE1C4F"/>
    <w:rsid w:val="00EE1C60"/>
    <w:rsid w:val="00EE1EA8"/>
    <w:rsid w:val="00EE2075"/>
    <w:rsid w:val="00EE2320"/>
    <w:rsid w:val="00EE241F"/>
    <w:rsid w:val="00EE25D4"/>
    <w:rsid w:val="00EE2ABC"/>
    <w:rsid w:val="00EE2F70"/>
    <w:rsid w:val="00EE306D"/>
    <w:rsid w:val="00EE36A1"/>
    <w:rsid w:val="00EE373B"/>
    <w:rsid w:val="00EE37C8"/>
    <w:rsid w:val="00EE3A39"/>
    <w:rsid w:val="00EE3DF6"/>
    <w:rsid w:val="00EE4555"/>
    <w:rsid w:val="00EE4B86"/>
    <w:rsid w:val="00EE4C90"/>
    <w:rsid w:val="00EE4D7A"/>
    <w:rsid w:val="00EE4E0E"/>
    <w:rsid w:val="00EE4F7F"/>
    <w:rsid w:val="00EE4FA8"/>
    <w:rsid w:val="00EE5105"/>
    <w:rsid w:val="00EE5867"/>
    <w:rsid w:val="00EE5EF3"/>
    <w:rsid w:val="00EE5FF3"/>
    <w:rsid w:val="00EE6269"/>
    <w:rsid w:val="00EE6381"/>
    <w:rsid w:val="00EE65D0"/>
    <w:rsid w:val="00EE67C0"/>
    <w:rsid w:val="00EE6E52"/>
    <w:rsid w:val="00EE72BF"/>
    <w:rsid w:val="00EE7DE7"/>
    <w:rsid w:val="00EE7FA9"/>
    <w:rsid w:val="00EF01C5"/>
    <w:rsid w:val="00EF0300"/>
    <w:rsid w:val="00EF031F"/>
    <w:rsid w:val="00EF082E"/>
    <w:rsid w:val="00EF09CE"/>
    <w:rsid w:val="00EF0B05"/>
    <w:rsid w:val="00EF0B26"/>
    <w:rsid w:val="00EF0C78"/>
    <w:rsid w:val="00EF0FFB"/>
    <w:rsid w:val="00EF11A7"/>
    <w:rsid w:val="00EF13DB"/>
    <w:rsid w:val="00EF141A"/>
    <w:rsid w:val="00EF15FB"/>
    <w:rsid w:val="00EF160E"/>
    <w:rsid w:val="00EF1766"/>
    <w:rsid w:val="00EF1A8E"/>
    <w:rsid w:val="00EF1BC4"/>
    <w:rsid w:val="00EF1CEF"/>
    <w:rsid w:val="00EF1D50"/>
    <w:rsid w:val="00EF1DFA"/>
    <w:rsid w:val="00EF1FC0"/>
    <w:rsid w:val="00EF250F"/>
    <w:rsid w:val="00EF2518"/>
    <w:rsid w:val="00EF251A"/>
    <w:rsid w:val="00EF2527"/>
    <w:rsid w:val="00EF263D"/>
    <w:rsid w:val="00EF267D"/>
    <w:rsid w:val="00EF2EAE"/>
    <w:rsid w:val="00EF3213"/>
    <w:rsid w:val="00EF36D5"/>
    <w:rsid w:val="00EF4074"/>
    <w:rsid w:val="00EF42ED"/>
    <w:rsid w:val="00EF4452"/>
    <w:rsid w:val="00EF487C"/>
    <w:rsid w:val="00EF4881"/>
    <w:rsid w:val="00EF4936"/>
    <w:rsid w:val="00EF4A31"/>
    <w:rsid w:val="00EF4CE3"/>
    <w:rsid w:val="00EF56C3"/>
    <w:rsid w:val="00EF599A"/>
    <w:rsid w:val="00EF735B"/>
    <w:rsid w:val="00EF75A1"/>
    <w:rsid w:val="00EF76FC"/>
    <w:rsid w:val="00EF790F"/>
    <w:rsid w:val="00EF7AB8"/>
    <w:rsid w:val="00F00064"/>
    <w:rsid w:val="00F0079C"/>
    <w:rsid w:val="00F00A17"/>
    <w:rsid w:val="00F01329"/>
    <w:rsid w:val="00F01621"/>
    <w:rsid w:val="00F021D4"/>
    <w:rsid w:val="00F02314"/>
    <w:rsid w:val="00F02830"/>
    <w:rsid w:val="00F02A4D"/>
    <w:rsid w:val="00F02FC5"/>
    <w:rsid w:val="00F0313D"/>
    <w:rsid w:val="00F034EF"/>
    <w:rsid w:val="00F0360A"/>
    <w:rsid w:val="00F037EA"/>
    <w:rsid w:val="00F03879"/>
    <w:rsid w:val="00F04814"/>
    <w:rsid w:val="00F053C5"/>
    <w:rsid w:val="00F0559A"/>
    <w:rsid w:val="00F05E7B"/>
    <w:rsid w:val="00F05F27"/>
    <w:rsid w:val="00F05FF9"/>
    <w:rsid w:val="00F0636E"/>
    <w:rsid w:val="00F0687C"/>
    <w:rsid w:val="00F0715B"/>
    <w:rsid w:val="00F07274"/>
    <w:rsid w:val="00F07781"/>
    <w:rsid w:val="00F0781B"/>
    <w:rsid w:val="00F07832"/>
    <w:rsid w:val="00F07A0F"/>
    <w:rsid w:val="00F100F0"/>
    <w:rsid w:val="00F104FD"/>
    <w:rsid w:val="00F106B4"/>
    <w:rsid w:val="00F10901"/>
    <w:rsid w:val="00F10A55"/>
    <w:rsid w:val="00F10CCD"/>
    <w:rsid w:val="00F10CFC"/>
    <w:rsid w:val="00F11087"/>
    <w:rsid w:val="00F110D8"/>
    <w:rsid w:val="00F114A5"/>
    <w:rsid w:val="00F114EF"/>
    <w:rsid w:val="00F11671"/>
    <w:rsid w:val="00F1184F"/>
    <w:rsid w:val="00F11950"/>
    <w:rsid w:val="00F11ACD"/>
    <w:rsid w:val="00F11F0F"/>
    <w:rsid w:val="00F128AC"/>
    <w:rsid w:val="00F129DF"/>
    <w:rsid w:val="00F12ED3"/>
    <w:rsid w:val="00F12EE1"/>
    <w:rsid w:val="00F12F80"/>
    <w:rsid w:val="00F1354A"/>
    <w:rsid w:val="00F138E3"/>
    <w:rsid w:val="00F13A42"/>
    <w:rsid w:val="00F13B65"/>
    <w:rsid w:val="00F13F3C"/>
    <w:rsid w:val="00F14704"/>
    <w:rsid w:val="00F14D72"/>
    <w:rsid w:val="00F14E55"/>
    <w:rsid w:val="00F156A2"/>
    <w:rsid w:val="00F15A60"/>
    <w:rsid w:val="00F15BEF"/>
    <w:rsid w:val="00F15EFC"/>
    <w:rsid w:val="00F15FFA"/>
    <w:rsid w:val="00F1651D"/>
    <w:rsid w:val="00F166B2"/>
    <w:rsid w:val="00F16856"/>
    <w:rsid w:val="00F16B72"/>
    <w:rsid w:val="00F16E27"/>
    <w:rsid w:val="00F16F7C"/>
    <w:rsid w:val="00F1726D"/>
    <w:rsid w:val="00F1766B"/>
    <w:rsid w:val="00F2000E"/>
    <w:rsid w:val="00F20161"/>
    <w:rsid w:val="00F207CD"/>
    <w:rsid w:val="00F20A7C"/>
    <w:rsid w:val="00F20C41"/>
    <w:rsid w:val="00F20EEA"/>
    <w:rsid w:val="00F211F2"/>
    <w:rsid w:val="00F212C1"/>
    <w:rsid w:val="00F212FF"/>
    <w:rsid w:val="00F216BA"/>
    <w:rsid w:val="00F21B25"/>
    <w:rsid w:val="00F21D43"/>
    <w:rsid w:val="00F22578"/>
    <w:rsid w:val="00F226A6"/>
    <w:rsid w:val="00F22B93"/>
    <w:rsid w:val="00F22C94"/>
    <w:rsid w:val="00F22E0F"/>
    <w:rsid w:val="00F22E63"/>
    <w:rsid w:val="00F22F37"/>
    <w:rsid w:val="00F22F4B"/>
    <w:rsid w:val="00F23030"/>
    <w:rsid w:val="00F236A9"/>
    <w:rsid w:val="00F23977"/>
    <w:rsid w:val="00F23C60"/>
    <w:rsid w:val="00F24033"/>
    <w:rsid w:val="00F241FD"/>
    <w:rsid w:val="00F2458C"/>
    <w:rsid w:val="00F247FA"/>
    <w:rsid w:val="00F24AF0"/>
    <w:rsid w:val="00F24BDD"/>
    <w:rsid w:val="00F24DD1"/>
    <w:rsid w:val="00F24E8D"/>
    <w:rsid w:val="00F24EB7"/>
    <w:rsid w:val="00F24F41"/>
    <w:rsid w:val="00F25580"/>
    <w:rsid w:val="00F2559A"/>
    <w:rsid w:val="00F256D2"/>
    <w:rsid w:val="00F257C9"/>
    <w:rsid w:val="00F258A5"/>
    <w:rsid w:val="00F26349"/>
    <w:rsid w:val="00F263B1"/>
    <w:rsid w:val="00F26503"/>
    <w:rsid w:val="00F26A5A"/>
    <w:rsid w:val="00F26AF6"/>
    <w:rsid w:val="00F26C7A"/>
    <w:rsid w:val="00F26CAB"/>
    <w:rsid w:val="00F26D3C"/>
    <w:rsid w:val="00F2705C"/>
    <w:rsid w:val="00F274A0"/>
    <w:rsid w:val="00F27650"/>
    <w:rsid w:val="00F278BE"/>
    <w:rsid w:val="00F2799F"/>
    <w:rsid w:val="00F27AA4"/>
    <w:rsid w:val="00F27BBF"/>
    <w:rsid w:val="00F27CFE"/>
    <w:rsid w:val="00F27E73"/>
    <w:rsid w:val="00F27E7E"/>
    <w:rsid w:val="00F30245"/>
    <w:rsid w:val="00F304A0"/>
    <w:rsid w:val="00F3083A"/>
    <w:rsid w:val="00F30929"/>
    <w:rsid w:val="00F30AF2"/>
    <w:rsid w:val="00F31206"/>
    <w:rsid w:val="00F31947"/>
    <w:rsid w:val="00F31E19"/>
    <w:rsid w:val="00F32150"/>
    <w:rsid w:val="00F32429"/>
    <w:rsid w:val="00F326C0"/>
    <w:rsid w:val="00F32A28"/>
    <w:rsid w:val="00F32DEF"/>
    <w:rsid w:val="00F32EE6"/>
    <w:rsid w:val="00F33047"/>
    <w:rsid w:val="00F33696"/>
    <w:rsid w:val="00F33C43"/>
    <w:rsid w:val="00F33ECB"/>
    <w:rsid w:val="00F3408A"/>
    <w:rsid w:val="00F34221"/>
    <w:rsid w:val="00F343A3"/>
    <w:rsid w:val="00F34DE0"/>
    <w:rsid w:val="00F34E23"/>
    <w:rsid w:val="00F351B3"/>
    <w:rsid w:val="00F3549F"/>
    <w:rsid w:val="00F3636D"/>
    <w:rsid w:val="00F36420"/>
    <w:rsid w:val="00F36553"/>
    <w:rsid w:val="00F36793"/>
    <w:rsid w:val="00F3691D"/>
    <w:rsid w:val="00F37007"/>
    <w:rsid w:val="00F370FE"/>
    <w:rsid w:val="00F37634"/>
    <w:rsid w:val="00F3765D"/>
    <w:rsid w:val="00F37974"/>
    <w:rsid w:val="00F3799D"/>
    <w:rsid w:val="00F37B9D"/>
    <w:rsid w:val="00F37C4F"/>
    <w:rsid w:val="00F37C79"/>
    <w:rsid w:val="00F37E24"/>
    <w:rsid w:val="00F4044C"/>
    <w:rsid w:val="00F40639"/>
    <w:rsid w:val="00F409B3"/>
    <w:rsid w:val="00F40F6F"/>
    <w:rsid w:val="00F4154C"/>
    <w:rsid w:val="00F41554"/>
    <w:rsid w:val="00F41780"/>
    <w:rsid w:val="00F41B95"/>
    <w:rsid w:val="00F42CC8"/>
    <w:rsid w:val="00F42FD1"/>
    <w:rsid w:val="00F432C8"/>
    <w:rsid w:val="00F433CD"/>
    <w:rsid w:val="00F4354C"/>
    <w:rsid w:val="00F43741"/>
    <w:rsid w:val="00F44A54"/>
    <w:rsid w:val="00F44B47"/>
    <w:rsid w:val="00F44D52"/>
    <w:rsid w:val="00F45171"/>
    <w:rsid w:val="00F452FC"/>
    <w:rsid w:val="00F4540C"/>
    <w:rsid w:val="00F454A4"/>
    <w:rsid w:val="00F455B9"/>
    <w:rsid w:val="00F45F9F"/>
    <w:rsid w:val="00F460F9"/>
    <w:rsid w:val="00F46615"/>
    <w:rsid w:val="00F46662"/>
    <w:rsid w:val="00F46A91"/>
    <w:rsid w:val="00F46EDA"/>
    <w:rsid w:val="00F46F6D"/>
    <w:rsid w:val="00F47207"/>
    <w:rsid w:val="00F47576"/>
    <w:rsid w:val="00F475BB"/>
    <w:rsid w:val="00F476BF"/>
    <w:rsid w:val="00F476DF"/>
    <w:rsid w:val="00F47877"/>
    <w:rsid w:val="00F47ACC"/>
    <w:rsid w:val="00F500FC"/>
    <w:rsid w:val="00F50284"/>
    <w:rsid w:val="00F503FD"/>
    <w:rsid w:val="00F50B69"/>
    <w:rsid w:val="00F50F3C"/>
    <w:rsid w:val="00F51049"/>
    <w:rsid w:val="00F5106F"/>
    <w:rsid w:val="00F5185A"/>
    <w:rsid w:val="00F51AFF"/>
    <w:rsid w:val="00F521D6"/>
    <w:rsid w:val="00F52425"/>
    <w:rsid w:val="00F52938"/>
    <w:rsid w:val="00F52A34"/>
    <w:rsid w:val="00F52B1D"/>
    <w:rsid w:val="00F52ED1"/>
    <w:rsid w:val="00F530B7"/>
    <w:rsid w:val="00F532FF"/>
    <w:rsid w:val="00F53395"/>
    <w:rsid w:val="00F535E1"/>
    <w:rsid w:val="00F539BD"/>
    <w:rsid w:val="00F53EFE"/>
    <w:rsid w:val="00F53FD3"/>
    <w:rsid w:val="00F54069"/>
    <w:rsid w:val="00F5439B"/>
    <w:rsid w:val="00F54758"/>
    <w:rsid w:val="00F54826"/>
    <w:rsid w:val="00F54848"/>
    <w:rsid w:val="00F5488B"/>
    <w:rsid w:val="00F548D4"/>
    <w:rsid w:val="00F548F0"/>
    <w:rsid w:val="00F549B0"/>
    <w:rsid w:val="00F54AF7"/>
    <w:rsid w:val="00F54C65"/>
    <w:rsid w:val="00F5524F"/>
    <w:rsid w:val="00F55355"/>
    <w:rsid w:val="00F553C8"/>
    <w:rsid w:val="00F55511"/>
    <w:rsid w:val="00F5576B"/>
    <w:rsid w:val="00F55F76"/>
    <w:rsid w:val="00F5649B"/>
    <w:rsid w:val="00F5668C"/>
    <w:rsid w:val="00F56739"/>
    <w:rsid w:val="00F567E9"/>
    <w:rsid w:val="00F56A1C"/>
    <w:rsid w:val="00F56B4B"/>
    <w:rsid w:val="00F574C0"/>
    <w:rsid w:val="00F57992"/>
    <w:rsid w:val="00F57AFD"/>
    <w:rsid w:val="00F57CAE"/>
    <w:rsid w:val="00F60190"/>
    <w:rsid w:val="00F60615"/>
    <w:rsid w:val="00F60683"/>
    <w:rsid w:val="00F6098C"/>
    <w:rsid w:val="00F60D68"/>
    <w:rsid w:val="00F61520"/>
    <w:rsid w:val="00F61AFB"/>
    <w:rsid w:val="00F61D02"/>
    <w:rsid w:val="00F61DB5"/>
    <w:rsid w:val="00F621E7"/>
    <w:rsid w:val="00F62272"/>
    <w:rsid w:val="00F6294A"/>
    <w:rsid w:val="00F629EF"/>
    <w:rsid w:val="00F62A1B"/>
    <w:rsid w:val="00F62ADB"/>
    <w:rsid w:val="00F62B7A"/>
    <w:rsid w:val="00F63025"/>
    <w:rsid w:val="00F6313D"/>
    <w:rsid w:val="00F635AC"/>
    <w:rsid w:val="00F63B99"/>
    <w:rsid w:val="00F63D61"/>
    <w:rsid w:val="00F640F7"/>
    <w:rsid w:val="00F642E6"/>
    <w:rsid w:val="00F64588"/>
    <w:rsid w:val="00F6477A"/>
    <w:rsid w:val="00F64A0D"/>
    <w:rsid w:val="00F64B9D"/>
    <w:rsid w:val="00F64BDC"/>
    <w:rsid w:val="00F656EC"/>
    <w:rsid w:val="00F65723"/>
    <w:rsid w:val="00F659B0"/>
    <w:rsid w:val="00F659E6"/>
    <w:rsid w:val="00F65A06"/>
    <w:rsid w:val="00F65AD1"/>
    <w:rsid w:val="00F65C2A"/>
    <w:rsid w:val="00F65CCF"/>
    <w:rsid w:val="00F65E67"/>
    <w:rsid w:val="00F65E95"/>
    <w:rsid w:val="00F669B7"/>
    <w:rsid w:val="00F669F6"/>
    <w:rsid w:val="00F66BB6"/>
    <w:rsid w:val="00F66E32"/>
    <w:rsid w:val="00F66E38"/>
    <w:rsid w:val="00F67301"/>
    <w:rsid w:val="00F673EA"/>
    <w:rsid w:val="00F67434"/>
    <w:rsid w:val="00F6773E"/>
    <w:rsid w:val="00F678BF"/>
    <w:rsid w:val="00F67A10"/>
    <w:rsid w:val="00F67BA0"/>
    <w:rsid w:val="00F67C26"/>
    <w:rsid w:val="00F67F5A"/>
    <w:rsid w:val="00F67FF2"/>
    <w:rsid w:val="00F706C9"/>
    <w:rsid w:val="00F70E1F"/>
    <w:rsid w:val="00F70EA2"/>
    <w:rsid w:val="00F70F87"/>
    <w:rsid w:val="00F71084"/>
    <w:rsid w:val="00F71455"/>
    <w:rsid w:val="00F71949"/>
    <w:rsid w:val="00F71BC3"/>
    <w:rsid w:val="00F71BE0"/>
    <w:rsid w:val="00F7209D"/>
    <w:rsid w:val="00F721FE"/>
    <w:rsid w:val="00F72240"/>
    <w:rsid w:val="00F723BA"/>
    <w:rsid w:val="00F72687"/>
    <w:rsid w:val="00F72697"/>
    <w:rsid w:val="00F7289D"/>
    <w:rsid w:val="00F72EF0"/>
    <w:rsid w:val="00F731B3"/>
    <w:rsid w:val="00F73489"/>
    <w:rsid w:val="00F734B2"/>
    <w:rsid w:val="00F739C2"/>
    <w:rsid w:val="00F73D15"/>
    <w:rsid w:val="00F74175"/>
    <w:rsid w:val="00F74276"/>
    <w:rsid w:val="00F748EB"/>
    <w:rsid w:val="00F74BF3"/>
    <w:rsid w:val="00F74DF3"/>
    <w:rsid w:val="00F74F23"/>
    <w:rsid w:val="00F75097"/>
    <w:rsid w:val="00F75214"/>
    <w:rsid w:val="00F7561F"/>
    <w:rsid w:val="00F756DE"/>
    <w:rsid w:val="00F75707"/>
    <w:rsid w:val="00F757A4"/>
    <w:rsid w:val="00F75D6A"/>
    <w:rsid w:val="00F75ED5"/>
    <w:rsid w:val="00F75F37"/>
    <w:rsid w:val="00F762D4"/>
    <w:rsid w:val="00F762DF"/>
    <w:rsid w:val="00F76792"/>
    <w:rsid w:val="00F768B8"/>
    <w:rsid w:val="00F769D4"/>
    <w:rsid w:val="00F76B4A"/>
    <w:rsid w:val="00F76C93"/>
    <w:rsid w:val="00F76CD5"/>
    <w:rsid w:val="00F76CE8"/>
    <w:rsid w:val="00F77293"/>
    <w:rsid w:val="00F773BB"/>
    <w:rsid w:val="00F77584"/>
    <w:rsid w:val="00F777A6"/>
    <w:rsid w:val="00F7781C"/>
    <w:rsid w:val="00F778C6"/>
    <w:rsid w:val="00F77C5B"/>
    <w:rsid w:val="00F77EC4"/>
    <w:rsid w:val="00F77EDF"/>
    <w:rsid w:val="00F77EE0"/>
    <w:rsid w:val="00F80180"/>
    <w:rsid w:val="00F801C5"/>
    <w:rsid w:val="00F80555"/>
    <w:rsid w:val="00F81002"/>
    <w:rsid w:val="00F8125B"/>
    <w:rsid w:val="00F813E2"/>
    <w:rsid w:val="00F81781"/>
    <w:rsid w:val="00F818D7"/>
    <w:rsid w:val="00F81BCE"/>
    <w:rsid w:val="00F81EC2"/>
    <w:rsid w:val="00F82325"/>
    <w:rsid w:val="00F8253F"/>
    <w:rsid w:val="00F82628"/>
    <w:rsid w:val="00F829D9"/>
    <w:rsid w:val="00F82B9D"/>
    <w:rsid w:val="00F82BE9"/>
    <w:rsid w:val="00F82DB8"/>
    <w:rsid w:val="00F82FE6"/>
    <w:rsid w:val="00F83550"/>
    <w:rsid w:val="00F836DE"/>
    <w:rsid w:val="00F8373F"/>
    <w:rsid w:val="00F839B5"/>
    <w:rsid w:val="00F83BBF"/>
    <w:rsid w:val="00F83C68"/>
    <w:rsid w:val="00F83F28"/>
    <w:rsid w:val="00F83FC0"/>
    <w:rsid w:val="00F84169"/>
    <w:rsid w:val="00F843CA"/>
    <w:rsid w:val="00F84413"/>
    <w:rsid w:val="00F84576"/>
    <w:rsid w:val="00F84A05"/>
    <w:rsid w:val="00F84B8B"/>
    <w:rsid w:val="00F84DBE"/>
    <w:rsid w:val="00F85041"/>
    <w:rsid w:val="00F85277"/>
    <w:rsid w:val="00F8527B"/>
    <w:rsid w:val="00F85286"/>
    <w:rsid w:val="00F85DAB"/>
    <w:rsid w:val="00F86253"/>
    <w:rsid w:val="00F8661C"/>
    <w:rsid w:val="00F869DD"/>
    <w:rsid w:val="00F86C03"/>
    <w:rsid w:val="00F87100"/>
    <w:rsid w:val="00F8710B"/>
    <w:rsid w:val="00F8745C"/>
    <w:rsid w:val="00F877BD"/>
    <w:rsid w:val="00F90A72"/>
    <w:rsid w:val="00F90C71"/>
    <w:rsid w:val="00F91533"/>
    <w:rsid w:val="00F91BB1"/>
    <w:rsid w:val="00F91C5C"/>
    <w:rsid w:val="00F91C63"/>
    <w:rsid w:val="00F9233A"/>
    <w:rsid w:val="00F92D80"/>
    <w:rsid w:val="00F93598"/>
    <w:rsid w:val="00F935CE"/>
    <w:rsid w:val="00F9374D"/>
    <w:rsid w:val="00F93C89"/>
    <w:rsid w:val="00F93F56"/>
    <w:rsid w:val="00F942CF"/>
    <w:rsid w:val="00F94318"/>
    <w:rsid w:val="00F944C5"/>
    <w:rsid w:val="00F944E1"/>
    <w:rsid w:val="00F949B1"/>
    <w:rsid w:val="00F94D20"/>
    <w:rsid w:val="00F9502D"/>
    <w:rsid w:val="00F9509D"/>
    <w:rsid w:val="00F95357"/>
    <w:rsid w:val="00F953BE"/>
    <w:rsid w:val="00F95509"/>
    <w:rsid w:val="00F958B2"/>
    <w:rsid w:val="00F96399"/>
    <w:rsid w:val="00F9682F"/>
    <w:rsid w:val="00F968BD"/>
    <w:rsid w:val="00F96B15"/>
    <w:rsid w:val="00F96BB4"/>
    <w:rsid w:val="00F96BFB"/>
    <w:rsid w:val="00F96EFB"/>
    <w:rsid w:val="00F9715B"/>
    <w:rsid w:val="00F97374"/>
    <w:rsid w:val="00F97C60"/>
    <w:rsid w:val="00FA0267"/>
    <w:rsid w:val="00FA0506"/>
    <w:rsid w:val="00FA0599"/>
    <w:rsid w:val="00FA06E5"/>
    <w:rsid w:val="00FA0F64"/>
    <w:rsid w:val="00FA0FFF"/>
    <w:rsid w:val="00FA13AC"/>
    <w:rsid w:val="00FA154E"/>
    <w:rsid w:val="00FA155A"/>
    <w:rsid w:val="00FA19BD"/>
    <w:rsid w:val="00FA1D0E"/>
    <w:rsid w:val="00FA2093"/>
    <w:rsid w:val="00FA2172"/>
    <w:rsid w:val="00FA2917"/>
    <w:rsid w:val="00FA2A49"/>
    <w:rsid w:val="00FA2C5B"/>
    <w:rsid w:val="00FA2E75"/>
    <w:rsid w:val="00FA344D"/>
    <w:rsid w:val="00FA345B"/>
    <w:rsid w:val="00FA34A4"/>
    <w:rsid w:val="00FA3514"/>
    <w:rsid w:val="00FA3A0E"/>
    <w:rsid w:val="00FA45F5"/>
    <w:rsid w:val="00FA4CFA"/>
    <w:rsid w:val="00FA4E37"/>
    <w:rsid w:val="00FA51BE"/>
    <w:rsid w:val="00FA5581"/>
    <w:rsid w:val="00FA5AA5"/>
    <w:rsid w:val="00FA6050"/>
    <w:rsid w:val="00FA63D2"/>
    <w:rsid w:val="00FA6546"/>
    <w:rsid w:val="00FA682A"/>
    <w:rsid w:val="00FA6D62"/>
    <w:rsid w:val="00FA74AD"/>
    <w:rsid w:val="00FA7590"/>
    <w:rsid w:val="00FA77F1"/>
    <w:rsid w:val="00FA78F7"/>
    <w:rsid w:val="00FA7AB5"/>
    <w:rsid w:val="00FB026F"/>
    <w:rsid w:val="00FB02EB"/>
    <w:rsid w:val="00FB04E0"/>
    <w:rsid w:val="00FB0984"/>
    <w:rsid w:val="00FB14F4"/>
    <w:rsid w:val="00FB1780"/>
    <w:rsid w:val="00FB18B4"/>
    <w:rsid w:val="00FB19E1"/>
    <w:rsid w:val="00FB1B73"/>
    <w:rsid w:val="00FB1D4B"/>
    <w:rsid w:val="00FB1D74"/>
    <w:rsid w:val="00FB1DFF"/>
    <w:rsid w:val="00FB268B"/>
    <w:rsid w:val="00FB26BA"/>
    <w:rsid w:val="00FB28D4"/>
    <w:rsid w:val="00FB28E8"/>
    <w:rsid w:val="00FB2EE4"/>
    <w:rsid w:val="00FB331C"/>
    <w:rsid w:val="00FB33E0"/>
    <w:rsid w:val="00FB34F4"/>
    <w:rsid w:val="00FB3681"/>
    <w:rsid w:val="00FB3A79"/>
    <w:rsid w:val="00FB3CC6"/>
    <w:rsid w:val="00FB3F45"/>
    <w:rsid w:val="00FB428C"/>
    <w:rsid w:val="00FB44DE"/>
    <w:rsid w:val="00FB45D6"/>
    <w:rsid w:val="00FB47A1"/>
    <w:rsid w:val="00FB4F35"/>
    <w:rsid w:val="00FB4F61"/>
    <w:rsid w:val="00FB5031"/>
    <w:rsid w:val="00FB52A8"/>
    <w:rsid w:val="00FB52E8"/>
    <w:rsid w:val="00FB5604"/>
    <w:rsid w:val="00FB5ACC"/>
    <w:rsid w:val="00FB5BA6"/>
    <w:rsid w:val="00FB5BC5"/>
    <w:rsid w:val="00FB66D9"/>
    <w:rsid w:val="00FB6905"/>
    <w:rsid w:val="00FB69D1"/>
    <w:rsid w:val="00FB69F5"/>
    <w:rsid w:val="00FB6BA7"/>
    <w:rsid w:val="00FB6C34"/>
    <w:rsid w:val="00FB6D9D"/>
    <w:rsid w:val="00FB7520"/>
    <w:rsid w:val="00FB757F"/>
    <w:rsid w:val="00FB7604"/>
    <w:rsid w:val="00FB763C"/>
    <w:rsid w:val="00FB76DD"/>
    <w:rsid w:val="00FC0031"/>
    <w:rsid w:val="00FC009D"/>
    <w:rsid w:val="00FC01EE"/>
    <w:rsid w:val="00FC02FD"/>
    <w:rsid w:val="00FC039D"/>
    <w:rsid w:val="00FC03B8"/>
    <w:rsid w:val="00FC08DC"/>
    <w:rsid w:val="00FC0F57"/>
    <w:rsid w:val="00FC0F59"/>
    <w:rsid w:val="00FC1072"/>
    <w:rsid w:val="00FC13BA"/>
    <w:rsid w:val="00FC1FC8"/>
    <w:rsid w:val="00FC2146"/>
    <w:rsid w:val="00FC2C0A"/>
    <w:rsid w:val="00FC2CC4"/>
    <w:rsid w:val="00FC2F67"/>
    <w:rsid w:val="00FC3112"/>
    <w:rsid w:val="00FC3160"/>
    <w:rsid w:val="00FC33E5"/>
    <w:rsid w:val="00FC346C"/>
    <w:rsid w:val="00FC3707"/>
    <w:rsid w:val="00FC393C"/>
    <w:rsid w:val="00FC3A53"/>
    <w:rsid w:val="00FC3DC5"/>
    <w:rsid w:val="00FC42CB"/>
    <w:rsid w:val="00FC435B"/>
    <w:rsid w:val="00FC4392"/>
    <w:rsid w:val="00FC45D1"/>
    <w:rsid w:val="00FC46CE"/>
    <w:rsid w:val="00FC46F8"/>
    <w:rsid w:val="00FC498E"/>
    <w:rsid w:val="00FC49E6"/>
    <w:rsid w:val="00FC49EC"/>
    <w:rsid w:val="00FC4CBD"/>
    <w:rsid w:val="00FC4D0E"/>
    <w:rsid w:val="00FC50F3"/>
    <w:rsid w:val="00FC52B4"/>
    <w:rsid w:val="00FC5538"/>
    <w:rsid w:val="00FC575F"/>
    <w:rsid w:val="00FC5774"/>
    <w:rsid w:val="00FC5D80"/>
    <w:rsid w:val="00FC5E4A"/>
    <w:rsid w:val="00FC6180"/>
    <w:rsid w:val="00FC61DA"/>
    <w:rsid w:val="00FC62B1"/>
    <w:rsid w:val="00FC637F"/>
    <w:rsid w:val="00FC6516"/>
    <w:rsid w:val="00FC6535"/>
    <w:rsid w:val="00FC65E2"/>
    <w:rsid w:val="00FC6641"/>
    <w:rsid w:val="00FC68C7"/>
    <w:rsid w:val="00FC6A1F"/>
    <w:rsid w:val="00FC7638"/>
    <w:rsid w:val="00FD022F"/>
    <w:rsid w:val="00FD02A1"/>
    <w:rsid w:val="00FD0447"/>
    <w:rsid w:val="00FD051F"/>
    <w:rsid w:val="00FD0A27"/>
    <w:rsid w:val="00FD0BDF"/>
    <w:rsid w:val="00FD0C97"/>
    <w:rsid w:val="00FD0DE2"/>
    <w:rsid w:val="00FD1367"/>
    <w:rsid w:val="00FD1544"/>
    <w:rsid w:val="00FD173F"/>
    <w:rsid w:val="00FD1806"/>
    <w:rsid w:val="00FD1C5D"/>
    <w:rsid w:val="00FD2200"/>
    <w:rsid w:val="00FD25F9"/>
    <w:rsid w:val="00FD26BC"/>
    <w:rsid w:val="00FD3D16"/>
    <w:rsid w:val="00FD3D4D"/>
    <w:rsid w:val="00FD43FC"/>
    <w:rsid w:val="00FD4571"/>
    <w:rsid w:val="00FD4B72"/>
    <w:rsid w:val="00FD53B2"/>
    <w:rsid w:val="00FD5515"/>
    <w:rsid w:val="00FD58CC"/>
    <w:rsid w:val="00FD5CBC"/>
    <w:rsid w:val="00FD5E62"/>
    <w:rsid w:val="00FD6346"/>
    <w:rsid w:val="00FD637D"/>
    <w:rsid w:val="00FD6D6B"/>
    <w:rsid w:val="00FD7052"/>
    <w:rsid w:val="00FD7166"/>
    <w:rsid w:val="00FD72EC"/>
    <w:rsid w:val="00FD74DA"/>
    <w:rsid w:val="00FD7FC6"/>
    <w:rsid w:val="00FE02CF"/>
    <w:rsid w:val="00FE06A5"/>
    <w:rsid w:val="00FE088A"/>
    <w:rsid w:val="00FE1012"/>
    <w:rsid w:val="00FE105B"/>
    <w:rsid w:val="00FE15D7"/>
    <w:rsid w:val="00FE1AF4"/>
    <w:rsid w:val="00FE2192"/>
    <w:rsid w:val="00FE265E"/>
    <w:rsid w:val="00FE26EE"/>
    <w:rsid w:val="00FE2CA9"/>
    <w:rsid w:val="00FE30C0"/>
    <w:rsid w:val="00FE32B9"/>
    <w:rsid w:val="00FE37F7"/>
    <w:rsid w:val="00FE38D0"/>
    <w:rsid w:val="00FE3E0C"/>
    <w:rsid w:val="00FE41CC"/>
    <w:rsid w:val="00FE41F4"/>
    <w:rsid w:val="00FE430D"/>
    <w:rsid w:val="00FE4313"/>
    <w:rsid w:val="00FE459D"/>
    <w:rsid w:val="00FE4654"/>
    <w:rsid w:val="00FE47BC"/>
    <w:rsid w:val="00FE4ADE"/>
    <w:rsid w:val="00FE4B26"/>
    <w:rsid w:val="00FE4BD0"/>
    <w:rsid w:val="00FE4DC2"/>
    <w:rsid w:val="00FE51E6"/>
    <w:rsid w:val="00FE552B"/>
    <w:rsid w:val="00FE571D"/>
    <w:rsid w:val="00FE5FB2"/>
    <w:rsid w:val="00FE6098"/>
    <w:rsid w:val="00FE60ED"/>
    <w:rsid w:val="00FE65DB"/>
    <w:rsid w:val="00FE6878"/>
    <w:rsid w:val="00FE6DEA"/>
    <w:rsid w:val="00FE74AF"/>
    <w:rsid w:val="00FE74D2"/>
    <w:rsid w:val="00FE7851"/>
    <w:rsid w:val="00FE7F1F"/>
    <w:rsid w:val="00FF025C"/>
    <w:rsid w:val="00FF052B"/>
    <w:rsid w:val="00FF05AC"/>
    <w:rsid w:val="00FF068B"/>
    <w:rsid w:val="00FF0696"/>
    <w:rsid w:val="00FF06EA"/>
    <w:rsid w:val="00FF0A8D"/>
    <w:rsid w:val="00FF0F98"/>
    <w:rsid w:val="00FF10A0"/>
    <w:rsid w:val="00FF1107"/>
    <w:rsid w:val="00FF1B8F"/>
    <w:rsid w:val="00FF1EAC"/>
    <w:rsid w:val="00FF1F66"/>
    <w:rsid w:val="00FF2778"/>
    <w:rsid w:val="00FF302F"/>
    <w:rsid w:val="00FF30F1"/>
    <w:rsid w:val="00FF3116"/>
    <w:rsid w:val="00FF33D8"/>
    <w:rsid w:val="00FF37EC"/>
    <w:rsid w:val="00FF396C"/>
    <w:rsid w:val="00FF39CB"/>
    <w:rsid w:val="00FF3F52"/>
    <w:rsid w:val="00FF4173"/>
    <w:rsid w:val="00FF42AF"/>
    <w:rsid w:val="00FF44DE"/>
    <w:rsid w:val="00FF4902"/>
    <w:rsid w:val="00FF4C94"/>
    <w:rsid w:val="00FF5676"/>
    <w:rsid w:val="00FF5959"/>
    <w:rsid w:val="00FF5BE0"/>
    <w:rsid w:val="00FF5C50"/>
    <w:rsid w:val="00FF5DF9"/>
    <w:rsid w:val="00FF648F"/>
    <w:rsid w:val="00FF695D"/>
    <w:rsid w:val="00FF6D98"/>
    <w:rsid w:val="00FF6F9E"/>
    <w:rsid w:val="00FF714F"/>
    <w:rsid w:val="00FF7500"/>
    <w:rsid w:val="00FF751A"/>
    <w:rsid w:val="00FF7537"/>
    <w:rsid w:val="00FF794B"/>
    <w:rsid w:val="00FF7C70"/>
    <w:rsid w:val="00FF7D28"/>
    <w:rsid w:val="00FF7F63"/>
    <w:rsid w:val="00FF7F6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2E9A10"/>
  <w15:docId w15:val="{C2FD592D-AEFD-47F9-816B-911C861C8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00FA"/>
    <w:pPr>
      <w:spacing w:after="240" w:line="360" w:lineRule="auto"/>
    </w:pPr>
  </w:style>
  <w:style w:type="paragraph" w:styleId="Heading1">
    <w:name w:val="heading 1"/>
    <w:basedOn w:val="Normal"/>
    <w:next w:val="Normal"/>
    <w:link w:val="Heading1Char"/>
    <w:uiPriority w:val="9"/>
    <w:qFormat/>
    <w:rsid w:val="00D55BAF"/>
    <w:pPr>
      <w:tabs>
        <w:tab w:val="center" w:pos="4680"/>
        <w:tab w:val="right" w:pos="9360"/>
      </w:tabs>
      <w:spacing w:before="480" w:after="0"/>
      <w:contextualSpacing/>
      <w:jc w:val="center"/>
      <w:outlineLvl w:val="0"/>
    </w:pPr>
    <w:rPr>
      <w:rFonts w:eastAsiaTheme="majorEastAsia" w:cstheme="minorHAnsi"/>
      <w:b/>
      <w:bCs/>
      <w:sz w:val="28"/>
      <w:szCs w:val="28"/>
    </w:rPr>
  </w:style>
  <w:style w:type="paragraph" w:styleId="Heading2">
    <w:name w:val="heading 2"/>
    <w:basedOn w:val="Normal"/>
    <w:next w:val="Normal"/>
    <w:link w:val="Heading2Char"/>
    <w:uiPriority w:val="9"/>
    <w:unhideWhenUsed/>
    <w:qFormat/>
    <w:rsid w:val="00D55BAF"/>
    <w:pPr>
      <w:tabs>
        <w:tab w:val="right" w:pos="9360"/>
      </w:tabs>
      <w:spacing w:before="200" w:after="120" w:line="480" w:lineRule="auto"/>
      <w:outlineLvl w:val="1"/>
    </w:pPr>
    <w:rPr>
      <w:rFonts w:eastAsiaTheme="majorEastAsia" w:cstheme="minorHAnsi"/>
      <w:b/>
      <w:bCs/>
      <w:sz w:val="26"/>
      <w:szCs w:val="26"/>
    </w:rPr>
  </w:style>
  <w:style w:type="paragraph" w:styleId="Heading3">
    <w:name w:val="heading 3"/>
    <w:basedOn w:val="Normal"/>
    <w:next w:val="Normal"/>
    <w:link w:val="Heading3Char"/>
    <w:uiPriority w:val="9"/>
    <w:unhideWhenUsed/>
    <w:qFormat/>
    <w:rsid w:val="00D55BAF"/>
    <w:pPr>
      <w:spacing w:before="120" w:after="120" w:line="480" w:lineRule="auto"/>
      <w:outlineLvl w:val="2"/>
    </w:pPr>
    <w:rPr>
      <w:rFonts w:eastAsiaTheme="majorEastAsia" w:cstheme="minorHAnsi"/>
      <w:b/>
      <w:bCs/>
    </w:rPr>
  </w:style>
  <w:style w:type="paragraph" w:styleId="Heading4">
    <w:name w:val="heading 4"/>
    <w:basedOn w:val="Normal"/>
    <w:next w:val="Normal"/>
    <w:link w:val="Heading4Char"/>
    <w:uiPriority w:val="9"/>
    <w:unhideWhenUsed/>
    <w:qFormat/>
    <w:rsid w:val="007C0309"/>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1700FA"/>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1700FA"/>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1700FA"/>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1700FA"/>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1700FA"/>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0FA"/>
    <w:pPr>
      <w:ind w:left="720"/>
      <w:contextualSpacing/>
    </w:pPr>
  </w:style>
  <w:style w:type="paragraph" w:styleId="BalloonText">
    <w:name w:val="Balloon Text"/>
    <w:basedOn w:val="Normal"/>
    <w:link w:val="BalloonTextChar"/>
    <w:uiPriority w:val="99"/>
    <w:semiHidden/>
    <w:unhideWhenUsed/>
    <w:rsid w:val="00AB07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07F7"/>
    <w:rPr>
      <w:rFonts w:ascii="Tahoma" w:hAnsi="Tahoma" w:cs="Tahoma"/>
      <w:sz w:val="16"/>
      <w:szCs w:val="16"/>
    </w:rPr>
  </w:style>
  <w:style w:type="table" w:styleId="TableGrid">
    <w:name w:val="Table Grid"/>
    <w:basedOn w:val="TableNormal"/>
    <w:uiPriority w:val="59"/>
    <w:rsid w:val="003677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3677E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5">
    <w:name w:val="Light List Accent 5"/>
    <w:basedOn w:val="TableNormal"/>
    <w:uiPriority w:val="61"/>
    <w:rsid w:val="00A179D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Heading1Char">
    <w:name w:val="Heading 1 Char"/>
    <w:basedOn w:val="DefaultParagraphFont"/>
    <w:link w:val="Heading1"/>
    <w:uiPriority w:val="9"/>
    <w:rsid w:val="00D55BAF"/>
    <w:rPr>
      <w:rFonts w:eastAsiaTheme="majorEastAsia" w:cstheme="minorHAnsi"/>
      <w:b/>
      <w:bCs/>
      <w:sz w:val="28"/>
      <w:szCs w:val="28"/>
    </w:rPr>
  </w:style>
  <w:style w:type="character" w:customStyle="1" w:styleId="Heading2Char">
    <w:name w:val="Heading 2 Char"/>
    <w:basedOn w:val="DefaultParagraphFont"/>
    <w:link w:val="Heading2"/>
    <w:uiPriority w:val="9"/>
    <w:rsid w:val="00D55BAF"/>
    <w:rPr>
      <w:rFonts w:eastAsiaTheme="majorEastAsia" w:cstheme="minorHAnsi"/>
      <w:b/>
      <w:bCs/>
      <w:sz w:val="26"/>
      <w:szCs w:val="26"/>
    </w:rPr>
  </w:style>
  <w:style w:type="character" w:customStyle="1" w:styleId="Heading3Char">
    <w:name w:val="Heading 3 Char"/>
    <w:basedOn w:val="DefaultParagraphFont"/>
    <w:link w:val="Heading3"/>
    <w:uiPriority w:val="9"/>
    <w:rsid w:val="00D55BAF"/>
    <w:rPr>
      <w:rFonts w:eastAsiaTheme="majorEastAsia" w:cstheme="minorHAnsi"/>
      <w:b/>
      <w:bCs/>
    </w:rPr>
  </w:style>
  <w:style w:type="character" w:customStyle="1" w:styleId="Heading4Char">
    <w:name w:val="Heading 4 Char"/>
    <w:basedOn w:val="DefaultParagraphFont"/>
    <w:link w:val="Heading4"/>
    <w:uiPriority w:val="9"/>
    <w:rsid w:val="007C0309"/>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1700FA"/>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1700FA"/>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1700FA"/>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1700FA"/>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1700FA"/>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1700FA"/>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1700FA"/>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1700FA"/>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1700FA"/>
    <w:rPr>
      <w:rFonts w:asciiTheme="majorHAnsi" w:eastAsiaTheme="majorEastAsia" w:hAnsiTheme="majorHAnsi" w:cstheme="majorBidi"/>
      <w:i/>
      <w:iCs/>
      <w:spacing w:val="13"/>
      <w:sz w:val="24"/>
      <w:szCs w:val="24"/>
    </w:rPr>
  </w:style>
  <w:style w:type="character" w:styleId="Strong">
    <w:name w:val="Strong"/>
    <w:uiPriority w:val="22"/>
    <w:qFormat/>
    <w:rsid w:val="001700FA"/>
    <w:rPr>
      <w:b/>
      <w:bCs/>
    </w:rPr>
  </w:style>
  <w:style w:type="character" w:styleId="Emphasis">
    <w:name w:val="Emphasis"/>
    <w:uiPriority w:val="20"/>
    <w:qFormat/>
    <w:rsid w:val="001700FA"/>
    <w:rPr>
      <w:b/>
      <w:bCs/>
      <w:i/>
      <w:iCs/>
      <w:spacing w:val="10"/>
      <w:bdr w:val="none" w:sz="0" w:space="0" w:color="auto"/>
      <w:shd w:val="clear" w:color="auto" w:fill="auto"/>
    </w:rPr>
  </w:style>
  <w:style w:type="paragraph" w:styleId="NoSpacing">
    <w:name w:val="No Spacing"/>
    <w:basedOn w:val="Normal"/>
    <w:uiPriority w:val="1"/>
    <w:qFormat/>
    <w:rsid w:val="001700FA"/>
    <w:pPr>
      <w:spacing w:after="0" w:line="240" w:lineRule="auto"/>
    </w:pPr>
  </w:style>
  <w:style w:type="paragraph" w:styleId="Quote">
    <w:name w:val="Quote"/>
    <w:basedOn w:val="Normal"/>
    <w:next w:val="Normal"/>
    <w:link w:val="QuoteChar"/>
    <w:uiPriority w:val="29"/>
    <w:qFormat/>
    <w:rsid w:val="001700FA"/>
    <w:pPr>
      <w:spacing w:before="200" w:after="0"/>
      <w:ind w:left="360" w:right="360"/>
    </w:pPr>
    <w:rPr>
      <w:i/>
      <w:iCs/>
    </w:rPr>
  </w:style>
  <w:style w:type="character" w:customStyle="1" w:styleId="QuoteChar">
    <w:name w:val="Quote Char"/>
    <w:basedOn w:val="DefaultParagraphFont"/>
    <w:link w:val="Quote"/>
    <w:uiPriority w:val="29"/>
    <w:rsid w:val="001700FA"/>
    <w:rPr>
      <w:i/>
      <w:iCs/>
    </w:rPr>
  </w:style>
  <w:style w:type="paragraph" w:styleId="IntenseQuote">
    <w:name w:val="Intense Quote"/>
    <w:basedOn w:val="Normal"/>
    <w:next w:val="Normal"/>
    <w:link w:val="IntenseQuoteChar"/>
    <w:uiPriority w:val="30"/>
    <w:qFormat/>
    <w:rsid w:val="001700FA"/>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1700FA"/>
    <w:rPr>
      <w:b/>
      <w:bCs/>
      <w:i/>
      <w:iCs/>
    </w:rPr>
  </w:style>
  <w:style w:type="character" w:styleId="SubtleEmphasis">
    <w:name w:val="Subtle Emphasis"/>
    <w:uiPriority w:val="19"/>
    <w:qFormat/>
    <w:rsid w:val="001700FA"/>
    <w:rPr>
      <w:i/>
      <w:iCs/>
    </w:rPr>
  </w:style>
  <w:style w:type="character" w:styleId="IntenseEmphasis">
    <w:name w:val="Intense Emphasis"/>
    <w:uiPriority w:val="21"/>
    <w:qFormat/>
    <w:rsid w:val="001700FA"/>
    <w:rPr>
      <w:b/>
      <w:bCs/>
    </w:rPr>
  </w:style>
  <w:style w:type="character" w:styleId="SubtleReference">
    <w:name w:val="Subtle Reference"/>
    <w:uiPriority w:val="31"/>
    <w:qFormat/>
    <w:rsid w:val="001700FA"/>
    <w:rPr>
      <w:smallCaps/>
    </w:rPr>
  </w:style>
  <w:style w:type="character" w:styleId="IntenseReference">
    <w:name w:val="Intense Reference"/>
    <w:uiPriority w:val="32"/>
    <w:qFormat/>
    <w:rsid w:val="001700FA"/>
    <w:rPr>
      <w:smallCaps/>
      <w:spacing w:val="5"/>
      <w:u w:val="single"/>
    </w:rPr>
  </w:style>
  <w:style w:type="character" w:styleId="BookTitle">
    <w:name w:val="Book Title"/>
    <w:uiPriority w:val="33"/>
    <w:qFormat/>
    <w:rsid w:val="001700FA"/>
    <w:rPr>
      <w:i/>
      <w:iCs/>
      <w:smallCaps/>
      <w:spacing w:val="5"/>
    </w:rPr>
  </w:style>
  <w:style w:type="paragraph" w:styleId="TOCHeading">
    <w:name w:val="TOC Heading"/>
    <w:basedOn w:val="Heading1"/>
    <w:next w:val="Normal"/>
    <w:uiPriority w:val="39"/>
    <w:semiHidden/>
    <w:unhideWhenUsed/>
    <w:qFormat/>
    <w:rsid w:val="001700FA"/>
    <w:pPr>
      <w:outlineLvl w:val="9"/>
    </w:pPr>
    <w:rPr>
      <w:lang w:bidi="en-US"/>
    </w:rPr>
  </w:style>
  <w:style w:type="paragraph" w:styleId="Header">
    <w:name w:val="header"/>
    <w:basedOn w:val="Normal"/>
    <w:link w:val="HeaderChar"/>
    <w:uiPriority w:val="99"/>
    <w:unhideWhenUsed/>
    <w:rsid w:val="007C030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0309"/>
  </w:style>
  <w:style w:type="paragraph" w:styleId="Footer">
    <w:name w:val="footer"/>
    <w:basedOn w:val="Normal"/>
    <w:link w:val="FooterChar"/>
    <w:uiPriority w:val="99"/>
    <w:unhideWhenUsed/>
    <w:rsid w:val="007C03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0309"/>
  </w:style>
  <w:style w:type="paragraph" w:customStyle="1" w:styleId="Tableleft">
    <w:name w:val="Table left"/>
    <w:link w:val="TableleftChar"/>
    <w:qFormat/>
    <w:rsid w:val="000A3E7E"/>
    <w:pPr>
      <w:spacing w:before="20" w:after="20" w:line="240" w:lineRule="auto"/>
    </w:pPr>
    <w:rPr>
      <w:rFonts w:ascii="Calibri" w:eastAsia="Calibri" w:hAnsi="Calibri" w:cstheme="minorHAnsi"/>
      <w:szCs w:val="20"/>
      <w:lang w:eastAsia="en-GB"/>
    </w:rPr>
  </w:style>
  <w:style w:type="paragraph" w:customStyle="1" w:styleId="Tablecentre">
    <w:name w:val="Table centre"/>
    <w:link w:val="TablecentreChar"/>
    <w:qFormat/>
    <w:rsid w:val="000A3E7E"/>
    <w:pPr>
      <w:spacing w:before="20" w:after="20" w:line="240" w:lineRule="auto"/>
      <w:jc w:val="center"/>
    </w:pPr>
    <w:rPr>
      <w:rFonts w:ascii="Calibri" w:eastAsia="Calibri" w:hAnsi="Calibri" w:cstheme="minorHAnsi"/>
      <w:szCs w:val="20"/>
      <w:lang w:eastAsia="en-GB"/>
    </w:rPr>
  </w:style>
  <w:style w:type="character" w:customStyle="1" w:styleId="TableleftChar">
    <w:name w:val="Table left Char"/>
    <w:basedOn w:val="DefaultParagraphFont"/>
    <w:link w:val="Tableleft"/>
    <w:rsid w:val="000A3E7E"/>
    <w:rPr>
      <w:rFonts w:ascii="Calibri" w:eastAsia="Calibri" w:hAnsi="Calibri" w:cstheme="minorHAnsi"/>
      <w:szCs w:val="20"/>
      <w:lang w:eastAsia="en-GB"/>
    </w:rPr>
  </w:style>
  <w:style w:type="paragraph" w:customStyle="1" w:styleId="Tableheading">
    <w:name w:val="Table heading"/>
    <w:basedOn w:val="Tablecentre"/>
    <w:link w:val="TableheadingChar"/>
    <w:qFormat/>
    <w:rsid w:val="000A3E7E"/>
    <w:rPr>
      <w:b/>
    </w:rPr>
  </w:style>
  <w:style w:type="character" w:customStyle="1" w:styleId="TablecentreChar">
    <w:name w:val="Table centre Char"/>
    <w:basedOn w:val="TableleftChar"/>
    <w:link w:val="Tablecentre"/>
    <w:rsid w:val="000A3E7E"/>
    <w:rPr>
      <w:rFonts w:ascii="Calibri" w:eastAsia="Calibri" w:hAnsi="Calibri" w:cstheme="minorHAnsi"/>
      <w:szCs w:val="20"/>
      <w:lang w:eastAsia="en-GB"/>
    </w:rPr>
  </w:style>
  <w:style w:type="character" w:customStyle="1" w:styleId="TableheadingChar">
    <w:name w:val="Table heading Char"/>
    <w:basedOn w:val="TablecentreChar"/>
    <w:link w:val="Tableheading"/>
    <w:rsid w:val="000A3E7E"/>
    <w:rPr>
      <w:rFonts w:ascii="Calibri" w:eastAsia="Calibri" w:hAnsi="Calibri" w:cstheme="minorHAnsi"/>
      <w:b/>
      <w:szCs w:val="20"/>
      <w:lang w:eastAsia="en-GB"/>
    </w:rPr>
  </w:style>
  <w:style w:type="paragraph" w:styleId="DocumentMap">
    <w:name w:val="Document Map"/>
    <w:basedOn w:val="Normal"/>
    <w:link w:val="DocumentMapChar"/>
    <w:uiPriority w:val="99"/>
    <w:semiHidden/>
    <w:unhideWhenUsed/>
    <w:rsid w:val="00F15BEF"/>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15BEF"/>
    <w:rPr>
      <w:rFonts w:ascii="Tahoma" w:hAnsi="Tahoma" w:cs="Tahoma"/>
      <w:sz w:val="16"/>
      <w:szCs w:val="16"/>
    </w:rPr>
  </w:style>
  <w:style w:type="character" w:customStyle="1" w:styleId="apple-converted-space">
    <w:name w:val="apple-converted-space"/>
    <w:basedOn w:val="DefaultParagraphFont"/>
    <w:rsid w:val="003F7BE5"/>
  </w:style>
  <w:style w:type="character" w:styleId="CommentReference">
    <w:name w:val="annotation reference"/>
    <w:basedOn w:val="DefaultParagraphFont"/>
    <w:uiPriority w:val="99"/>
    <w:semiHidden/>
    <w:unhideWhenUsed/>
    <w:rsid w:val="008D030E"/>
    <w:rPr>
      <w:sz w:val="16"/>
      <w:szCs w:val="16"/>
    </w:rPr>
  </w:style>
  <w:style w:type="paragraph" w:styleId="CommentText">
    <w:name w:val="annotation text"/>
    <w:basedOn w:val="Normal"/>
    <w:link w:val="CommentTextChar"/>
    <w:uiPriority w:val="99"/>
    <w:unhideWhenUsed/>
    <w:rsid w:val="008D030E"/>
    <w:pPr>
      <w:spacing w:line="240" w:lineRule="auto"/>
    </w:pPr>
    <w:rPr>
      <w:sz w:val="20"/>
      <w:szCs w:val="20"/>
    </w:rPr>
  </w:style>
  <w:style w:type="character" w:customStyle="1" w:styleId="CommentTextChar">
    <w:name w:val="Comment Text Char"/>
    <w:basedOn w:val="DefaultParagraphFont"/>
    <w:link w:val="CommentText"/>
    <w:uiPriority w:val="99"/>
    <w:rsid w:val="008D030E"/>
    <w:rPr>
      <w:sz w:val="20"/>
      <w:szCs w:val="20"/>
    </w:rPr>
  </w:style>
  <w:style w:type="paragraph" w:styleId="CommentSubject">
    <w:name w:val="annotation subject"/>
    <w:basedOn w:val="CommentText"/>
    <w:next w:val="CommentText"/>
    <w:link w:val="CommentSubjectChar"/>
    <w:uiPriority w:val="99"/>
    <w:semiHidden/>
    <w:unhideWhenUsed/>
    <w:rsid w:val="008D030E"/>
    <w:rPr>
      <w:b/>
      <w:bCs/>
    </w:rPr>
  </w:style>
  <w:style w:type="character" w:customStyle="1" w:styleId="CommentSubjectChar">
    <w:name w:val="Comment Subject Char"/>
    <w:basedOn w:val="CommentTextChar"/>
    <w:link w:val="CommentSubject"/>
    <w:uiPriority w:val="99"/>
    <w:semiHidden/>
    <w:rsid w:val="008D030E"/>
    <w:rPr>
      <w:b/>
      <w:bCs/>
      <w:sz w:val="20"/>
      <w:szCs w:val="20"/>
    </w:rPr>
  </w:style>
  <w:style w:type="character" w:styleId="Hyperlink">
    <w:name w:val="Hyperlink"/>
    <w:basedOn w:val="DefaultParagraphFont"/>
    <w:uiPriority w:val="99"/>
    <w:unhideWhenUsed/>
    <w:rsid w:val="000D4374"/>
    <w:rPr>
      <w:color w:val="0000FF"/>
      <w:u w:val="single"/>
    </w:rPr>
  </w:style>
  <w:style w:type="character" w:customStyle="1" w:styleId="interref">
    <w:name w:val="interref"/>
    <w:basedOn w:val="DefaultParagraphFont"/>
    <w:rsid w:val="000D4374"/>
  </w:style>
  <w:style w:type="paragraph" w:styleId="Bibliography">
    <w:name w:val="Bibliography"/>
    <w:basedOn w:val="Normal"/>
    <w:next w:val="Normal"/>
    <w:uiPriority w:val="37"/>
    <w:unhideWhenUsed/>
    <w:rsid w:val="00C64A2B"/>
    <w:pPr>
      <w:tabs>
        <w:tab w:val="left" w:pos="504"/>
      </w:tabs>
      <w:spacing w:line="240" w:lineRule="auto"/>
      <w:ind w:left="504" w:hanging="504"/>
    </w:pPr>
  </w:style>
  <w:style w:type="paragraph" w:styleId="FootnoteText">
    <w:name w:val="footnote text"/>
    <w:basedOn w:val="Normal"/>
    <w:link w:val="FootnoteTextChar"/>
    <w:uiPriority w:val="99"/>
    <w:semiHidden/>
    <w:unhideWhenUsed/>
    <w:rsid w:val="003F2E2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2E2E"/>
    <w:rPr>
      <w:sz w:val="20"/>
      <w:szCs w:val="20"/>
    </w:rPr>
  </w:style>
  <w:style w:type="character" w:styleId="FootnoteReference">
    <w:name w:val="footnote reference"/>
    <w:basedOn w:val="DefaultParagraphFont"/>
    <w:uiPriority w:val="99"/>
    <w:semiHidden/>
    <w:unhideWhenUsed/>
    <w:rsid w:val="003F2E2E"/>
    <w:rPr>
      <w:vertAlign w:val="superscript"/>
    </w:rPr>
  </w:style>
  <w:style w:type="character" w:styleId="PlaceholderText">
    <w:name w:val="Placeholder Text"/>
    <w:basedOn w:val="DefaultParagraphFont"/>
    <w:uiPriority w:val="99"/>
    <w:semiHidden/>
    <w:rsid w:val="00ED1C29"/>
    <w:rPr>
      <w:color w:val="808080"/>
    </w:rPr>
  </w:style>
  <w:style w:type="paragraph" w:styleId="NormalWeb">
    <w:name w:val="Normal (Web)"/>
    <w:basedOn w:val="Normal"/>
    <w:uiPriority w:val="99"/>
    <w:unhideWhenUsed/>
    <w:rsid w:val="00DA5151"/>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DA5151"/>
    <w:pPr>
      <w:spacing w:after="0" w:line="240" w:lineRule="auto"/>
    </w:pPr>
  </w:style>
  <w:style w:type="paragraph" w:customStyle="1" w:styleId="last">
    <w:name w:val="last"/>
    <w:basedOn w:val="Normal"/>
    <w:rsid w:val="00712D0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TMLCite">
    <w:name w:val="HTML Cite"/>
    <w:basedOn w:val="DefaultParagraphFont"/>
    <w:uiPriority w:val="99"/>
    <w:semiHidden/>
    <w:unhideWhenUsed/>
    <w:rsid w:val="006E14B5"/>
    <w:rPr>
      <w:i/>
      <w:iCs/>
    </w:rPr>
  </w:style>
  <w:style w:type="character" w:customStyle="1" w:styleId="paragraph">
    <w:name w:val="paragraph"/>
    <w:basedOn w:val="DefaultParagraphFont"/>
    <w:rsid w:val="00B43A21"/>
  </w:style>
  <w:style w:type="character" w:customStyle="1" w:styleId="abstract">
    <w:name w:val="abstract"/>
    <w:basedOn w:val="DefaultParagraphFont"/>
    <w:rsid w:val="00B43A21"/>
  </w:style>
  <w:style w:type="character" w:customStyle="1" w:styleId="mb">
    <w:name w:val="mb"/>
    <w:basedOn w:val="DefaultParagraphFont"/>
    <w:rsid w:val="00B43A21"/>
  </w:style>
  <w:style w:type="paragraph" w:customStyle="1" w:styleId="Beforetables">
    <w:name w:val="Before tables"/>
    <w:basedOn w:val="Normal"/>
    <w:link w:val="BeforetablesChar"/>
    <w:qFormat/>
    <w:rsid w:val="00B92662"/>
    <w:pPr>
      <w:spacing w:after="0"/>
    </w:pPr>
    <w:rPr>
      <w:sz w:val="8"/>
      <w:szCs w:val="8"/>
    </w:rPr>
  </w:style>
  <w:style w:type="paragraph" w:customStyle="1" w:styleId="Aftertables">
    <w:name w:val="After tables"/>
    <w:basedOn w:val="Normal"/>
    <w:link w:val="AftertablesChar"/>
    <w:qFormat/>
    <w:rsid w:val="007B3B22"/>
    <w:pPr>
      <w:spacing w:after="0"/>
    </w:pPr>
  </w:style>
  <w:style w:type="character" w:customStyle="1" w:styleId="BeforetablesChar">
    <w:name w:val="Before tables Char"/>
    <w:basedOn w:val="DefaultParagraphFont"/>
    <w:link w:val="Beforetables"/>
    <w:rsid w:val="00B92662"/>
    <w:rPr>
      <w:sz w:val="8"/>
      <w:szCs w:val="8"/>
    </w:rPr>
  </w:style>
  <w:style w:type="character" w:customStyle="1" w:styleId="AftertablesChar">
    <w:name w:val="After tables Char"/>
    <w:basedOn w:val="DefaultParagraphFont"/>
    <w:link w:val="Aftertables"/>
    <w:rsid w:val="007B3B22"/>
  </w:style>
  <w:style w:type="character" w:customStyle="1" w:styleId="scp">
    <w:name w:val="scp"/>
    <w:basedOn w:val="DefaultParagraphFont"/>
    <w:rsid w:val="00C574AA"/>
  </w:style>
  <w:style w:type="paragraph" w:customStyle="1" w:styleId="follows-h4">
    <w:name w:val="follows-h4"/>
    <w:basedOn w:val="Normal"/>
    <w:rsid w:val="00C574AA"/>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p">
    <w:name w:val="p"/>
    <w:basedOn w:val="Normal"/>
    <w:rsid w:val="0063487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
    <w:name w:val="norm"/>
    <w:basedOn w:val="Normal"/>
    <w:rsid w:val="00D6200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ollowedHyperlink">
    <w:name w:val="FollowedHyperlink"/>
    <w:basedOn w:val="DefaultParagraphFont"/>
    <w:uiPriority w:val="99"/>
    <w:semiHidden/>
    <w:unhideWhenUsed/>
    <w:rsid w:val="00071925"/>
    <w:rPr>
      <w:color w:val="800080" w:themeColor="followedHyperlink"/>
      <w:u w:val="single"/>
    </w:rPr>
  </w:style>
  <w:style w:type="paragraph" w:customStyle="1" w:styleId="Body">
    <w:name w:val="Body"/>
    <w:rsid w:val="006A3549"/>
    <w:pPr>
      <w:pBdr>
        <w:top w:val="nil"/>
        <w:left w:val="nil"/>
        <w:bottom w:val="nil"/>
        <w:right w:val="nil"/>
        <w:between w:val="nil"/>
        <w:bar w:val="nil"/>
      </w:pBdr>
      <w:spacing w:after="240" w:line="360" w:lineRule="auto"/>
    </w:pPr>
    <w:rPr>
      <w:rFonts w:ascii="Calibri" w:eastAsia="Calibri" w:hAnsi="Calibri" w:cs="Calibri"/>
      <w:color w:val="000000"/>
      <w:u w:color="000000"/>
      <w:bdr w:val="nil"/>
      <w:lang w:val="en-US" w:eastAsia="en-GB"/>
    </w:rPr>
  </w:style>
  <w:style w:type="paragraph" w:customStyle="1" w:styleId="EndNoteBibliography">
    <w:name w:val="EndNote Bibliography"/>
    <w:basedOn w:val="Normal"/>
    <w:link w:val="EndNoteBibliographyZchn"/>
    <w:rsid w:val="001F773F"/>
    <w:pPr>
      <w:spacing w:line="240" w:lineRule="auto"/>
    </w:pPr>
    <w:rPr>
      <w:rFonts w:ascii="Calibri" w:hAnsi="Calibri"/>
      <w:noProof/>
      <w:lang w:val="en-US"/>
    </w:rPr>
  </w:style>
  <w:style w:type="character" w:customStyle="1" w:styleId="EndNoteBibliographyZchn">
    <w:name w:val="EndNote Bibliography Zchn"/>
    <w:basedOn w:val="DefaultParagraphFont"/>
    <w:link w:val="EndNoteBibliography"/>
    <w:rsid w:val="001F773F"/>
    <w:rPr>
      <w:rFonts w:ascii="Calibri" w:hAnsi="Calibri"/>
      <w:noProof/>
      <w:lang w:val="en-US"/>
    </w:rPr>
  </w:style>
  <w:style w:type="character" w:customStyle="1" w:styleId="nlmyear">
    <w:name w:val="nlm_year"/>
    <w:basedOn w:val="DefaultParagraphFont"/>
    <w:rsid w:val="003F2181"/>
  </w:style>
  <w:style w:type="character" w:customStyle="1" w:styleId="nlmfpage">
    <w:name w:val="nlm_fpage"/>
    <w:basedOn w:val="DefaultParagraphFont"/>
    <w:rsid w:val="003F2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57113">
      <w:bodyDiv w:val="1"/>
      <w:marLeft w:val="0"/>
      <w:marRight w:val="0"/>
      <w:marTop w:val="0"/>
      <w:marBottom w:val="0"/>
      <w:divBdr>
        <w:top w:val="none" w:sz="0" w:space="0" w:color="auto"/>
        <w:left w:val="none" w:sz="0" w:space="0" w:color="auto"/>
        <w:bottom w:val="none" w:sz="0" w:space="0" w:color="auto"/>
        <w:right w:val="none" w:sz="0" w:space="0" w:color="auto"/>
      </w:divBdr>
    </w:div>
    <w:div w:id="184562450">
      <w:bodyDiv w:val="1"/>
      <w:marLeft w:val="0"/>
      <w:marRight w:val="0"/>
      <w:marTop w:val="0"/>
      <w:marBottom w:val="0"/>
      <w:divBdr>
        <w:top w:val="none" w:sz="0" w:space="0" w:color="auto"/>
        <w:left w:val="none" w:sz="0" w:space="0" w:color="auto"/>
        <w:bottom w:val="none" w:sz="0" w:space="0" w:color="auto"/>
        <w:right w:val="none" w:sz="0" w:space="0" w:color="auto"/>
      </w:divBdr>
      <w:divsChild>
        <w:div w:id="172036291">
          <w:marLeft w:val="0"/>
          <w:marRight w:val="0"/>
          <w:marTop w:val="0"/>
          <w:marBottom w:val="0"/>
          <w:divBdr>
            <w:top w:val="none" w:sz="0" w:space="0" w:color="auto"/>
            <w:left w:val="none" w:sz="0" w:space="0" w:color="auto"/>
            <w:bottom w:val="none" w:sz="0" w:space="0" w:color="auto"/>
            <w:right w:val="none" w:sz="0" w:space="0" w:color="auto"/>
          </w:divBdr>
          <w:divsChild>
            <w:div w:id="1639843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6282210">
      <w:bodyDiv w:val="1"/>
      <w:marLeft w:val="0"/>
      <w:marRight w:val="0"/>
      <w:marTop w:val="0"/>
      <w:marBottom w:val="0"/>
      <w:divBdr>
        <w:top w:val="none" w:sz="0" w:space="0" w:color="auto"/>
        <w:left w:val="none" w:sz="0" w:space="0" w:color="auto"/>
        <w:bottom w:val="none" w:sz="0" w:space="0" w:color="auto"/>
        <w:right w:val="none" w:sz="0" w:space="0" w:color="auto"/>
      </w:divBdr>
      <w:divsChild>
        <w:div w:id="1533568332">
          <w:marLeft w:val="0"/>
          <w:marRight w:val="0"/>
          <w:marTop w:val="0"/>
          <w:marBottom w:val="0"/>
          <w:divBdr>
            <w:top w:val="none" w:sz="0" w:space="0" w:color="auto"/>
            <w:left w:val="none" w:sz="0" w:space="0" w:color="auto"/>
            <w:bottom w:val="none" w:sz="0" w:space="0" w:color="auto"/>
            <w:right w:val="none" w:sz="0" w:space="0" w:color="auto"/>
          </w:divBdr>
        </w:div>
        <w:div w:id="688916467">
          <w:marLeft w:val="0"/>
          <w:marRight w:val="0"/>
          <w:marTop w:val="0"/>
          <w:marBottom w:val="0"/>
          <w:divBdr>
            <w:top w:val="none" w:sz="0" w:space="0" w:color="auto"/>
            <w:left w:val="none" w:sz="0" w:space="0" w:color="auto"/>
            <w:bottom w:val="none" w:sz="0" w:space="0" w:color="auto"/>
            <w:right w:val="none" w:sz="0" w:space="0" w:color="auto"/>
          </w:divBdr>
        </w:div>
      </w:divsChild>
    </w:div>
    <w:div w:id="261035681">
      <w:bodyDiv w:val="1"/>
      <w:marLeft w:val="0"/>
      <w:marRight w:val="0"/>
      <w:marTop w:val="0"/>
      <w:marBottom w:val="0"/>
      <w:divBdr>
        <w:top w:val="none" w:sz="0" w:space="0" w:color="auto"/>
        <w:left w:val="none" w:sz="0" w:space="0" w:color="auto"/>
        <w:bottom w:val="none" w:sz="0" w:space="0" w:color="auto"/>
        <w:right w:val="none" w:sz="0" w:space="0" w:color="auto"/>
      </w:divBdr>
      <w:divsChild>
        <w:div w:id="601036047">
          <w:marLeft w:val="0"/>
          <w:marRight w:val="0"/>
          <w:marTop w:val="240"/>
          <w:marBottom w:val="0"/>
          <w:divBdr>
            <w:top w:val="none" w:sz="0" w:space="0" w:color="auto"/>
            <w:left w:val="none" w:sz="0" w:space="0" w:color="auto"/>
            <w:bottom w:val="none" w:sz="0" w:space="0" w:color="auto"/>
            <w:right w:val="none" w:sz="0" w:space="0" w:color="auto"/>
          </w:divBdr>
        </w:div>
        <w:div w:id="1812940100">
          <w:marLeft w:val="0"/>
          <w:marRight w:val="0"/>
          <w:marTop w:val="240"/>
          <w:marBottom w:val="0"/>
          <w:divBdr>
            <w:top w:val="none" w:sz="0" w:space="0" w:color="auto"/>
            <w:left w:val="none" w:sz="0" w:space="0" w:color="auto"/>
            <w:bottom w:val="none" w:sz="0" w:space="0" w:color="auto"/>
            <w:right w:val="none" w:sz="0" w:space="0" w:color="auto"/>
          </w:divBdr>
        </w:div>
        <w:div w:id="1390955878">
          <w:marLeft w:val="0"/>
          <w:marRight w:val="0"/>
          <w:marTop w:val="240"/>
          <w:marBottom w:val="0"/>
          <w:divBdr>
            <w:top w:val="none" w:sz="0" w:space="0" w:color="auto"/>
            <w:left w:val="none" w:sz="0" w:space="0" w:color="auto"/>
            <w:bottom w:val="none" w:sz="0" w:space="0" w:color="auto"/>
            <w:right w:val="none" w:sz="0" w:space="0" w:color="auto"/>
          </w:divBdr>
        </w:div>
        <w:div w:id="1706372710">
          <w:marLeft w:val="0"/>
          <w:marRight w:val="0"/>
          <w:marTop w:val="240"/>
          <w:marBottom w:val="0"/>
          <w:divBdr>
            <w:top w:val="none" w:sz="0" w:space="0" w:color="auto"/>
            <w:left w:val="none" w:sz="0" w:space="0" w:color="auto"/>
            <w:bottom w:val="none" w:sz="0" w:space="0" w:color="auto"/>
            <w:right w:val="none" w:sz="0" w:space="0" w:color="auto"/>
          </w:divBdr>
        </w:div>
      </w:divsChild>
    </w:div>
    <w:div w:id="310522309">
      <w:bodyDiv w:val="1"/>
      <w:marLeft w:val="0"/>
      <w:marRight w:val="0"/>
      <w:marTop w:val="0"/>
      <w:marBottom w:val="0"/>
      <w:divBdr>
        <w:top w:val="none" w:sz="0" w:space="0" w:color="auto"/>
        <w:left w:val="none" w:sz="0" w:space="0" w:color="auto"/>
        <w:bottom w:val="none" w:sz="0" w:space="0" w:color="auto"/>
        <w:right w:val="none" w:sz="0" w:space="0" w:color="auto"/>
      </w:divBdr>
    </w:div>
    <w:div w:id="321545172">
      <w:bodyDiv w:val="1"/>
      <w:marLeft w:val="0"/>
      <w:marRight w:val="0"/>
      <w:marTop w:val="0"/>
      <w:marBottom w:val="0"/>
      <w:divBdr>
        <w:top w:val="none" w:sz="0" w:space="0" w:color="auto"/>
        <w:left w:val="none" w:sz="0" w:space="0" w:color="auto"/>
        <w:bottom w:val="none" w:sz="0" w:space="0" w:color="auto"/>
        <w:right w:val="none" w:sz="0" w:space="0" w:color="auto"/>
      </w:divBdr>
      <w:divsChild>
        <w:div w:id="1202132517">
          <w:marLeft w:val="0"/>
          <w:marRight w:val="0"/>
          <w:marTop w:val="0"/>
          <w:marBottom w:val="0"/>
          <w:divBdr>
            <w:top w:val="none" w:sz="0" w:space="0" w:color="auto"/>
            <w:left w:val="none" w:sz="0" w:space="0" w:color="auto"/>
            <w:bottom w:val="none" w:sz="0" w:space="0" w:color="auto"/>
            <w:right w:val="none" w:sz="0" w:space="0" w:color="auto"/>
          </w:divBdr>
          <w:divsChild>
            <w:div w:id="72194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544398">
      <w:bodyDiv w:val="1"/>
      <w:marLeft w:val="0"/>
      <w:marRight w:val="0"/>
      <w:marTop w:val="0"/>
      <w:marBottom w:val="0"/>
      <w:divBdr>
        <w:top w:val="none" w:sz="0" w:space="0" w:color="auto"/>
        <w:left w:val="none" w:sz="0" w:space="0" w:color="auto"/>
        <w:bottom w:val="none" w:sz="0" w:space="0" w:color="auto"/>
        <w:right w:val="none" w:sz="0" w:space="0" w:color="auto"/>
      </w:divBdr>
    </w:div>
    <w:div w:id="411392673">
      <w:bodyDiv w:val="1"/>
      <w:marLeft w:val="0"/>
      <w:marRight w:val="0"/>
      <w:marTop w:val="0"/>
      <w:marBottom w:val="0"/>
      <w:divBdr>
        <w:top w:val="none" w:sz="0" w:space="0" w:color="auto"/>
        <w:left w:val="none" w:sz="0" w:space="0" w:color="auto"/>
        <w:bottom w:val="none" w:sz="0" w:space="0" w:color="auto"/>
        <w:right w:val="none" w:sz="0" w:space="0" w:color="auto"/>
      </w:divBdr>
    </w:div>
    <w:div w:id="531965485">
      <w:bodyDiv w:val="1"/>
      <w:marLeft w:val="0"/>
      <w:marRight w:val="0"/>
      <w:marTop w:val="0"/>
      <w:marBottom w:val="0"/>
      <w:divBdr>
        <w:top w:val="none" w:sz="0" w:space="0" w:color="auto"/>
        <w:left w:val="none" w:sz="0" w:space="0" w:color="auto"/>
        <w:bottom w:val="none" w:sz="0" w:space="0" w:color="auto"/>
        <w:right w:val="none" w:sz="0" w:space="0" w:color="auto"/>
      </w:divBdr>
    </w:div>
    <w:div w:id="586427571">
      <w:bodyDiv w:val="1"/>
      <w:marLeft w:val="0"/>
      <w:marRight w:val="0"/>
      <w:marTop w:val="0"/>
      <w:marBottom w:val="0"/>
      <w:divBdr>
        <w:top w:val="none" w:sz="0" w:space="0" w:color="auto"/>
        <w:left w:val="none" w:sz="0" w:space="0" w:color="auto"/>
        <w:bottom w:val="none" w:sz="0" w:space="0" w:color="auto"/>
        <w:right w:val="none" w:sz="0" w:space="0" w:color="auto"/>
      </w:divBdr>
      <w:divsChild>
        <w:div w:id="1822190006">
          <w:marLeft w:val="0"/>
          <w:marRight w:val="0"/>
          <w:marTop w:val="0"/>
          <w:marBottom w:val="0"/>
          <w:divBdr>
            <w:top w:val="none" w:sz="0" w:space="0" w:color="auto"/>
            <w:left w:val="none" w:sz="0" w:space="0" w:color="auto"/>
            <w:bottom w:val="none" w:sz="0" w:space="0" w:color="auto"/>
            <w:right w:val="none" w:sz="0" w:space="0" w:color="auto"/>
          </w:divBdr>
        </w:div>
        <w:div w:id="535043269">
          <w:marLeft w:val="0"/>
          <w:marRight w:val="0"/>
          <w:marTop w:val="0"/>
          <w:marBottom w:val="0"/>
          <w:divBdr>
            <w:top w:val="none" w:sz="0" w:space="0" w:color="auto"/>
            <w:left w:val="none" w:sz="0" w:space="0" w:color="auto"/>
            <w:bottom w:val="none" w:sz="0" w:space="0" w:color="auto"/>
            <w:right w:val="none" w:sz="0" w:space="0" w:color="auto"/>
          </w:divBdr>
        </w:div>
        <w:div w:id="1149513066">
          <w:marLeft w:val="0"/>
          <w:marRight w:val="0"/>
          <w:marTop w:val="0"/>
          <w:marBottom w:val="0"/>
          <w:divBdr>
            <w:top w:val="none" w:sz="0" w:space="0" w:color="auto"/>
            <w:left w:val="none" w:sz="0" w:space="0" w:color="auto"/>
            <w:bottom w:val="none" w:sz="0" w:space="0" w:color="auto"/>
            <w:right w:val="none" w:sz="0" w:space="0" w:color="auto"/>
          </w:divBdr>
        </w:div>
        <w:div w:id="1335645611">
          <w:marLeft w:val="0"/>
          <w:marRight w:val="0"/>
          <w:marTop w:val="0"/>
          <w:marBottom w:val="0"/>
          <w:divBdr>
            <w:top w:val="none" w:sz="0" w:space="0" w:color="auto"/>
            <w:left w:val="none" w:sz="0" w:space="0" w:color="auto"/>
            <w:bottom w:val="none" w:sz="0" w:space="0" w:color="auto"/>
            <w:right w:val="none" w:sz="0" w:space="0" w:color="auto"/>
          </w:divBdr>
        </w:div>
        <w:div w:id="894974300">
          <w:marLeft w:val="0"/>
          <w:marRight w:val="0"/>
          <w:marTop w:val="0"/>
          <w:marBottom w:val="0"/>
          <w:divBdr>
            <w:top w:val="none" w:sz="0" w:space="0" w:color="auto"/>
            <w:left w:val="none" w:sz="0" w:space="0" w:color="auto"/>
            <w:bottom w:val="none" w:sz="0" w:space="0" w:color="auto"/>
            <w:right w:val="none" w:sz="0" w:space="0" w:color="auto"/>
          </w:divBdr>
        </w:div>
        <w:div w:id="594098895">
          <w:marLeft w:val="0"/>
          <w:marRight w:val="0"/>
          <w:marTop w:val="0"/>
          <w:marBottom w:val="0"/>
          <w:divBdr>
            <w:top w:val="none" w:sz="0" w:space="0" w:color="auto"/>
            <w:left w:val="none" w:sz="0" w:space="0" w:color="auto"/>
            <w:bottom w:val="none" w:sz="0" w:space="0" w:color="auto"/>
            <w:right w:val="none" w:sz="0" w:space="0" w:color="auto"/>
          </w:divBdr>
        </w:div>
        <w:div w:id="1115633325">
          <w:marLeft w:val="0"/>
          <w:marRight w:val="0"/>
          <w:marTop w:val="0"/>
          <w:marBottom w:val="0"/>
          <w:divBdr>
            <w:top w:val="none" w:sz="0" w:space="0" w:color="auto"/>
            <w:left w:val="none" w:sz="0" w:space="0" w:color="auto"/>
            <w:bottom w:val="none" w:sz="0" w:space="0" w:color="auto"/>
            <w:right w:val="none" w:sz="0" w:space="0" w:color="auto"/>
          </w:divBdr>
        </w:div>
        <w:div w:id="347291936">
          <w:marLeft w:val="0"/>
          <w:marRight w:val="0"/>
          <w:marTop w:val="0"/>
          <w:marBottom w:val="0"/>
          <w:divBdr>
            <w:top w:val="none" w:sz="0" w:space="0" w:color="auto"/>
            <w:left w:val="none" w:sz="0" w:space="0" w:color="auto"/>
            <w:bottom w:val="none" w:sz="0" w:space="0" w:color="auto"/>
            <w:right w:val="none" w:sz="0" w:space="0" w:color="auto"/>
          </w:divBdr>
        </w:div>
        <w:div w:id="2043896907">
          <w:marLeft w:val="0"/>
          <w:marRight w:val="0"/>
          <w:marTop w:val="0"/>
          <w:marBottom w:val="0"/>
          <w:divBdr>
            <w:top w:val="none" w:sz="0" w:space="0" w:color="auto"/>
            <w:left w:val="none" w:sz="0" w:space="0" w:color="auto"/>
            <w:bottom w:val="none" w:sz="0" w:space="0" w:color="auto"/>
            <w:right w:val="none" w:sz="0" w:space="0" w:color="auto"/>
          </w:divBdr>
        </w:div>
        <w:div w:id="847407036">
          <w:marLeft w:val="0"/>
          <w:marRight w:val="0"/>
          <w:marTop w:val="0"/>
          <w:marBottom w:val="0"/>
          <w:divBdr>
            <w:top w:val="none" w:sz="0" w:space="0" w:color="auto"/>
            <w:left w:val="none" w:sz="0" w:space="0" w:color="auto"/>
            <w:bottom w:val="none" w:sz="0" w:space="0" w:color="auto"/>
            <w:right w:val="none" w:sz="0" w:space="0" w:color="auto"/>
          </w:divBdr>
        </w:div>
        <w:div w:id="1008798136">
          <w:marLeft w:val="0"/>
          <w:marRight w:val="0"/>
          <w:marTop w:val="0"/>
          <w:marBottom w:val="0"/>
          <w:divBdr>
            <w:top w:val="none" w:sz="0" w:space="0" w:color="auto"/>
            <w:left w:val="none" w:sz="0" w:space="0" w:color="auto"/>
            <w:bottom w:val="none" w:sz="0" w:space="0" w:color="auto"/>
            <w:right w:val="none" w:sz="0" w:space="0" w:color="auto"/>
          </w:divBdr>
        </w:div>
        <w:div w:id="1947152790">
          <w:marLeft w:val="0"/>
          <w:marRight w:val="0"/>
          <w:marTop w:val="0"/>
          <w:marBottom w:val="0"/>
          <w:divBdr>
            <w:top w:val="none" w:sz="0" w:space="0" w:color="auto"/>
            <w:left w:val="none" w:sz="0" w:space="0" w:color="auto"/>
            <w:bottom w:val="none" w:sz="0" w:space="0" w:color="auto"/>
            <w:right w:val="none" w:sz="0" w:space="0" w:color="auto"/>
          </w:divBdr>
        </w:div>
        <w:div w:id="1793403269">
          <w:marLeft w:val="0"/>
          <w:marRight w:val="0"/>
          <w:marTop w:val="0"/>
          <w:marBottom w:val="0"/>
          <w:divBdr>
            <w:top w:val="none" w:sz="0" w:space="0" w:color="auto"/>
            <w:left w:val="none" w:sz="0" w:space="0" w:color="auto"/>
            <w:bottom w:val="none" w:sz="0" w:space="0" w:color="auto"/>
            <w:right w:val="none" w:sz="0" w:space="0" w:color="auto"/>
          </w:divBdr>
        </w:div>
        <w:div w:id="1702247060">
          <w:marLeft w:val="0"/>
          <w:marRight w:val="0"/>
          <w:marTop w:val="0"/>
          <w:marBottom w:val="0"/>
          <w:divBdr>
            <w:top w:val="none" w:sz="0" w:space="0" w:color="auto"/>
            <w:left w:val="none" w:sz="0" w:space="0" w:color="auto"/>
            <w:bottom w:val="none" w:sz="0" w:space="0" w:color="auto"/>
            <w:right w:val="none" w:sz="0" w:space="0" w:color="auto"/>
          </w:divBdr>
        </w:div>
        <w:div w:id="1374379965">
          <w:marLeft w:val="0"/>
          <w:marRight w:val="0"/>
          <w:marTop w:val="0"/>
          <w:marBottom w:val="0"/>
          <w:divBdr>
            <w:top w:val="none" w:sz="0" w:space="0" w:color="auto"/>
            <w:left w:val="none" w:sz="0" w:space="0" w:color="auto"/>
            <w:bottom w:val="none" w:sz="0" w:space="0" w:color="auto"/>
            <w:right w:val="none" w:sz="0" w:space="0" w:color="auto"/>
          </w:divBdr>
        </w:div>
        <w:div w:id="49965286">
          <w:marLeft w:val="0"/>
          <w:marRight w:val="0"/>
          <w:marTop w:val="0"/>
          <w:marBottom w:val="0"/>
          <w:divBdr>
            <w:top w:val="none" w:sz="0" w:space="0" w:color="auto"/>
            <w:left w:val="none" w:sz="0" w:space="0" w:color="auto"/>
            <w:bottom w:val="none" w:sz="0" w:space="0" w:color="auto"/>
            <w:right w:val="none" w:sz="0" w:space="0" w:color="auto"/>
          </w:divBdr>
        </w:div>
        <w:div w:id="2036687354">
          <w:marLeft w:val="0"/>
          <w:marRight w:val="0"/>
          <w:marTop w:val="0"/>
          <w:marBottom w:val="0"/>
          <w:divBdr>
            <w:top w:val="none" w:sz="0" w:space="0" w:color="auto"/>
            <w:left w:val="none" w:sz="0" w:space="0" w:color="auto"/>
            <w:bottom w:val="none" w:sz="0" w:space="0" w:color="auto"/>
            <w:right w:val="none" w:sz="0" w:space="0" w:color="auto"/>
          </w:divBdr>
        </w:div>
        <w:div w:id="1504979038">
          <w:marLeft w:val="0"/>
          <w:marRight w:val="0"/>
          <w:marTop w:val="0"/>
          <w:marBottom w:val="0"/>
          <w:divBdr>
            <w:top w:val="none" w:sz="0" w:space="0" w:color="auto"/>
            <w:left w:val="none" w:sz="0" w:space="0" w:color="auto"/>
            <w:bottom w:val="none" w:sz="0" w:space="0" w:color="auto"/>
            <w:right w:val="none" w:sz="0" w:space="0" w:color="auto"/>
          </w:divBdr>
        </w:div>
        <w:div w:id="539248809">
          <w:marLeft w:val="0"/>
          <w:marRight w:val="0"/>
          <w:marTop w:val="0"/>
          <w:marBottom w:val="0"/>
          <w:divBdr>
            <w:top w:val="none" w:sz="0" w:space="0" w:color="auto"/>
            <w:left w:val="none" w:sz="0" w:space="0" w:color="auto"/>
            <w:bottom w:val="none" w:sz="0" w:space="0" w:color="auto"/>
            <w:right w:val="none" w:sz="0" w:space="0" w:color="auto"/>
          </w:divBdr>
        </w:div>
        <w:div w:id="730037435">
          <w:marLeft w:val="0"/>
          <w:marRight w:val="0"/>
          <w:marTop w:val="0"/>
          <w:marBottom w:val="0"/>
          <w:divBdr>
            <w:top w:val="none" w:sz="0" w:space="0" w:color="auto"/>
            <w:left w:val="none" w:sz="0" w:space="0" w:color="auto"/>
            <w:bottom w:val="none" w:sz="0" w:space="0" w:color="auto"/>
            <w:right w:val="none" w:sz="0" w:space="0" w:color="auto"/>
          </w:divBdr>
        </w:div>
        <w:div w:id="807086024">
          <w:marLeft w:val="0"/>
          <w:marRight w:val="0"/>
          <w:marTop w:val="0"/>
          <w:marBottom w:val="0"/>
          <w:divBdr>
            <w:top w:val="none" w:sz="0" w:space="0" w:color="auto"/>
            <w:left w:val="none" w:sz="0" w:space="0" w:color="auto"/>
            <w:bottom w:val="none" w:sz="0" w:space="0" w:color="auto"/>
            <w:right w:val="none" w:sz="0" w:space="0" w:color="auto"/>
          </w:divBdr>
        </w:div>
        <w:div w:id="911499752">
          <w:marLeft w:val="0"/>
          <w:marRight w:val="0"/>
          <w:marTop w:val="0"/>
          <w:marBottom w:val="0"/>
          <w:divBdr>
            <w:top w:val="none" w:sz="0" w:space="0" w:color="auto"/>
            <w:left w:val="none" w:sz="0" w:space="0" w:color="auto"/>
            <w:bottom w:val="none" w:sz="0" w:space="0" w:color="auto"/>
            <w:right w:val="none" w:sz="0" w:space="0" w:color="auto"/>
          </w:divBdr>
        </w:div>
      </w:divsChild>
    </w:div>
    <w:div w:id="629242253">
      <w:bodyDiv w:val="1"/>
      <w:marLeft w:val="0"/>
      <w:marRight w:val="0"/>
      <w:marTop w:val="0"/>
      <w:marBottom w:val="0"/>
      <w:divBdr>
        <w:top w:val="none" w:sz="0" w:space="0" w:color="auto"/>
        <w:left w:val="none" w:sz="0" w:space="0" w:color="auto"/>
        <w:bottom w:val="none" w:sz="0" w:space="0" w:color="auto"/>
        <w:right w:val="none" w:sz="0" w:space="0" w:color="auto"/>
      </w:divBdr>
      <w:divsChild>
        <w:div w:id="1914774244">
          <w:marLeft w:val="0"/>
          <w:marRight w:val="0"/>
          <w:marTop w:val="0"/>
          <w:marBottom w:val="0"/>
          <w:divBdr>
            <w:top w:val="none" w:sz="0" w:space="0" w:color="auto"/>
            <w:left w:val="none" w:sz="0" w:space="0" w:color="auto"/>
            <w:bottom w:val="none" w:sz="0" w:space="0" w:color="auto"/>
            <w:right w:val="none" w:sz="0" w:space="0" w:color="auto"/>
          </w:divBdr>
          <w:divsChild>
            <w:div w:id="637534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945318">
      <w:bodyDiv w:val="1"/>
      <w:marLeft w:val="0"/>
      <w:marRight w:val="0"/>
      <w:marTop w:val="0"/>
      <w:marBottom w:val="0"/>
      <w:divBdr>
        <w:top w:val="none" w:sz="0" w:space="0" w:color="auto"/>
        <w:left w:val="none" w:sz="0" w:space="0" w:color="auto"/>
        <w:bottom w:val="none" w:sz="0" w:space="0" w:color="auto"/>
        <w:right w:val="none" w:sz="0" w:space="0" w:color="auto"/>
      </w:divBdr>
      <w:divsChild>
        <w:div w:id="386537868">
          <w:marLeft w:val="0"/>
          <w:marRight w:val="0"/>
          <w:marTop w:val="0"/>
          <w:marBottom w:val="0"/>
          <w:divBdr>
            <w:top w:val="none" w:sz="0" w:space="0" w:color="auto"/>
            <w:left w:val="none" w:sz="0" w:space="0" w:color="auto"/>
            <w:bottom w:val="none" w:sz="0" w:space="0" w:color="auto"/>
            <w:right w:val="none" w:sz="0" w:space="0" w:color="auto"/>
          </w:divBdr>
          <w:divsChild>
            <w:div w:id="499124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1640496">
      <w:bodyDiv w:val="1"/>
      <w:marLeft w:val="0"/>
      <w:marRight w:val="0"/>
      <w:marTop w:val="0"/>
      <w:marBottom w:val="0"/>
      <w:divBdr>
        <w:top w:val="none" w:sz="0" w:space="0" w:color="auto"/>
        <w:left w:val="none" w:sz="0" w:space="0" w:color="auto"/>
        <w:bottom w:val="none" w:sz="0" w:space="0" w:color="auto"/>
        <w:right w:val="none" w:sz="0" w:space="0" w:color="auto"/>
      </w:divBdr>
    </w:div>
    <w:div w:id="1045258360">
      <w:bodyDiv w:val="1"/>
      <w:marLeft w:val="0"/>
      <w:marRight w:val="0"/>
      <w:marTop w:val="0"/>
      <w:marBottom w:val="0"/>
      <w:divBdr>
        <w:top w:val="none" w:sz="0" w:space="0" w:color="auto"/>
        <w:left w:val="none" w:sz="0" w:space="0" w:color="auto"/>
        <w:bottom w:val="none" w:sz="0" w:space="0" w:color="auto"/>
        <w:right w:val="none" w:sz="0" w:space="0" w:color="auto"/>
      </w:divBdr>
    </w:div>
    <w:div w:id="1119031460">
      <w:bodyDiv w:val="1"/>
      <w:marLeft w:val="0"/>
      <w:marRight w:val="0"/>
      <w:marTop w:val="0"/>
      <w:marBottom w:val="0"/>
      <w:divBdr>
        <w:top w:val="none" w:sz="0" w:space="0" w:color="auto"/>
        <w:left w:val="none" w:sz="0" w:space="0" w:color="auto"/>
        <w:bottom w:val="none" w:sz="0" w:space="0" w:color="auto"/>
        <w:right w:val="none" w:sz="0" w:space="0" w:color="auto"/>
      </w:divBdr>
    </w:div>
    <w:div w:id="1128282702">
      <w:bodyDiv w:val="1"/>
      <w:marLeft w:val="0"/>
      <w:marRight w:val="0"/>
      <w:marTop w:val="0"/>
      <w:marBottom w:val="0"/>
      <w:divBdr>
        <w:top w:val="none" w:sz="0" w:space="0" w:color="auto"/>
        <w:left w:val="none" w:sz="0" w:space="0" w:color="auto"/>
        <w:bottom w:val="none" w:sz="0" w:space="0" w:color="auto"/>
        <w:right w:val="none" w:sz="0" w:space="0" w:color="auto"/>
      </w:divBdr>
      <w:divsChild>
        <w:div w:id="1565139375">
          <w:marLeft w:val="0"/>
          <w:marRight w:val="0"/>
          <w:marTop w:val="0"/>
          <w:marBottom w:val="0"/>
          <w:divBdr>
            <w:top w:val="none" w:sz="0" w:space="0" w:color="auto"/>
            <w:left w:val="none" w:sz="0" w:space="0" w:color="auto"/>
            <w:bottom w:val="none" w:sz="0" w:space="0" w:color="auto"/>
            <w:right w:val="none" w:sz="0" w:space="0" w:color="auto"/>
          </w:divBdr>
          <w:divsChild>
            <w:div w:id="1673988773">
              <w:marLeft w:val="0"/>
              <w:marRight w:val="0"/>
              <w:marTop w:val="0"/>
              <w:marBottom w:val="0"/>
              <w:divBdr>
                <w:top w:val="none" w:sz="0" w:space="0" w:color="auto"/>
                <w:left w:val="none" w:sz="0" w:space="0" w:color="auto"/>
                <w:bottom w:val="none" w:sz="0" w:space="0" w:color="auto"/>
                <w:right w:val="none" w:sz="0" w:space="0" w:color="auto"/>
              </w:divBdr>
              <w:divsChild>
                <w:div w:id="1984773776">
                  <w:marLeft w:val="0"/>
                  <w:marRight w:val="0"/>
                  <w:marTop w:val="0"/>
                  <w:marBottom w:val="0"/>
                  <w:divBdr>
                    <w:top w:val="none" w:sz="0" w:space="0" w:color="auto"/>
                    <w:left w:val="none" w:sz="0" w:space="0" w:color="auto"/>
                    <w:bottom w:val="none" w:sz="0" w:space="0" w:color="auto"/>
                    <w:right w:val="none" w:sz="0" w:space="0" w:color="auto"/>
                  </w:divBdr>
                </w:div>
                <w:div w:id="1000356918">
                  <w:marLeft w:val="0"/>
                  <w:marRight w:val="0"/>
                  <w:marTop w:val="0"/>
                  <w:marBottom w:val="0"/>
                  <w:divBdr>
                    <w:top w:val="none" w:sz="0" w:space="0" w:color="auto"/>
                    <w:left w:val="none" w:sz="0" w:space="0" w:color="auto"/>
                    <w:bottom w:val="none" w:sz="0" w:space="0" w:color="auto"/>
                    <w:right w:val="none" w:sz="0" w:space="0" w:color="auto"/>
                  </w:divBdr>
                </w:div>
                <w:div w:id="1849178983">
                  <w:marLeft w:val="0"/>
                  <w:marRight w:val="0"/>
                  <w:marTop w:val="0"/>
                  <w:marBottom w:val="0"/>
                  <w:divBdr>
                    <w:top w:val="none" w:sz="0" w:space="0" w:color="auto"/>
                    <w:left w:val="none" w:sz="0" w:space="0" w:color="auto"/>
                    <w:bottom w:val="none" w:sz="0" w:space="0" w:color="auto"/>
                    <w:right w:val="none" w:sz="0" w:space="0" w:color="auto"/>
                  </w:divBdr>
                </w:div>
                <w:div w:id="1799376453">
                  <w:marLeft w:val="0"/>
                  <w:marRight w:val="0"/>
                  <w:marTop w:val="0"/>
                  <w:marBottom w:val="0"/>
                  <w:divBdr>
                    <w:top w:val="none" w:sz="0" w:space="0" w:color="auto"/>
                    <w:left w:val="none" w:sz="0" w:space="0" w:color="auto"/>
                    <w:bottom w:val="none" w:sz="0" w:space="0" w:color="auto"/>
                    <w:right w:val="none" w:sz="0" w:space="0" w:color="auto"/>
                  </w:divBdr>
                </w:div>
                <w:div w:id="1366101245">
                  <w:marLeft w:val="0"/>
                  <w:marRight w:val="0"/>
                  <w:marTop w:val="0"/>
                  <w:marBottom w:val="0"/>
                  <w:divBdr>
                    <w:top w:val="none" w:sz="0" w:space="0" w:color="auto"/>
                    <w:left w:val="none" w:sz="0" w:space="0" w:color="auto"/>
                    <w:bottom w:val="none" w:sz="0" w:space="0" w:color="auto"/>
                    <w:right w:val="none" w:sz="0" w:space="0" w:color="auto"/>
                  </w:divBdr>
                </w:div>
                <w:div w:id="1585608252">
                  <w:marLeft w:val="0"/>
                  <w:marRight w:val="0"/>
                  <w:marTop w:val="0"/>
                  <w:marBottom w:val="0"/>
                  <w:divBdr>
                    <w:top w:val="none" w:sz="0" w:space="0" w:color="auto"/>
                    <w:left w:val="none" w:sz="0" w:space="0" w:color="auto"/>
                    <w:bottom w:val="none" w:sz="0" w:space="0" w:color="auto"/>
                    <w:right w:val="none" w:sz="0" w:space="0" w:color="auto"/>
                  </w:divBdr>
                </w:div>
                <w:div w:id="2109962664">
                  <w:marLeft w:val="0"/>
                  <w:marRight w:val="0"/>
                  <w:marTop w:val="0"/>
                  <w:marBottom w:val="0"/>
                  <w:divBdr>
                    <w:top w:val="none" w:sz="0" w:space="0" w:color="auto"/>
                    <w:left w:val="none" w:sz="0" w:space="0" w:color="auto"/>
                    <w:bottom w:val="none" w:sz="0" w:space="0" w:color="auto"/>
                    <w:right w:val="none" w:sz="0" w:space="0" w:color="auto"/>
                  </w:divBdr>
                </w:div>
                <w:div w:id="1583025084">
                  <w:marLeft w:val="0"/>
                  <w:marRight w:val="0"/>
                  <w:marTop w:val="0"/>
                  <w:marBottom w:val="0"/>
                  <w:divBdr>
                    <w:top w:val="none" w:sz="0" w:space="0" w:color="auto"/>
                    <w:left w:val="none" w:sz="0" w:space="0" w:color="auto"/>
                    <w:bottom w:val="none" w:sz="0" w:space="0" w:color="auto"/>
                    <w:right w:val="none" w:sz="0" w:space="0" w:color="auto"/>
                  </w:divBdr>
                </w:div>
                <w:div w:id="1052999327">
                  <w:marLeft w:val="0"/>
                  <w:marRight w:val="0"/>
                  <w:marTop w:val="0"/>
                  <w:marBottom w:val="0"/>
                  <w:divBdr>
                    <w:top w:val="none" w:sz="0" w:space="0" w:color="auto"/>
                    <w:left w:val="none" w:sz="0" w:space="0" w:color="auto"/>
                    <w:bottom w:val="none" w:sz="0" w:space="0" w:color="auto"/>
                    <w:right w:val="none" w:sz="0" w:space="0" w:color="auto"/>
                  </w:divBdr>
                </w:div>
                <w:div w:id="1509061522">
                  <w:marLeft w:val="0"/>
                  <w:marRight w:val="0"/>
                  <w:marTop w:val="0"/>
                  <w:marBottom w:val="0"/>
                  <w:divBdr>
                    <w:top w:val="none" w:sz="0" w:space="0" w:color="auto"/>
                    <w:left w:val="none" w:sz="0" w:space="0" w:color="auto"/>
                    <w:bottom w:val="none" w:sz="0" w:space="0" w:color="auto"/>
                    <w:right w:val="none" w:sz="0" w:space="0" w:color="auto"/>
                  </w:divBdr>
                </w:div>
                <w:div w:id="1328090455">
                  <w:marLeft w:val="0"/>
                  <w:marRight w:val="0"/>
                  <w:marTop w:val="0"/>
                  <w:marBottom w:val="0"/>
                  <w:divBdr>
                    <w:top w:val="none" w:sz="0" w:space="0" w:color="auto"/>
                    <w:left w:val="none" w:sz="0" w:space="0" w:color="auto"/>
                    <w:bottom w:val="none" w:sz="0" w:space="0" w:color="auto"/>
                    <w:right w:val="none" w:sz="0" w:space="0" w:color="auto"/>
                  </w:divBdr>
                </w:div>
                <w:div w:id="1394160261">
                  <w:marLeft w:val="0"/>
                  <w:marRight w:val="0"/>
                  <w:marTop w:val="0"/>
                  <w:marBottom w:val="0"/>
                  <w:divBdr>
                    <w:top w:val="none" w:sz="0" w:space="0" w:color="auto"/>
                    <w:left w:val="none" w:sz="0" w:space="0" w:color="auto"/>
                    <w:bottom w:val="none" w:sz="0" w:space="0" w:color="auto"/>
                    <w:right w:val="none" w:sz="0" w:space="0" w:color="auto"/>
                  </w:divBdr>
                </w:div>
                <w:div w:id="946235228">
                  <w:marLeft w:val="0"/>
                  <w:marRight w:val="0"/>
                  <w:marTop w:val="0"/>
                  <w:marBottom w:val="0"/>
                  <w:divBdr>
                    <w:top w:val="none" w:sz="0" w:space="0" w:color="auto"/>
                    <w:left w:val="none" w:sz="0" w:space="0" w:color="auto"/>
                    <w:bottom w:val="none" w:sz="0" w:space="0" w:color="auto"/>
                    <w:right w:val="none" w:sz="0" w:space="0" w:color="auto"/>
                  </w:divBdr>
                </w:div>
                <w:div w:id="1790053022">
                  <w:marLeft w:val="0"/>
                  <w:marRight w:val="0"/>
                  <w:marTop w:val="0"/>
                  <w:marBottom w:val="0"/>
                  <w:divBdr>
                    <w:top w:val="none" w:sz="0" w:space="0" w:color="auto"/>
                    <w:left w:val="none" w:sz="0" w:space="0" w:color="auto"/>
                    <w:bottom w:val="none" w:sz="0" w:space="0" w:color="auto"/>
                    <w:right w:val="none" w:sz="0" w:space="0" w:color="auto"/>
                  </w:divBdr>
                </w:div>
                <w:div w:id="1210916323">
                  <w:marLeft w:val="0"/>
                  <w:marRight w:val="0"/>
                  <w:marTop w:val="0"/>
                  <w:marBottom w:val="0"/>
                  <w:divBdr>
                    <w:top w:val="none" w:sz="0" w:space="0" w:color="auto"/>
                    <w:left w:val="none" w:sz="0" w:space="0" w:color="auto"/>
                    <w:bottom w:val="none" w:sz="0" w:space="0" w:color="auto"/>
                    <w:right w:val="none" w:sz="0" w:space="0" w:color="auto"/>
                  </w:divBdr>
                </w:div>
                <w:div w:id="576136028">
                  <w:marLeft w:val="0"/>
                  <w:marRight w:val="0"/>
                  <w:marTop w:val="0"/>
                  <w:marBottom w:val="0"/>
                  <w:divBdr>
                    <w:top w:val="none" w:sz="0" w:space="0" w:color="auto"/>
                    <w:left w:val="none" w:sz="0" w:space="0" w:color="auto"/>
                    <w:bottom w:val="none" w:sz="0" w:space="0" w:color="auto"/>
                    <w:right w:val="none" w:sz="0" w:space="0" w:color="auto"/>
                  </w:divBdr>
                </w:div>
                <w:div w:id="547911804">
                  <w:marLeft w:val="0"/>
                  <w:marRight w:val="0"/>
                  <w:marTop w:val="0"/>
                  <w:marBottom w:val="0"/>
                  <w:divBdr>
                    <w:top w:val="none" w:sz="0" w:space="0" w:color="auto"/>
                    <w:left w:val="none" w:sz="0" w:space="0" w:color="auto"/>
                    <w:bottom w:val="none" w:sz="0" w:space="0" w:color="auto"/>
                    <w:right w:val="none" w:sz="0" w:space="0" w:color="auto"/>
                  </w:divBdr>
                </w:div>
                <w:div w:id="1598292777">
                  <w:marLeft w:val="0"/>
                  <w:marRight w:val="0"/>
                  <w:marTop w:val="0"/>
                  <w:marBottom w:val="0"/>
                  <w:divBdr>
                    <w:top w:val="none" w:sz="0" w:space="0" w:color="auto"/>
                    <w:left w:val="none" w:sz="0" w:space="0" w:color="auto"/>
                    <w:bottom w:val="none" w:sz="0" w:space="0" w:color="auto"/>
                    <w:right w:val="none" w:sz="0" w:space="0" w:color="auto"/>
                  </w:divBdr>
                </w:div>
                <w:div w:id="977224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456471">
          <w:marLeft w:val="0"/>
          <w:marRight w:val="0"/>
          <w:marTop w:val="0"/>
          <w:marBottom w:val="0"/>
          <w:divBdr>
            <w:top w:val="none" w:sz="0" w:space="0" w:color="auto"/>
            <w:left w:val="none" w:sz="0" w:space="0" w:color="auto"/>
            <w:bottom w:val="none" w:sz="0" w:space="0" w:color="auto"/>
            <w:right w:val="none" w:sz="0" w:space="0" w:color="auto"/>
          </w:divBdr>
          <w:divsChild>
            <w:div w:id="1178882433">
              <w:marLeft w:val="0"/>
              <w:marRight w:val="0"/>
              <w:marTop w:val="0"/>
              <w:marBottom w:val="0"/>
              <w:divBdr>
                <w:top w:val="none" w:sz="0" w:space="0" w:color="auto"/>
                <w:left w:val="none" w:sz="0" w:space="0" w:color="auto"/>
                <w:bottom w:val="none" w:sz="0" w:space="0" w:color="auto"/>
                <w:right w:val="none" w:sz="0" w:space="0" w:color="auto"/>
              </w:divBdr>
              <w:divsChild>
                <w:div w:id="1156217441">
                  <w:marLeft w:val="0"/>
                  <w:marRight w:val="0"/>
                  <w:marTop w:val="0"/>
                  <w:marBottom w:val="0"/>
                  <w:divBdr>
                    <w:top w:val="none" w:sz="0" w:space="0" w:color="auto"/>
                    <w:left w:val="none" w:sz="0" w:space="0" w:color="auto"/>
                    <w:bottom w:val="none" w:sz="0" w:space="0" w:color="auto"/>
                    <w:right w:val="none" w:sz="0" w:space="0" w:color="auto"/>
                  </w:divBdr>
                </w:div>
                <w:div w:id="41368298">
                  <w:marLeft w:val="0"/>
                  <w:marRight w:val="0"/>
                  <w:marTop w:val="0"/>
                  <w:marBottom w:val="0"/>
                  <w:divBdr>
                    <w:top w:val="none" w:sz="0" w:space="0" w:color="auto"/>
                    <w:left w:val="none" w:sz="0" w:space="0" w:color="auto"/>
                    <w:bottom w:val="none" w:sz="0" w:space="0" w:color="auto"/>
                    <w:right w:val="none" w:sz="0" w:space="0" w:color="auto"/>
                  </w:divBdr>
                </w:div>
                <w:div w:id="1161771459">
                  <w:marLeft w:val="0"/>
                  <w:marRight w:val="0"/>
                  <w:marTop w:val="0"/>
                  <w:marBottom w:val="0"/>
                  <w:divBdr>
                    <w:top w:val="none" w:sz="0" w:space="0" w:color="auto"/>
                    <w:left w:val="none" w:sz="0" w:space="0" w:color="auto"/>
                    <w:bottom w:val="none" w:sz="0" w:space="0" w:color="auto"/>
                    <w:right w:val="none" w:sz="0" w:space="0" w:color="auto"/>
                  </w:divBdr>
                </w:div>
                <w:div w:id="116683969">
                  <w:marLeft w:val="0"/>
                  <w:marRight w:val="0"/>
                  <w:marTop w:val="0"/>
                  <w:marBottom w:val="0"/>
                  <w:divBdr>
                    <w:top w:val="none" w:sz="0" w:space="0" w:color="auto"/>
                    <w:left w:val="none" w:sz="0" w:space="0" w:color="auto"/>
                    <w:bottom w:val="none" w:sz="0" w:space="0" w:color="auto"/>
                    <w:right w:val="none" w:sz="0" w:space="0" w:color="auto"/>
                  </w:divBdr>
                </w:div>
                <w:div w:id="1199666460">
                  <w:marLeft w:val="0"/>
                  <w:marRight w:val="0"/>
                  <w:marTop w:val="0"/>
                  <w:marBottom w:val="0"/>
                  <w:divBdr>
                    <w:top w:val="none" w:sz="0" w:space="0" w:color="auto"/>
                    <w:left w:val="none" w:sz="0" w:space="0" w:color="auto"/>
                    <w:bottom w:val="none" w:sz="0" w:space="0" w:color="auto"/>
                    <w:right w:val="none" w:sz="0" w:space="0" w:color="auto"/>
                  </w:divBdr>
                </w:div>
                <w:div w:id="1890728012">
                  <w:marLeft w:val="0"/>
                  <w:marRight w:val="0"/>
                  <w:marTop w:val="0"/>
                  <w:marBottom w:val="0"/>
                  <w:divBdr>
                    <w:top w:val="none" w:sz="0" w:space="0" w:color="auto"/>
                    <w:left w:val="none" w:sz="0" w:space="0" w:color="auto"/>
                    <w:bottom w:val="none" w:sz="0" w:space="0" w:color="auto"/>
                    <w:right w:val="none" w:sz="0" w:space="0" w:color="auto"/>
                  </w:divBdr>
                </w:div>
                <w:div w:id="1404718176">
                  <w:marLeft w:val="0"/>
                  <w:marRight w:val="0"/>
                  <w:marTop w:val="0"/>
                  <w:marBottom w:val="0"/>
                  <w:divBdr>
                    <w:top w:val="none" w:sz="0" w:space="0" w:color="auto"/>
                    <w:left w:val="none" w:sz="0" w:space="0" w:color="auto"/>
                    <w:bottom w:val="none" w:sz="0" w:space="0" w:color="auto"/>
                    <w:right w:val="none" w:sz="0" w:space="0" w:color="auto"/>
                  </w:divBdr>
                </w:div>
                <w:div w:id="217324773">
                  <w:marLeft w:val="0"/>
                  <w:marRight w:val="0"/>
                  <w:marTop w:val="0"/>
                  <w:marBottom w:val="0"/>
                  <w:divBdr>
                    <w:top w:val="none" w:sz="0" w:space="0" w:color="auto"/>
                    <w:left w:val="none" w:sz="0" w:space="0" w:color="auto"/>
                    <w:bottom w:val="none" w:sz="0" w:space="0" w:color="auto"/>
                    <w:right w:val="none" w:sz="0" w:space="0" w:color="auto"/>
                  </w:divBdr>
                </w:div>
                <w:div w:id="528567832">
                  <w:marLeft w:val="0"/>
                  <w:marRight w:val="0"/>
                  <w:marTop w:val="0"/>
                  <w:marBottom w:val="0"/>
                  <w:divBdr>
                    <w:top w:val="none" w:sz="0" w:space="0" w:color="auto"/>
                    <w:left w:val="none" w:sz="0" w:space="0" w:color="auto"/>
                    <w:bottom w:val="none" w:sz="0" w:space="0" w:color="auto"/>
                    <w:right w:val="none" w:sz="0" w:space="0" w:color="auto"/>
                  </w:divBdr>
                </w:div>
                <w:div w:id="173350860">
                  <w:marLeft w:val="0"/>
                  <w:marRight w:val="0"/>
                  <w:marTop w:val="0"/>
                  <w:marBottom w:val="0"/>
                  <w:divBdr>
                    <w:top w:val="none" w:sz="0" w:space="0" w:color="auto"/>
                    <w:left w:val="none" w:sz="0" w:space="0" w:color="auto"/>
                    <w:bottom w:val="none" w:sz="0" w:space="0" w:color="auto"/>
                    <w:right w:val="none" w:sz="0" w:space="0" w:color="auto"/>
                  </w:divBdr>
                </w:div>
                <w:div w:id="1473600579">
                  <w:marLeft w:val="0"/>
                  <w:marRight w:val="0"/>
                  <w:marTop w:val="0"/>
                  <w:marBottom w:val="0"/>
                  <w:divBdr>
                    <w:top w:val="none" w:sz="0" w:space="0" w:color="auto"/>
                    <w:left w:val="none" w:sz="0" w:space="0" w:color="auto"/>
                    <w:bottom w:val="none" w:sz="0" w:space="0" w:color="auto"/>
                    <w:right w:val="none" w:sz="0" w:space="0" w:color="auto"/>
                  </w:divBdr>
                </w:div>
                <w:div w:id="430006259">
                  <w:marLeft w:val="0"/>
                  <w:marRight w:val="0"/>
                  <w:marTop w:val="0"/>
                  <w:marBottom w:val="0"/>
                  <w:divBdr>
                    <w:top w:val="none" w:sz="0" w:space="0" w:color="auto"/>
                    <w:left w:val="none" w:sz="0" w:space="0" w:color="auto"/>
                    <w:bottom w:val="none" w:sz="0" w:space="0" w:color="auto"/>
                    <w:right w:val="none" w:sz="0" w:space="0" w:color="auto"/>
                  </w:divBdr>
                </w:div>
                <w:div w:id="329866295">
                  <w:marLeft w:val="0"/>
                  <w:marRight w:val="0"/>
                  <w:marTop w:val="0"/>
                  <w:marBottom w:val="0"/>
                  <w:divBdr>
                    <w:top w:val="none" w:sz="0" w:space="0" w:color="auto"/>
                    <w:left w:val="none" w:sz="0" w:space="0" w:color="auto"/>
                    <w:bottom w:val="none" w:sz="0" w:space="0" w:color="auto"/>
                    <w:right w:val="none" w:sz="0" w:space="0" w:color="auto"/>
                  </w:divBdr>
                </w:div>
                <w:div w:id="144500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9681254">
      <w:bodyDiv w:val="1"/>
      <w:marLeft w:val="0"/>
      <w:marRight w:val="0"/>
      <w:marTop w:val="0"/>
      <w:marBottom w:val="0"/>
      <w:divBdr>
        <w:top w:val="none" w:sz="0" w:space="0" w:color="auto"/>
        <w:left w:val="none" w:sz="0" w:space="0" w:color="auto"/>
        <w:bottom w:val="none" w:sz="0" w:space="0" w:color="auto"/>
        <w:right w:val="none" w:sz="0" w:space="0" w:color="auto"/>
      </w:divBdr>
      <w:divsChild>
        <w:div w:id="763232991">
          <w:marLeft w:val="0"/>
          <w:marRight w:val="0"/>
          <w:marTop w:val="0"/>
          <w:marBottom w:val="0"/>
          <w:divBdr>
            <w:top w:val="none" w:sz="0" w:space="0" w:color="auto"/>
            <w:left w:val="none" w:sz="0" w:space="0" w:color="auto"/>
            <w:bottom w:val="none" w:sz="0" w:space="0" w:color="auto"/>
            <w:right w:val="none" w:sz="0" w:space="0" w:color="auto"/>
          </w:divBdr>
        </w:div>
        <w:div w:id="459223383">
          <w:marLeft w:val="0"/>
          <w:marRight w:val="0"/>
          <w:marTop w:val="0"/>
          <w:marBottom w:val="0"/>
          <w:divBdr>
            <w:top w:val="none" w:sz="0" w:space="0" w:color="auto"/>
            <w:left w:val="none" w:sz="0" w:space="0" w:color="auto"/>
            <w:bottom w:val="none" w:sz="0" w:space="0" w:color="auto"/>
            <w:right w:val="none" w:sz="0" w:space="0" w:color="auto"/>
          </w:divBdr>
        </w:div>
        <w:div w:id="1682852808">
          <w:marLeft w:val="0"/>
          <w:marRight w:val="0"/>
          <w:marTop w:val="0"/>
          <w:marBottom w:val="0"/>
          <w:divBdr>
            <w:top w:val="none" w:sz="0" w:space="0" w:color="auto"/>
            <w:left w:val="none" w:sz="0" w:space="0" w:color="auto"/>
            <w:bottom w:val="none" w:sz="0" w:space="0" w:color="auto"/>
            <w:right w:val="none" w:sz="0" w:space="0" w:color="auto"/>
          </w:divBdr>
        </w:div>
      </w:divsChild>
    </w:div>
    <w:div w:id="1218513408">
      <w:bodyDiv w:val="1"/>
      <w:marLeft w:val="0"/>
      <w:marRight w:val="0"/>
      <w:marTop w:val="0"/>
      <w:marBottom w:val="0"/>
      <w:divBdr>
        <w:top w:val="none" w:sz="0" w:space="0" w:color="auto"/>
        <w:left w:val="none" w:sz="0" w:space="0" w:color="auto"/>
        <w:bottom w:val="none" w:sz="0" w:space="0" w:color="auto"/>
        <w:right w:val="none" w:sz="0" w:space="0" w:color="auto"/>
      </w:divBdr>
    </w:div>
    <w:div w:id="1397167325">
      <w:bodyDiv w:val="1"/>
      <w:marLeft w:val="0"/>
      <w:marRight w:val="0"/>
      <w:marTop w:val="0"/>
      <w:marBottom w:val="0"/>
      <w:divBdr>
        <w:top w:val="none" w:sz="0" w:space="0" w:color="auto"/>
        <w:left w:val="none" w:sz="0" w:space="0" w:color="auto"/>
        <w:bottom w:val="none" w:sz="0" w:space="0" w:color="auto"/>
        <w:right w:val="none" w:sz="0" w:space="0" w:color="auto"/>
      </w:divBdr>
    </w:div>
    <w:div w:id="1606498111">
      <w:bodyDiv w:val="1"/>
      <w:marLeft w:val="0"/>
      <w:marRight w:val="0"/>
      <w:marTop w:val="0"/>
      <w:marBottom w:val="0"/>
      <w:divBdr>
        <w:top w:val="none" w:sz="0" w:space="0" w:color="auto"/>
        <w:left w:val="none" w:sz="0" w:space="0" w:color="auto"/>
        <w:bottom w:val="none" w:sz="0" w:space="0" w:color="auto"/>
        <w:right w:val="none" w:sz="0" w:space="0" w:color="auto"/>
      </w:divBdr>
    </w:div>
    <w:div w:id="1610551040">
      <w:bodyDiv w:val="1"/>
      <w:marLeft w:val="0"/>
      <w:marRight w:val="0"/>
      <w:marTop w:val="0"/>
      <w:marBottom w:val="0"/>
      <w:divBdr>
        <w:top w:val="none" w:sz="0" w:space="0" w:color="auto"/>
        <w:left w:val="none" w:sz="0" w:space="0" w:color="auto"/>
        <w:bottom w:val="none" w:sz="0" w:space="0" w:color="auto"/>
        <w:right w:val="none" w:sz="0" w:space="0" w:color="auto"/>
      </w:divBdr>
    </w:div>
    <w:div w:id="1652909889">
      <w:bodyDiv w:val="1"/>
      <w:marLeft w:val="0"/>
      <w:marRight w:val="0"/>
      <w:marTop w:val="0"/>
      <w:marBottom w:val="0"/>
      <w:divBdr>
        <w:top w:val="none" w:sz="0" w:space="0" w:color="auto"/>
        <w:left w:val="none" w:sz="0" w:space="0" w:color="auto"/>
        <w:bottom w:val="none" w:sz="0" w:space="0" w:color="auto"/>
        <w:right w:val="none" w:sz="0" w:space="0" w:color="auto"/>
      </w:divBdr>
    </w:div>
    <w:div w:id="1734351493">
      <w:bodyDiv w:val="1"/>
      <w:marLeft w:val="0"/>
      <w:marRight w:val="0"/>
      <w:marTop w:val="0"/>
      <w:marBottom w:val="0"/>
      <w:divBdr>
        <w:top w:val="none" w:sz="0" w:space="0" w:color="auto"/>
        <w:left w:val="none" w:sz="0" w:space="0" w:color="auto"/>
        <w:bottom w:val="none" w:sz="0" w:space="0" w:color="auto"/>
        <w:right w:val="none" w:sz="0" w:space="0" w:color="auto"/>
      </w:divBdr>
      <w:divsChild>
        <w:div w:id="1450081706">
          <w:marLeft w:val="0"/>
          <w:marRight w:val="0"/>
          <w:marTop w:val="0"/>
          <w:marBottom w:val="0"/>
          <w:divBdr>
            <w:top w:val="none" w:sz="0" w:space="0" w:color="auto"/>
            <w:left w:val="none" w:sz="0" w:space="0" w:color="auto"/>
            <w:bottom w:val="none" w:sz="0" w:space="0" w:color="auto"/>
            <w:right w:val="none" w:sz="0" w:space="0" w:color="auto"/>
          </w:divBdr>
        </w:div>
        <w:div w:id="429815673">
          <w:marLeft w:val="0"/>
          <w:marRight w:val="0"/>
          <w:marTop w:val="0"/>
          <w:marBottom w:val="0"/>
          <w:divBdr>
            <w:top w:val="none" w:sz="0" w:space="0" w:color="auto"/>
            <w:left w:val="none" w:sz="0" w:space="0" w:color="auto"/>
            <w:bottom w:val="none" w:sz="0" w:space="0" w:color="auto"/>
            <w:right w:val="none" w:sz="0" w:space="0" w:color="auto"/>
          </w:divBdr>
        </w:div>
        <w:div w:id="159587892">
          <w:marLeft w:val="0"/>
          <w:marRight w:val="0"/>
          <w:marTop w:val="0"/>
          <w:marBottom w:val="0"/>
          <w:divBdr>
            <w:top w:val="none" w:sz="0" w:space="0" w:color="auto"/>
            <w:left w:val="none" w:sz="0" w:space="0" w:color="auto"/>
            <w:bottom w:val="none" w:sz="0" w:space="0" w:color="auto"/>
            <w:right w:val="none" w:sz="0" w:space="0" w:color="auto"/>
          </w:divBdr>
        </w:div>
        <w:div w:id="803304715">
          <w:marLeft w:val="0"/>
          <w:marRight w:val="0"/>
          <w:marTop w:val="0"/>
          <w:marBottom w:val="0"/>
          <w:divBdr>
            <w:top w:val="none" w:sz="0" w:space="0" w:color="auto"/>
            <w:left w:val="none" w:sz="0" w:space="0" w:color="auto"/>
            <w:bottom w:val="none" w:sz="0" w:space="0" w:color="auto"/>
            <w:right w:val="none" w:sz="0" w:space="0" w:color="auto"/>
          </w:divBdr>
        </w:div>
        <w:div w:id="1173645767">
          <w:marLeft w:val="0"/>
          <w:marRight w:val="0"/>
          <w:marTop w:val="0"/>
          <w:marBottom w:val="0"/>
          <w:divBdr>
            <w:top w:val="none" w:sz="0" w:space="0" w:color="auto"/>
            <w:left w:val="none" w:sz="0" w:space="0" w:color="auto"/>
            <w:bottom w:val="none" w:sz="0" w:space="0" w:color="auto"/>
            <w:right w:val="none" w:sz="0" w:space="0" w:color="auto"/>
          </w:divBdr>
        </w:div>
        <w:div w:id="284625677">
          <w:marLeft w:val="0"/>
          <w:marRight w:val="0"/>
          <w:marTop w:val="0"/>
          <w:marBottom w:val="0"/>
          <w:divBdr>
            <w:top w:val="none" w:sz="0" w:space="0" w:color="auto"/>
            <w:left w:val="none" w:sz="0" w:space="0" w:color="auto"/>
            <w:bottom w:val="none" w:sz="0" w:space="0" w:color="auto"/>
            <w:right w:val="none" w:sz="0" w:space="0" w:color="auto"/>
          </w:divBdr>
        </w:div>
        <w:div w:id="48499353">
          <w:marLeft w:val="0"/>
          <w:marRight w:val="0"/>
          <w:marTop w:val="0"/>
          <w:marBottom w:val="0"/>
          <w:divBdr>
            <w:top w:val="none" w:sz="0" w:space="0" w:color="auto"/>
            <w:left w:val="none" w:sz="0" w:space="0" w:color="auto"/>
            <w:bottom w:val="none" w:sz="0" w:space="0" w:color="auto"/>
            <w:right w:val="none" w:sz="0" w:space="0" w:color="auto"/>
          </w:divBdr>
        </w:div>
        <w:div w:id="569657894">
          <w:marLeft w:val="0"/>
          <w:marRight w:val="0"/>
          <w:marTop w:val="0"/>
          <w:marBottom w:val="0"/>
          <w:divBdr>
            <w:top w:val="none" w:sz="0" w:space="0" w:color="auto"/>
            <w:left w:val="none" w:sz="0" w:space="0" w:color="auto"/>
            <w:bottom w:val="none" w:sz="0" w:space="0" w:color="auto"/>
            <w:right w:val="none" w:sz="0" w:space="0" w:color="auto"/>
          </w:divBdr>
        </w:div>
        <w:div w:id="775827198">
          <w:marLeft w:val="0"/>
          <w:marRight w:val="0"/>
          <w:marTop w:val="0"/>
          <w:marBottom w:val="0"/>
          <w:divBdr>
            <w:top w:val="none" w:sz="0" w:space="0" w:color="auto"/>
            <w:left w:val="none" w:sz="0" w:space="0" w:color="auto"/>
            <w:bottom w:val="none" w:sz="0" w:space="0" w:color="auto"/>
            <w:right w:val="none" w:sz="0" w:space="0" w:color="auto"/>
          </w:divBdr>
        </w:div>
      </w:divsChild>
    </w:div>
    <w:div w:id="1894660896">
      <w:bodyDiv w:val="1"/>
      <w:marLeft w:val="0"/>
      <w:marRight w:val="0"/>
      <w:marTop w:val="0"/>
      <w:marBottom w:val="0"/>
      <w:divBdr>
        <w:top w:val="none" w:sz="0" w:space="0" w:color="auto"/>
        <w:left w:val="none" w:sz="0" w:space="0" w:color="auto"/>
        <w:bottom w:val="none" w:sz="0" w:space="0" w:color="auto"/>
        <w:right w:val="none" w:sz="0" w:space="0" w:color="auto"/>
      </w:divBdr>
      <w:divsChild>
        <w:div w:id="131599727">
          <w:marLeft w:val="0"/>
          <w:marRight w:val="0"/>
          <w:marTop w:val="0"/>
          <w:marBottom w:val="0"/>
          <w:divBdr>
            <w:top w:val="none" w:sz="0" w:space="0" w:color="auto"/>
            <w:left w:val="none" w:sz="0" w:space="0" w:color="auto"/>
            <w:bottom w:val="none" w:sz="0" w:space="0" w:color="auto"/>
            <w:right w:val="none" w:sz="0" w:space="0" w:color="auto"/>
          </w:divBdr>
          <w:divsChild>
            <w:div w:id="160170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307448">
      <w:bodyDiv w:val="1"/>
      <w:marLeft w:val="0"/>
      <w:marRight w:val="0"/>
      <w:marTop w:val="0"/>
      <w:marBottom w:val="0"/>
      <w:divBdr>
        <w:top w:val="none" w:sz="0" w:space="0" w:color="auto"/>
        <w:left w:val="none" w:sz="0" w:space="0" w:color="auto"/>
        <w:bottom w:val="none" w:sz="0" w:space="0" w:color="auto"/>
        <w:right w:val="none" w:sz="0" w:space="0" w:color="auto"/>
      </w:divBdr>
      <w:divsChild>
        <w:div w:id="1097824915">
          <w:marLeft w:val="0"/>
          <w:marRight w:val="0"/>
          <w:marTop w:val="0"/>
          <w:marBottom w:val="0"/>
          <w:divBdr>
            <w:top w:val="none" w:sz="0" w:space="0" w:color="auto"/>
            <w:left w:val="none" w:sz="0" w:space="0" w:color="auto"/>
            <w:bottom w:val="none" w:sz="0" w:space="0" w:color="auto"/>
            <w:right w:val="none" w:sz="0" w:space="0" w:color="auto"/>
          </w:divBdr>
          <w:divsChild>
            <w:div w:id="1710302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jackson@ucl.ac.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eta.ukdataservice.ac.uk/datacatalogue/studies/study?id=5050"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journals.plos.org/plosone/article?id=10.1371/journal.pone.01045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C8E692-3AA1-4E21-8ACD-6301A8E4D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30011</Words>
  <Characters>171066</Characters>
  <Application>Microsoft Office Word</Application>
  <DocSecurity>0</DocSecurity>
  <Lines>1425</Lines>
  <Paragraphs>401</Paragraphs>
  <ScaleCrop>false</ScaleCrop>
  <HeadingPairs>
    <vt:vector size="2" baseType="variant">
      <vt:variant>
        <vt:lpstr>Title</vt:lpstr>
      </vt:variant>
      <vt:variant>
        <vt:i4>1</vt:i4>
      </vt:variant>
    </vt:vector>
  </HeadingPairs>
  <TitlesOfParts>
    <vt:vector size="1" baseType="lpstr">
      <vt:lpstr/>
    </vt:vector>
  </TitlesOfParts>
  <Company>UCL</Company>
  <LinksUpToDate>false</LinksUpToDate>
  <CharactersWithSpaces>200676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Jackson</dc:creator>
  <cp:lastModifiedBy>Lee Smith</cp:lastModifiedBy>
  <cp:revision>2</cp:revision>
  <cp:lastPrinted>2014-05-09T09:33:00Z</cp:lastPrinted>
  <dcterms:created xsi:type="dcterms:W3CDTF">2019-04-24T05:19:00Z</dcterms:created>
  <dcterms:modified xsi:type="dcterms:W3CDTF">2019-04-24T05:19:00Z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zotero-version="5.0.53"&gt;&lt;session id="A4nDS9l3"/&gt;&lt;style id="http://www.zotero.org/styles/vancouver" locale="en-US" hasBibliography="1" bibliographyStyleHasBeenSet="1"/&gt;&lt;prefs&gt;&lt;pref name="fieldType" value="Field"/&gt;&lt;pref name="storeRef</vt:lpwstr>
  </property>
  <property fmtid="{D5CDD505-2E9C-101B-9397-08002B2CF9AE}" pid="3" name="ZOTERO_PREF_2">
    <vt:lpwstr>erences" value="true"/&gt;&lt;pref name="automaticJournalAbbreviations" value="true"/&gt;&lt;/prefs&gt;&lt;/data&gt;</vt:lpwstr>
  </property>
</Properties>
</file>