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0627D" w14:textId="4E03B890" w:rsidR="00BC707A" w:rsidRPr="00294D58" w:rsidRDefault="00BC707A" w:rsidP="00BC707A">
      <w:pPr>
        <w:pStyle w:val="Heading1"/>
        <w:rPr>
          <w:rFonts w:asciiTheme="minorHAnsi" w:hAnsiTheme="minorHAnsi" w:cstheme="minorHAnsi"/>
        </w:rPr>
      </w:pPr>
      <w:bookmarkStart w:id="0" w:name="_GoBack"/>
      <w:bookmarkEnd w:id="0"/>
      <w:r w:rsidRPr="00294D58">
        <w:rPr>
          <w:rFonts w:asciiTheme="minorHAnsi" w:hAnsiTheme="minorHAnsi" w:cstheme="minorHAnsi"/>
        </w:rPr>
        <w:t xml:space="preserve">Health behaviours and mental and physical health status in older adults with a history of homelessness: a </w:t>
      </w:r>
      <w:r w:rsidR="00FA223F" w:rsidRPr="00294D58">
        <w:rPr>
          <w:rFonts w:asciiTheme="minorHAnsi" w:hAnsiTheme="minorHAnsi" w:cstheme="minorHAnsi"/>
        </w:rPr>
        <w:t xml:space="preserve">cross-sectional </w:t>
      </w:r>
      <w:r w:rsidRPr="00294D58">
        <w:rPr>
          <w:rFonts w:asciiTheme="minorHAnsi" w:hAnsiTheme="minorHAnsi" w:cstheme="minorHAnsi"/>
        </w:rPr>
        <w:t>population-based study</w:t>
      </w:r>
      <w:r w:rsidR="00E46AD1" w:rsidRPr="00294D58">
        <w:rPr>
          <w:rFonts w:asciiTheme="minorHAnsi" w:hAnsiTheme="minorHAnsi" w:cstheme="minorHAnsi"/>
        </w:rPr>
        <w:t xml:space="preserve"> in England</w:t>
      </w:r>
    </w:p>
    <w:p w14:paraId="34FF28A8" w14:textId="77777777" w:rsidR="00BC707A" w:rsidRPr="00294D58" w:rsidRDefault="00BC707A" w:rsidP="00BC707A">
      <w:pPr>
        <w:jc w:val="center"/>
      </w:pPr>
      <w:r w:rsidRPr="00294D58">
        <w:t>Smith L,</w:t>
      </w:r>
      <w:r w:rsidRPr="00294D58">
        <w:rPr>
          <w:vertAlign w:val="superscript"/>
        </w:rPr>
        <w:t>1*</w:t>
      </w:r>
      <w:r w:rsidRPr="00294D58">
        <w:t xml:space="preserve"> Veronese N,</w:t>
      </w:r>
      <w:r w:rsidRPr="00294D58">
        <w:rPr>
          <w:vertAlign w:val="superscript"/>
        </w:rPr>
        <w:t>2</w:t>
      </w:r>
      <w:r w:rsidRPr="00294D58">
        <w:t xml:space="preserve"> López-Sánchez GF, </w:t>
      </w:r>
      <w:r w:rsidRPr="00294D58">
        <w:rPr>
          <w:vertAlign w:val="superscript"/>
        </w:rPr>
        <w:t xml:space="preserve">3 </w:t>
      </w:r>
      <w:r w:rsidRPr="00294D58">
        <w:t>Moller E,</w:t>
      </w:r>
      <w:r w:rsidRPr="00294D58">
        <w:rPr>
          <w:vertAlign w:val="superscript"/>
        </w:rPr>
        <w:t>4</w:t>
      </w:r>
      <w:r w:rsidRPr="00294D58">
        <w:t xml:space="preserve"> Johnstone J,</w:t>
      </w:r>
      <w:r w:rsidRPr="00294D58">
        <w:rPr>
          <w:vertAlign w:val="superscript"/>
        </w:rPr>
        <w:t>5</w:t>
      </w:r>
      <w:r w:rsidRPr="00294D58">
        <w:t xml:space="preserve"> Firth J,</w:t>
      </w:r>
      <w:r w:rsidRPr="00294D58">
        <w:rPr>
          <w:vertAlign w:val="superscript"/>
        </w:rPr>
        <w:t xml:space="preserve">6 </w:t>
      </w:r>
      <w:proofErr w:type="spellStart"/>
      <w:r w:rsidRPr="00294D58">
        <w:t>Grabovac</w:t>
      </w:r>
      <w:proofErr w:type="spellEnd"/>
      <w:r w:rsidRPr="00294D58">
        <w:t xml:space="preserve"> I,</w:t>
      </w:r>
      <w:r w:rsidRPr="00294D58">
        <w:rPr>
          <w:vertAlign w:val="superscript"/>
        </w:rPr>
        <w:t>7</w:t>
      </w:r>
      <w:r w:rsidRPr="00294D58">
        <w:t xml:space="preserve"> Yang L,</w:t>
      </w:r>
      <w:r w:rsidRPr="00294D58">
        <w:rPr>
          <w:vertAlign w:val="superscript"/>
        </w:rPr>
        <w:t xml:space="preserve">8 </w:t>
      </w:r>
      <w:proofErr w:type="spellStart"/>
      <w:r w:rsidRPr="00294D58">
        <w:t>Soysal</w:t>
      </w:r>
      <w:proofErr w:type="spellEnd"/>
      <w:r w:rsidRPr="00294D58">
        <w:t xml:space="preserve"> P,</w:t>
      </w:r>
      <w:r w:rsidRPr="00294D58">
        <w:rPr>
          <w:vertAlign w:val="superscript"/>
        </w:rPr>
        <w:t>9</w:t>
      </w:r>
      <w:r w:rsidRPr="00294D58">
        <w:t xml:space="preserve"> Jackson SE</w:t>
      </w:r>
      <w:r w:rsidRPr="00294D58">
        <w:rPr>
          <w:vertAlign w:val="superscript"/>
        </w:rPr>
        <w:t>10*</w:t>
      </w:r>
    </w:p>
    <w:p w14:paraId="3BC7874E" w14:textId="77777777" w:rsidR="00BC707A" w:rsidRPr="00294D58" w:rsidRDefault="00BC707A" w:rsidP="00F606ED">
      <w:pPr>
        <w:adjustRightInd w:val="0"/>
        <w:snapToGrid w:val="0"/>
        <w:spacing w:afterLines="120" w:after="288" w:line="240" w:lineRule="auto"/>
        <w:rPr>
          <w:rFonts w:eastAsia="Arial Unicode MS" w:cstheme="minorHAnsi"/>
          <w:shd w:val="clear" w:color="auto" w:fill="FFFFFF"/>
        </w:rPr>
      </w:pPr>
      <w:r w:rsidRPr="00294D58">
        <w:rPr>
          <w:rFonts w:cstheme="minorHAnsi"/>
        </w:rPr>
        <w:t xml:space="preserve">1. </w:t>
      </w:r>
      <w:r w:rsidRPr="00294D58">
        <w:rPr>
          <w:rFonts w:eastAsia="Arial Unicode MS" w:cstheme="minorHAnsi"/>
          <w:shd w:val="clear" w:color="auto" w:fill="FFFFFF"/>
        </w:rPr>
        <w:t xml:space="preserve">The Cambridge Centre for Sport and Exercise Sciences, Anglia Ruskin University, Cambridge. </w:t>
      </w:r>
      <w:hyperlink r:id="rId8" w:history="1">
        <w:r w:rsidRPr="00294D58">
          <w:rPr>
            <w:rStyle w:val="Hyperlink"/>
            <w:rFonts w:eastAsia="Arial Unicode MS" w:cstheme="minorHAnsi"/>
            <w:color w:val="auto"/>
            <w:shd w:val="clear" w:color="auto" w:fill="FFFFFF"/>
          </w:rPr>
          <w:t>Lee.Smith@anglia.ac.uk</w:t>
        </w:r>
      </w:hyperlink>
      <w:r w:rsidRPr="00294D58">
        <w:rPr>
          <w:rFonts w:eastAsia="Arial Unicode MS" w:cstheme="minorHAnsi"/>
          <w:shd w:val="clear" w:color="auto" w:fill="FFFFFF"/>
        </w:rPr>
        <w:t xml:space="preserve"> </w:t>
      </w:r>
    </w:p>
    <w:p w14:paraId="709E7FBE" w14:textId="77777777" w:rsidR="00BC707A" w:rsidRPr="00294D58" w:rsidRDefault="00BC707A" w:rsidP="00F606ED">
      <w:pPr>
        <w:adjustRightInd w:val="0"/>
        <w:snapToGrid w:val="0"/>
        <w:spacing w:afterLines="120" w:after="288" w:line="240" w:lineRule="auto"/>
        <w:rPr>
          <w:rFonts w:cstheme="minorHAnsi"/>
          <w:lang w:eastAsia="ar-SA"/>
        </w:rPr>
      </w:pPr>
      <w:r w:rsidRPr="00294D58">
        <w:rPr>
          <w:rFonts w:eastAsia="Arial Unicode MS" w:cstheme="minorHAnsi"/>
          <w:shd w:val="clear" w:color="auto" w:fill="FFFFFF"/>
        </w:rPr>
        <w:t xml:space="preserve">2. </w:t>
      </w:r>
      <w:r w:rsidRPr="00294D58">
        <w:rPr>
          <w:rFonts w:cstheme="minorHAnsi"/>
          <w:lang w:eastAsia="ar-SA"/>
        </w:rPr>
        <w:t xml:space="preserve">National Research Council, Neuroscience Institute, Aging Branch, Padova, Italy. </w:t>
      </w:r>
      <w:hyperlink r:id="rId9" w:history="1">
        <w:r w:rsidRPr="00294D58">
          <w:rPr>
            <w:rStyle w:val="Hyperlink"/>
            <w:color w:val="auto"/>
          </w:rPr>
          <w:t>ilmannato@gmail.com</w:t>
        </w:r>
      </w:hyperlink>
    </w:p>
    <w:p w14:paraId="0B979603" w14:textId="77777777" w:rsidR="00BC707A" w:rsidRPr="00294D58" w:rsidRDefault="00BC707A" w:rsidP="00F606ED">
      <w:pPr>
        <w:adjustRightInd w:val="0"/>
        <w:snapToGrid w:val="0"/>
        <w:spacing w:afterLines="120" w:after="288" w:line="240" w:lineRule="auto"/>
        <w:rPr>
          <w:rFonts w:cstheme="minorHAnsi"/>
          <w:lang w:eastAsia="ar-SA"/>
        </w:rPr>
      </w:pPr>
      <w:r w:rsidRPr="00294D58">
        <w:rPr>
          <w:rFonts w:cstheme="minorHAnsi"/>
          <w:lang w:eastAsia="ar-SA"/>
        </w:rPr>
        <w:t xml:space="preserve">3. Faculty of Sport Sciences, University of Murcia, Spain. </w:t>
      </w:r>
      <w:hyperlink r:id="rId10" w:history="1">
        <w:r w:rsidRPr="00294D58">
          <w:rPr>
            <w:rStyle w:val="Hyperlink"/>
            <w:rFonts w:cstheme="minorHAnsi"/>
            <w:color w:val="auto"/>
            <w:lang w:eastAsia="ar-SA"/>
          </w:rPr>
          <w:t>gfls@um.es</w:t>
        </w:r>
      </w:hyperlink>
      <w:r w:rsidRPr="00294D58">
        <w:rPr>
          <w:rFonts w:cstheme="minorHAnsi"/>
          <w:lang w:eastAsia="ar-SA"/>
        </w:rPr>
        <w:t xml:space="preserve"> </w:t>
      </w:r>
    </w:p>
    <w:p w14:paraId="5162997A" w14:textId="77777777" w:rsidR="00BC707A" w:rsidRPr="00294D58" w:rsidRDefault="00BC707A" w:rsidP="00F606ED">
      <w:pPr>
        <w:adjustRightInd w:val="0"/>
        <w:snapToGrid w:val="0"/>
        <w:spacing w:afterLines="120" w:after="288" w:line="240" w:lineRule="auto"/>
        <w:rPr>
          <w:rFonts w:cstheme="minorHAnsi"/>
          <w:lang w:eastAsia="ar-SA"/>
        </w:rPr>
      </w:pPr>
      <w:r w:rsidRPr="00294D58">
        <w:rPr>
          <w:rFonts w:cstheme="minorHAnsi"/>
          <w:lang w:eastAsia="ar-SA"/>
        </w:rPr>
        <w:t xml:space="preserve">4. The Single Homeless Project, UK, London. </w:t>
      </w:r>
      <w:hyperlink r:id="rId11" w:history="1">
        <w:r w:rsidRPr="00294D58">
          <w:rPr>
            <w:rStyle w:val="Hyperlink"/>
            <w:rFonts w:cstheme="minorHAnsi"/>
            <w:color w:val="auto"/>
            <w:lang w:eastAsia="ar-SA"/>
          </w:rPr>
          <w:t>Emoller@shp.org.uk</w:t>
        </w:r>
      </w:hyperlink>
      <w:r w:rsidRPr="00294D58">
        <w:rPr>
          <w:rFonts w:cstheme="minorHAnsi"/>
          <w:lang w:eastAsia="ar-SA"/>
        </w:rPr>
        <w:t xml:space="preserve"> </w:t>
      </w:r>
    </w:p>
    <w:p w14:paraId="4EA6B37D" w14:textId="77777777" w:rsidR="00BC707A" w:rsidRPr="00294D58" w:rsidRDefault="00BC707A" w:rsidP="00F606ED">
      <w:pPr>
        <w:adjustRightInd w:val="0"/>
        <w:snapToGrid w:val="0"/>
        <w:spacing w:afterLines="120" w:after="288" w:line="240" w:lineRule="auto"/>
        <w:rPr>
          <w:rFonts w:cstheme="minorHAnsi"/>
          <w:lang w:eastAsia="ar-SA"/>
        </w:rPr>
      </w:pPr>
      <w:r w:rsidRPr="00294D58">
        <w:rPr>
          <w:rFonts w:cstheme="minorHAnsi"/>
          <w:lang w:eastAsia="ar-SA"/>
        </w:rPr>
        <w:t>5.</w:t>
      </w:r>
      <w:r w:rsidRPr="00294D58">
        <w:rPr>
          <w:rFonts w:eastAsia="Arial Unicode MS" w:cstheme="minorHAnsi"/>
          <w:shd w:val="clear" w:color="auto" w:fill="FFFFFF"/>
        </w:rPr>
        <w:t xml:space="preserve"> The Cambridge Centre for Sport and Exercise Sciences, Anglia Ruskin University, Cambridge. </w:t>
      </w:r>
      <w:hyperlink r:id="rId12" w:history="1">
        <w:r w:rsidRPr="00294D58">
          <w:rPr>
            <w:rStyle w:val="Hyperlink"/>
            <w:rFonts w:cstheme="minorHAnsi"/>
            <w:color w:val="auto"/>
            <w:lang w:eastAsia="ar-SA"/>
          </w:rPr>
          <w:t>james.johnstone@anglia.ac.uk</w:t>
        </w:r>
      </w:hyperlink>
      <w:r w:rsidRPr="00294D58">
        <w:rPr>
          <w:rFonts w:cstheme="minorHAnsi"/>
          <w:lang w:eastAsia="ar-SA"/>
        </w:rPr>
        <w:t xml:space="preserve"> </w:t>
      </w:r>
    </w:p>
    <w:p w14:paraId="6C4097E7" w14:textId="77777777" w:rsidR="00BC707A" w:rsidRPr="00294D58" w:rsidRDefault="00BC707A" w:rsidP="00F606ED">
      <w:pPr>
        <w:adjustRightInd w:val="0"/>
        <w:snapToGrid w:val="0"/>
        <w:spacing w:afterLines="120" w:after="288" w:line="240" w:lineRule="auto"/>
        <w:rPr>
          <w:rFonts w:cstheme="minorHAnsi"/>
        </w:rPr>
      </w:pPr>
      <w:r w:rsidRPr="00294D58">
        <w:rPr>
          <w:rFonts w:cstheme="minorHAnsi"/>
          <w:lang w:eastAsia="ar-SA"/>
        </w:rPr>
        <w:t xml:space="preserve">6. </w:t>
      </w:r>
      <w:r w:rsidRPr="00294D58">
        <w:rPr>
          <w:rFonts w:cstheme="minorHAnsi"/>
          <w:lang w:eastAsia="zh-CN"/>
        </w:rPr>
        <w:t xml:space="preserve">NICM Health Research Institute, Western Sydney University, </w:t>
      </w:r>
      <w:proofErr w:type="spellStart"/>
      <w:r w:rsidRPr="00294D58">
        <w:rPr>
          <w:rFonts w:cstheme="minorHAnsi"/>
          <w:lang w:eastAsia="zh-CN"/>
        </w:rPr>
        <w:t>Westmead</w:t>
      </w:r>
      <w:proofErr w:type="spellEnd"/>
      <w:r w:rsidRPr="00294D58">
        <w:rPr>
          <w:rFonts w:cstheme="minorHAnsi"/>
          <w:lang w:eastAsia="zh-CN"/>
        </w:rPr>
        <w:t xml:space="preserve">, Australia. </w:t>
      </w:r>
      <w:hyperlink r:id="rId13" w:history="1">
        <w:r w:rsidRPr="00294D58">
          <w:rPr>
            <w:rStyle w:val="Hyperlink"/>
            <w:rFonts w:cstheme="minorHAnsi"/>
            <w:color w:val="auto"/>
            <w:lang w:eastAsia="zh-CN"/>
          </w:rPr>
          <w:t>j.firth@westernsydney.edu.au</w:t>
        </w:r>
      </w:hyperlink>
      <w:r w:rsidRPr="00294D58">
        <w:rPr>
          <w:rFonts w:cstheme="minorHAnsi"/>
          <w:lang w:eastAsia="zh-CN"/>
        </w:rPr>
        <w:t xml:space="preserve"> </w:t>
      </w:r>
    </w:p>
    <w:p w14:paraId="05105C6D" w14:textId="77777777" w:rsidR="00BC707A" w:rsidRPr="00294D58" w:rsidRDefault="00BC707A" w:rsidP="00BC707A">
      <w:pPr>
        <w:autoSpaceDE w:val="0"/>
        <w:autoSpaceDN w:val="0"/>
        <w:adjustRightInd w:val="0"/>
        <w:spacing w:after="0" w:line="240" w:lineRule="auto"/>
        <w:rPr>
          <w:rFonts w:eastAsiaTheme="minorHAnsi" w:cstheme="minorHAnsi"/>
        </w:rPr>
      </w:pPr>
      <w:r w:rsidRPr="00294D58">
        <w:rPr>
          <w:rFonts w:cstheme="minorHAnsi"/>
        </w:rPr>
        <w:t xml:space="preserve">7. </w:t>
      </w:r>
      <w:r w:rsidRPr="00294D58">
        <w:rPr>
          <w:rFonts w:eastAsiaTheme="minorHAnsi" w:cstheme="minorHAnsi"/>
        </w:rPr>
        <w:t xml:space="preserve">Department of Social and Preventive Medicine, Centre for Public Health, Medical University of Vienna, Vienna, Austria. </w:t>
      </w:r>
      <w:hyperlink r:id="rId14" w:history="1">
        <w:r w:rsidRPr="00294D58">
          <w:rPr>
            <w:rStyle w:val="Hyperlink"/>
            <w:color w:val="auto"/>
          </w:rPr>
          <w:t>igor.grabovac@meduniwien.ac.at</w:t>
        </w:r>
      </w:hyperlink>
      <w:r w:rsidRPr="00294D58">
        <w:t xml:space="preserve"> </w:t>
      </w:r>
    </w:p>
    <w:p w14:paraId="5FB67D77" w14:textId="77777777" w:rsidR="00BC707A" w:rsidRPr="00294D58" w:rsidRDefault="00BC707A" w:rsidP="00BC707A">
      <w:pPr>
        <w:autoSpaceDE w:val="0"/>
        <w:autoSpaceDN w:val="0"/>
        <w:adjustRightInd w:val="0"/>
        <w:spacing w:after="0" w:line="240" w:lineRule="auto"/>
        <w:rPr>
          <w:rFonts w:eastAsiaTheme="minorHAnsi" w:cstheme="minorHAnsi"/>
        </w:rPr>
      </w:pPr>
    </w:p>
    <w:p w14:paraId="76F81D16" w14:textId="77777777" w:rsidR="00BC707A" w:rsidRPr="00294D58" w:rsidRDefault="00BC707A" w:rsidP="00BC707A">
      <w:pPr>
        <w:autoSpaceDE w:val="0"/>
        <w:autoSpaceDN w:val="0"/>
        <w:adjustRightInd w:val="0"/>
        <w:spacing w:after="0" w:line="240" w:lineRule="auto"/>
        <w:rPr>
          <w:rFonts w:cstheme="minorHAnsi"/>
          <w:lang w:eastAsia="zh-CN"/>
        </w:rPr>
      </w:pPr>
      <w:r w:rsidRPr="00294D58">
        <w:rPr>
          <w:rFonts w:eastAsiaTheme="minorHAnsi" w:cstheme="minorHAnsi"/>
        </w:rPr>
        <w:t xml:space="preserve">8. </w:t>
      </w:r>
      <w:r w:rsidRPr="00294D58">
        <w:rPr>
          <w:rFonts w:cstheme="minorHAnsi"/>
          <w:lang w:eastAsia="zh-CN"/>
        </w:rPr>
        <w:t xml:space="preserve">Department of Epidemiology, </w:t>
      </w:r>
      <w:proofErr w:type="spellStart"/>
      <w:r w:rsidRPr="00294D58">
        <w:rPr>
          <w:rFonts w:cstheme="minorHAnsi"/>
          <w:lang w:eastAsia="zh-CN"/>
        </w:rPr>
        <w:t>Center</w:t>
      </w:r>
      <w:proofErr w:type="spellEnd"/>
      <w:r w:rsidRPr="00294D58">
        <w:rPr>
          <w:rFonts w:cstheme="minorHAnsi"/>
          <w:lang w:eastAsia="zh-CN"/>
        </w:rPr>
        <w:t xml:space="preserve"> for Public Health, Medical University of Vienna, Vienna, Austria. </w:t>
      </w:r>
      <w:hyperlink r:id="rId15" w:history="1">
        <w:r w:rsidRPr="00294D58">
          <w:rPr>
            <w:rStyle w:val="Hyperlink"/>
            <w:rFonts w:cstheme="minorHAnsi"/>
            <w:color w:val="auto"/>
            <w:lang w:eastAsia="zh-CN"/>
          </w:rPr>
          <w:t>Lin.yang@muv.ac.at</w:t>
        </w:r>
      </w:hyperlink>
      <w:r w:rsidRPr="00294D58">
        <w:rPr>
          <w:rFonts w:cstheme="minorHAnsi"/>
          <w:lang w:eastAsia="zh-CN"/>
        </w:rPr>
        <w:t xml:space="preserve"> </w:t>
      </w:r>
    </w:p>
    <w:p w14:paraId="2780D38C" w14:textId="77777777" w:rsidR="00BC707A" w:rsidRPr="00294D58" w:rsidRDefault="00BC707A" w:rsidP="00BC707A">
      <w:pPr>
        <w:autoSpaceDE w:val="0"/>
        <w:autoSpaceDN w:val="0"/>
        <w:adjustRightInd w:val="0"/>
        <w:spacing w:after="0" w:line="240" w:lineRule="auto"/>
        <w:rPr>
          <w:rFonts w:cstheme="minorHAnsi"/>
          <w:lang w:eastAsia="zh-CN"/>
        </w:rPr>
      </w:pPr>
    </w:p>
    <w:p w14:paraId="144073C2" w14:textId="77777777" w:rsidR="00BC707A" w:rsidRPr="00294D58" w:rsidRDefault="00BC707A" w:rsidP="00BC707A">
      <w:pPr>
        <w:tabs>
          <w:tab w:val="left" w:pos="420"/>
        </w:tabs>
        <w:spacing w:line="240" w:lineRule="auto"/>
        <w:rPr>
          <w:rFonts w:cstheme="minorHAnsi"/>
        </w:rPr>
      </w:pPr>
      <w:r w:rsidRPr="00294D58">
        <w:rPr>
          <w:rFonts w:cstheme="minorHAnsi"/>
          <w:lang w:eastAsia="zh-CN"/>
        </w:rPr>
        <w:t xml:space="preserve">9. </w:t>
      </w:r>
      <w:r w:rsidRPr="00294D58">
        <w:rPr>
          <w:rFonts w:cstheme="minorHAnsi"/>
        </w:rPr>
        <w:t xml:space="preserve">Department of Geriatric Medicine, Faculty of Medicine, </w:t>
      </w:r>
      <w:proofErr w:type="spellStart"/>
      <w:r w:rsidRPr="00294D58">
        <w:rPr>
          <w:rFonts w:cstheme="minorHAnsi"/>
        </w:rPr>
        <w:t>Bezmialem</w:t>
      </w:r>
      <w:proofErr w:type="spellEnd"/>
      <w:r w:rsidRPr="00294D58">
        <w:rPr>
          <w:rFonts w:cstheme="minorHAnsi"/>
        </w:rPr>
        <w:t xml:space="preserve"> </w:t>
      </w:r>
      <w:proofErr w:type="spellStart"/>
      <w:r w:rsidRPr="00294D58">
        <w:rPr>
          <w:rFonts w:cstheme="minorHAnsi"/>
        </w:rPr>
        <w:t>Vakif</w:t>
      </w:r>
      <w:proofErr w:type="spellEnd"/>
      <w:r w:rsidRPr="00294D58">
        <w:rPr>
          <w:rFonts w:cstheme="minorHAnsi"/>
        </w:rPr>
        <w:t xml:space="preserve"> University, Istanbul, Turkey. </w:t>
      </w:r>
      <w:hyperlink r:id="rId16" w:history="1">
        <w:r w:rsidRPr="00294D58">
          <w:rPr>
            <w:rStyle w:val="Hyperlink"/>
            <w:rFonts w:cstheme="minorHAnsi"/>
            <w:color w:val="auto"/>
          </w:rPr>
          <w:t>dr.pinarsoysal@hotmail.com</w:t>
        </w:r>
      </w:hyperlink>
      <w:r w:rsidRPr="00294D58">
        <w:rPr>
          <w:rFonts w:cstheme="minorHAnsi"/>
        </w:rPr>
        <w:t xml:space="preserve"> </w:t>
      </w:r>
    </w:p>
    <w:p w14:paraId="07A5A169" w14:textId="77777777" w:rsidR="00BC707A" w:rsidRPr="00294D58" w:rsidRDefault="00BC707A" w:rsidP="00BC707A">
      <w:pPr>
        <w:tabs>
          <w:tab w:val="left" w:pos="420"/>
        </w:tabs>
        <w:spacing w:line="240" w:lineRule="auto"/>
        <w:rPr>
          <w:rFonts w:cstheme="minorHAnsi"/>
        </w:rPr>
      </w:pPr>
      <w:r w:rsidRPr="00294D58">
        <w:rPr>
          <w:rFonts w:cstheme="minorHAnsi"/>
        </w:rPr>
        <w:t xml:space="preserve">10. Department of Behavioural Science and Health, University College London, London, UK. </w:t>
      </w:r>
      <w:hyperlink r:id="rId17" w:history="1">
        <w:r w:rsidRPr="00294D58">
          <w:rPr>
            <w:rStyle w:val="Hyperlink"/>
            <w:rFonts w:cstheme="minorHAnsi"/>
            <w:color w:val="auto"/>
          </w:rPr>
          <w:t>s.e.jackson@ucl.ac.uk</w:t>
        </w:r>
      </w:hyperlink>
      <w:r w:rsidRPr="00294D58">
        <w:rPr>
          <w:rFonts w:cstheme="minorHAnsi"/>
        </w:rPr>
        <w:t xml:space="preserve"> </w:t>
      </w:r>
    </w:p>
    <w:p w14:paraId="782DFB01" w14:textId="77777777" w:rsidR="00BC707A" w:rsidRPr="00294D58" w:rsidRDefault="00BC707A" w:rsidP="00BC707A">
      <w:pPr>
        <w:autoSpaceDE w:val="0"/>
        <w:autoSpaceDN w:val="0"/>
        <w:adjustRightInd w:val="0"/>
        <w:spacing w:after="0" w:line="240" w:lineRule="auto"/>
        <w:rPr>
          <w:rFonts w:eastAsiaTheme="minorHAnsi" w:cstheme="minorHAnsi"/>
        </w:rPr>
      </w:pPr>
    </w:p>
    <w:p w14:paraId="1703489B" w14:textId="77777777" w:rsidR="00BC707A" w:rsidRPr="00294D58" w:rsidRDefault="00BC707A" w:rsidP="00BC707A">
      <w:pPr>
        <w:spacing w:after="0"/>
        <w:jc w:val="both"/>
        <w:rPr>
          <w:rFonts w:cs="Times New Roman"/>
          <w:u w:val="single"/>
        </w:rPr>
      </w:pPr>
      <w:r w:rsidRPr="00294D58">
        <w:rPr>
          <w:rFonts w:cstheme="minorHAnsi"/>
        </w:rPr>
        <w:t>*</w:t>
      </w:r>
      <w:r w:rsidRPr="00294D58">
        <w:rPr>
          <w:rFonts w:cs="Times New Roman"/>
          <w:b/>
        </w:rPr>
        <w:t xml:space="preserve">Corresponding authors: </w:t>
      </w:r>
      <w:r w:rsidRPr="00294D58">
        <w:rPr>
          <w:rFonts w:cs="Times New Roman"/>
        </w:rPr>
        <w:t xml:space="preserve">Dr Sarah E Jackson, PhD. Department of Behavioural Science and Health, University College London, 1-19 Torrington Place, London WC1E 6BT </w:t>
      </w:r>
      <w:hyperlink r:id="rId18" w:history="1">
        <w:r w:rsidRPr="00294D58">
          <w:rPr>
            <w:rStyle w:val="Hyperlink"/>
            <w:rFonts w:cs="Times New Roman"/>
            <w:color w:val="auto"/>
          </w:rPr>
          <w:t>s.e.jackson@ucl.ac.uk</w:t>
        </w:r>
      </w:hyperlink>
      <w:r w:rsidRPr="00294D58">
        <w:rPr>
          <w:rFonts w:cs="Times New Roman"/>
        </w:rPr>
        <w:t xml:space="preserve">; and Dr Lee Smith, PhD. Cambridge Centre for Sports and Exercise Sciences, Anglia Ruskin University, Cambridge </w:t>
      </w:r>
      <w:hyperlink r:id="rId19" w:history="1">
        <w:r w:rsidRPr="00294D58">
          <w:rPr>
            <w:rStyle w:val="Hyperlink"/>
            <w:rFonts w:cs="Times New Roman"/>
            <w:color w:val="auto"/>
          </w:rPr>
          <w:t>lee.smith@anglia.ac.uk</w:t>
        </w:r>
      </w:hyperlink>
    </w:p>
    <w:p w14:paraId="740523DE" w14:textId="77777777" w:rsidR="00BC707A" w:rsidRPr="00294D58" w:rsidRDefault="00BC707A" w:rsidP="00F606ED">
      <w:pPr>
        <w:adjustRightInd w:val="0"/>
        <w:snapToGrid w:val="0"/>
        <w:spacing w:afterLines="120" w:after="288" w:line="240" w:lineRule="auto"/>
        <w:rPr>
          <w:rFonts w:cstheme="minorHAnsi"/>
          <w:b/>
        </w:rPr>
      </w:pPr>
    </w:p>
    <w:p w14:paraId="043DF962" w14:textId="77777777" w:rsidR="00BC707A" w:rsidRPr="00294D58" w:rsidRDefault="00BC707A" w:rsidP="00BC707A">
      <w:pPr>
        <w:spacing w:after="0"/>
        <w:rPr>
          <w:rFonts w:cstheme="minorHAnsi"/>
          <w:b/>
        </w:rPr>
      </w:pPr>
      <w:r w:rsidRPr="00294D58">
        <w:rPr>
          <w:rFonts w:cstheme="minorHAnsi"/>
          <w:b/>
        </w:rPr>
        <w:t xml:space="preserve">Word count (excluding title page, abstract, references, figures and tables): </w:t>
      </w:r>
      <w:r w:rsidRPr="00294D58">
        <w:rPr>
          <w:rFonts w:cstheme="minorHAnsi"/>
        </w:rPr>
        <w:t>2726.</w:t>
      </w:r>
    </w:p>
    <w:p w14:paraId="5894D049" w14:textId="570D6044" w:rsidR="007C457B" w:rsidRPr="00294D58" w:rsidRDefault="007C457B" w:rsidP="007C457B">
      <w:pPr>
        <w:pStyle w:val="Heading1"/>
        <w:rPr>
          <w:rFonts w:asciiTheme="minorHAnsi" w:hAnsiTheme="minorHAnsi" w:cstheme="minorHAnsi"/>
        </w:rPr>
      </w:pPr>
      <w:r w:rsidRPr="00294D58">
        <w:rPr>
          <w:rFonts w:asciiTheme="minorHAnsi" w:hAnsiTheme="minorHAnsi" w:cstheme="minorHAnsi"/>
        </w:rPr>
        <w:lastRenderedPageBreak/>
        <w:t>Health behaviours and mental and physical health status in</w:t>
      </w:r>
      <w:r w:rsidR="00FA223F" w:rsidRPr="00294D58">
        <w:rPr>
          <w:rFonts w:asciiTheme="minorHAnsi" w:hAnsiTheme="minorHAnsi" w:cstheme="minorHAnsi"/>
        </w:rPr>
        <w:t xml:space="preserve"> </w:t>
      </w:r>
      <w:r w:rsidRPr="00294D58">
        <w:rPr>
          <w:rFonts w:asciiTheme="minorHAnsi" w:hAnsiTheme="minorHAnsi" w:cstheme="minorHAnsi"/>
        </w:rPr>
        <w:t xml:space="preserve">older adults with a history of homelessness: a </w:t>
      </w:r>
      <w:r w:rsidR="00FA223F" w:rsidRPr="00294D58">
        <w:rPr>
          <w:rFonts w:asciiTheme="minorHAnsi" w:hAnsiTheme="minorHAnsi" w:cstheme="minorHAnsi"/>
        </w:rPr>
        <w:t xml:space="preserve">cross-sectional </w:t>
      </w:r>
      <w:r w:rsidRPr="00294D58">
        <w:rPr>
          <w:rFonts w:asciiTheme="minorHAnsi" w:hAnsiTheme="minorHAnsi" w:cstheme="minorHAnsi"/>
        </w:rPr>
        <w:t>population-based study</w:t>
      </w:r>
      <w:r w:rsidR="001B2B9A" w:rsidRPr="00294D58">
        <w:rPr>
          <w:rFonts w:asciiTheme="minorHAnsi" w:hAnsiTheme="minorHAnsi" w:cstheme="minorHAnsi"/>
        </w:rPr>
        <w:t xml:space="preserve"> in England</w:t>
      </w:r>
    </w:p>
    <w:p w14:paraId="60075663" w14:textId="77777777" w:rsidR="00F606ED" w:rsidRPr="00294D58" w:rsidRDefault="00F606ED" w:rsidP="007C457B">
      <w:pPr>
        <w:pStyle w:val="Heading2"/>
        <w:spacing w:line="360" w:lineRule="auto"/>
        <w:rPr>
          <w:rFonts w:asciiTheme="minorHAnsi" w:hAnsiTheme="minorHAnsi" w:cstheme="minorHAnsi"/>
        </w:rPr>
      </w:pPr>
    </w:p>
    <w:p w14:paraId="1489F3F3" w14:textId="77777777" w:rsidR="007C457B" w:rsidRPr="00294D58" w:rsidRDefault="00375BE3" w:rsidP="007C457B">
      <w:pPr>
        <w:pStyle w:val="Heading2"/>
        <w:spacing w:line="360" w:lineRule="auto"/>
        <w:rPr>
          <w:rFonts w:asciiTheme="minorHAnsi" w:hAnsiTheme="minorHAnsi" w:cstheme="minorHAnsi"/>
        </w:rPr>
      </w:pPr>
      <w:r w:rsidRPr="00294D58">
        <w:rPr>
          <w:rFonts w:asciiTheme="minorHAnsi" w:hAnsiTheme="minorHAnsi" w:cstheme="minorHAnsi"/>
        </w:rPr>
        <w:t>ABSTRACT</w:t>
      </w:r>
    </w:p>
    <w:p w14:paraId="0B607EE8" w14:textId="77777777" w:rsidR="00F606ED" w:rsidRPr="00294D58" w:rsidRDefault="00F606ED" w:rsidP="00F606ED"/>
    <w:p w14:paraId="0FF144A7" w14:textId="64D1C75E" w:rsidR="005F171C" w:rsidRPr="00294D58" w:rsidRDefault="00DA6A4D" w:rsidP="005F171C">
      <w:pPr>
        <w:jc w:val="both"/>
        <w:rPr>
          <w:rFonts w:cstheme="minorHAnsi"/>
          <w:b/>
        </w:rPr>
      </w:pPr>
      <w:r w:rsidRPr="00294D58">
        <w:rPr>
          <w:rFonts w:cstheme="minorHAnsi"/>
          <w:b/>
        </w:rPr>
        <w:t>Objectives</w:t>
      </w:r>
      <w:r w:rsidR="005F171C" w:rsidRPr="00294D58">
        <w:rPr>
          <w:rFonts w:cstheme="minorHAnsi"/>
          <w:b/>
        </w:rPr>
        <w:t xml:space="preserve">: </w:t>
      </w:r>
      <w:r w:rsidR="005F171C" w:rsidRPr="00294D58">
        <w:rPr>
          <w:rFonts w:cstheme="minorHAnsi"/>
        </w:rPr>
        <w:t>This study compared (</w:t>
      </w:r>
      <w:proofErr w:type="spellStart"/>
      <w:r w:rsidR="005F171C" w:rsidRPr="00294D58">
        <w:rPr>
          <w:rFonts w:cstheme="minorHAnsi"/>
        </w:rPr>
        <w:t>i</w:t>
      </w:r>
      <w:proofErr w:type="spellEnd"/>
      <w:r w:rsidR="005F171C" w:rsidRPr="00294D58">
        <w:rPr>
          <w:rFonts w:cstheme="minorHAnsi"/>
        </w:rPr>
        <w:t xml:space="preserve">) levels of engagement in lifestyle risk behaviours and (ii) mental and physical health status in individuals who have previously been homeless to those of individuals who have not. </w:t>
      </w:r>
      <w:r w:rsidR="00F606ED" w:rsidRPr="00294D58">
        <w:rPr>
          <w:rFonts w:cstheme="minorHAnsi"/>
          <w:b/>
        </w:rPr>
        <w:t>Design</w:t>
      </w:r>
      <w:r w:rsidR="005F171C" w:rsidRPr="00294D58">
        <w:rPr>
          <w:rFonts w:cstheme="minorHAnsi"/>
          <w:b/>
        </w:rPr>
        <w:t xml:space="preserve">: </w:t>
      </w:r>
      <w:r w:rsidR="005F171C" w:rsidRPr="00294D58">
        <w:rPr>
          <w:rFonts w:cstheme="minorHAnsi"/>
        </w:rPr>
        <w:t xml:space="preserve">Cross-sectional. </w:t>
      </w:r>
      <w:r w:rsidR="00F606ED" w:rsidRPr="00294D58">
        <w:rPr>
          <w:rFonts w:cstheme="minorHAnsi"/>
          <w:b/>
        </w:rPr>
        <w:t xml:space="preserve">Participants: </w:t>
      </w:r>
      <w:r w:rsidR="005F171C" w:rsidRPr="00294D58">
        <w:rPr>
          <w:rFonts w:cstheme="minorHAnsi"/>
        </w:rPr>
        <w:t xml:space="preserve">Data were from participants (n=6,931) of the English Longitudinal Study of Ageing. </w:t>
      </w:r>
      <w:r w:rsidR="00F606ED" w:rsidRPr="00294D58">
        <w:rPr>
          <w:rFonts w:cstheme="minorHAnsi"/>
          <w:b/>
        </w:rPr>
        <w:t>M</w:t>
      </w:r>
      <w:r w:rsidR="00F606ED" w:rsidRPr="00294D58">
        <w:rPr>
          <w:rStyle w:val="Strong"/>
          <w:rFonts w:ascii="Helvetica" w:hAnsi="Helvetica" w:cs="Helvetica"/>
          <w:sz w:val="18"/>
          <w:szCs w:val="18"/>
          <w:bdr w:val="none" w:sz="0" w:space="0" w:color="auto" w:frame="1"/>
        </w:rPr>
        <w:t xml:space="preserve">easures: </w:t>
      </w:r>
      <w:r w:rsidR="005F171C" w:rsidRPr="00294D58">
        <w:rPr>
          <w:rFonts w:cstheme="minorHAnsi"/>
        </w:rPr>
        <w:t>Participants reported whether they had ever been homeless. We used regression models to analyse associations between homelessness and (</w:t>
      </w:r>
      <w:proofErr w:type="spellStart"/>
      <w:r w:rsidR="005F171C" w:rsidRPr="00294D58">
        <w:rPr>
          <w:rFonts w:cstheme="minorHAnsi"/>
        </w:rPr>
        <w:t>i</w:t>
      </w:r>
      <w:proofErr w:type="spellEnd"/>
      <w:r w:rsidR="005F171C" w:rsidRPr="00294D58">
        <w:rPr>
          <w:rFonts w:cstheme="minorHAnsi"/>
        </w:rPr>
        <w:t xml:space="preserve">) cigarette smoking, daily alcohol consumption and physical inactivity, adjusting for sociodemographic covariates (age, sex, ethnicity, highest level of education, marital status, and household non-pension wealth), and (ii) self-rated health, limiting long-standing illness, depressive symptoms, life satisfaction, quality of life and loneliness, </w:t>
      </w:r>
      <w:r w:rsidR="005F171C" w:rsidRPr="00294D58">
        <w:t xml:space="preserve">adjusting for </w:t>
      </w:r>
      <w:proofErr w:type="spellStart"/>
      <w:r w:rsidR="005F171C" w:rsidRPr="00294D58">
        <w:t>sociodemographics</w:t>
      </w:r>
      <w:proofErr w:type="spellEnd"/>
      <w:r w:rsidR="005F171C" w:rsidRPr="00294D58">
        <w:t xml:space="preserve"> and health behaviours.</w:t>
      </w:r>
      <w:r w:rsidR="00F606ED" w:rsidRPr="00294D58">
        <w:t xml:space="preserve"> </w:t>
      </w:r>
      <w:r w:rsidR="005F171C" w:rsidRPr="00294D58">
        <w:rPr>
          <w:rFonts w:cstheme="minorHAnsi"/>
          <w:b/>
        </w:rPr>
        <w:t xml:space="preserve">Results: </w:t>
      </w:r>
      <w:r w:rsidR="005F171C" w:rsidRPr="00294D58">
        <w:rPr>
          <w:rFonts w:cstheme="minorHAnsi"/>
        </w:rPr>
        <w:t>1</w:t>
      </w:r>
      <w:r w:rsidR="005F171C" w:rsidRPr="00294D58">
        <w:rPr>
          <w:rFonts w:eastAsiaTheme="majorEastAsia"/>
        </w:rPr>
        <w:t xml:space="preserve">04 participants (1.5%) reported having been homeless. Individuals who had been homeless were significantly more likely to </w:t>
      </w:r>
      <w:r w:rsidR="00C94DCD" w:rsidRPr="00294D58">
        <w:rPr>
          <w:rFonts w:eastAsiaTheme="majorEastAsia"/>
        </w:rPr>
        <w:t>be physically inactive</w:t>
      </w:r>
      <w:r w:rsidR="005F171C" w:rsidRPr="00294D58">
        <w:rPr>
          <w:rFonts w:eastAsiaTheme="majorEastAsia"/>
        </w:rPr>
        <w:t xml:space="preserve"> (OR=1.</w:t>
      </w:r>
      <w:r w:rsidR="00C94DCD" w:rsidRPr="00294D58">
        <w:rPr>
          <w:rFonts w:eastAsiaTheme="majorEastAsia"/>
        </w:rPr>
        <w:t>62</w:t>
      </w:r>
      <w:r w:rsidR="005F171C" w:rsidRPr="00294D58">
        <w:rPr>
          <w:rFonts w:eastAsiaTheme="majorEastAsia"/>
        </w:rPr>
        <w:t>, 95% CI 1.</w:t>
      </w:r>
      <w:r w:rsidR="00C94DCD" w:rsidRPr="00294D58">
        <w:rPr>
          <w:rFonts w:eastAsiaTheme="majorEastAsia"/>
        </w:rPr>
        <w:t>44</w:t>
      </w:r>
      <w:r w:rsidR="005F171C" w:rsidRPr="00294D58">
        <w:rPr>
          <w:rFonts w:eastAsiaTheme="majorEastAsia"/>
        </w:rPr>
        <w:t xml:space="preserve"> to 2.</w:t>
      </w:r>
      <w:r w:rsidR="00C94DCD" w:rsidRPr="00294D58">
        <w:rPr>
          <w:rFonts w:eastAsiaTheme="majorEastAsia"/>
        </w:rPr>
        <w:t>52</w:t>
      </w:r>
      <w:r w:rsidR="005F171C" w:rsidRPr="00294D58">
        <w:rPr>
          <w:rFonts w:eastAsiaTheme="majorEastAsia"/>
        </w:rPr>
        <w:t>),</w:t>
      </w:r>
      <w:r w:rsidR="00C94DCD" w:rsidRPr="00294D58">
        <w:rPr>
          <w:rFonts w:eastAsiaTheme="majorEastAsia"/>
        </w:rPr>
        <w:t xml:space="preserve"> report fair/bad/very bad self-rated health (OR=1.75, 95% CI 1.07 to 2.86),</w:t>
      </w:r>
      <w:r w:rsidR="005F171C" w:rsidRPr="00294D58">
        <w:rPr>
          <w:rFonts w:eastAsiaTheme="majorEastAsia"/>
        </w:rPr>
        <w:t xml:space="preserve"> have a limiting long-standing illness (OR=2.</w:t>
      </w:r>
      <w:r w:rsidR="00C94DCD" w:rsidRPr="00294D58">
        <w:rPr>
          <w:rFonts w:eastAsiaTheme="majorEastAsia"/>
        </w:rPr>
        <w:t>66</w:t>
      </w:r>
      <w:r w:rsidR="005F171C" w:rsidRPr="00294D58">
        <w:rPr>
          <w:rFonts w:eastAsiaTheme="majorEastAsia"/>
        </w:rPr>
        <w:t>, 95% CI 1.</w:t>
      </w:r>
      <w:r w:rsidR="00C94DCD" w:rsidRPr="00294D58">
        <w:rPr>
          <w:rFonts w:eastAsiaTheme="majorEastAsia"/>
        </w:rPr>
        <w:t>65</w:t>
      </w:r>
      <w:r w:rsidR="005F171C" w:rsidRPr="00294D58">
        <w:rPr>
          <w:rFonts w:eastAsiaTheme="majorEastAsia"/>
        </w:rPr>
        <w:t xml:space="preserve"> to 4.</w:t>
      </w:r>
      <w:r w:rsidR="00C94DCD" w:rsidRPr="00294D58">
        <w:rPr>
          <w:rFonts w:eastAsiaTheme="majorEastAsia"/>
        </w:rPr>
        <w:t>30</w:t>
      </w:r>
      <w:r w:rsidR="005F171C" w:rsidRPr="00294D58">
        <w:rPr>
          <w:rFonts w:eastAsiaTheme="majorEastAsia"/>
        </w:rPr>
        <w:t>) and be depressed (OR=3.</w:t>
      </w:r>
      <w:r w:rsidR="00C94DCD" w:rsidRPr="00294D58">
        <w:rPr>
          <w:rFonts w:eastAsiaTheme="majorEastAsia"/>
        </w:rPr>
        <w:t>06</w:t>
      </w:r>
      <w:r w:rsidR="005F171C" w:rsidRPr="00294D58">
        <w:rPr>
          <w:rFonts w:eastAsiaTheme="majorEastAsia"/>
        </w:rPr>
        <w:t xml:space="preserve">, 95% CI </w:t>
      </w:r>
      <w:r w:rsidR="00C94DCD" w:rsidRPr="00294D58">
        <w:rPr>
          <w:rFonts w:eastAsiaTheme="majorEastAsia"/>
        </w:rPr>
        <w:t>1.85</w:t>
      </w:r>
      <w:r w:rsidR="005F171C" w:rsidRPr="00294D58">
        <w:rPr>
          <w:rFonts w:eastAsiaTheme="majorEastAsia"/>
        </w:rPr>
        <w:t xml:space="preserve"> to 5.</w:t>
      </w:r>
      <w:r w:rsidR="00C94DCD" w:rsidRPr="00294D58">
        <w:rPr>
          <w:rFonts w:eastAsiaTheme="majorEastAsia"/>
        </w:rPr>
        <w:t>05</w:t>
      </w:r>
      <w:r w:rsidR="005F171C" w:rsidRPr="00294D58">
        <w:rPr>
          <w:rFonts w:eastAsiaTheme="majorEastAsia"/>
        </w:rPr>
        <w:t xml:space="preserve">), and scored lower on measures of life satisfaction (17.34 vs. 19.96, </w:t>
      </w:r>
      <w:r w:rsidR="005F171C" w:rsidRPr="00294D58">
        <w:rPr>
          <w:rFonts w:eastAsiaTheme="majorEastAsia"/>
          <w:i/>
        </w:rPr>
        <w:t>p</w:t>
      </w:r>
      <w:r w:rsidR="005F171C" w:rsidRPr="00294D58">
        <w:rPr>
          <w:rFonts w:eastAsiaTheme="majorEastAsia"/>
        </w:rPr>
        <w:t xml:space="preserve">&lt;0.001) and quality of life (39.02 vs. 41.21, </w:t>
      </w:r>
      <w:r w:rsidR="005F171C" w:rsidRPr="00294D58">
        <w:rPr>
          <w:rFonts w:eastAsiaTheme="majorEastAsia"/>
          <w:i/>
        </w:rPr>
        <w:t>p</w:t>
      </w:r>
      <w:r w:rsidR="005F171C" w:rsidRPr="00294D58">
        <w:rPr>
          <w:rFonts w:eastAsiaTheme="majorEastAsia"/>
        </w:rPr>
        <w:t xml:space="preserve">=0.013). Rates of </w:t>
      </w:r>
      <w:r w:rsidR="00C94DCD" w:rsidRPr="00294D58">
        <w:rPr>
          <w:rFonts w:eastAsiaTheme="majorEastAsia"/>
        </w:rPr>
        <w:t xml:space="preserve">smoking (20.2% vs. 15.4%, </w:t>
      </w:r>
      <w:r w:rsidR="00C94DCD" w:rsidRPr="00294D58">
        <w:rPr>
          <w:rFonts w:eastAsiaTheme="majorEastAsia"/>
          <w:i/>
        </w:rPr>
        <w:t>p</w:t>
      </w:r>
      <w:r w:rsidR="00C94DCD" w:rsidRPr="00294D58">
        <w:rPr>
          <w:rFonts w:eastAsiaTheme="majorEastAsia"/>
        </w:rPr>
        <w:t xml:space="preserve">=0.436), </w:t>
      </w:r>
      <w:r w:rsidR="005F171C" w:rsidRPr="00294D58">
        <w:rPr>
          <w:rFonts w:eastAsiaTheme="majorEastAsia"/>
        </w:rPr>
        <w:t xml:space="preserve">daily drinking (27.6% vs. 22.8%, </w:t>
      </w:r>
      <w:r w:rsidR="005F171C" w:rsidRPr="00294D58">
        <w:rPr>
          <w:rFonts w:eastAsiaTheme="majorEastAsia"/>
          <w:i/>
        </w:rPr>
        <w:t>p</w:t>
      </w:r>
      <w:r w:rsidR="005F171C" w:rsidRPr="00294D58">
        <w:rPr>
          <w:rFonts w:eastAsiaTheme="majorEastAsia"/>
        </w:rPr>
        <w:t xml:space="preserve">=0.385), and loneliness (27.1% vs. 21.0%, </w:t>
      </w:r>
      <w:r w:rsidR="005F171C" w:rsidRPr="00294D58">
        <w:rPr>
          <w:rFonts w:eastAsiaTheme="majorEastAsia"/>
          <w:i/>
        </w:rPr>
        <w:t>p</w:t>
      </w:r>
      <w:r w:rsidR="005F171C" w:rsidRPr="00294D58">
        <w:rPr>
          <w:rFonts w:eastAsiaTheme="majorEastAsia"/>
        </w:rPr>
        <w:t>=0.080) were also elevated.</w:t>
      </w:r>
      <w:r w:rsidR="00F606ED" w:rsidRPr="00294D58">
        <w:rPr>
          <w:rFonts w:eastAsiaTheme="majorEastAsia"/>
        </w:rPr>
        <w:t xml:space="preserve"> </w:t>
      </w:r>
      <w:r w:rsidR="00322D53" w:rsidRPr="00294D58">
        <w:rPr>
          <w:rFonts w:cstheme="minorHAnsi"/>
          <w:b/>
        </w:rPr>
        <w:t>Conclusion</w:t>
      </w:r>
      <w:r w:rsidR="00F606ED" w:rsidRPr="00294D58">
        <w:rPr>
          <w:rFonts w:cstheme="minorHAnsi"/>
          <w:b/>
        </w:rPr>
        <w:t>s</w:t>
      </w:r>
      <w:r w:rsidR="005F171C" w:rsidRPr="00294D58">
        <w:rPr>
          <w:rFonts w:cstheme="minorHAnsi"/>
          <w:b/>
        </w:rPr>
        <w:t xml:space="preserve">: </w:t>
      </w:r>
      <w:r w:rsidR="005F171C" w:rsidRPr="00294D58">
        <w:rPr>
          <w:rFonts w:eastAsiaTheme="majorEastAsia" w:cstheme="minorHAnsi"/>
        </w:rPr>
        <w:t xml:space="preserve">Those who were once homeless have poorer mental and physical health outcomes and are more likely to </w:t>
      </w:r>
      <w:r w:rsidR="000F75B1" w:rsidRPr="00294D58">
        <w:rPr>
          <w:rFonts w:eastAsiaTheme="majorEastAsia" w:cstheme="minorHAnsi"/>
        </w:rPr>
        <w:t>be physically inactive</w:t>
      </w:r>
      <w:r w:rsidR="005F171C" w:rsidRPr="00294D58">
        <w:rPr>
          <w:rFonts w:eastAsiaTheme="majorEastAsia" w:cstheme="minorHAnsi"/>
        </w:rPr>
        <w:t>. Interventions to improve their health and quality of life are required.</w:t>
      </w:r>
    </w:p>
    <w:p w14:paraId="35E38140" w14:textId="77777777" w:rsidR="007C457B" w:rsidRPr="00294D58" w:rsidRDefault="007C457B" w:rsidP="007C457B">
      <w:pPr>
        <w:spacing w:after="0"/>
        <w:rPr>
          <w:rFonts w:cs="Times New Roman"/>
          <w:b/>
        </w:rPr>
      </w:pPr>
      <w:r w:rsidRPr="00294D58">
        <w:rPr>
          <w:rFonts w:cs="Times New Roman"/>
          <w:b/>
        </w:rPr>
        <w:tab/>
      </w:r>
    </w:p>
    <w:p w14:paraId="73E25222" w14:textId="77777777" w:rsidR="0083370B" w:rsidRPr="00294D58" w:rsidRDefault="0083370B" w:rsidP="00F606ED">
      <w:pPr>
        <w:adjustRightInd w:val="0"/>
        <w:snapToGrid w:val="0"/>
        <w:spacing w:afterLines="120" w:after="288" w:line="480" w:lineRule="auto"/>
        <w:rPr>
          <w:rFonts w:cstheme="minorHAnsi"/>
        </w:rPr>
      </w:pPr>
      <w:r w:rsidRPr="00294D58">
        <w:rPr>
          <w:rFonts w:cstheme="minorHAnsi"/>
          <w:b/>
        </w:rPr>
        <w:t>Keywords:</w:t>
      </w:r>
      <w:r w:rsidRPr="00294D58">
        <w:rPr>
          <w:rFonts w:cstheme="minorHAnsi"/>
        </w:rPr>
        <w:t xml:space="preserve"> Homelessness, physical health, mental health, health behaviour, older adults.</w:t>
      </w:r>
    </w:p>
    <w:p w14:paraId="4C75D30B" w14:textId="77777777" w:rsidR="00BC707A" w:rsidRPr="00294D58" w:rsidRDefault="00BC707A" w:rsidP="008224C1">
      <w:pPr>
        <w:pStyle w:val="Heading2"/>
        <w:spacing w:line="360" w:lineRule="auto"/>
        <w:jc w:val="both"/>
      </w:pPr>
    </w:p>
    <w:p w14:paraId="5F2E2E07" w14:textId="77777777" w:rsidR="00F606ED" w:rsidRPr="00294D58" w:rsidRDefault="00F606ED" w:rsidP="00F606ED"/>
    <w:p w14:paraId="09A8A501" w14:textId="77777777" w:rsidR="00096ABB" w:rsidRPr="00294D58" w:rsidRDefault="00096ABB" w:rsidP="00096ABB">
      <w:pPr>
        <w:spacing w:line="480" w:lineRule="auto"/>
        <w:rPr>
          <w:b/>
        </w:rPr>
      </w:pPr>
      <w:r w:rsidRPr="00294D58">
        <w:rPr>
          <w:b/>
        </w:rPr>
        <w:lastRenderedPageBreak/>
        <w:t xml:space="preserve">Strengths and limitations of this study </w:t>
      </w:r>
    </w:p>
    <w:p w14:paraId="25CEBE67" w14:textId="77777777" w:rsidR="00096ABB" w:rsidRPr="00294D58" w:rsidRDefault="00096ABB" w:rsidP="00096ABB">
      <w:pPr>
        <w:pStyle w:val="ListParagraph"/>
        <w:numPr>
          <w:ilvl w:val="0"/>
          <w:numId w:val="14"/>
        </w:numPr>
        <w:jc w:val="both"/>
      </w:pPr>
      <w:r w:rsidRPr="00294D58">
        <w:rPr>
          <w:rFonts w:cstheme="minorHAnsi"/>
        </w:rPr>
        <w:t xml:space="preserve">To our knowledge, this is the first study to examine health outcomes in those who have transitioned out of homelessness. </w:t>
      </w:r>
    </w:p>
    <w:p w14:paraId="076B4140" w14:textId="77777777" w:rsidR="00096ABB" w:rsidRPr="00294D58" w:rsidRDefault="00096ABB" w:rsidP="00096ABB">
      <w:pPr>
        <w:pStyle w:val="ListParagraph"/>
        <w:numPr>
          <w:ilvl w:val="0"/>
          <w:numId w:val="14"/>
        </w:numPr>
        <w:jc w:val="both"/>
      </w:pPr>
      <w:r w:rsidRPr="00294D58">
        <w:rPr>
          <w:rFonts w:cstheme="minorHAnsi"/>
        </w:rPr>
        <w:t xml:space="preserve">The very small number of participants with a history of homelessness in our sample meant that analyses were underpowered to detect modest differences between groups. </w:t>
      </w:r>
    </w:p>
    <w:p w14:paraId="38B2E0D5" w14:textId="77777777" w:rsidR="00096ABB" w:rsidRPr="00294D58" w:rsidRDefault="00096ABB" w:rsidP="00096ABB">
      <w:pPr>
        <w:pStyle w:val="ListParagraph"/>
        <w:numPr>
          <w:ilvl w:val="0"/>
          <w:numId w:val="14"/>
        </w:numPr>
        <w:jc w:val="both"/>
      </w:pPr>
      <w:r w:rsidRPr="00294D58">
        <w:rPr>
          <w:rFonts w:cstheme="minorHAnsi"/>
        </w:rPr>
        <w:t xml:space="preserve">However, the fact that we observed significant differences in the majority of the outcomes we analysed attests to the strength of these associations. </w:t>
      </w:r>
    </w:p>
    <w:p w14:paraId="41682824" w14:textId="77777777" w:rsidR="00096ABB" w:rsidRPr="00294D58" w:rsidRDefault="00096ABB" w:rsidP="00096ABB">
      <w:pPr>
        <w:pStyle w:val="ListParagraph"/>
        <w:numPr>
          <w:ilvl w:val="0"/>
          <w:numId w:val="14"/>
        </w:numPr>
        <w:jc w:val="both"/>
      </w:pPr>
      <w:r w:rsidRPr="00294D58">
        <w:rPr>
          <w:rFonts w:cstheme="minorHAnsi"/>
        </w:rPr>
        <w:t xml:space="preserve">Information on time since the period(s) of homelessness was not available so we were unable to evaluate the extent to which recency of homelessness is related to our outcomes of interest. </w:t>
      </w:r>
    </w:p>
    <w:p w14:paraId="53D8C1F9" w14:textId="77777777" w:rsidR="00C1393F" w:rsidRPr="00294D58" w:rsidRDefault="00C1393F" w:rsidP="00096ABB">
      <w:pPr>
        <w:pStyle w:val="ListParagraph"/>
        <w:numPr>
          <w:ilvl w:val="0"/>
          <w:numId w:val="14"/>
        </w:numPr>
        <w:jc w:val="both"/>
      </w:pPr>
      <w:r w:rsidRPr="00294D58">
        <w:rPr>
          <w:rFonts w:cstheme="minorHAnsi"/>
        </w:rPr>
        <w:t>Information on what way the participants were homeless (rough sleepers, statutory homeless families) was not available.</w:t>
      </w:r>
    </w:p>
    <w:p w14:paraId="3D963F94" w14:textId="77777777" w:rsidR="008224C1" w:rsidRPr="00294D58" w:rsidRDefault="008224C1" w:rsidP="007C457B">
      <w:pPr>
        <w:pStyle w:val="Heading2"/>
        <w:spacing w:line="360" w:lineRule="auto"/>
      </w:pPr>
    </w:p>
    <w:p w14:paraId="4811ED9A" w14:textId="77777777" w:rsidR="008224C1" w:rsidRPr="00294D58" w:rsidRDefault="008224C1" w:rsidP="007C457B">
      <w:pPr>
        <w:pStyle w:val="Heading2"/>
        <w:spacing w:line="360" w:lineRule="auto"/>
      </w:pPr>
    </w:p>
    <w:p w14:paraId="72D508CE" w14:textId="77777777" w:rsidR="008224C1" w:rsidRPr="00294D58" w:rsidRDefault="008224C1" w:rsidP="007C457B">
      <w:pPr>
        <w:pStyle w:val="Heading2"/>
        <w:spacing w:line="360" w:lineRule="auto"/>
      </w:pPr>
    </w:p>
    <w:p w14:paraId="71BFBB32" w14:textId="77777777" w:rsidR="008224C1" w:rsidRPr="00294D58" w:rsidRDefault="008224C1" w:rsidP="007C457B">
      <w:pPr>
        <w:pStyle w:val="Heading2"/>
        <w:spacing w:line="360" w:lineRule="auto"/>
      </w:pPr>
    </w:p>
    <w:p w14:paraId="637D70D0" w14:textId="77777777" w:rsidR="008224C1" w:rsidRPr="00294D58" w:rsidRDefault="008224C1" w:rsidP="007C457B">
      <w:pPr>
        <w:pStyle w:val="Heading2"/>
        <w:spacing w:line="360" w:lineRule="auto"/>
      </w:pPr>
    </w:p>
    <w:p w14:paraId="5E5DBAF2" w14:textId="77777777" w:rsidR="008224C1" w:rsidRPr="00294D58" w:rsidRDefault="008224C1" w:rsidP="007C457B">
      <w:pPr>
        <w:pStyle w:val="Heading2"/>
        <w:spacing w:line="360" w:lineRule="auto"/>
      </w:pPr>
    </w:p>
    <w:p w14:paraId="4CD9B885" w14:textId="77777777" w:rsidR="008224C1" w:rsidRPr="00294D58" w:rsidRDefault="008224C1" w:rsidP="007C457B">
      <w:pPr>
        <w:pStyle w:val="Heading2"/>
        <w:spacing w:line="360" w:lineRule="auto"/>
      </w:pPr>
    </w:p>
    <w:p w14:paraId="5788A1A7" w14:textId="77777777" w:rsidR="008224C1" w:rsidRPr="00294D58" w:rsidRDefault="008224C1" w:rsidP="007C457B">
      <w:pPr>
        <w:pStyle w:val="Heading2"/>
        <w:spacing w:line="360" w:lineRule="auto"/>
      </w:pPr>
    </w:p>
    <w:p w14:paraId="2FAE6D9E" w14:textId="77777777" w:rsidR="00096ABB" w:rsidRPr="00294D58" w:rsidRDefault="00096ABB" w:rsidP="00096ABB"/>
    <w:p w14:paraId="51B01A18" w14:textId="77777777" w:rsidR="008224C1" w:rsidRPr="00294D58" w:rsidRDefault="008224C1" w:rsidP="007C457B">
      <w:pPr>
        <w:pStyle w:val="Heading2"/>
        <w:spacing w:line="360" w:lineRule="auto"/>
      </w:pPr>
    </w:p>
    <w:p w14:paraId="6BE5E06F" w14:textId="77777777" w:rsidR="00096ABB" w:rsidRPr="00294D58" w:rsidRDefault="00096ABB" w:rsidP="00096ABB"/>
    <w:p w14:paraId="6CDFFABB" w14:textId="77777777" w:rsidR="00C1393F" w:rsidRPr="00294D58" w:rsidRDefault="00C1393F" w:rsidP="00096ABB"/>
    <w:p w14:paraId="67A2D43D" w14:textId="77777777" w:rsidR="007C457B" w:rsidRPr="00294D58" w:rsidRDefault="00375BE3" w:rsidP="007C457B">
      <w:pPr>
        <w:pStyle w:val="Heading2"/>
        <w:spacing w:line="360" w:lineRule="auto"/>
      </w:pPr>
      <w:r w:rsidRPr="00294D58">
        <w:lastRenderedPageBreak/>
        <w:t>INTRODUCTION</w:t>
      </w:r>
    </w:p>
    <w:p w14:paraId="6CB50F2F" w14:textId="0EAE4A58" w:rsidR="008950A8" w:rsidRPr="00294D58" w:rsidRDefault="00826F24" w:rsidP="00E3247D">
      <w:r w:rsidRPr="00294D58">
        <w:t xml:space="preserve">Homelessness </w:t>
      </w:r>
      <w:r w:rsidR="00CC59BF" w:rsidRPr="00294D58">
        <w:t>is a substantial and growing problem</w:t>
      </w:r>
      <w:r w:rsidR="00E84824" w:rsidRPr="00294D58">
        <w:t xml:space="preserve"> </w:t>
      </w:r>
      <w:r w:rsidR="00CC59BF" w:rsidRPr="00294D58">
        <w:t>i</w:t>
      </w:r>
      <w:r w:rsidR="00C46306" w:rsidRPr="00294D58">
        <w:t>n the United Kingdom</w:t>
      </w:r>
      <w:r w:rsidRPr="00294D58">
        <w:t>.</w:t>
      </w:r>
      <w:r w:rsidR="00E84824" w:rsidRPr="00294D58">
        <w:t xml:space="preserve"> </w:t>
      </w:r>
      <w:r w:rsidR="00CC59BF" w:rsidRPr="00294D58">
        <w:t>The annual homelessness monitor from Crisis and the Joseph Rowntree Foundation showed that i</w:t>
      </w:r>
      <w:r w:rsidRPr="00294D58">
        <w:t xml:space="preserve">n 2015/16 </w:t>
      </w:r>
      <w:r w:rsidR="00C46306" w:rsidRPr="00294D58">
        <w:t>there were 271,000 local authority homelessness case actions</w:t>
      </w:r>
      <w:r w:rsidR="007001A0" w:rsidRPr="00294D58">
        <w:t xml:space="preserve"> in the UK</w:t>
      </w:r>
      <w:r w:rsidR="00C46306" w:rsidRPr="00294D58">
        <w:t>, a rise of 32% since 2009/10</w:t>
      </w:r>
      <w:r w:rsidR="00D62217" w:rsidRPr="00294D58">
        <w:t>.</w:t>
      </w:r>
      <w:r w:rsidR="00AD7661" w:rsidRPr="00294D58">
        <w:fldChar w:fldCharType="begin"/>
      </w:r>
      <w:r w:rsidR="005F27D3" w:rsidRPr="00294D58">
        <w:instrText xml:space="preserve"> ADDIN ZOTERO_ITEM CSL_CITATION {"citationID":"GTGxPSkW","properties":{"formattedCitation":"[1]","plainCitation":"[1]","noteIndex":0},"citationItems":[{"id":5280,"uris":["http://zotero.org/users/446899/items/5LKJE5NY"],"uri":["http://zotero.org/users/446899/items/5LKJE5NY"],"itemData":{"id":5280,"type":"report","title":"The homelessness monitor: England 2017","publisher":"Institute for Social Policy, Environment and Real Estate (I-SPHERE), Heriot-Watt University; City Futures Research Centre, University of New South Wales","author":[{"family":"Fitzpatrick","given":"S"},{"family":"Pawson","given":"H"},{"family":"Bramley","given":"G"},{"family":"Wilcox","given":"S"},{"family":"Watts","given":"B"}],"issued":{"date-parts":[["2017",3]]}}}],"schema":"https://github.com/citation-style-language/schema/raw/master/csl-citation.json"} </w:instrText>
      </w:r>
      <w:r w:rsidR="00AD7661" w:rsidRPr="00294D58">
        <w:fldChar w:fldCharType="separate"/>
      </w:r>
      <w:r w:rsidR="00920A40" w:rsidRPr="00294D58">
        <w:rPr>
          <w:rFonts w:ascii="Calibri" w:hAnsi="Calibri" w:cs="Calibri"/>
        </w:rPr>
        <w:t>[1]</w:t>
      </w:r>
      <w:r w:rsidR="00AD7661" w:rsidRPr="00294D58">
        <w:fldChar w:fldCharType="end"/>
      </w:r>
      <w:r w:rsidR="00D62217" w:rsidRPr="00294D58">
        <w:t xml:space="preserve"> </w:t>
      </w:r>
      <w:r w:rsidR="00621667" w:rsidRPr="00294D58">
        <w:t xml:space="preserve">Being homeless, or at risk of homelessness, has been shown to </w:t>
      </w:r>
      <w:r w:rsidR="003D3591" w:rsidRPr="00294D58">
        <w:t>have a</w:t>
      </w:r>
      <w:r w:rsidR="00E84824" w:rsidRPr="00294D58">
        <w:t xml:space="preserve"> </w:t>
      </w:r>
      <w:r w:rsidR="00C46306" w:rsidRPr="00294D58">
        <w:t xml:space="preserve">detrimental </w:t>
      </w:r>
      <w:r w:rsidR="003D3591" w:rsidRPr="00294D58">
        <w:t>impact upon</w:t>
      </w:r>
      <w:r w:rsidR="00E84824" w:rsidRPr="00294D58">
        <w:t xml:space="preserve"> </w:t>
      </w:r>
      <w:r w:rsidR="00621667" w:rsidRPr="00294D58">
        <w:t>mental and physical health</w:t>
      </w:r>
      <w:r w:rsidR="00D62217" w:rsidRPr="00294D58">
        <w:t>.</w:t>
      </w:r>
      <w:r w:rsidR="00AD7661" w:rsidRPr="00294D58">
        <w:fldChar w:fldCharType="begin"/>
      </w:r>
      <w:r w:rsidR="005F27D3" w:rsidRPr="00294D58">
        <w:instrText xml:space="preserve"> ADDIN ZOTERO_ITEM CSL_CITATION {"citationID":"xQITfE8u","properties":{"formattedCitation":"[2]","plainCitation":"[2]","noteIndex":0},"citationItems":[{"id":5288,"uris":["http://zotero.org/users/446899/items/35FC3MUZ"],"uri":["http://zotero.org/users/446899/items/35FC3MUZ"],"itemData":{"id":5288,"type":"article-journal","title":"There is no excuse for homelessness in Britain in 2018","container-title":"BMJ","page":"k902","volume":"360","source":"www.bmj.com","abstract":"&lt;p&gt;Homelessness is a neon sign that something is fundamentally wrong &lt;/p&gt;","DOI":"10.1136/bmj.k902","ISSN":"0959-8138, 1756-1833","note":"PMID: 29483083","journalAbbreviation":"BMJ","language":"en","author":[{"family":"Adebowale","given":"Victor"}],"issued":{"date-parts":[["2018",2,26]]}}}],"schema":"https://github.com/citation-style-language/schema/raw/master/csl-citation.json"} </w:instrText>
      </w:r>
      <w:r w:rsidR="00AD7661" w:rsidRPr="00294D58">
        <w:fldChar w:fldCharType="separate"/>
      </w:r>
      <w:r w:rsidR="00920A40" w:rsidRPr="00294D58">
        <w:rPr>
          <w:rFonts w:ascii="Calibri" w:hAnsi="Calibri" w:cs="Calibri"/>
        </w:rPr>
        <w:t>[2]</w:t>
      </w:r>
      <w:r w:rsidR="00AD7661" w:rsidRPr="00294D58">
        <w:fldChar w:fldCharType="end"/>
      </w:r>
      <w:r w:rsidR="00A02825" w:rsidRPr="00294D58">
        <w:t xml:space="preserve"> </w:t>
      </w:r>
      <w:r w:rsidR="001438EB" w:rsidRPr="00294D58">
        <w:t xml:space="preserve">A </w:t>
      </w:r>
      <w:r w:rsidR="00621667" w:rsidRPr="00294D58">
        <w:t>recent systematic review</w:t>
      </w:r>
      <w:r w:rsidR="00E84824" w:rsidRPr="00294D58">
        <w:t xml:space="preserve"> </w:t>
      </w:r>
      <w:r w:rsidR="003D3591" w:rsidRPr="00294D58">
        <w:t>concluded</w:t>
      </w:r>
      <w:r w:rsidR="001438EB" w:rsidRPr="00294D58">
        <w:t xml:space="preserve"> that</w:t>
      </w:r>
      <w:r w:rsidR="00E84824" w:rsidRPr="00294D58">
        <w:t xml:space="preserve"> </w:t>
      </w:r>
      <w:r w:rsidR="001438EB" w:rsidRPr="00294D58">
        <w:t xml:space="preserve">people </w:t>
      </w:r>
      <w:r w:rsidR="00621667" w:rsidRPr="00294D58">
        <w:t xml:space="preserve">who </w:t>
      </w:r>
      <w:r w:rsidR="001438EB" w:rsidRPr="00294D58">
        <w:t xml:space="preserve">are </w:t>
      </w:r>
      <w:r w:rsidR="00621667" w:rsidRPr="00294D58">
        <w:t xml:space="preserve">homeless </w:t>
      </w:r>
      <w:r w:rsidR="001438EB" w:rsidRPr="00294D58">
        <w:t xml:space="preserve">are </w:t>
      </w:r>
      <w:r w:rsidR="00621667" w:rsidRPr="00294D58">
        <w:t>at increased risk of respiratory conditions, depression, anxiety, and excess winter mortality</w:t>
      </w:r>
      <w:r w:rsidR="001438EB" w:rsidRPr="00294D58">
        <w:t xml:space="preserve">, compared </w:t>
      </w:r>
      <w:r w:rsidR="00A02825" w:rsidRPr="00294D58">
        <w:t xml:space="preserve">with </w:t>
      </w:r>
      <w:r w:rsidR="001438EB" w:rsidRPr="00294D58">
        <w:t>the general population</w:t>
      </w:r>
      <w:r w:rsidR="00D62217" w:rsidRPr="00294D58">
        <w:t>.</w:t>
      </w:r>
      <w:r w:rsidR="00AD7661" w:rsidRPr="00294D58">
        <w:fldChar w:fldCharType="begin"/>
      </w:r>
      <w:r w:rsidR="005F27D3" w:rsidRPr="00294D58">
        <w:instrText xml:space="preserve"> ADDIN ZOTERO_ITEM CSL_CITATION {"citationID":"lgsbY8q8","properties":{"formattedCitation":"[3]","plainCitation":"[3]","noteIndex":0},"citationItems":[{"id":5289,"uris":["http://zotero.org/users/446899/items/D5XB6SAE"],"uri":["http://zotero.org/users/446899/items/D5XB6SAE"],"itemData":{"id":5289,"type":"article-journal","title":"Housing improvements for health and associated socio-economic outcomes","container-title":"The Cochrane Database of Systematic Reviews","page":"CD008657","issue":"2","source":"PubMed","abstract":"BACKGROUND: The well established links between poor housing and poor health indicate that housing improvement may be an important mechanism through which public investment can lead to health improvement. Intervention studies which have assessed the health impacts of housing improvements are an important data resource to test assumptions about the potential for health improvement. Evaluations may not detect long term health impacts due to limited follow-up periods. Impacts on socio-economic determinants of health may be a valuable proxy indication of the potential for longer term health impacts.\nOBJECTIVES: To assess the health and social impacts on residents following improvements to the physical fabric of housing.\nSEARCH METHODS: Twenty seven academic and grey literature bibliographic databases were searched for housing intervention studies from 1887 to July 2012 (ASSIA; Avery Index; CAB Abstracts; The Campbell Library; CINAHL; The Cochrane Library; COPAC; DH-DATA: Health Admin; EMBASE; Geobase; Global Health; IBSS; ICONDA; MEDLINE; MEDLINE In-Process &amp; Other Non-Indexed Citations; NTIS; PAIS; PLANEX; PsycINFO; RIBA; SCIE; Sociological Abstracts; Social Science Citations Index; Science Citations Index expanded; SIGLE; SPECTR). Twelve Scandinavian grey literature and policy databases (Libris; SveMed+; Libris uppsök; DIVA; Artikelsök; NORART; DEFF; AKF; DSI; SBI; Statens Institut for Folkesundhed; Social.dk) and 23 relevant websites were searched. In addition, a request to topic experts was issued for details of relevant studies. Searches were not restricted by language or publication status.\nSELECTION CRITERIA: Studies which assessed change in any health outcome following housing improvement were included. This included experimental studies and uncontrolled studies. Cross-sectional studies were excluded as correlations are not able to shed light on changes in outcomes. Studies reporting only socio-economic outcomes or indirect measures of health, such as health service use, were excluded. All housing improvements which involved a physical improvement to the fabric of the house were included. Excluded interventions were improvements to mobile homes; modifications for mobility or medical reasons; air quality; lead removal; radon exposure reduction; allergen reduction or removal; and furniture or equipment. Where an improvement included one of these in addition to an included intervention the study was included in the review. Studies were not excluded on the basis of date, location, or language.\nDATA COLLECTION AND ANALYSIS: Studies were independently screened and critically appraised by two review authors. Study quality was assessed using the risk of bias tool and the Hamilton tool to accommodate non-experimental and uncontrolled studies. Health and socio-economic impact data were extracted by one review author and checked by a second review author. Studies were grouped according to broad intervention categories, date, and context before synthesis. Where possible, standardized effect estimates were calculated and statistically pooled. Where meta-analysis was not appropriate the data were tabulated and synthesized narratively following a cross-study examination of reported impacts and study characteristics. Qualitative data were summarized using a logic model to map reported impacts and links to health impacts; quantitative data were incorporated into the model.\nMAIN RESULTS: Thirty-nine studies which reported quantitative or qualitative data, or both, were included in the review. Thirty-three quantitative studies were identified. This included five randomised controlled trials (RCTs) and 10 non-experimental studies of warmth improvements, 12 non-experimental studies of rehousing or retrofitting, three non-experimental studies of provision of basic improvements in low or mIddle Income countries (LMIC), and three non-experimental historical studies of rehousing from slums. Fourteen quantitative studies (42.4%) were assessed to be poor quality and were not included in the synthesis. Twelve studies reporting qualitative data were identified. These were studies of warmth improvements (n = 7) and rehousing (n = 5). Three qualitative studies were excluded from the synthesis due to lack of clarity of methods. Six of the included qualitative studies also reported quantitative data which was included in the review.Very little quantitative synthesis was possible as the data were not amenable to meta-analysis. This was largely due to extreme heterogeneity both methodologically as well as because of variations in the intervention, samples, context, and outcome; these variations remained even following grouping of interventions and outcomes. In addition, few studies reported data that were amenable to calculation of standardized effect sizes. The data were synthesised narratively.Data from studies of warmth and energy efficiency interventions suggested that improvements in general health, respiratory health, and mental health are possible. Studies which targeted those with inadequate warmth and existing chronic respiratory disease were most likely to report health improvement. Impacts following housing-led neighbourhood renewal were less clear; these interventions targeted areas rather than individual households in most need. Two poorer quality LMIC studies reported unclear or small health improvements. One better quality study of rehousing from slums (pre-1960) reported some improvement in mental health. There were few reports of adverse health impacts following housing improvement. A small number of studies gathered data on social and socio-economic impacts associated with housing improvement. Warmth improvements were associated with increased usable space, increased privacy, and improved social relationships; absences from work or school due to illness were also reduced.Very few studies reported differential impacts relevant to equity issues, and what data were reported were not amenable to synthesis.\nAUTHORS' CONCLUSIONS: Housing investment which improves thermal comfort in the home can lead to health improvements, especially where the improvements are targeted at those with inadequate warmth and those with chronic respiratory disease. The health impacts of programmes which deliver improvements across areas and do not target according to levels of individual need were less clear, but reported impacts at an area level may conceal health improvements for those with the greatest potential to benefit. Best available evidence indicates that housing which is an appropriate size for the householders and is affordable to heat is linked to improved health and may promote improved social relationships within and beyond the household. In addition, there is some suggestion that provision of adequate, affordable warmth may reduce absences from school or work.While many of the interventions were targeted at low income groups, a near absence of reporting differential impacts prevented analysis of the potential for housing improvement to impact on social and economic inequalities.","DOI":"10.1002/14651858.CD008657.pub2","ISSN":"1469-493X","note":"PMID: 23450585","journalAbbreviation":"Cochrane Database Syst Rev","language":"eng","author":[{"family":"Thomson","given":"Hilary"},{"family":"Thomas","given":"Sian"},{"family":"Sellstrom","given":"Eva"},{"family":"Petticrew","given":"Mark"}],"issued":{"date-parts":[["2013",2,28]]}}}],"schema":"https://github.com/citation-style-language/schema/raw/master/csl-citation.json"} </w:instrText>
      </w:r>
      <w:r w:rsidR="00AD7661" w:rsidRPr="00294D58">
        <w:fldChar w:fldCharType="separate"/>
      </w:r>
      <w:r w:rsidR="00920A40" w:rsidRPr="00294D58">
        <w:rPr>
          <w:rFonts w:ascii="Calibri" w:hAnsi="Calibri" w:cs="Calibri"/>
        </w:rPr>
        <w:t>[3]</w:t>
      </w:r>
      <w:r w:rsidR="00AD7661" w:rsidRPr="00294D58">
        <w:fldChar w:fldCharType="end"/>
      </w:r>
      <w:r w:rsidR="00D62217" w:rsidRPr="00294D58">
        <w:t xml:space="preserve"> </w:t>
      </w:r>
      <w:r w:rsidR="00621667" w:rsidRPr="00294D58">
        <w:t>Homeless</w:t>
      </w:r>
      <w:r w:rsidR="004A0A45" w:rsidRPr="00294D58">
        <w:t>ness</w:t>
      </w:r>
      <w:r w:rsidR="00621667" w:rsidRPr="00294D58">
        <w:t xml:space="preserve"> is associated with </w:t>
      </w:r>
      <w:r w:rsidR="0001464B" w:rsidRPr="00294D58">
        <w:t>premature death,</w:t>
      </w:r>
      <w:r w:rsidR="00621667" w:rsidRPr="00294D58">
        <w:t xml:space="preserve"> with the single homeless at the highest risk with an average age of death at 47 years, </w:t>
      </w:r>
      <w:r w:rsidR="00AB5DC3" w:rsidRPr="00294D58">
        <w:t xml:space="preserve">some </w:t>
      </w:r>
      <w:r w:rsidR="00621667" w:rsidRPr="00294D58">
        <w:t>30 years lower than</w:t>
      </w:r>
      <w:r w:rsidR="00373116" w:rsidRPr="00294D58">
        <w:t xml:space="preserve"> in</w:t>
      </w:r>
      <w:r w:rsidR="00621667" w:rsidRPr="00294D58">
        <w:t xml:space="preserve"> the general population</w:t>
      </w:r>
      <w:r w:rsidR="00D62217" w:rsidRPr="00294D58">
        <w:t>.</w:t>
      </w:r>
      <w:r w:rsidR="00AD7661" w:rsidRPr="00294D58">
        <w:fldChar w:fldCharType="begin"/>
      </w:r>
      <w:r w:rsidR="005F27D3" w:rsidRPr="00294D58">
        <w:instrText xml:space="preserve"> ADDIN ZOTERO_ITEM CSL_CITATION {"citationID":"1h838XUv","properties":{"formattedCitation":"[4]","plainCitation":"[4]","noteIndex":0},"citationItems":[{"id":5282,"uris":["http://zotero.org/users/446899/items/6FYTU27F"],"uri":["http://zotero.org/users/446899/items/6FYTU27F"],"itemData":{"id":5282,"type":"webpage","title":"Homelessness: A Silent Killer (2011)","container-title":"Crisis","URL":"https://www.crisis.org.uk/ending-homelessness/homelessness-knowledge-hub/health-and-wellbeing/homelessness-a-silent-killer-2011/","shortTitle":"Homelessness","accessed":{"date-parts":[["2018",10,11]]}}}],"schema":"https://github.com/citation-style-language/schema/raw/master/csl-citation.json"} </w:instrText>
      </w:r>
      <w:r w:rsidR="00AD7661" w:rsidRPr="00294D58">
        <w:fldChar w:fldCharType="separate"/>
      </w:r>
      <w:r w:rsidR="00920A40" w:rsidRPr="00294D58">
        <w:rPr>
          <w:rFonts w:ascii="Calibri" w:hAnsi="Calibri" w:cs="Calibri"/>
        </w:rPr>
        <w:t>[4]</w:t>
      </w:r>
      <w:r w:rsidR="00AD7661" w:rsidRPr="00294D58">
        <w:fldChar w:fldCharType="end"/>
      </w:r>
      <w:r w:rsidR="00E3247D" w:rsidRPr="00294D58">
        <w:t xml:space="preserve"> </w:t>
      </w:r>
      <w:bookmarkStart w:id="1" w:name="_Hlk3833983"/>
      <w:r w:rsidR="00E3247D" w:rsidRPr="00294D58">
        <w:t>Moreover, the standardised mortality ratios reported for the homeless vary between studies and countries but are typically 2–5 times the age-standardised general population</w:t>
      </w:r>
      <w:r w:rsidR="00716C82" w:rsidRPr="00294D58">
        <w:t>.</w:t>
      </w:r>
      <w:r w:rsidR="00716C82" w:rsidRPr="00294D58">
        <w:fldChar w:fldCharType="begin"/>
      </w:r>
      <w:r w:rsidR="00716C82" w:rsidRPr="00294D58">
        <w:instrText xml:space="preserve"> ADDIN ZOTERO_ITEM CSL_CITATION {"citationID":"ZkKhK1K8","properties":{"formattedCitation":"[5]","plainCitation":"[5]","noteIndex":0},"citationItems":[{"id":7537,"uris":["http://zotero.org/users/446899/items/PWWRBRDL"],"uri":["http://zotero.org/users/446899/items/PWWRBRDL"],"itemData":{"id":7537,"type":"article-journal","title":"The health of homeless people in high-income countries: descriptive epidemiology, health consequences, and clinical and policy recommendations","container-title":"The Lancet","page":"1529-1540","volume":"384","issue":"9953","source":"ScienceDirect","abstract":"Summary\nIn the European Union, more than 400 000 individuals are homeless on any one night and more than 600 000 are homeless in the USA. The causes of homelessness are an interaction between individual and structural factors. Individual factors include poverty, family problems, and mental health and substance misuse problems. The availability of low-cost housing is thought to be the most important structural determinant for homelessness. Homeless people have higher rates of premature mortality than the rest of the population, especially from suicide and unintentional injuries, and an increased prevalence of a range of infectious diseases, mental disorders, and substance misuse. High rates of non-communicable diseases have also been described with evidence of accelerated ageing. Although engagement with health services and adherence to treatments is often compromised, homeless people typically attend the emergency department more often than non-homeless people. We discuss several recommendations to improve the surveillance of morbidity and mortality in homeless people. Programmes focused on high-risk groups, such as individuals leaving prisons, psychiatric hospitals, and the child welfare system, and the introduction of national and state-wide plans that target homeless people are likely to improve outcomes.","DOI":"10.1016/S0140-6736(14)61132-6","ISSN":"0140-6736","shortTitle":"The health of homeless people in high-income countries","journalAbbreviation":"The Lancet","author":[{"family":"Fazel","given":"Seena"},{"family":"Geddes","given":"John R"},{"family":"Kushel","given":"Margot"}],"issued":{"date-parts":[["2014",10,25]]}}}],"schema":"https://github.com/citation-style-language/schema/raw/master/csl-citation.json"} </w:instrText>
      </w:r>
      <w:r w:rsidR="00716C82" w:rsidRPr="00294D58">
        <w:fldChar w:fldCharType="separate"/>
      </w:r>
      <w:r w:rsidR="00716C82" w:rsidRPr="00294D58">
        <w:rPr>
          <w:rFonts w:ascii="Calibri" w:hAnsi="Calibri" w:cs="Calibri"/>
        </w:rPr>
        <w:t>[5]</w:t>
      </w:r>
      <w:r w:rsidR="00716C82" w:rsidRPr="00294D58">
        <w:fldChar w:fldCharType="end"/>
      </w:r>
      <w:r w:rsidR="00E3247D" w:rsidRPr="00294D58">
        <w:t xml:space="preserve"> </w:t>
      </w:r>
      <w:bookmarkEnd w:id="1"/>
    </w:p>
    <w:p w14:paraId="791474E8" w14:textId="778DA745" w:rsidR="004A0A45" w:rsidRPr="00294D58" w:rsidRDefault="008950A8" w:rsidP="00F15F7D">
      <w:r w:rsidRPr="00294D58">
        <w:t>Increased morbidity and mortality among the homeless may be driven, at least in part, by higher levels of engagement in lifestyle risk behaviours</w:t>
      </w:r>
      <w:r w:rsidR="007D3585" w:rsidRPr="00294D58">
        <w:t xml:space="preserve">. </w:t>
      </w:r>
      <w:r w:rsidR="00365709" w:rsidRPr="00294D58">
        <w:t>Data from the USA</w:t>
      </w:r>
      <w:r w:rsidR="007D3585" w:rsidRPr="00294D58">
        <w:t xml:space="preserve"> indicate that</w:t>
      </w:r>
      <w:r w:rsidR="00365709" w:rsidRPr="00294D58">
        <w:t xml:space="preserve"> while</w:t>
      </w:r>
      <w:r w:rsidR="007D3585" w:rsidRPr="00294D58">
        <w:t xml:space="preserve"> 19.8% of adult Americans smoke, </w:t>
      </w:r>
      <w:r w:rsidR="00365709" w:rsidRPr="00294D58">
        <w:t xml:space="preserve">smoking prevalence is over 70% </w:t>
      </w:r>
      <w:r w:rsidR="007D3585" w:rsidRPr="00294D58">
        <w:t>among</w:t>
      </w:r>
      <w:r w:rsidR="00365709" w:rsidRPr="00294D58">
        <w:t xml:space="preserve"> those who are</w:t>
      </w:r>
      <w:r w:rsidR="007D3585" w:rsidRPr="00294D58">
        <w:t xml:space="preserve"> homeless</w:t>
      </w:r>
      <w:r w:rsidR="00D62217" w:rsidRPr="00294D58">
        <w:t>.</w:t>
      </w:r>
      <w:r w:rsidR="00AD7661" w:rsidRPr="00294D58">
        <w:fldChar w:fldCharType="begin"/>
      </w:r>
      <w:r w:rsidR="00716C82" w:rsidRPr="00294D58">
        <w:instrText xml:space="preserve"> ADDIN ZOTERO_ITEM CSL_CITATION {"citationID":"sSzouCcy","properties":{"formattedCitation":"[6\\uc0\\u8211{}9]","plainCitation":"[6–9]","noteIndex":0},"citationItems":[{"id":5284,"uris":["http://zotero.org/users/446899/items/4WNQA9F3"],"uri":["http://zotero.org/users/446899/items/4WNQA9F3"],"itemData":{"id":5284,"type":"article-journal","title":"Health indicators and risks among people experiencing homelessness in Melbourne, 1995-1996","container-title":"Australian and New Zealand Journal of Public Health","page":"464-470","volume":"22","issue":"4","source":"PubMed","abstract":"During the study's first stage, 284 homeless people from crisis and long-term accommodation sites were surveyed using stratified, systematic sampling. The second stage involved a survey of a convenience sample of 100 homeless people from squats and the streets. Participants completed a questionnaire, Mantoux testing was performed and blood taken for gamma-interferon assay, liver and renal function tests. The group's health status was poor, with 72% experiencing medical conditions in the preceding two years and 77% symptoms in the month prior to interview. Bronchitis, asthma and gastroenteritis were the most commonly reported conditions; productive and persistent coughing, shortness of breath and wheezing the commonest symptoms. Twenty-one per cent had Mantoux reactions 15 mm or greater, 28% a raised GGT and 19% a raised ALT. Seventy-seven per cent smoked, 74% were current drinkers, 28% had injected drugs at some time in their lives and 14% were regularly injecting drugs. Forty-four per cent had experienced mental illness, 49% of whom reported depression and 15% schizophrenia. Homeless people in Melbourne have poor health status and engage in behaviours that place their health at risk. The high number of respiratory and gastro-intestinal complaints, the high level of cigarette smoking and injecting drug use (IDU) and the proportion likely to be infected with Mycobacterium tuberculosis (MTb) are all issues with important health consequences. Participants recruited from the street had significantly poorer health and engaged in more risk behaviours than those from accommodation sites; those from the accommodated sample were more likely to be infected with Mtb.","ISSN":"1326-0200","note":"PMID: 9659774","journalAbbreviation":"Aust N Z J Public Health","language":"eng","author":[{"family":"Kermode","given":"M."},{"family":"Crofts","given":"N."},{"family":"Miller","given":"P."},{"family":"Speed","given":"B."},{"family":"Streeton","given":"J."}],"issued":{"date-parts":[["1998",6]]}}},{"id":5285,"uris":["http://zotero.org/users/446899/items/QIQKQPJU"],"uri":["http://zotero.org/users/446899/items/QIQKQPJU"],"itemData":{"id":5285,"type":"article-journal","title":"The epidemiology of alcohol, drug, and mental disorders among homeless persons","container-title":"The American Psychologist","page":"1115-1128","volume":"46","issue":"11","source":"PubMed","abstract":"This article describes recent research on the prevalence of alcohol, drug, and mental (ADM) disorders and the characteristics of homeless substance abusers and persons with mental illness. Methodological problems in homelessness research are reviewed, particularly in relation to definitions of homelessness and sampling- and case-ascertainment methods. Prevalence rates of ADM disorders are much higher in homeless groups than in the general population. As is true of homeless people in general, homeless substance abusers and mentally ill persons are characterized by extreme poverty; underutilization of public entitlements; isolation from family, friends, and other support networks; frequent contact with correctional agencies; and poor general health. Knowledge of these disadvantages should be used to advocate for better services to prevent homelessness and support homeless people.","ISSN":"0003-066X","note":"PMID: 1772149","journalAbbreviation":"Am Psychol","language":"eng","author":[{"family":"Fischer","given":"P. J."},{"family":"Breakey","given":"W. R."}],"issued":{"date-parts":[["1991",11]]}}},{"id":5286,"uris":["http://zotero.org/users/446899/items/9XLXVMX8"],"uri":["http://zotero.org/users/446899/items/9XLXVMX8"],"itemData":{"id":5286,"type":"article-journal","title":"Smoking cessation in a homeless population: there is a will, but is there a way?","container-title":"Journal of General Internal Medicine","page":"369-372","volume":"17","issue":"5","source":"PubMed","abstract":"This cross-sectional study sought to determine the prevalence of smoking, readiness to quit, and preferences for smoking cessation treatments among a sample of 236 homeless adults attending 9 sites serving homeless persons (mean age 41.8 years; 73% male). Two thirds (69%) were current smokers, of whom 37% reported readiness to quit smoking within the next 6 months. In bivariate analyses, persons were significantly (P &lt;.05) more likely to be ready to quit if they had tried to quit in the past and if they had social support to quit smoking. Nicotine replacement was the most commonly preferred assistance method (44%), and self-efficacy to quit (10-point scale) was significantly greater if assistance was available (7.3 vs 4.9; P &lt;.001). The findings suggest an urgent need to develop and implement smoking cessation programs for homeless persons.","ISSN":"0884-8734","note":"PMID: 12047734\nPMCID: PMC1495046","shortTitle":"Smoking cessation in a homeless population","journalAbbreviation":"J Gen Intern Med","language":"eng","author":[{"family":"Connor","given":"Sharon E."},{"family":"Cook","given":"Robert L."},{"family":"Herbert","given":"Mary I."},{"family":"Neal","given":"Stephen M."},{"family":"Williams","given":"Jennifer T."}],"issued":{"date-parts":[["2002",5]]}}},{"id":1939,"uris":["http://zotero.org/users/446899/items/M2BQG8U7"],"uri":["http://zotero.org/users/446899/items/M2BQG8U7"],"itemData":{"id":1939,"type":"article-journal","title":"Cigarette smoking among adults--United States, 2007","container-title":"MMWR. Morbidity and mortality weekly report","page":"1221-1226","volume":"57","issue":"45","source":"PubMed","abstract":"One of the national health objectives for 2010 is to reduce the prevalence of cigarette smoking among adults to &lt;/=12% (objective 27.1a). To assess progress toward this objective, each year CDC analyzes self-reported data from the National Health Interview Survey (NHIS). This report summarizes findings for 2007, which indicated that approximately 19.8% of adults were current smokers in 2007, a decrease of 1.0 percentage point from 2006 (20.8%). Cigarette smoking has declined during the past 40 years among all sociodemographic subpopulations of adults; however, the declines during the past decade have been smaller than in previous decades. The proportion of current everyday smokers who made a quit attempt during the preceding year decreased 7.2 percentage points from 1993 (47.0%) to 2007 (39.8%). During 1993-2007, young adults (aged 18-24 years) consistently had the highest prevalence of quitting for &gt;1 day during the preceding year (59.3% in 1993 and 53.1% in 2007). Prevention of initiation and smoking cessation at all ages is beneficial in reducing morbidity and mortality. Clinicians should strongly advise smokers to quit and recommend they use effective cessation treatments. Health insurers, health insurance purchasers, and health systems should assist clinicians in making effective treatments available by including counseling and medications for smoking cessation as covered benefits and should support effective community interventions for cessation, including increased excise taxes, mass media campaigns, and smoke-free laws.","ISSN":"1545-861X","note":"PMID: 19008790","journalAbbreviation":"MMWR Morb. Mortal. Wkly. Rep.","language":"eng","author":[{"literal":"Centers for Disease Control and Prevention (CDC)"}],"issued":{"date-parts":[["2008",11,14]]}}}],"schema":"https://github.com/citation-style-language/schema/raw/master/csl-citation.json"} </w:instrText>
      </w:r>
      <w:r w:rsidR="00AD7661" w:rsidRPr="00294D58">
        <w:fldChar w:fldCharType="separate"/>
      </w:r>
      <w:r w:rsidR="00716C82" w:rsidRPr="00294D58">
        <w:rPr>
          <w:rFonts w:ascii="Calibri" w:hAnsi="Calibri" w:cs="Calibri"/>
          <w:szCs w:val="24"/>
        </w:rPr>
        <w:t>[6–9]</w:t>
      </w:r>
      <w:r w:rsidR="00AD7661" w:rsidRPr="00294D58">
        <w:fldChar w:fldCharType="end"/>
      </w:r>
      <w:r w:rsidR="00D62217" w:rsidRPr="00294D58">
        <w:t xml:space="preserve"> </w:t>
      </w:r>
      <w:r w:rsidR="00F15F7D" w:rsidRPr="00294D58">
        <w:t xml:space="preserve">Levels of physical activity are also low among the homeless. In a Danish study, approximately 70% of homeless </w:t>
      </w:r>
      <w:r w:rsidR="00365709" w:rsidRPr="00294D58">
        <w:t xml:space="preserve">individuals </w:t>
      </w:r>
      <w:r w:rsidR="00F15F7D" w:rsidRPr="00294D58">
        <w:t>reported no participation in any form of exercise</w:t>
      </w:r>
      <w:r w:rsidR="00D62217" w:rsidRPr="00294D58">
        <w:t>.</w:t>
      </w:r>
      <w:r w:rsidR="00AD7661" w:rsidRPr="00294D58">
        <w:fldChar w:fldCharType="begin"/>
      </w:r>
      <w:r w:rsidR="00716C82" w:rsidRPr="00294D58">
        <w:instrText xml:space="preserve"> ADDIN ZOTERO_ITEM CSL_CITATION {"citationID":"Jb3TfaO1","properties":{"formattedCitation":"[10]","plainCitation":"[10]","noteIndex":0},"citationItems":[{"id":5281,"uris":["http://zotero.org/users/446899/items/239WRMGL"],"uri":["http://zotero.org/users/446899/items/239WRMGL"],"itemData":{"id":5281,"type":"report","title":"Susydsat-sundhedsproil for social udsatte I Danmark 2007","publisher":"Radet for socialt udsatte","publisher-place":"Copenhagen","event-place":"Copenhagen","author":[{"family":"Pedersen","given":"P"},{"family":"Christensen","given":"A I"},{"family":"Hess","given":"U"},{"family":"Curf","given":"T"}],"issued":{"date-parts":[["2008"]]}}}],"schema":"https://github.com/citation-style-language/schema/raw/master/csl-citation.json"} </w:instrText>
      </w:r>
      <w:r w:rsidR="00AD7661" w:rsidRPr="00294D58">
        <w:fldChar w:fldCharType="separate"/>
      </w:r>
      <w:r w:rsidR="00716C82" w:rsidRPr="00294D58">
        <w:rPr>
          <w:rFonts w:ascii="Calibri" w:hAnsi="Calibri" w:cs="Calibri"/>
        </w:rPr>
        <w:t>[10]</w:t>
      </w:r>
      <w:r w:rsidR="00AD7661" w:rsidRPr="00294D58">
        <w:fldChar w:fldCharType="end"/>
      </w:r>
      <w:r w:rsidR="00D62217" w:rsidRPr="00294D58">
        <w:t xml:space="preserve"> </w:t>
      </w:r>
      <w:r w:rsidR="00365709" w:rsidRPr="00294D58">
        <w:t xml:space="preserve">High levels of alcohol consumption and drug use are also common among </w:t>
      </w:r>
      <w:r w:rsidR="00F15F7D" w:rsidRPr="00294D58">
        <w:t>this population</w:t>
      </w:r>
      <w:r w:rsidR="00D62217" w:rsidRPr="00294D58">
        <w:t>.</w:t>
      </w:r>
      <w:r w:rsidR="00AD7661" w:rsidRPr="00294D58">
        <w:fldChar w:fldCharType="begin"/>
      </w:r>
      <w:r w:rsidR="00716C82" w:rsidRPr="00294D58">
        <w:instrText xml:space="preserve"> ADDIN ZOTERO_ITEM CSL_CITATION {"citationID":"HDDj6pMR","properties":{"formattedCitation":"[11]","plainCitation":"[11]","noteIndex":0},"citationItems":[{"id":5283,"uris":["http://zotero.org/users/446899/items/525F64TW"],"uri":["http://zotero.org/users/446899/items/525F64TW"],"itemData":{"id":5283,"type":"article-journal","title":"Self-Reported Changes in Drug and Alcohol Use After Becoming Homeless","container-title":"American Journal of Public Health","page":"830-835","volume":"94","issue":"5","source":"ajph.aphapublications.org (Atypon)","abstract":"Objectives. We identified substance use patterns and factors associated with increased substance use after users become homeless. Methods. We carried out a 2-city, community-based survey that used population-proportionate sampling of 91 sites with random selection at each site. Results. Five hundred thirty-one adults were interviewed; 78.3% of them met Diagnostic and Statistical Manual of Mental Disorders, Revised Third Edition criteria for substance abuse or dependence. Most of those who met the criteria reported using drugs and alcohol less since they became homeless, commonly because they were in recovery. Factors independently associated with increased use were no health insurance (odds ratio [OR] = 1.6; 95% confidence interval [CI] = 1.02, 2.58), alcohol abuse or dependence (OR = 3.5; 95% CI = 1.85, 6.78), and selling plasma (OR = 2.6; 95% CI = 1.32, 5.14) or panhandling (OR = 3.0; 95% CI = 1.65, 5.55) to acquire drugs. Conclusions. Becoming homeless plays a role in self-reported substance use. Multiservice treatment programs and tailored interventions for homeless persons are needed.","DOI":"10.2105/AJPH.94.5.830","ISSN":"0090-0036","journalAbbreviation":"Am J Public Health","author":[{"family":"O'Toole","given":"Thomas P."},{"family":"Gibbon","given":"Jeanette L."},{"family":"Hanusa","given":"Barbara H."},{"family":"Freyder","given":"Paul J."},{"family":"Conde","given":"Alicia M."},{"family":"Fine","given":"Michael J."}],"issued":{"date-parts":[["2004",5,1]]}}}],"schema":"https://github.com/citation-style-language/schema/raw/master/csl-citation.json"} </w:instrText>
      </w:r>
      <w:r w:rsidR="00AD7661" w:rsidRPr="00294D58">
        <w:fldChar w:fldCharType="separate"/>
      </w:r>
      <w:r w:rsidR="00716C82" w:rsidRPr="00294D58">
        <w:rPr>
          <w:rFonts w:ascii="Calibri" w:hAnsi="Calibri" w:cs="Calibri"/>
        </w:rPr>
        <w:t>[11]</w:t>
      </w:r>
      <w:r w:rsidR="00AD7661" w:rsidRPr="00294D58">
        <w:fldChar w:fldCharType="end"/>
      </w:r>
    </w:p>
    <w:p w14:paraId="20D5EBC8" w14:textId="78D36A4A" w:rsidR="00621667" w:rsidRPr="00294D58" w:rsidRDefault="000003B5" w:rsidP="00C46306">
      <w:r w:rsidRPr="00294D58">
        <w:t>Tackling homelessness is an urgent priority, and targeted</w:t>
      </w:r>
      <w:r w:rsidR="00CF1FF6" w:rsidRPr="00294D58">
        <w:t xml:space="preserve"> policies have been actioned in the UK to rehouse those who are homeless. </w:t>
      </w:r>
      <w:r w:rsidR="00982771" w:rsidRPr="00294D58">
        <w:t>The</w:t>
      </w:r>
      <w:r w:rsidR="00E84824" w:rsidRPr="00294D58">
        <w:t xml:space="preserve"> </w:t>
      </w:r>
      <w:r w:rsidR="00CF1FF6" w:rsidRPr="00294D58">
        <w:t xml:space="preserve">Homelessness Directorate was established </w:t>
      </w:r>
      <w:r w:rsidR="000F7D25" w:rsidRPr="00294D58">
        <w:t xml:space="preserve">in 2002 </w:t>
      </w:r>
      <w:r w:rsidR="00DF1B72" w:rsidRPr="00294D58">
        <w:t>in order</w:t>
      </w:r>
      <w:r w:rsidR="00CF1FF6" w:rsidRPr="00294D58">
        <w:t xml:space="preserve"> to assist local authorities in tackling home</w:t>
      </w:r>
      <w:r w:rsidR="000F7D25" w:rsidRPr="00294D58">
        <w:t>lessness</w:t>
      </w:r>
      <w:r w:rsidR="00D62217" w:rsidRPr="00294D58">
        <w:t>.</w:t>
      </w:r>
      <w:r w:rsidR="00AD7661" w:rsidRPr="00294D58">
        <w:fldChar w:fldCharType="begin"/>
      </w:r>
      <w:r w:rsidR="00716C82" w:rsidRPr="00294D58">
        <w:instrText xml:space="preserve"> ADDIN ZOTERO_ITEM CSL_CITATION {"citationID":"CXVY1hlK","properties":{"formattedCitation":"[12]","plainCitation":"[12]","noteIndex":0},"citationItems":[{"id":5279,"uris":["http://zotero.org/users/446899/items/K6SWKYT6"],"uri":["http://zotero.org/users/446899/items/K6SWKYT6"],"itemData":{"id":5279,"type":"webpage","title":"Select Committee on Office of the Deputy Prime Minister: Housing, Planning, Local Government and the Regions Written Evidence: Memorandum by the Office of the Deputy Prime Minister (HOM 53)","URL":"https://publications.parliament.uk/pa/cm200304/cmselect/cmodpm/1116/1116we56.htm","author":[{"family":"Office of the Deputy Prime Minister","given":""}],"issued":{"date-parts":[["2004",9]]},"accessed":{"date-parts":[["2018",10,11]]}}}],"schema":"https://github.com/citation-style-language/schema/raw/master/csl-citation.json"} </w:instrText>
      </w:r>
      <w:r w:rsidR="00AD7661" w:rsidRPr="00294D58">
        <w:fldChar w:fldCharType="separate"/>
      </w:r>
      <w:r w:rsidR="00716C82" w:rsidRPr="00294D58">
        <w:rPr>
          <w:rFonts w:ascii="Calibri" w:hAnsi="Calibri" w:cs="Calibri"/>
        </w:rPr>
        <w:t>[12]</w:t>
      </w:r>
      <w:r w:rsidR="00AD7661" w:rsidRPr="00294D58">
        <w:fldChar w:fldCharType="end"/>
      </w:r>
      <w:r w:rsidR="008E6F15" w:rsidRPr="00294D58">
        <w:t xml:space="preserve"> </w:t>
      </w:r>
      <w:r w:rsidR="00DF1B72" w:rsidRPr="00294D58">
        <w:t>Strategies focus</w:t>
      </w:r>
      <w:r w:rsidR="000F7D25" w:rsidRPr="00294D58">
        <w:t xml:space="preserve"> on preventing the need for people to sleep rough in the first place, as well as supporting people to move on from homelessness by helping them to address their needs</w:t>
      </w:r>
      <w:r w:rsidR="00DF1B72" w:rsidRPr="00294D58">
        <w:t>,</w:t>
      </w:r>
      <w:r w:rsidR="000F7D25" w:rsidRPr="00294D58">
        <w:t xml:space="preserve"> improving access to health and substance misuse services</w:t>
      </w:r>
      <w:r w:rsidR="00DF1B72" w:rsidRPr="00294D58">
        <w:t>,</w:t>
      </w:r>
      <w:r w:rsidR="000F7D25" w:rsidRPr="00294D58">
        <w:t xml:space="preserve"> and helping them rebuild their lives through education, training and employment</w:t>
      </w:r>
      <w:r w:rsidR="00D62217" w:rsidRPr="00294D58">
        <w:t>.</w:t>
      </w:r>
      <w:r w:rsidR="00AD7661" w:rsidRPr="00294D58">
        <w:fldChar w:fldCharType="begin"/>
      </w:r>
      <w:r w:rsidR="00716C82" w:rsidRPr="00294D58">
        <w:instrText xml:space="preserve"> ADDIN ZOTERO_ITEM CSL_CITATION {"citationID":"mlWezjND","properties":{"formattedCitation":"[13]","plainCitation":"[13]","noteIndex":0},"citationItems":[{"id":5278,"uris":["http://zotero.org/users/446899/items/V8DJDL29"],"uri":["http://zotero.org/users/446899/items/V8DJDL29"],"itemData":{"id":5278,"type":"webpage","title":"Review of single homelessness in the uk 2000-2010","container-title":"The British Library","abstract":"A study providing an overview of the recent history causes and policy responses to single homelessness","URL":"http://www.bl.uk/collection-items/review-of-single-homelessness-in-the-uk-20002010","language":"eng","author":[{"family":"Jones","given":"A"},{"family":"Pleace","given":"N"}],"issued":{"date-parts":[["2010",12]]},"accessed":{"date-parts":[["2018",10,11]]}}}],"schema":"https://github.com/citation-style-language/schema/raw/master/csl-citation.json"} </w:instrText>
      </w:r>
      <w:r w:rsidR="00AD7661" w:rsidRPr="00294D58">
        <w:fldChar w:fldCharType="separate"/>
      </w:r>
      <w:r w:rsidR="00716C82" w:rsidRPr="00294D58">
        <w:rPr>
          <w:rFonts w:ascii="Calibri" w:hAnsi="Calibri" w:cs="Calibri"/>
        </w:rPr>
        <w:t>[13]</w:t>
      </w:r>
      <w:r w:rsidR="00AD7661" w:rsidRPr="00294D58">
        <w:fldChar w:fldCharType="end"/>
      </w:r>
      <w:r w:rsidR="00D62217" w:rsidRPr="00294D58">
        <w:t xml:space="preserve"> </w:t>
      </w:r>
      <w:r w:rsidR="0063174B" w:rsidRPr="00294D58">
        <w:t>A number of UK charities (e.g. Crisis, Shelter England, The Single Homeless Project) also work to support people who are homeless in acquiring a home and entering back into employment.</w:t>
      </w:r>
      <w:r w:rsidR="006B2681" w:rsidRPr="00294D58">
        <w:t xml:space="preserve"> </w:t>
      </w:r>
      <w:r w:rsidR="0067349F" w:rsidRPr="00294D58">
        <w:t xml:space="preserve">With such policies and charities </w:t>
      </w:r>
      <w:r w:rsidR="00982771" w:rsidRPr="00294D58">
        <w:t>in operation, a significant number of</w:t>
      </w:r>
      <w:r w:rsidR="0067349F" w:rsidRPr="00294D58">
        <w:t xml:space="preserve"> i</w:t>
      </w:r>
      <w:r w:rsidR="0017206E" w:rsidRPr="00294D58">
        <w:t xml:space="preserve">ndividuals are </w:t>
      </w:r>
      <w:r w:rsidR="00606CBD" w:rsidRPr="00294D58">
        <w:t xml:space="preserve">able to transition </w:t>
      </w:r>
      <w:r w:rsidR="0017206E" w:rsidRPr="00294D58">
        <w:t>out of homelessness</w:t>
      </w:r>
      <w:r w:rsidR="00E97190" w:rsidRPr="00294D58">
        <w:t>.</w:t>
      </w:r>
    </w:p>
    <w:p w14:paraId="49C3291A" w14:textId="16FEFEF5" w:rsidR="004922F2" w:rsidRPr="00294D58" w:rsidRDefault="00CC00C4" w:rsidP="004922F2">
      <w:r w:rsidRPr="00294D58">
        <w:t xml:space="preserve">While the evidence base on the health risks associated with homelessness is growing, to our knowledge no studies have explored what happens to the health and wellbeing of people when they are no longer homeless. </w:t>
      </w:r>
      <w:r w:rsidR="00CF22DC" w:rsidRPr="00294D58">
        <w:t>Given that lifestyle behaviours tend to track over the life course</w:t>
      </w:r>
      <w:r w:rsidR="00D62217" w:rsidRPr="00294D58">
        <w:t>,</w:t>
      </w:r>
      <w:r w:rsidR="00AD7661" w:rsidRPr="00294D58">
        <w:fldChar w:fldCharType="begin"/>
      </w:r>
      <w:r w:rsidR="00716C82" w:rsidRPr="00294D58">
        <w:instrText xml:space="preserve"> ADDIN ZOTERO_ITEM CSL_CITATION {"citationID":"2VJ29NYH","properties":{"formattedCitation":"[14]","plainCitation":"[14]","noteIndex":0},"citationItems":[{"id":5348,"uris":["http://zotero.org/users/446899/items/RSEAU7BB"],"uri":["http://zotero.org/users/446899/items/RSEAU7BB"],"itemData":{"id":5348,"type":"article-journal","title":"Tracking of physical activity and physical fitness across the lifespan","container-title":"Research Quarterly for Exercise and Sport","page":"S48-57","volume":"67","issue":"3 Suppl","source":"PubMed","abstract":"Although different indicators of physical activity and different methods of analysis are used, it appears that physical activity tracks at low to moderate levels during adolescence, from adolescence into adulthood, and across various ages in adulthood. Tracking of inactivity is less often studied. Measures of performance- and health-related physical fitness (strength, flexibility, motor fitness, aerobic power) track significantly across childhood and adolescence, but correlations are low to moderate. Limited data that span adolescence into adulthood indicate somewhat higher interage correlations for flexibility, static strength, and power. Data for different periods in adulthood are not available. Presently, it is common to criticize focus on motor and sport skills in physical education and competitive sports as contrary to health and fitness goals (e.g., James, 1995; Livingstone, 1994; Simons-Morton et al., 1988). There is a need, however, to distinguish between youth or community sports and highly specialized sport for the elite. Sports activities, be they competitive or recreational, are probably the major form of physical activity during childhood and adolescence, and perhaps in young adulthood. Though low to moderate, the tracking of various activity indicators, most of which include sport participation, suggests that sport activities during childhood and youth may form the foundation for activity habits in the future.","ISSN":"0270-1367","note":"PMID: 8902908","journalAbbreviation":"Res Q Exerc Sport","language":"eng","author":[{"family":"Malina","given":"R. M."}],"issued":{"date-parts":[["1996",9]]}}}],"schema":"https://github.com/citation-style-language/schema/raw/master/csl-citation.json"} </w:instrText>
      </w:r>
      <w:r w:rsidR="00AD7661" w:rsidRPr="00294D58">
        <w:fldChar w:fldCharType="separate"/>
      </w:r>
      <w:r w:rsidR="00716C82" w:rsidRPr="00294D58">
        <w:rPr>
          <w:rFonts w:ascii="Calibri" w:hAnsi="Calibri" w:cs="Calibri"/>
        </w:rPr>
        <w:t>[14]</w:t>
      </w:r>
      <w:r w:rsidR="00AD7661" w:rsidRPr="00294D58">
        <w:fldChar w:fldCharType="end"/>
      </w:r>
      <w:r w:rsidR="00D62217" w:rsidRPr="00294D58">
        <w:t xml:space="preserve"> </w:t>
      </w:r>
      <w:r w:rsidR="00CF22DC" w:rsidRPr="00294D58">
        <w:t>and early life exposures can have a substantial impact on later-life health outcomes</w:t>
      </w:r>
      <w:r w:rsidR="00D62217" w:rsidRPr="00294D58">
        <w:t>,</w:t>
      </w:r>
      <w:r w:rsidR="00AD7661" w:rsidRPr="00294D58">
        <w:fldChar w:fldCharType="begin"/>
      </w:r>
      <w:r w:rsidR="00716C82" w:rsidRPr="00294D58">
        <w:instrText xml:space="preserve"> ADDIN ZOTERO_ITEM CSL_CITATION {"citationID":"bxyMCyjF","properties":{"formattedCitation":"[15]","plainCitation":"[15]","noteIndex":0},"citationItems":[{"id":5347,"uris":["http://zotero.org/users/446899/items/DHUSR3EL"],"uri":["http://zotero.org/users/446899/items/DHUSR3EL"],"itemData":{"id":5347,"type":"chapter","title":"Life Course Epidemiology","container-title":"Handbook of Epidemiology","publisher":"Springer New York","publisher-place":"New York, NY","page":"1521-1549","source":"Springer Link","event-place":"New York, NY","abstract":"Life course epidemiology is the study of long-term biological, behavioral, and psychosocial processes that link adult health and disease risk to physical or social exposures acting during gestation, childhood, adolescence, and earlier or adult life or across generations (Kuh and Ben-Shlomo 2004). Life course epidemiology was one of several new conceptual models of epidemiological thinking that began to emerge in the 1980s and 1990s and that are now mainstream paradigms in social epidemiology (Susser 1985; Susser and Susser 1996a; Krieger and Zierler 1997; McMichael 1999), though its concepts have been applied more generally to chronic disease etiology. They parallel the emergence of causal models (Greenland et al. 1999; Hernán et al. 2002) for epidemiology during the same period.","URL":"https://doi.org/10.1007/978-0-387-09834-0_56","ISBN":"978-0-387-09834-0","note":"DOI: 10.1007/978-0-387-09834-0_56","language":"en","author":[{"family":"Ben-Shlomo","given":"Yoav"},{"family":"Mishra","given":"Gita"},{"family":"Kuh","given":"Diana"}],"editor":[{"family":"Ahrens","given":"Wolfgang"},{"family":"Pigeot","given":"Iris"}],"issued":{"date-parts":[["2014"]]},"accessed":{"date-parts":[["2018",10,11]]}}}],"schema":"https://github.com/citation-style-language/schema/raw/master/csl-citation.json"} </w:instrText>
      </w:r>
      <w:r w:rsidR="00AD7661" w:rsidRPr="00294D58">
        <w:fldChar w:fldCharType="separate"/>
      </w:r>
      <w:r w:rsidR="00716C82" w:rsidRPr="00294D58">
        <w:rPr>
          <w:rFonts w:ascii="Calibri" w:hAnsi="Calibri" w:cs="Calibri"/>
        </w:rPr>
        <w:t>[15]</w:t>
      </w:r>
      <w:r w:rsidR="00AD7661" w:rsidRPr="00294D58">
        <w:fldChar w:fldCharType="end"/>
      </w:r>
      <w:r w:rsidR="00CF22DC" w:rsidRPr="00294D58">
        <w:t xml:space="preserve"> it seems likely that the health risks associated </w:t>
      </w:r>
      <w:r w:rsidR="00CF22DC" w:rsidRPr="00294D58">
        <w:lastRenderedPageBreak/>
        <w:t xml:space="preserve">with homelessness may persist, at least to some extent, beyond the period of homelessness. </w:t>
      </w:r>
      <w:r w:rsidR="005C5DF3" w:rsidRPr="00294D58">
        <w:t>The present study aim</w:t>
      </w:r>
      <w:r w:rsidR="00E33CC0" w:rsidRPr="00294D58">
        <w:t>ed</w:t>
      </w:r>
      <w:r w:rsidR="005C5DF3" w:rsidRPr="00294D58">
        <w:t xml:space="preserve"> to </w:t>
      </w:r>
      <w:r w:rsidR="00A63326" w:rsidRPr="00294D58">
        <w:t xml:space="preserve">investigate this through a </w:t>
      </w:r>
      <w:r w:rsidR="00E33CC0" w:rsidRPr="00294D58">
        <w:rPr>
          <w:rFonts w:cstheme="minorHAnsi"/>
        </w:rPr>
        <w:t>compar</w:t>
      </w:r>
      <w:r w:rsidR="00A63326" w:rsidRPr="00294D58">
        <w:rPr>
          <w:rFonts w:cstheme="minorHAnsi"/>
        </w:rPr>
        <w:t>ison of</w:t>
      </w:r>
      <w:r w:rsidR="00E33CC0" w:rsidRPr="00294D58">
        <w:rPr>
          <w:rFonts w:cstheme="minorHAnsi"/>
        </w:rPr>
        <w:t xml:space="preserve"> (</w:t>
      </w:r>
      <w:proofErr w:type="spellStart"/>
      <w:r w:rsidR="00E33CC0" w:rsidRPr="00294D58">
        <w:rPr>
          <w:rFonts w:cstheme="minorHAnsi"/>
        </w:rPr>
        <w:t>i</w:t>
      </w:r>
      <w:proofErr w:type="spellEnd"/>
      <w:r w:rsidR="00E33CC0" w:rsidRPr="00294D58">
        <w:rPr>
          <w:rFonts w:cstheme="minorHAnsi"/>
        </w:rPr>
        <w:t xml:space="preserve">) levels of engagement in lifestyle risk behaviours and (ii) mental and physical health status in individuals who have previously </w:t>
      </w:r>
      <w:r w:rsidR="00E33CC0" w:rsidRPr="00294D58">
        <w:t>spent a period of time in their lives as homeless</w:t>
      </w:r>
      <w:r w:rsidR="00E33CC0" w:rsidRPr="00294D58">
        <w:rPr>
          <w:rFonts w:cstheme="minorHAnsi"/>
        </w:rPr>
        <w:t xml:space="preserve"> </w:t>
      </w:r>
      <w:r w:rsidR="00A02825" w:rsidRPr="00294D58">
        <w:rPr>
          <w:rFonts w:cstheme="minorHAnsi"/>
        </w:rPr>
        <w:t xml:space="preserve">with </w:t>
      </w:r>
      <w:r w:rsidR="00E33CC0" w:rsidRPr="00294D58">
        <w:rPr>
          <w:rFonts w:cstheme="minorHAnsi"/>
        </w:rPr>
        <w:t>those of individuals who have never been homeless</w:t>
      </w:r>
      <w:r w:rsidR="00603FD1" w:rsidRPr="00294D58">
        <w:rPr>
          <w:rFonts w:cstheme="minorHAnsi"/>
        </w:rPr>
        <w:t>, in a population-based sample of older adults</w:t>
      </w:r>
      <w:r w:rsidR="00750EFB" w:rsidRPr="00294D58">
        <w:rPr>
          <w:rFonts w:cstheme="minorHAnsi"/>
        </w:rPr>
        <w:t xml:space="preserve"> living</w:t>
      </w:r>
      <w:r w:rsidR="00603FD1" w:rsidRPr="00294D58">
        <w:rPr>
          <w:rFonts w:cstheme="minorHAnsi"/>
        </w:rPr>
        <w:t xml:space="preserve"> in England</w:t>
      </w:r>
      <w:r w:rsidR="00E33CC0" w:rsidRPr="00294D58">
        <w:t>.</w:t>
      </w:r>
      <w:r w:rsidR="004922F2" w:rsidRPr="00294D58">
        <w:t xml:space="preserve"> Specifically, we aimed to address the following research questions: </w:t>
      </w:r>
    </w:p>
    <w:p w14:paraId="5F0CB54B" w14:textId="77777777" w:rsidR="004922F2" w:rsidRPr="00294D58" w:rsidRDefault="004922F2" w:rsidP="004922F2">
      <w:pPr>
        <w:pStyle w:val="ListParagraph"/>
        <w:numPr>
          <w:ilvl w:val="0"/>
          <w:numId w:val="17"/>
        </w:numPr>
      </w:pPr>
      <w:r w:rsidRPr="00294D58">
        <w:t>To what extent do individuals with a history of homelessness differ from those who have never been homeless with regard to smoking status, alcohol intake, and level of physical activity, adjusting for relevant sociodemographic characteristics?</w:t>
      </w:r>
    </w:p>
    <w:p w14:paraId="0593D8D7" w14:textId="77777777" w:rsidR="004922F2" w:rsidRPr="00294D58" w:rsidRDefault="004922F2" w:rsidP="004922F2">
      <w:pPr>
        <w:pStyle w:val="ListParagraph"/>
        <w:numPr>
          <w:ilvl w:val="0"/>
          <w:numId w:val="17"/>
        </w:numPr>
      </w:pPr>
      <w:r w:rsidRPr="00294D58">
        <w:t xml:space="preserve">To what extent do individuals with a history of homelessness differ from those who have never been homeless with regard to self-rated health, limiting long-standing illness, depressive symptoms, life satisfaction, quality of life, and loneliness, adjusting for relevant sociodemographic characteristics and health behaviours? </w:t>
      </w:r>
    </w:p>
    <w:p w14:paraId="13F25460" w14:textId="77777777" w:rsidR="004922F2" w:rsidRPr="00294D58" w:rsidRDefault="004922F2" w:rsidP="00565050">
      <w:r w:rsidRPr="00294D58">
        <w:t>We hypothesise</w:t>
      </w:r>
      <w:r w:rsidR="00565050" w:rsidRPr="00294D58">
        <w:t>d</w:t>
      </w:r>
      <w:r w:rsidRPr="00294D58">
        <w:t xml:space="preserve"> that </w:t>
      </w:r>
      <w:r w:rsidR="00565050" w:rsidRPr="00294D58">
        <w:t>individuals</w:t>
      </w:r>
      <w:r w:rsidRPr="00294D58">
        <w:t xml:space="preserve"> who ha</w:t>
      </w:r>
      <w:r w:rsidR="00565050" w:rsidRPr="00294D58">
        <w:t>d</w:t>
      </w:r>
      <w:r w:rsidRPr="00294D58">
        <w:t xml:space="preserve"> previously been homeless </w:t>
      </w:r>
      <w:r w:rsidR="00565050" w:rsidRPr="00294D58">
        <w:t>would</w:t>
      </w:r>
      <w:r w:rsidRPr="00294D58">
        <w:t xml:space="preserve"> have </w:t>
      </w:r>
      <w:r w:rsidR="00565050" w:rsidRPr="00294D58">
        <w:t>a higher prevalence of</w:t>
      </w:r>
      <w:r w:rsidRPr="00294D58">
        <w:t xml:space="preserve"> lifestyle risk behaviours and an unfavourable mental and physical health </w:t>
      </w:r>
      <w:r w:rsidR="00565050" w:rsidRPr="00294D58">
        <w:t>profile</w:t>
      </w:r>
      <w:r w:rsidRPr="00294D58">
        <w:t xml:space="preserve"> </w:t>
      </w:r>
      <w:r w:rsidR="00565050" w:rsidRPr="00294D58">
        <w:t>compared</w:t>
      </w:r>
      <w:r w:rsidRPr="00294D58">
        <w:t xml:space="preserve"> </w:t>
      </w:r>
      <w:r w:rsidR="00565050" w:rsidRPr="00294D58">
        <w:t>with</w:t>
      </w:r>
      <w:r w:rsidRPr="00294D58">
        <w:t xml:space="preserve"> those who ha</w:t>
      </w:r>
      <w:r w:rsidR="00565050" w:rsidRPr="00294D58">
        <w:t>d</w:t>
      </w:r>
      <w:r w:rsidRPr="00294D58">
        <w:t xml:space="preserve"> never been homeless. </w:t>
      </w:r>
    </w:p>
    <w:p w14:paraId="529B970E" w14:textId="77777777" w:rsidR="004922F2" w:rsidRPr="00294D58" w:rsidRDefault="004922F2" w:rsidP="00C46306"/>
    <w:p w14:paraId="35FEC60F" w14:textId="77777777" w:rsidR="007C457B" w:rsidRPr="00294D58" w:rsidRDefault="00375BE3" w:rsidP="007C457B">
      <w:pPr>
        <w:pStyle w:val="Heading2"/>
        <w:spacing w:line="360" w:lineRule="auto"/>
      </w:pPr>
      <w:r w:rsidRPr="00294D58">
        <w:t>METHODS</w:t>
      </w:r>
    </w:p>
    <w:p w14:paraId="0A00FC5A" w14:textId="77777777" w:rsidR="007C457B" w:rsidRPr="00294D58" w:rsidRDefault="007C457B" w:rsidP="007C457B">
      <w:pPr>
        <w:pStyle w:val="Heading3"/>
        <w:spacing w:line="360" w:lineRule="auto"/>
      </w:pPr>
      <w:r w:rsidRPr="00294D58">
        <w:t>Study population</w:t>
      </w:r>
    </w:p>
    <w:p w14:paraId="62DDC66F" w14:textId="27F98C7C" w:rsidR="007C457B" w:rsidRPr="00294D58" w:rsidRDefault="007C457B" w:rsidP="007C457B">
      <w:r w:rsidRPr="00294D58">
        <w:t xml:space="preserve">Data were from the English Longitudinal Study of Ageing (ELSA), a </w:t>
      </w:r>
      <w:r w:rsidR="0036485F" w:rsidRPr="00294D58">
        <w:t xml:space="preserve">nationally-representative </w:t>
      </w:r>
      <w:r w:rsidRPr="00294D58">
        <w:t xml:space="preserve">longitudinal panel study of men and women aged 50 and older living in households </w:t>
      </w:r>
      <w:r w:rsidR="0036485F" w:rsidRPr="00294D58">
        <w:t>across</w:t>
      </w:r>
      <w:r w:rsidR="006B2681" w:rsidRPr="00294D58">
        <w:t xml:space="preserve"> </w:t>
      </w:r>
      <w:r w:rsidRPr="00294D58">
        <w:t>England</w:t>
      </w:r>
      <w:r w:rsidR="00D62217" w:rsidRPr="00294D58">
        <w:t>.</w:t>
      </w:r>
      <w:r w:rsidR="00AD7661" w:rsidRPr="00294D58">
        <w:fldChar w:fldCharType="begin"/>
      </w:r>
      <w:r w:rsidR="00716C82" w:rsidRPr="00294D58">
        <w:instrText xml:space="preserve"> ADDIN ZOTERO_ITEM CSL_CITATION {"citationID":"WJtY2UeU","properties":{"formattedCitation":"[16]","plainCitation":"[16]","noteIndex":0},"citationItems":[{"id":1308,"uris":["http://zotero.org/users/446899/items/3CSP8CP4"],"uri":["http://zotero.org/users/446899/items/3CSP8CP4"],"itemData":{"id":1308,"type":"article-journal","title":"Cohort profile: the English Longitudinal Study of Ageing","container-title":"International journal of epidemiology","page":"1640-1648","volume":"42","issue":"6","source":"NCBI PubMed","abstract":"The English Longitudinal Study of Ageing (ELSA) is a panel study of a representative cohort of men and women living in England aged ≥50 years. It was designed as a sister study to the Health and Retirement Study in the USA and is multidisciplinary in orientation, involving the collection of economic, social, psychological, cognitive, health, biological and genetic data. The study commenced in 2002, and the sample has been followed up every 2 years. Data are collected using computer-assisted personal interviews and self-completion questionnaires, with additional nurse visits for the assessment of biomarkers every 4 years. The original sample consisted of 11 391 members ranging in age from 50 to 100 years. ELSA is harmonized with ageing studies in other countries to facilitate international comparisons, and is linked to financial and health registry data. The data set is openly available to researchers and analysts soon after collection (http://www.esds.ac.uk/longitudinal/access/elsa/l5050.asp).","DOI":"10.1093/ije/dys168","ISSN":"1464-3685","note":"PMID: 23143611 \nPMCID: PMC3900867","shortTitle":"Cohort profile","journalAbbreviation":"Int J Epidemiol","language":"eng","author":[{"family":"Steptoe","given":"Andrew"},{"family":"Breeze","given":"Elizabeth"},{"family":"Banks","given":"James"},{"family":"Nazroo","given":"James"}],"issued":{"date-parts":[["2013",12]]}}}],"schema":"https://github.com/citation-style-language/schema/raw/master/csl-citation.json"} </w:instrText>
      </w:r>
      <w:r w:rsidR="00AD7661" w:rsidRPr="00294D58">
        <w:fldChar w:fldCharType="separate"/>
      </w:r>
      <w:r w:rsidR="00716C82" w:rsidRPr="00294D58">
        <w:rPr>
          <w:rFonts w:ascii="Calibri" w:hAnsi="Calibri" w:cs="Calibri"/>
        </w:rPr>
        <w:t>[16]</w:t>
      </w:r>
      <w:r w:rsidR="00AD7661" w:rsidRPr="00294D58">
        <w:fldChar w:fldCharType="end"/>
      </w:r>
      <w:r w:rsidRPr="00294D58">
        <w:t xml:space="preserve"> The study began in 2002, with subsequent rounds of data collection at two-year intervals via computer-assisted personal interview and self-completion questionnaires. Wave 3 (2006/07) included a life history questionnaire</w:t>
      </w:r>
      <w:r w:rsidR="00B17851" w:rsidRPr="00294D58">
        <w:t>,</w:t>
      </w:r>
      <w:r w:rsidRPr="00294D58">
        <w:t xml:space="preserve"> which gathered detailed information about important events that occurred in the participants’ lives, including whether they had ever been homeless. Of the 9,771 participants interviewed in Wave 3 of ELSA, 7,855 (80.4%) completed the life history questionnaire. We excluded 924 participants (11.8%) with missing data on homelessness or sociodemographic covariates, leaving a final sample for analysis of 6,931 men and women. Ethical approval was obtained from the National Research Ethics Service and all participants gave full informed consent.</w:t>
      </w:r>
    </w:p>
    <w:p w14:paraId="711283F0" w14:textId="77777777" w:rsidR="00401743" w:rsidRPr="00294D58" w:rsidRDefault="00401743" w:rsidP="007C457B">
      <w:pPr>
        <w:rPr>
          <w:rFonts w:eastAsiaTheme="majorEastAsia"/>
        </w:rPr>
      </w:pPr>
      <w:r w:rsidRPr="00294D58">
        <w:rPr>
          <w:rFonts w:eastAsiaTheme="majorEastAsia"/>
          <w:b/>
        </w:rPr>
        <w:lastRenderedPageBreak/>
        <w:t>Patient and Public Involvement</w:t>
      </w:r>
    </w:p>
    <w:p w14:paraId="6E5C7270" w14:textId="77777777" w:rsidR="00401743" w:rsidRPr="00294D58" w:rsidRDefault="00401743" w:rsidP="007C457B">
      <w:pPr>
        <w:rPr>
          <w:rFonts w:eastAsiaTheme="majorEastAsia"/>
        </w:rPr>
      </w:pPr>
      <w:r w:rsidRPr="00294D58">
        <w:rPr>
          <w:rFonts w:eastAsiaTheme="majorEastAsia"/>
        </w:rPr>
        <w:t>Patients were not involved in the design of this study.</w:t>
      </w:r>
    </w:p>
    <w:p w14:paraId="6B9F3463" w14:textId="77777777" w:rsidR="007C457B" w:rsidRPr="00294D58" w:rsidRDefault="007C457B" w:rsidP="007C457B">
      <w:pPr>
        <w:pStyle w:val="Heading3"/>
        <w:spacing w:line="360" w:lineRule="auto"/>
      </w:pPr>
      <w:r w:rsidRPr="00294D58">
        <w:t>Measures</w:t>
      </w:r>
    </w:p>
    <w:p w14:paraId="55A9A3FD" w14:textId="77777777" w:rsidR="007C457B" w:rsidRPr="00294D58" w:rsidRDefault="007C457B" w:rsidP="007C457B">
      <w:pPr>
        <w:pStyle w:val="Body"/>
        <w:spacing w:after="288"/>
        <w:rPr>
          <w:color w:val="auto"/>
        </w:rPr>
      </w:pPr>
      <w:r w:rsidRPr="00294D58">
        <w:rPr>
          <w:color w:val="auto"/>
        </w:rPr>
        <w:t>History of homelessness</w:t>
      </w:r>
    </w:p>
    <w:p w14:paraId="6804FBA5" w14:textId="77777777" w:rsidR="007C457B" w:rsidRPr="00294D58" w:rsidRDefault="007C457B" w:rsidP="007C457B">
      <w:pPr>
        <w:pStyle w:val="Body"/>
        <w:spacing w:after="288"/>
        <w:rPr>
          <w:color w:val="auto"/>
        </w:rPr>
      </w:pPr>
      <w:r w:rsidRPr="00294D58">
        <w:rPr>
          <w:color w:val="auto"/>
        </w:rPr>
        <w:t xml:space="preserve">Participants were asked whether they had ever been homeless for one month or more (yes/no). </w:t>
      </w:r>
    </w:p>
    <w:p w14:paraId="2236E7DF" w14:textId="77777777" w:rsidR="007C457B" w:rsidRPr="00294D58" w:rsidRDefault="007C457B" w:rsidP="007C457B">
      <w:pPr>
        <w:pStyle w:val="Body"/>
        <w:spacing w:after="288"/>
        <w:rPr>
          <w:color w:val="auto"/>
        </w:rPr>
      </w:pPr>
      <w:r w:rsidRPr="00294D58">
        <w:rPr>
          <w:color w:val="auto"/>
        </w:rPr>
        <w:t xml:space="preserve">Health </w:t>
      </w:r>
      <w:proofErr w:type="spellStart"/>
      <w:r w:rsidRPr="00294D58">
        <w:rPr>
          <w:color w:val="auto"/>
        </w:rPr>
        <w:t>behaviours</w:t>
      </w:r>
      <w:proofErr w:type="spellEnd"/>
    </w:p>
    <w:p w14:paraId="2F6A2450" w14:textId="77777777" w:rsidR="007C457B" w:rsidRPr="00294D58" w:rsidRDefault="007C457B" w:rsidP="007C457B">
      <w:pPr>
        <w:pStyle w:val="Body"/>
        <w:spacing w:after="288"/>
        <w:rPr>
          <w:color w:val="auto"/>
        </w:rPr>
      </w:pPr>
      <w:r w:rsidRPr="00294D58">
        <w:rPr>
          <w:color w:val="auto"/>
        </w:rPr>
        <w:t>Smoking status was assessed with the question “</w:t>
      </w:r>
      <w:r w:rsidRPr="00294D58">
        <w:rPr>
          <w:i/>
          <w:color w:val="auto"/>
        </w:rPr>
        <w:t>Do you smoke cigarettes at all nowadays”</w:t>
      </w:r>
      <w:r w:rsidR="006B2681" w:rsidRPr="00294D58">
        <w:rPr>
          <w:i/>
          <w:color w:val="auto"/>
        </w:rPr>
        <w:t xml:space="preserve"> </w:t>
      </w:r>
      <w:r w:rsidRPr="00294D58">
        <w:rPr>
          <w:color w:val="auto"/>
        </w:rPr>
        <w:t>(yes/no).</w:t>
      </w:r>
    </w:p>
    <w:p w14:paraId="15FFE3C9" w14:textId="77777777" w:rsidR="007C457B" w:rsidRPr="00294D58" w:rsidRDefault="007C457B" w:rsidP="007C457B">
      <w:pPr>
        <w:pStyle w:val="Body"/>
        <w:spacing w:after="288"/>
        <w:rPr>
          <w:color w:val="auto"/>
          <w:u w:val="single"/>
        </w:rPr>
      </w:pPr>
      <w:r w:rsidRPr="00294D58">
        <w:rPr>
          <w:color w:val="auto"/>
        </w:rPr>
        <w:t>F</w:t>
      </w:r>
      <w:r w:rsidRPr="00294D58">
        <w:rPr>
          <w:color w:val="auto"/>
          <w:shd w:val="clear" w:color="auto" w:fill="FFFFFF"/>
        </w:rPr>
        <w:t>requency of alcohol intake over the past 12 months was</w:t>
      </w:r>
      <w:r w:rsidR="006B2681" w:rsidRPr="00294D58">
        <w:rPr>
          <w:color w:val="auto"/>
          <w:shd w:val="clear" w:color="auto" w:fill="FFFFFF"/>
        </w:rPr>
        <w:t xml:space="preserve"> </w:t>
      </w:r>
      <w:r w:rsidRPr="00294D58">
        <w:rPr>
          <w:color w:val="auto"/>
          <w:shd w:val="clear" w:color="auto" w:fill="FFFFFF"/>
        </w:rPr>
        <w:t>reported on an 8-point scale from “not at all in the last 12 months” to “almost every day”</w:t>
      </w:r>
      <w:r w:rsidR="00625E51" w:rsidRPr="00294D58">
        <w:rPr>
          <w:color w:val="auto"/>
          <w:shd w:val="clear" w:color="auto" w:fill="FFFFFF"/>
        </w:rPr>
        <w:t>.</w:t>
      </w:r>
      <w:r w:rsidR="006B2681" w:rsidRPr="00294D58">
        <w:rPr>
          <w:color w:val="auto"/>
          <w:shd w:val="clear" w:color="auto" w:fill="FFFFFF"/>
        </w:rPr>
        <w:t xml:space="preserve"> </w:t>
      </w:r>
      <w:r w:rsidR="00625E51" w:rsidRPr="00294D58">
        <w:rPr>
          <w:color w:val="auto"/>
          <w:shd w:val="clear" w:color="auto" w:fill="FFFFFF"/>
        </w:rPr>
        <w:t xml:space="preserve">We </w:t>
      </w:r>
      <w:proofErr w:type="spellStart"/>
      <w:r w:rsidR="00625E51" w:rsidRPr="00294D58">
        <w:rPr>
          <w:color w:val="auto"/>
          <w:shd w:val="clear" w:color="auto" w:fill="FFFFFF"/>
        </w:rPr>
        <w:t>dichotomised</w:t>
      </w:r>
      <w:proofErr w:type="spellEnd"/>
      <w:r w:rsidR="00625E51" w:rsidRPr="00294D58">
        <w:rPr>
          <w:color w:val="auto"/>
          <w:shd w:val="clear" w:color="auto" w:fill="FFFFFF"/>
        </w:rPr>
        <w:t xml:space="preserve"> responses to distinguish between participants drinking almost every day (“daily drinking”) vs. less than this.</w:t>
      </w:r>
    </w:p>
    <w:p w14:paraId="14D25DE1" w14:textId="3FCF843F" w:rsidR="007C457B" w:rsidRPr="00294D58" w:rsidRDefault="007C457B" w:rsidP="007C457B">
      <w:pPr>
        <w:pStyle w:val="Body"/>
        <w:spacing w:after="288"/>
        <w:rPr>
          <w:color w:val="auto"/>
          <w:shd w:val="clear" w:color="auto" w:fill="FFFFFF"/>
        </w:rPr>
      </w:pPr>
      <w:r w:rsidRPr="00294D58">
        <w:rPr>
          <w:color w:val="auto"/>
          <w:shd w:val="clear" w:color="auto" w:fill="FFFFFF"/>
        </w:rPr>
        <w:t>Physical activity was assessed with three items that asked respondents</w:t>
      </w:r>
      <w:r w:rsidR="006B2681" w:rsidRPr="00294D58">
        <w:rPr>
          <w:color w:val="auto"/>
          <w:shd w:val="clear" w:color="auto" w:fill="FFFFFF"/>
        </w:rPr>
        <w:t xml:space="preserve"> </w:t>
      </w:r>
      <w:r w:rsidRPr="00294D58">
        <w:rPr>
          <w:color w:val="auto"/>
          <w:shd w:val="clear" w:color="auto" w:fill="FFFFFF"/>
        </w:rPr>
        <w:t>about the frequency with which they took part in vigorous, moderate and low-intensity activities (more than once a week, once a week, 1-3 times a month, hardly ever/never)</w:t>
      </w:r>
      <w:r w:rsidR="00AD7661" w:rsidRPr="00294D58">
        <w:rPr>
          <w:color w:val="auto"/>
          <w:shd w:val="clear" w:color="auto" w:fill="FFFFFF"/>
        </w:rPr>
        <w:fldChar w:fldCharType="begin"/>
      </w:r>
      <w:r w:rsidR="00716C82" w:rsidRPr="00294D58">
        <w:rPr>
          <w:color w:val="auto"/>
          <w:shd w:val="clear" w:color="auto" w:fill="FFFFFF"/>
        </w:rPr>
        <w:instrText xml:space="preserve"> ADDIN ZOTERO_ITEM CSL_CITATION {"citationID":"6wImaR3F","properties":{"formattedCitation":"[17]","plainCitation":"[17]","noteIndex":0},"citationItems":[{"id":123,"uris":["http://zotero.org/users/446899/items/I62RXRAI"],"uri":["http://zotero.org/users/446899/items/I62RXRAI"],"itemData":{"id":123,"type":"article-journal","title":"Low-intensity physical activity is associated with reduced risk of incident type 2 diabetes in older adults: evidence from the English Longitudinal Study of Ageing","container-title":"Diabetologia","page":"1877-1885","volume":"53","source":"CrossRef","DOI":"10.1007/s00125-010-1785-x","ISSN":"0012-186X, 1432-0428","shortTitle":"Low-intensity physical activity is associated with reduced risk of incident type 2 diabetes in older adults","author":[{"family":"Demakakos","given":"P."},{"family":"Hamer","given":"M."},{"family":"Stamatakis","given":"E."},{"family":"Steptoe","given":"A."}],"issued":{"date-parts":[["2010",5,22]]}}}],"schema":"https://github.com/citation-style-language/schema/raw/master/csl-citation.json"} </w:instrText>
      </w:r>
      <w:r w:rsidR="00AD7661" w:rsidRPr="00294D58">
        <w:rPr>
          <w:color w:val="auto"/>
          <w:shd w:val="clear" w:color="auto" w:fill="FFFFFF"/>
        </w:rPr>
        <w:fldChar w:fldCharType="separate"/>
      </w:r>
      <w:r w:rsidR="00716C82" w:rsidRPr="00294D58">
        <w:rPr>
          <w:color w:val="auto"/>
        </w:rPr>
        <w:t>[17]</w:t>
      </w:r>
      <w:r w:rsidR="00AD7661" w:rsidRPr="00294D58">
        <w:rPr>
          <w:color w:val="auto"/>
          <w:shd w:val="clear" w:color="auto" w:fill="FFFFFF"/>
        </w:rPr>
        <w:fldChar w:fldCharType="end"/>
      </w:r>
      <w:r w:rsidRPr="00294D58">
        <w:rPr>
          <w:color w:val="auto"/>
          <w:shd w:val="clear" w:color="auto" w:fill="FFFFFF"/>
        </w:rPr>
        <w:t>. Responses were</w:t>
      </w:r>
      <w:r w:rsidR="006B2681" w:rsidRPr="00294D58">
        <w:rPr>
          <w:color w:val="auto"/>
          <w:shd w:val="clear" w:color="auto" w:fill="FFFFFF"/>
        </w:rPr>
        <w:t xml:space="preserve"> </w:t>
      </w:r>
      <w:proofErr w:type="spellStart"/>
      <w:r w:rsidR="00912BA3" w:rsidRPr="00294D58">
        <w:rPr>
          <w:color w:val="auto"/>
          <w:shd w:val="clear" w:color="auto" w:fill="FFFFFF"/>
        </w:rPr>
        <w:t>dichotomised</w:t>
      </w:r>
      <w:proofErr w:type="spellEnd"/>
      <w:r w:rsidR="00912BA3" w:rsidRPr="00294D58">
        <w:rPr>
          <w:color w:val="auto"/>
          <w:shd w:val="clear" w:color="auto" w:fill="FFFFFF"/>
        </w:rPr>
        <w:t xml:space="preserve"> as follows</w:t>
      </w:r>
      <w:r w:rsidRPr="00294D58">
        <w:rPr>
          <w:color w:val="auto"/>
          <w:shd w:val="clear" w:color="auto" w:fill="FFFFFF"/>
        </w:rPr>
        <w:t>: inactive (no moderate/vigorous activity on a w</w:t>
      </w:r>
      <w:r w:rsidR="00912BA3" w:rsidRPr="00294D58">
        <w:rPr>
          <w:color w:val="auto"/>
          <w:shd w:val="clear" w:color="auto" w:fill="FFFFFF"/>
        </w:rPr>
        <w:t>eekly basis) vs. active (</w:t>
      </w:r>
      <w:r w:rsidRPr="00294D58">
        <w:rPr>
          <w:color w:val="auto"/>
          <w:shd w:val="clear" w:color="auto" w:fill="FFFFFF"/>
        </w:rPr>
        <w:t xml:space="preserve">moderate </w:t>
      </w:r>
      <w:r w:rsidR="00912BA3" w:rsidRPr="00294D58">
        <w:rPr>
          <w:color w:val="auto"/>
          <w:shd w:val="clear" w:color="auto" w:fill="FFFFFF"/>
        </w:rPr>
        <w:t xml:space="preserve">or vigorous </w:t>
      </w:r>
      <w:r w:rsidRPr="00294D58">
        <w:rPr>
          <w:color w:val="auto"/>
          <w:shd w:val="clear" w:color="auto" w:fill="FFFFFF"/>
        </w:rPr>
        <w:t>activity at least once a week</w:t>
      </w:r>
      <w:r w:rsidR="00912BA3" w:rsidRPr="00294D58">
        <w:rPr>
          <w:color w:val="auto"/>
          <w:shd w:val="clear" w:color="auto" w:fill="FFFFFF"/>
        </w:rPr>
        <w:t>)</w:t>
      </w:r>
      <w:r w:rsidRPr="00294D58">
        <w:rPr>
          <w:color w:val="auto"/>
          <w:shd w:val="clear" w:color="auto" w:fill="FFFFFF"/>
        </w:rPr>
        <w:t>.</w:t>
      </w:r>
    </w:p>
    <w:p w14:paraId="65683BA1" w14:textId="77777777" w:rsidR="007C457B" w:rsidRPr="00294D58" w:rsidRDefault="007C457B" w:rsidP="007C457B">
      <w:pPr>
        <w:pStyle w:val="Body"/>
        <w:spacing w:after="288"/>
        <w:rPr>
          <w:color w:val="auto"/>
        </w:rPr>
      </w:pPr>
      <w:r w:rsidRPr="00294D58">
        <w:rPr>
          <w:color w:val="auto"/>
        </w:rPr>
        <w:t>Health and wellbeing</w:t>
      </w:r>
    </w:p>
    <w:p w14:paraId="6AC486D9" w14:textId="532F1C4F" w:rsidR="007C457B" w:rsidRPr="00294D58" w:rsidRDefault="007C457B" w:rsidP="007C457B">
      <w:r w:rsidRPr="00294D58">
        <w:t xml:space="preserve">Self‐rated health was assessed using a single item: </w:t>
      </w:r>
      <w:r w:rsidRPr="00294D58">
        <w:rPr>
          <w:i/>
        </w:rPr>
        <w:t xml:space="preserve">“Would you say your health is… </w:t>
      </w:r>
      <w:r w:rsidR="00F01AF5" w:rsidRPr="00294D58">
        <w:rPr>
          <w:i/>
        </w:rPr>
        <w:t xml:space="preserve">very </w:t>
      </w:r>
      <w:r w:rsidR="00E72B9C" w:rsidRPr="00294D58">
        <w:rPr>
          <w:i/>
        </w:rPr>
        <w:t>good/good/fair/bad/very bad</w:t>
      </w:r>
      <w:r w:rsidRPr="00294D58">
        <w:rPr>
          <w:i/>
        </w:rPr>
        <w:t>?”</w:t>
      </w:r>
      <w:r w:rsidR="006E3E23" w:rsidRPr="00294D58">
        <w:rPr>
          <w:i/>
        </w:rPr>
        <w:t xml:space="preserve"> </w:t>
      </w:r>
      <w:r w:rsidRPr="00294D58">
        <w:t>We analysed the proportion of individuals rating their health as</w:t>
      </w:r>
      <w:r w:rsidR="00E72B9C" w:rsidRPr="00294D58">
        <w:t xml:space="preserve"> fair, bad or very bad</w:t>
      </w:r>
      <w:r w:rsidRPr="00294D58">
        <w:t>, as is commonly done in analyses of this variable</w:t>
      </w:r>
      <w:r w:rsidR="00D62217" w:rsidRPr="00294D58">
        <w:t>.</w:t>
      </w:r>
      <w:r w:rsidR="00AD7661" w:rsidRPr="00294D58">
        <w:fldChar w:fldCharType="begin"/>
      </w:r>
      <w:r w:rsidR="00716C82" w:rsidRPr="00294D58">
        <w:instrText xml:space="preserve"> ADDIN ZOTERO_ITEM CSL_CITATION {"citationID":"Zc6OEfM2","properties":{"formattedCitation":"[18,19]","plainCitation":"[18,19]","noteIndex":0},"citationItems":[{"id":2009,"uris":["http://zotero.org/users/446899/items/GCC4Y9SB"],"uri":["http://zotero.org/users/446899/items/GCC4Y9SB"],"itemData":{"id":2009,"type":"article-journal","title":"The Life Skills of Older Americans: Association with Economic, Psychological, Social, and Health Outcomes","container-title":"Scientific Reports","page":"9669","volume":"8","issue":"1","source":"www.nature.com","abstract":"Studies of children and adolescents indicate that success in life is determined in part by attributes such as conscientiousness, emotional stability and sense of control, independently of childhood socioeconomic status and cognitive ability. Less is known about the role of these characteristics at older ages. This study investigated the relationship of five life skills – conscientiousness, emotional stability, persistence, optimism and sense of control – with a range of outcomes in 8,843 participants (mean age 72.57 years) in the Health and Retirement Study, a representative study of older Americans. More life skills were associated with greater wealth and income, better emotional wellbeing, stronger social relationships, less loneliness, better health, fewer chronic illnesses and impaired activities of daily living, better mobility and less obesity, after controlling for childhood socioeconomic status and current cognitive ability. Longitudinally, more life skills predicted emotional wellbeing, less loneliness and more prosocial behavior, better health and mobility over a 4 year period. Associations were independent of gender, ethnicity, family background, education and cognitive ability. The number of attributes was important rather than any single life skill. Life skills continue to matter at advanced ages, and fostering these characteristics in older adults may pay dividends in terms of later life health and wellbeing.","DOI":"10.1038/s41598-018-27909-w","ISSN":"2045-2322","shortTitle":"The Life Skills of Older Americans","language":"en","author":[{"family":"Steptoe","given":"Andrew"},{"family":"Jackson","given":"Sarah E."}],"issued":{"date-parts":[["2018",7,5]]}}},{"id":2011,"uris":["http://zotero.org/users/446899/items/V6327HJ6"],"uri":["http://zotero.org/users/446899/items/V6327HJ6"],"itemData":{"id":2011,"type":"article-journal","title":"Mortality prediction with a single general self-rated health question. A meta-analysis","container-title":"Journal of General Internal Medicine","page":"267-275","volume":"21","issue":"3","source":"PubMed","abstract":"OBJECTIVE: Health planners and policy makers are increasingly asking for a feasible method to identify vulnerable persons with the greatest health needs. We conducted a systematic review of the association between a single item assessing general self-rated health (GSRH) and mortality.\nDATA SOURCES: Systematic MEDLINE and EMBASE database searches for studies published from January 1966 to September 2003.\nREVIEW METHODS: Two investigators independently searched English language prospective, community-based cohort studies that reported (1) all-cause mortality, (2) a question assessing GSRH; and (3) an adjusted relative risk or equivalent. The investigators searched the citations to determine inclusion eligibility and abstracted data by following a standardized protocol. Of the 163 relevant studies identified, 22 cohorts met the inclusion criteria. Using a random effects model, compared with persons reporting \"excellent\" health status, the relative risk (95% confidence interval) for all-cause mortality was 1.23 [1.09, 1.39], 1.44 [1.21, 1.71], and 1.92 [1.64, 2.25] for those reporting \"good,\"fair,\" and \"poor\" health status, respectively. This relationship was robust in sensitivity analyses, limited to studies that adjusted for co-morbid illness, functional status, cognitive status, and depression, and across subgroups defined by gender and country of origin.\nCONCLUSIONS: Persons with \"poor\" self-rated health had a 2-fold higher mortality risk compared with persons with \"excellent\" self-rated health. Subjects' responses to a simple, single-item GSRH question maintained a strong association with mortality even after adjustment for key covariates such as functional status, depression, and co-morbidity.","DOI":"10.1111/j.1525-1497.2005.00291.x","ISSN":"1525-1497","note":"PMID: 16336622\nPMCID: PMC1828094","journalAbbreviation":"J Gen Intern Med","language":"eng","author":[{"family":"DeSalvo","given":"Karen B."},{"family":"Bloser","given":"Nicole"},{"family":"Reynolds","given":"Kristi"},{"family":"He","given":"Jiang"},{"family":"Muntner","given":"Paul"}],"issued":{"date-parts":[["2006",3]]}}}],"schema":"https://github.com/citation-style-language/schema/raw/master/csl-citation.json"} </w:instrText>
      </w:r>
      <w:r w:rsidR="00AD7661" w:rsidRPr="00294D58">
        <w:fldChar w:fldCharType="separate"/>
      </w:r>
      <w:r w:rsidR="00716C82" w:rsidRPr="00294D58">
        <w:rPr>
          <w:rFonts w:ascii="Calibri" w:hAnsi="Calibri" w:cs="Calibri"/>
        </w:rPr>
        <w:t>[18,19]</w:t>
      </w:r>
      <w:r w:rsidR="00AD7661" w:rsidRPr="00294D58">
        <w:fldChar w:fldCharType="end"/>
      </w:r>
    </w:p>
    <w:p w14:paraId="10761A3C" w14:textId="77777777" w:rsidR="007C457B" w:rsidRPr="00294D58" w:rsidRDefault="0013573C" w:rsidP="007C457B">
      <w:r w:rsidRPr="00294D58">
        <w:t>L</w:t>
      </w:r>
      <w:r w:rsidR="007C457B" w:rsidRPr="00294D58">
        <w:t>imiting long-stand</w:t>
      </w:r>
      <w:r w:rsidRPr="00294D58">
        <w:t xml:space="preserve">ing illness was </w:t>
      </w:r>
      <w:r w:rsidR="007C457B" w:rsidRPr="00294D58">
        <w:t>assessed with two questions: (1) “</w:t>
      </w:r>
      <w:r w:rsidR="007C457B" w:rsidRPr="00294D58">
        <w:rPr>
          <w:i/>
        </w:rPr>
        <w:t>Do you have any long-standing illness, disability, or infirmity? By long-standing I mean anything that has troubled you over a period of time or that is likely to affect you over a period of time.”</w:t>
      </w:r>
      <w:r w:rsidR="007C457B" w:rsidRPr="00294D58">
        <w:t xml:space="preserve"> If they responded yes, they were asked (2) </w:t>
      </w:r>
      <w:r w:rsidR="007C457B" w:rsidRPr="00294D58">
        <w:rPr>
          <w:i/>
        </w:rPr>
        <w:t>“Does this illness or disability limit your activities in any way?”</w:t>
      </w:r>
      <w:r w:rsidR="007C457B" w:rsidRPr="00294D58">
        <w:t xml:space="preserve"> Affirmation of a long-standing illness and any form of limitation classified the participant as having a limiting long-standing illness.</w:t>
      </w:r>
    </w:p>
    <w:p w14:paraId="1DD93CC0" w14:textId="15FA13A1" w:rsidR="007C457B" w:rsidRPr="00294D58" w:rsidRDefault="007C457B" w:rsidP="007C457B">
      <w:r w:rsidRPr="00294D58">
        <w:lastRenderedPageBreak/>
        <w:t xml:space="preserve">Depressive symptoms were assessed with an eight‐item version of the </w:t>
      </w:r>
      <w:proofErr w:type="spellStart"/>
      <w:r w:rsidRPr="00294D58">
        <w:t>Center</w:t>
      </w:r>
      <w:proofErr w:type="spellEnd"/>
      <w:r w:rsidRPr="00294D58">
        <w:t xml:space="preserve"> for Epidemiologic Studies Depression Scale (CES‐D) </w:t>
      </w:r>
      <w:r w:rsidR="00AD7661" w:rsidRPr="00294D58">
        <w:fldChar w:fldCharType="begin"/>
      </w:r>
      <w:r w:rsidR="00716C82" w:rsidRPr="00294D58">
        <w:instrText xml:space="preserve"> ADDIN ZOTERO_ITEM CSL_CITATION {"citationID":"adMCuFO0","properties":{"formattedCitation":"[20]","plainCitation":"[20]","noteIndex":0},"citationItems":[{"id":207,"uris":["http://zotero.org/users/446899/items/UN4RQST9"],"uri":["http://zotero.org/users/446899/items/UN4RQST9"],"itemData":{"id":207,"type":"article-journal","title":"The CES-D scale","container-title":"Appl Psychol Meas","page":"385–401","volume":"1","issue":"3","source":"Google Scholar","author":[{"family":"Radloff","given":"L.S."}],"issued":{"date-parts":[["1977"]]}}}],"schema":"https://github.com/citation-style-language/schema/raw/master/csl-citation.json"} </w:instrText>
      </w:r>
      <w:r w:rsidR="00AD7661" w:rsidRPr="00294D58">
        <w:fldChar w:fldCharType="separate"/>
      </w:r>
      <w:r w:rsidR="00716C82" w:rsidRPr="00294D58">
        <w:rPr>
          <w:rFonts w:ascii="Calibri" w:hAnsi="Calibri" w:cs="Calibri"/>
        </w:rPr>
        <w:t>[20]</w:t>
      </w:r>
      <w:r w:rsidR="00AD7661" w:rsidRPr="00294D58">
        <w:fldChar w:fldCharType="end"/>
      </w:r>
      <w:r w:rsidRPr="00294D58">
        <w:t>, a scale highly val</w:t>
      </w:r>
      <w:r w:rsidR="008D5FAD" w:rsidRPr="00294D58">
        <w:t xml:space="preserve">idated for use in older adults </w:t>
      </w:r>
      <w:r w:rsidR="00AD7661" w:rsidRPr="00294D58">
        <w:fldChar w:fldCharType="begin"/>
      </w:r>
      <w:r w:rsidR="00716C82" w:rsidRPr="00294D58">
        <w:instrText xml:space="preserve"> ADDIN ZOTERO_ITEM CSL_CITATION {"citationID":"NtRf5HCI","properties":{"formattedCitation":"[21]","plainCitation":"[21]","noteIndex":0},"citationItems":[{"id":203,"uris":["http://zotero.org/users/446899/items/KSNSDFX5"],"uri":["http://zotero.org/users/446899/items/KSNSDFX5"],"itemData":{"id":203,"type":"article","title":"Documentation of affective functioning measures in the Health and Retirement Study","publisher":"HRS Documentation Report DR-005","author":[{"family":"Steffick","given":"D.E."}],"issued":{"date-parts":[["2000"]]}}}],"schema":"https://github.com/citation-style-language/schema/raw/master/csl-citation.json"} </w:instrText>
      </w:r>
      <w:r w:rsidR="00AD7661" w:rsidRPr="00294D58">
        <w:fldChar w:fldCharType="separate"/>
      </w:r>
      <w:r w:rsidR="00716C82" w:rsidRPr="00294D58">
        <w:rPr>
          <w:rFonts w:ascii="Calibri" w:hAnsi="Calibri" w:cs="Calibri"/>
        </w:rPr>
        <w:t>[21]</w:t>
      </w:r>
      <w:r w:rsidR="00AD7661" w:rsidRPr="00294D58">
        <w:fldChar w:fldCharType="end"/>
      </w:r>
      <w:r w:rsidRPr="00294D58">
        <w:t>. This asks about feelings over the last week (e.g. “Over the last week have you felt sad”), with binary response options (1=yes, 0=no). Positively framed items were reverse scored. Data were dichotomised using an established cut‐off, with a score of 4 or higher indicating significant symptomatology</w:t>
      </w:r>
      <w:r w:rsidR="00D62217" w:rsidRPr="00294D58">
        <w:t>.</w:t>
      </w:r>
      <w:r w:rsidR="00AD7661" w:rsidRPr="00294D58">
        <w:fldChar w:fldCharType="begin"/>
      </w:r>
      <w:r w:rsidR="00716C82" w:rsidRPr="00294D58">
        <w:instrText xml:space="preserve"> ADDIN ZOTERO_ITEM CSL_CITATION {"citationID":"saeDxBuO","properties":{"formattedCitation":"[21]","plainCitation":"[21]","noteIndex":0},"citationItems":[{"id":203,"uris":["http://zotero.org/users/446899/items/KSNSDFX5"],"uri":["http://zotero.org/users/446899/items/KSNSDFX5"],"itemData":{"id":203,"type":"article","title":"Documentation of affective functioning measures in the Health and Retirement Study","publisher":"HRS Documentation Report DR-005","author":[{"family":"Steffick","given":"D.E."}],"issued":{"date-parts":[["2000"]]}}}],"schema":"https://github.com/citation-style-language/schema/raw/master/csl-citation.json"} </w:instrText>
      </w:r>
      <w:r w:rsidR="00AD7661" w:rsidRPr="00294D58">
        <w:fldChar w:fldCharType="separate"/>
      </w:r>
      <w:r w:rsidR="00716C82" w:rsidRPr="00294D58">
        <w:rPr>
          <w:rFonts w:ascii="Calibri" w:hAnsi="Calibri" w:cs="Calibri"/>
        </w:rPr>
        <w:t>[21]</w:t>
      </w:r>
      <w:r w:rsidR="00AD7661" w:rsidRPr="00294D58">
        <w:fldChar w:fldCharType="end"/>
      </w:r>
    </w:p>
    <w:p w14:paraId="31FC5A22" w14:textId="0BD99DD9" w:rsidR="007C457B" w:rsidRPr="00294D58" w:rsidRDefault="007C457B" w:rsidP="007C457B">
      <w:r w:rsidRPr="00294D58">
        <w:t>Life satisfaction was assessed with the Satisfaction With Life Scale</w:t>
      </w:r>
      <w:r w:rsidR="00D62217" w:rsidRPr="00294D58">
        <w:t>,</w:t>
      </w:r>
      <w:r w:rsidR="00AD7661" w:rsidRPr="00294D58">
        <w:fldChar w:fldCharType="begin"/>
      </w:r>
      <w:r w:rsidR="00716C82" w:rsidRPr="00294D58">
        <w:instrText xml:space="preserve"> ADDIN ZOTERO_ITEM CSL_CITATION {"citationID":"2bs8iohh8c","properties":{"formattedCitation":"[22]","plainCitation":"[22]","noteIndex":0},"citationItems":[{"id":202,"uris":["http://zotero.org/users/446899/items/VCMXG87F"],"uri":["http://zotero.org/users/446899/items/VCMXG87F"],"itemData":{"id":202,"type":"article-journal","title":"The satisfaction with life scale","container-title":"J Pers Assess","page":"71–75","volume":"49","issue":"1","source":"Google Scholar","author":[{"family":"Diener","given":"E."},{"family":"Emmons","given":"R.A."},{"family":"Larsen","given":"R.J."},{"family":"Griffin","given":"S."}],"issued":{"date-parts":[["1985"]]}}}],"schema":"https://github.com/citation-style-language/schema/raw/master/csl-citation.json"} </w:instrText>
      </w:r>
      <w:r w:rsidR="00AD7661" w:rsidRPr="00294D58">
        <w:fldChar w:fldCharType="separate"/>
      </w:r>
      <w:r w:rsidR="00716C82" w:rsidRPr="00294D58">
        <w:rPr>
          <w:rFonts w:ascii="Calibri" w:hAnsi="Calibri" w:cs="Calibri"/>
        </w:rPr>
        <w:t>[22]</w:t>
      </w:r>
      <w:r w:rsidR="00AD7661" w:rsidRPr="00294D58">
        <w:fldChar w:fldCharType="end"/>
      </w:r>
      <w:r w:rsidRPr="00294D58">
        <w:t xml:space="preserve"> which asks respondents to rate the extent to which they agree with five statements: “</w:t>
      </w:r>
      <w:r w:rsidRPr="00294D58">
        <w:rPr>
          <w:i/>
        </w:rPr>
        <w:t>In most ways my life is close to my ideal”</w:t>
      </w:r>
      <w:r w:rsidRPr="00294D58">
        <w:t>; “</w:t>
      </w:r>
      <w:r w:rsidRPr="00294D58">
        <w:rPr>
          <w:i/>
        </w:rPr>
        <w:t>The conditions of my life are excellent”</w:t>
      </w:r>
      <w:r w:rsidRPr="00294D58">
        <w:t>; “</w:t>
      </w:r>
      <w:r w:rsidRPr="00294D58">
        <w:rPr>
          <w:i/>
        </w:rPr>
        <w:t>I am satisfied with my life”</w:t>
      </w:r>
      <w:r w:rsidRPr="00294D58">
        <w:t>; “</w:t>
      </w:r>
      <w:r w:rsidRPr="00294D58">
        <w:rPr>
          <w:i/>
        </w:rPr>
        <w:t>So far I have got the important things I want in life”</w:t>
      </w:r>
      <w:r w:rsidRPr="00294D58">
        <w:t>; “</w:t>
      </w:r>
      <w:r w:rsidRPr="00294D58">
        <w:rPr>
          <w:i/>
        </w:rPr>
        <w:t>If I could live my life again, I would change almost nothing”</w:t>
      </w:r>
      <w:r w:rsidR="006B2681" w:rsidRPr="00294D58">
        <w:rPr>
          <w:i/>
        </w:rPr>
        <w:t xml:space="preserve"> </w:t>
      </w:r>
      <w:r w:rsidRPr="00294D58">
        <w:t>on a scale from 0 (strongly disagree) to 6 (strongly agree). Responses are summed to produce a total score between 0 and 30, with higher scores indicating greater life satisfaction.</w:t>
      </w:r>
    </w:p>
    <w:p w14:paraId="391A8FA9" w14:textId="01692063" w:rsidR="007C457B" w:rsidRPr="00294D58" w:rsidRDefault="007C457B" w:rsidP="007C457B">
      <w:r w:rsidRPr="00294D58">
        <w:t>Quality of life was assessed with the CASP-19</w:t>
      </w:r>
      <w:r w:rsidR="00D62217" w:rsidRPr="00294D58">
        <w:t>,</w:t>
      </w:r>
      <w:r w:rsidR="00AD7661" w:rsidRPr="00294D58">
        <w:fldChar w:fldCharType="begin"/>
      </w:r>
      <w:r w:rsidR="00716C82" w:rsidRPr="00294D58">
        <w:instrText xml:space="preserve"> ADDIN ZOTERO_ITEM CSL_CITATION {"citationID":"LqFBPe4M","properties":{"formattedCitation":"[23]","plainCitation":"[23]","noteIndex":0},"citationItems":[{"id":120,"uris":["http://zotero.org/users/446899/items/4THRQPAZ"],"uri":["http://zotero.org/users/446899/items/4THRQPAZ"],"itemData":{"id":120,"type":"article-journal","title":"A measure of quality of life in early old age: the theory, development and properties of a needs satisfaction model (CASP-19)","container-title":"Aging &amp; Mental Health","page":"186–194","volume":"7","issue":"3","source":"Google Scholar","shortTitle":"A measure of quality of life in early old age","author":[{"family":"Hyde","given":"M."},{"family":"Wiggins","given":"R.D."},{"family":"Higgs","given":"P."},{"family":"Blane","given":"D.B."}],"issued":{"date-parts":[["2003"]]}}}],"schema":"https://github.com/citation-style-language/schema/raw/master/csl-citation.json"} </w:instrText>
      </w:r>
      <w:r w:rsidR="00AD7661" w:rsidRPr="00294D58">
        <w:fldChar w:fldCharType="separate"/>
      </w:r>
      <w:r w:rsidR="00716C82" w:rsidRPr="00294D58">
        <w:rPr>
          <w:rFonts w:ascii="Calibri" w:hAnsi="Calibri" w:cs="Calibri"/>
        </w:rPr>
        <w:t>[23]</w:t>
      </w:r>
      <w:r w:rsidR="00AD7661" w:rsidRPr="00294D58">
        <w:fldChar w:fldCharType="end"/>
      </w:r>
      <w:r w:rsidRPr="00294D58">
        <w:t xml:space="preserve"> a scale designed to measure quality of life in older people. Items cover four domains of quality of life; control (e.g. “</w:t>
      </w:r>
      <w:r w:rsidRPr="00294D58">
        <w:rPr>
          <w:i/>
        </w:rPr>
        <w:t>I feel that what happens to me is out of my control”</w:t>
      </w:r>
      <w:r w:rsidRPr="00294D58">
        <w:t>), autonomy (e.g. “</w:t>
      </w:r>
      <w:r w:rsidRPr="00294D58">
        <w:rPr>
          <w:i/>
        </w:rPr>
        <w:t>My health stops me from doing things I want to do”</w:t>
      </w:r>
      <w:r w:rsidRPr="00294D58">
        <w:t>), self-realisation (e.g. “</w:t>
      </w:r>
      <w:r w:rsidRPr="00294D58">
        <w:rPr>
          <w:i/>
        </w:rPr>
        <w:t>I feel that life is full of opportunities”</w:t>
      </w:r>
      <w:r w:rsidRPr="00294D58">
        <w:t>), and pleasure (e.g. “</w:t>
      </w:r>
      <w:r w:rsidRPr="00294D58">
        <w:rPr>
          <w:i/>
        </w:rPr>
        <w:t>I enjoy being in the company of others”</w:t>
      </w:r>
      <w:r w:rsidRPr="00294D58">
        <w:t>). Respondents are asked how often each statement applies to them (often=0, sometimes=1, not often=2, never=3). Positively-worded items are reverse scored so that a higher total score indicates higher quality of life (range: 0–57).</w:t>
      </w:r>
    </w:p>
    <w:p w14:paraId="4B0620E8" w14:textId="1FCBB962" w:rsidR="007C457B" w:rsidRPr="00294D58" w:rsidRDefault="007C457B" w:rsidP="007C457B">
      <w:r w:rsidRPr="00294D58">
        <w:t>Loneliness was measured using a three-item short form of the Revised University of California Los Angeles (UCLA) Loneliness Scale</w:t>
      </w:r>
      <w:r w:rsidR="00D62217" w:rsidRPr="00294D58">
        <w:t>.</w:t>
      </w:r>
      <w:r w:rsidR="00AD7661" w:rsidRPr="00294D58">
        <w:fldChar w:fldCharType="begin"/>
      </w:r>
      <w:r w:rsidR="00716C82" w:rsidRPr="00294D58">
        <w:instrText xml:space="preserve"> ADDIN ZOTERO_ITEM CSL_CITATION {"citationID":"NZtGCrub","properties":{"formattedCitation":"[24]","plainCitation":"[24]","noteIndex":0},"citationItems":[{"id":5219,"uris":["http://zotero.org/users/446899/items/9CQYZD2Q"],"uri":["http://zotero.org/users/446899/items/9CQYZD2Q"],"itemData":{"id":5219,"type":"article-journal","title":"UCLA Loneliness Scale (Version 3): reliability, validity, and factor structure","container-title":"Journal of Personality Assessment","page":"20-40","volume":"66","issue":"1","source":"PubMed","abstract":"In this article I evaluated the psychometric properties of the UCLA Loneliness Scale (Version 3). Using data from prior studies of college students, nurses, teachers, and the elderly, analyses of the reliability, validity, and factor structure of this new version of the UCLA Loneliness Scale were conducted. Results indicated that the measure was highly reliable, both in terms of internal consistency (coefficient alpha ranging from .89 to .94) and test-retest reliability over a 1-year period (r = .73). Convergent validity for the scale was indicated by significant correlations with other measures of loneliness. Construct validity was supported by significant relations with measures of the adequacy of the individual's interpersonal relationships, and by correlations between loneliness and measures of health and well-being. Confirmatory factor analyses indicated that a model incorporating a global bipolar loneliness factor along with two method factor reflecting direction of item wording provided a very good fit to the data across samples. Implications of these results for future measurement research on loneliness are discussed.","DOI":"10.1207/s15327752jpa6601_2","ISSN":"0022-3891","note":"PMID: 8576833","shortTitle":"UCLA Loneliness Scale (Version 3)","journalAbbreviation":"J Pers Assess","language":"eng","author":[{"family":"Russell","given":"D. W."}],"issued":{"date-parts":[["1996",2]]}}}],"schema":"https://github.com/citation-style-language/schema/raw/master/csl-citation.json"} </w:instrText>
      </w:r>
      <w:r w:rsidR="00AD7661" w:rsidRPr="00294D58">
        <w:fldChar w:fldCharType="separate"/>
      </w:r>
      <w:r w:rsidR="00716C82" w:rsidRPr="00294D58">
        <w:rPr>
          <w:rFonts w:ascii="Calibri" w:hAnsi="Calibri" w:cs="Calibri"/>
        </w:rPr>
        <w:t>[24]</w:t>
      </w:r>
      <w:r w:rsidR="00AD7661" w:rsidRPr="00294D58">
        <w:fldChar w:fldCharType="end"/>
      </w:r>
      <w:r w:rsidR="00D62217" w:rsidRPr="00294D58">
        <w:t xml:space="preserve"> </w:t>
      </w:r>
      <w:r w:rsidRPr="00294D58">
        <w:t>Participants were asked:</w:t>
      </w:r>
      <w:r w:rsidR="00D62217" w:rsidRPr="00294D58">
        <w:t xml:space="preserve"> </w:t>
      </w:r>
      <w:r w:rsidRPr="00294D58">
        <w:t>“</w:t>
      </w:r>
      <w:r w:rsidRPr="00294D58">
        <w:rPr>
          <w:i/>
        </w:rPr>
        <w:t>How often do you feel you lack companionship?</w:t>
      </w:r>
      <w:r w:rsidRPr="00294D58">
        <w:t>”(hardly ever or never=1, some of the time=2, often=3). Scores ranged from 3 to 9, with higher scores indicating greater loneliness. They were dichotomised at ≥6 versus &lt;6 to indicate high versus low loneliness</w:t>
      </w:r>
      <w:r w:rsidR="00D62217" w:rsidRPr="00294D58">
        <w:t>.</w:t>
      </w:r>
      <w:r w:rsidR="00AD7661" w:rsidRPr="00294D58">
        <w:fldChar w:fldCharType="begin"/>
      </w:r>
      <w:r w:rsidR="00716C82" w:rsidRPr="00294D58">
        <w:instrText xml:space="preserve"> ADDIN ZOTERO_ITEM CSL_CITATION {"citationID":"P22sTwTB","properties":{"formattedCitation":"[25]","plainCitation":"[25]","noteIndex":0},"citationItems":[{"id":5221,"uris":["http://zotero.org/users/446899/items/J5RY6SIA"],"uri":["http://zotero.org/users/446899/items/J5RY6SIA"],"itemData":{"id":5221,"type":"article-journal","title":"Social isolation, loneliness, and all-cause mortality in older men and women","container-title":"Proceedings of the National Academy of Sciences of the United States of America","page":"5797-5801","volume":"110","issue":"15","source":"PubMed","abstract":"Both social isolation and loneliness are associated with increased mortality, but it is uncertain whether their effects are independent or whether loneliness represents the emotional pathway through which social isolation impairs health. We therefore assessed the extent to which the association between social isolation and mortality is mediated by loneliness. We assessed social isolation in terms of contact with family and friends and participation in civic organizations in 6,500 men and women aged 52 and older who took part in the English Longitudinal Study of Ageing in 2004-2005. A standard questionnaire measure of loneliness was administered also. We monitored all-cause mortality up to March 2012 (mean follow-up 7.25 y) and analyzed results using Cox proportional hazards regression. We found that mortality was higher among more socially isolated and more lonely participants. However, after adjusting statistically for demographic factors and baseline health, social isolation remained significantly associated with mortality (hazard ratio 1.26, 95% confidence interval, 1.08-1.48 for the top quintile of isolation), but loneliness did not (hazard ratio 0.92, 95% confidence interval, 0.78-1.09). The association of social isolation with mortality was unchanged when loneliness was included in the model. Both social isolation and loneliness were associated with increased mortality. However, the effect of loneliness was not independent of demographic characteristics or health problems and did not contribute to the risk associated with social isolation. Although both isolation and loneliness impair quality of life and well-being, efforts to reduce isolation are likely to be more relevant to mortality.","DOI":"10.1073/pnas.1219686110","ISSN":"1091-6490","note":"PMID: 23530191\nPMCID: PMC3625264","journalAbbreviation":"Proc. Natl. Acad. Sci. U.S.A.","language":"eng","author":[{"family":"Steptoe","given":"Andrew"},{"family":"Shankar","given":"Aparna"},{"family":"Demakakos","given":"Panayotes"},{"family":"Wardle","given":"Jane"}],"issued":{"date-parts":[["2013",4,9]]}}}],"schema":"https://github.com/citation-style-language/schema/raw/master/csl-citation.json"} </w:instrText>
      </w:r>
      <w:r w:rsidR="00AD7661" w:rsidRPr="00294D58">
        <w:fldChar w:fldCharType="separate"/>
      </w:r>
      <w:r w:rsidR="00716C82" w:rsidRPr="00294D58">
        <w:rPr>
          <w:rFonts w:ascii="Calibri" w:hAnsi="Calibri" w:cs="Calibri"/>
        </w:rPr>
        <w:t>[25]</w:t>
      </w:r>
      <w:r w:rsidR="00AD7661" w:rsidRPr="00294D58">
        <w:fldChar w:fldCharType="end"/>
      </w:r>
    </w:p>
    <w:p w14:paraId="45294E4E" w14:textId="77777777" w:rsidR="007C457B" w:rsidRPr="00294D58" w:rsidRDefault="007C457B" w:rsidP="007C457B">
      <w:r w:rsidRPr="00294D58">
        <w:t>Sociodemographic covariates</w:t>
      </w:r>
    </w:p>
    <w:p w14:paraId="70A48FDF" w14:textId="7CEA333B" w:rsidR="00726784" w:rsidRPr="00294D58" w:rsidRDefault="00C54296" w:rsidP="007C457B">
      <w:r w:rsidRPr="00294D58">
        <w:t>Interviewers collected information on age, sex, ethnicity, the highest level of education, marital status and wealth. For these analyses, ethnicity was categorised as white or non-white. We classified education as low (no formal qualifications), intermediate (up to degree) or high (degree or higher). Marital status was categorised as married or unmarried (never married, divorced or widowed).</w:t>
      </w:r>
      <w:r w:rsidR="00C705F6" w:rsidRPr="00294D58">
        <w:t xml:space="preserve"> Wealth </w:t>
      </w:r>
      <w:r w:rsidRPr="00294D58">
        <w:t xml:space="preserve">was categorised into five equal groups of net total non-pension wealth measured at the benefit unit level (a benefit unit is a </w:t>
      </w:r>
      <w:r w:rsidRPr="00294D58">
        <w:lastRenderedPageBreak/>
        <w:t>couple or single person along with any dependent children they might have) across all ELSA participants who took part in Wave 3. Wealth has been identified as a particularly appropriate indicator of SES in this age group</w:t>
      </w:r>
      <w:r w:rsidR="00D62217" w:rsidRPr="00294D58">
        <w:t>.</w:t>
      </w:r>
      <w:r w:rsidR="00AD7661" w:rsidRPr="00294D58">
        <w:fldChar w:fldCharType="begin"/>
      </w:r>
      <w:r w:rsidR="00716C82" w:rsidRPr="00294D58">
        <w:instrText xml:space="preserve"> ADDIN ZOTERO_ITEM CSL_CITATION {"citationID":"Mu3rUP6E","properties":{"formattedCitation":"[26]","plainCitation":"[26]","noteIndex":0},"citationItems":[{"id":1180,"uris":["http://zotero.org/users/446899/items/UCVHZBRV"],"uri":["http://zotero.org/users/446899/items/UCVHZBRV"],"itemData":{"id":1180,"type":"article-journal","title":"Socio-economic position","source":"Google Scholar","URL":"http://discovery.ucl.ac.uk/15366/1/15366.pdf","author":[{"family":"Banks","given":"James"},{"family":"Karlsen","given":"S."},{"family":"Oldfield","given":"Zoe"}],"issued":{"date-parts":[["2003"]]},"accessed":{"date-parts":[["2014",3,4]]}}}],"schema":"https://github.com/citation-style-language/schema/raw/master/csl-citation.json"} </w:instrText>
      </w:r>
      <w:r w:rsidR="00AD7661" w:rsidRPr="00294D58">
        <w:fldChar w:fldCharType="separate"/>
      </w:r>
      <w:r w:rsidR="00716C82" w:rsidRPr="00294D58">
        <w:rPr>
          <w:rFonts w:ascii="Calibri" w:hAnsi="Calibri" w:cs="Calibri"/>
        </w:rPr>
        <w:t>[26]</w:t>
      </w:r>
      <w:r w:rsidR="00AD7661" w:rsidRPr="00294D58">
        <w:fldChar w:fldCharType="end"/>
      </w:r>
    </w:p>
    <w:p w14:paraId="159D8E9A" w14:textId="6FF3A241" w:rsidR="00C54296" w:rsidRPr="00294D58" w:rsidRDefault="00A0253F" w:rsidP="007C457B">
      <w:hyperlink r:id="rId20" w:anchor="ref30" w:tooltip="Banks J, Karlsen S, Oldfield Z. Socio-economic position. In: Marmot M, Banks J, Lessof C, Nazroo J (eds). Health, Wealth and Lifestyles of the Older Population in England. Institute of Fiscal Studies: London, UK, 2003; pp 72–125." w:history="1"/>
    </w:p>
    <w:p w14:paraId="58745601" w14:textId="77777777" w:rsidR="007C457B" w:rsidRPr="00294D58" w:rsidRDefault="007C457B" w:rsidP="007C457B">
      <w:pPr>
        <w:pStyle w:val="Heading3"/>
        <w:spacing w:line="360" w:lineRule="auto"/>
      </w:pPr>
      <w:r w:rsidRPr="00294D58">
        <w:t>Statistical analysis</w:t>
      </w:r>
    </w:p>
    <w:p w14:paraId="021436B7" w14:textId="77777777" w:rsidR="007C457B" w:rsidRPr="00294D58" w:rsidRDefault="007C457B" w:rsidP="007C457B">
      <w:r w:rsidRPr="00294D58">
        <w:rPr>
          <w:shd w:val="clear" w:color="auto" w:fill="FFFFFF"/>
        </w:rPr>
        <w:t>All analyses were conducted using SPSS version 24. Data were weighted to correct for sampling probabilities and for differential non-response and to calibrate back to the 2011 National Census population distributions for age and sex. The weights accounted for the differential probability of being included in Wave 3 of ELSA and for non-response to the life history interview</w:t>
      </w:r>
      <w:r w:rsidRPr="00294D58">
        <w:t>.</w:t>
      </w:r>
    </w:p>
    <w:p w14:paraId="5C83AF7E" w14:textId="7BEF1481" w:rsidR="007C457B" w:rsidRPr="00294D58" w:rsidRDefault="007C457B" w:rsidP="007C457B">
      <w:r w:rsidRPr="00294D58">
        <w:t xml:space="preserve">Differences in sociodemographic characteristics of the groups who did and did not report a history of homelessness were tested using independent t-tests for continuous variables and </w:t>
      </w:r>
      <w:r w:rsidR="00A02825" w:rsidRPr="00294D58">
        <w:t xml:space="preserve">Pearson’s </w:t>
      </w:r>
      <w:r w:rsidRPr="00294D58">
        <w:t>chi-square tests for categorical variables. We used binary logistic regression to analyse association</w:t>
      </w:r>
      <w:r w:rsidR="00E34C4C" w:rsidRPr="00294D58">
        <w:t>s</w:t>
      </w:r>
      <w:r w:rsidRPr="00294D58">
        <w:t xml:space="preserve"> between history of homelessness and cigarette smoking, </w:t>
      </w:r>
      <w:r w:rsidR="002818BE" w:rsidRPr="00294D58">
        <w:t>daily drinking and physical inactivity</w:t>
      </w:r>
      <w:r w:rsidRPr="00294D58">
        <w:t>, adjusting for sociodemographic covariates. We then used linear regression (for continuous outcomes) and binary logistic regression (for categorical outcomes) to analyse associations between history of homelessness and health and wellbeing</w:t>
      </w:r>
      <w:r w:rsidR="00CC6E81" w:rsidRPr="00294D58">
        <w:t>,</w:t>
      </w:r>
      <w:r w:rsidR="006B2681" w:rsidRPr="00294D58">
        <w:t xml:space="preserve"> </w:t>
      </w:r>
      <w:r w:rsidR="005C3D23" w:rsidRPr="00294D58">
        <w:t xml:space="preserve">adjusting for </w:t>
      </w:r>
      <w:proofErr w:type="spellStart"/>
      <w:r w:rsidRPr="00294D58">
        <w:t>socio</w:t>
      </w:r>
      <w:r w:rsidR="00CC6E81" w:rsidRPr="00294D58">
        <w:t>demographics</w:t>
      </w:r>
      <w:proofErr w:type="spellEnd"/>
      <w:r w:rsidRPr="00294D58">
        <w:t xml:space="preserve"> and health behaviours. </w:t>
      </w:r>
      <w:r w:rsidR="00251B82" w:rsidRPr="00294D58">
        <w:t>In all models</w:t>
      </w:r>
      <w:r w:rsidRPr="00294D58">
        <w:t>,</w:t>
      </w:r>
      <w:r w:rsidR="00251B82" w:rsidRPr="00294D58">
        <w:t xml:space="preserve"> the reference category was</w:t>
      </w:r>
      <w:r w:rsidRPr="00294D58">
        <w:t xml:space="preserve"> the group without a history of homeless</w:t>
      </w:r>
      <w:r w:rsidR="0052678D" w:rsidRPr="00294D58">
        <w:t>ness</w:t>
      </w:r>
      <w:r w:rsidR="00251B82" w:rsidRPr="00294D58">
        <w:t>.</w:t>
      </w:r>
      <w:r w:rsidR="00F43B63" w:rsidRPr="00294D58">
        <w:t xml:space="preserve"> A </w:t>
      </w:r>
      <w:r w:rsidR="00F43B63" w:rsidRPr="00294D58">
        <w:rPr>
          <w:i/>
        </w:rPr>
        <w:t>p</w:t>
      </w:r>
      <w:r w:rsidR="00F43B63" w:rsidRPr="00294D58">
        <w:t>-value &lt;0.05 was used to indicate statistical significance.</w:t>
      </w:r>
    </w:p>
    <w:p w14:paraId="42F06AA3" w14:textId="77777777" w:rsidR="007C457B" w:rsidRPr="00294D58" w:rsidRDefault="00375BE3" w:rsidP="007C457B">
      <w:pPr>
        <w:pStyle w:val="Heading2"/>
        <w:spacing w:line="360" w:lineRule="auto"/>
      </w:pPr>
      <w:r w:rsidRPr="00294D58">
        <w:t>RESULTS</w:t>
      </w:r>
    </w:p>
    <w:p w14:paraId="1C37D558" w14:textId="77777777" w:rsidR="007C457B" w:rsidRPr="00294D58" w:rsidRDefault="007C457B" w:rsidP="007C457B">
      <w:pPr>
        <w:pStyle w:val="Heading3"/>
      </w:pPr>
      <w:r w:rsidRPr="00294D58">
        <w:t>Sample characteristics</w:t>
      </w:r>
    </w:p>
    <w:p w14:paraId="25005A8D" w14:textId="77777777" w:rsidR="007C457B" w:rsidRPr="00294D58" w:rsidRDefault="007C457B" w:rsidP="007C457B">
      <w:pPr>
        <w:rPr>
          <w:rFonts w:eastAsiaTheme="majorEastAsia"/>
        </w:rPr>
      </w:pPr>
      <w:r w:rsidRPr="00294D58">
        <w:rPr>
          <w:rFonts w:eastAsiaTheme="majorEastAsia"/>
        </w:rPr>
        <w:t xml:space="preserve">Of the 6,931 participants in our sample, 104 (1.5%) reported having been homeless for one month or more and 6,827 (98.5%) had never been homeless for one month or more. Sample characteristics in relation to history of homelessness are summarised in Table 1. On average, participants who had been homeless were significantly </w:t>
      </w:r>
      <w:r w:rsidR="0074758C" w:rsidRPr="00294D58">
        <w:rPr>
          <w:rFonts w:eastAsiaTheme="majorEastAsia"/>
        </w:rPr>
        <w:t>younger</w:t>
      </w:r>
      <w:r w:rsidRPr="00294D58">
        <w:rPr>
          <w:rFonts w:eastAsiaTheme="majorEastAsia"/>
        </w:rPr>
        <w:t xml:space="preserve"> than those </w:t>
      </w:r>
      <w:r w:rsidR="0074758C" w:rsidRPr="00294D58">
        <w:rPr>
          <w:rFonts w:eastAsiaTheme="majorEastAsia"/>
        </w:rPr>
        <w:t>who had not been homeless</w:t>
      </w:r>
      <w:r w:rsidRPr="00294D58">
        <w:rPr>
          <w:rFonts w:eastAsiaTheme="majorEastAsia"/>
        </w:rPr>
        <w:t xml:space="preserve"> (</w:t>
      </w:r>
      <w:r w:rsidR="0074758C" w:rsidRPr="00294D58">
        <w:rPr>
          <w:rFonts w:eastAsiaTheme="majorEastAsia"/>
        </w:rPr>
        <w:t>60.9</w:t>
      </w:r>
      <w:r w:rsidRPr="00294D58">
        <w:rPr>
          <w:rFonts w:eastAsiaTheme="majorEastAsia"/>
        </w:rPr>
        <w:t xml:space="preserve"> vs. </w:t>
      </w:r>
      <w:r w:rsidR="0074758C" w:rsidRPr="00294D58">
        <w:rPr>
          <w:rFonts w:eastAsiaTheme="majorEastAsia"/>
        </w:rPr>
        <w:t>65.7</w:t>
      </w:r>
      <w:r w:rsidRPr="00294D58">
        <w:rPr>
          <w:rFonts w:eastAsiaTheme="majorEastAsia"/>
        </w:rPr>
        <w:t xml:space="preserve"> year</w:t>
      </w:r>
      <w:r w:rsidR="0074758C" w:rsidRPr="00294D58">
        <w:rPr>
          <w:rFonts w:eastAsiaTheme="majorEastAsia"/>
        </w:rPr>
        <w:t>s) and a greater proportion were</w:t>
      </w:r>
      <w:r w:rsidRPr="00294D58">
        <w:rPr>
          <w:rFonts w:eastAsiaTheme="majorEastAsia"/>
        </w:rPr>
        <w:t xml:space="preserve"> non-white</w:t>
      </w:r>
      <w:r w:rsidR="0074758C" w:rsidRPr="00294D58">
        <w:rPr>
          <w:rFonts w:eastAsiaTheme="majorEastAsia"/>
        </w:rPr>
        <w:t xml:space="preserve"> (6.6% vs. 3.1%)</w:t>
      </w:r>
      <w:r w:rsidRPr="00294D58">
        <w:rPr>
          <w:rFonts w:eastAsiaTheme="majorEastAsia"/>
        </w:rPr>
        <w:t>, unmarried</w:t>
      </w:r>
      <w:r w:rsidR="0074758C" w:rsidRPr="00294D58">
        <w:rPr>
          <w:rFonts w:eastAsiaTheme="majorEastAsia"/>
        </w:rPr>
        <w:t xml:space="preserve"> (54.3% vs. 33.8%)</w:t>
      </w:r>
      <w:r w:rsidRPr="00294D58">
        <w:rPr>
          <w:rFonts w:eastAsiaTheme="majorEastAsia"/>
        </w:rPr>
        <w:t xml:space="preserve"> and from the lowe</w:t>
      </w:r>
      <w:r w:rsidR="0074758C" w:rsidRPr="00294D58">
        <w:rPr>
          <w:rFonts w:eastAsiaTheme="majorEastAsia"/>
        </w:rPr>
        <w:t>st quintile</w:t>
      </w:r>
      <w:r w:rsidRPr="00294D58">
        <w:rPr>
          <w:rFonts w:eastAsiaTheme="majorEastAsia"/>
        </w:rPr>
        <w:t xml:space="preserve"> of wealth</w:t>
      </w:r>
      <w:r w:rsidR="0074758C" w:rsidRPr="00294D58">
        <w:rPr>
          <w:rFonts w:eastAsiaTheme="majorEastAsia"/>
        </w:rPr>
        <w:t xml:space="preserve"> (44.3% vs. 18.9%).</w:t>
      </w:r>
      <w:r w:rsidR="009E3BF3" w:rsidRPr="00294D58">
        <w:rPr>
          <w:rFonts w:eastAsiaTheme="majorEastAsia"/>
        </w:rPr>
        <w:t xml:space="preserve"> A marginally higher proportion of the group who had been homeless were male (53.8% vs. 46.7%) although the difference was not statistically significant (</w:t>
      </w:r>
      <w:r w:rsidR="009E3BF3" w:rsidRPr="00294D58">
        <w:rPr>
          <w:rFonts w:eastAsiaTheme="majorEastAsia"/>
          <w:i/>
        </w:rPr>
        <w:t>p</w:t>
      </w:r>
      <w:r w:rsidR="009E3BF3" w:rsidRPr="00294D58">
        <w:rPr>
          <w:rFonts w:eastAsiaTheme="majorEastAsia"/>
        </w:rPr>
        <w:t xml:space="preserve">=0.149). There was no </w:t>
      </w:r>
      <w:r w:rsidR="00CD3F0F" w:rsidRPr="00294D58">
        <w:rPr>
          <w:rFonts w:eastAsiaTheme="majorEastAsia"/>
        </w:rPr>
        <w:t xml:space="preserve">significant </w:t>
      </w:r>
      <w:r w:rsidR="009E3BF3" w:rsidRPr="00294D58">
        <w:rPr>
          <w:rFonts w:eastAsiaTheme="majorEastAsia"/>
        </w:rPr>
        <w:t>difference between groups in the highest level of education achieved.</w:t>
      </w:r>
    </w:p>
    <w:p w14:paraId="199E94F0" w14:textId="1DF28F07" w:rsidR="00C1393F" w:rsidRPr="00294D58" w:rsidRDefault="00C1393F" w:rsidP="007C457B">
      <w:pPr>
        <w:rPr>
          <w:rFonts w:eastAsiaTheme="majorEastAsia"/>
        </w:rPr>
      </w:pPr>
    </w:p>
    <w:p w14:paraId="7D65C440" w14:textId="4426BABE" w:rsidR="00726784" w:rsidRPr="00294D58" w:rsidRDefault="00726784" w:rsidP="007C457B">
      <w:pPr>
        <w:rPr>
          <w:rFonts w:eastAsiaTheme="majorEastAsia"/>
        </w:rPr>
      </w:pPr>
    </w:p>
    <w:p w14:paraId="1CD6EFA8" w14:textId="77777777" w:rsidR="00726784" w:rsidRPr="00294D58" w:rsidRDefault="00726784" w:rsidP="007C457B">
      <w:pPr>
        <w:rPr>
          <w:rFonts w:eastAsiaTheme="majorEastAsia"/>
        </w:rPr>
      </w:pPr>
    </w:p>
    <w:p w14:paraId="73C47A20" w14:textId="77777777" w:rsidR="00C1393F" w:rsidRPr="00294D58" w:rsidRDefault="00C1393F" w:rsidP="007C457B">
      <w:pPr>
        <w:rPr>
          <w:rFonts w:eastAsiaTheme="majorEastAsia"/>
        </w:rPr>
      </w:pPr>
    </w:p>
    <w:tbl>
      <w:tblPr>
        <w:tblStyle w:val="TableGrid"/>
        <w:tblW w:w="6380"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3"/>
        <w:gridCol w:w="138"/>
        <w:gridCol w:w="1661"/>
        <w:gridCol w:w="470"/>
        <w:gridCol w:w="1419"/>
        <w:gridCol w:w="1559"/>
        <w:gridCol w:w="844"/>
        <w:gridCol w:w="6"/>
      </w:tblGrid>
      <w:tr w:rsidR="00294D58" w:rsidRPr="00294D58" w14:paraId="0BAE3BB3" w14:textId="77777777" w:rsidTr="00C1393F">
        <w:trPr>
          <w:gridAfter w:val="1"/>
          <w:wAfter w:w="6" w:type="dxa"/>
          <w:trHeight w:val="242"/>
        </w:trPr>
        <w:tc>
          <w:tcPr>
            <w:tcW w:w="6374" w:type="dxa"/>
            <w:gridSpan w:val="7"/>
            <w:tcBorders>
              <w:top w:val="nil"/>
              <w:bottom w:val="single" w:sz="4" w:space="0" w:color="auto"/>
              <w:right w:val="nil"/>
            </w:tcBorders>
          </w:tcPr>
          <w:p w14:paraId="538E0DA4" w14:textId="77777777" w:rsidR="008D1110" w:rsidRPr="00294D58" w:rsidRDefault="008D1110" w:rsidP="00C1393F">
            <w:pPr>
              <w:pStyle w:val="Beforetables"/>
              <w:spacing w:line="276" w:lineRule="auto"/>
              <w:ind w:left="720" w:hanging="720"/>
              <w:rPr>
                <w:rFonts w:cs="Arial"/>
                <w:b/>
                <w:sz w:val="20"/>
              </w:rPr>
            </w:pPr>
            <w:r w:rsidRPr="00294D58">
              <w:rPr>
                <w:rFonts w:cs="Arial"/>
                <w:b/>
                <w:sz w:val="20"/>
              </w:rPr>
              <w:t xml:space="preserve">Table 1 </w:t>
            </w:r>
            <w:r w:rsidRPr="00294D58">
              <w:rPr>
                <w:rFonts w:cs="Arial"/>
                <w:sz w:val="20"/>
              </w:rPr>
              <w:t>Sample characteristics in relation to history of homelessness</w:t>
            </w:r>
          </w:p>
        </w:tc>
      </w:tr>
      <w:tr w:rsidR="00294D58" w:rsidRPr="00294D58" w14:paraId="193E993D" w14:textId="77777777" w:rsidTr="00C1393F">
        <w:tc>
          <w:tcPr>
            <w:tcW w:w="421" w:type="dxa"/>
            <w:gridSpan w:val="2"/>
            <w:tcBorders>
              <w:top w:val="nil"/>
              <w:bottom w:val="nil"/>
              <w:right w:val="nil"/>
            </w:tcBorders>
            <w:vAlign w:val="center"/>
          </w:tcPr>
          <w:p w14:paraId="363503D1" w14:textId="77777777" w:rsidR="008D1110" w:rsidRPr="00294D58" w:rsidRDefault="008D1110" w:rsidP="00C1393F">
            <w:pPr>
              <w:spacing w:after="0" w:line="276" w:lineRule="auto"/>
              <w:contextualSpacing/>
              <w:jc w:val="center"/>
              <w:rPr>
                <w:rFonts w:cs="Arial"/>
                <w:sz w:val="20"/>
              </w:rPr>
            </w:pPr>
          </w:p>
        </w:tc>
        <w:tc>
          <w:tcPr>
            <w:tcW w:w="1661" w:type="dxa"/>
            <w:tcBorders>
              <w:top w:val="nil"/>
              <w:left w:val="nil"/>
              <w:bottom w:val="nil"/>
              <w:right w:val="nil"/>
            </w:tcBorders>
            <w:vAlign w:val="center"/>
          </w:tcPr>
          <w:p w14:paraId="2AE02ED6" w14:textId="77777777" w:rsidR="008D1110" w:rsidRPr="00294D58" w:rsidRDefault="008D1110" w:rsidP="00C1393F">
            <w:pPr>
              <w:spacing w:after="0" w:line="276" w:lineRule="auto"/>
              <w:contextualSpacing/>
              <w:jc w:val="center"/>
              <w:rPr>
                <w:rFonts w:cs="Arial"/>
                <w:sz w:val="20"/>
              </w:rPr>
            </w:pPr>
          </w:p>
        </w:tc>
        <w:tc>
          <w:tcPr>
            <w:tcW w:w="470" w:type="dxa"/>
            <w:tcBorders>
              <w:top w:val="nil"/>
              <w:left w:val="nil"/>
              <w:bottom w:val="nil"/>
              <w:right w:val="nil"/>
            </w:tcBorders>
            <w:vAlign w:val="center"/>
          </w:tcPr>
          <w:p w14:paraId="75718D46" w14:textId="77777777" w:rsidR="008D1110" w:rsidRPr="00294D58" w:rsidRDefault="008D1110" w:rsidP="00C1393F">
            <w:pPr>
              <w:spacing w:after="0" w:line="276" w:lineRule="auto"/>
              <w:contextualSpacing/>
              <w:jc w:val="center"/>
              <w:rPr>
                <w:rFonts w:cs="Arial"/>
                <w:sz w:val="20"/>
              </w:rPr>
            </w:pPr>
          </w:p>
        </w:tc>
        <w:tc>
          <w:tcPr>
            <w:tcW w:w="1419" w:type="dxa"/>
            <w:tcBorders>
              <w:top w:val="single" w:sz="4" w:space="0" w:color="auto"/>
              <w:left w:val="nil"/>
              <w:bottom w:val="nil"/>
              <w:right w:val="nil"/>
            </w:tcBorders>
            <w:vAlign w:val="center"/>
          </w:tcPr>
          <w:p w14:paraId="2045A5DA" w14:textId="77777777" w:rsidR="008D1110" w:rsidRPr="00294D58" w:rsidRDefault="008D1110" w:rsidP="00C1393F">
            <w:pPr>
              <w:spacing w:after="0" w:line="276" w:lineRule="auto"/>
              <w:jc w:val="center"/>
              <w:rPr>
                <w:rFonts w:cs="Arial"/>
                <w:b/>
                <w:sz w:val="20"/>
              </w:rPr>
            </w:pPr>
            <w:r w:rsidRPr="00294D58">
              <w:rPr>
                <w:rFonts w:cs="Arial"/>
                <w:b/>
                <w:sz w:val="20"/>
              </w:rPr>
              <w:t xml:space="preserve">Had not been homeless </w:t>
            </w:r>
          </w:p>
        </w:tc>
        <w:tc>
          <w:tcPr>
            <w:tcW w:w="1559" w:type="dxa"/>
            <w:tcBorders>
              <w:top w:val="single" w:sz="4" w:space="0" w:color="auto"/>
              <w:left w:val="nil"/>
              <w:bottom w:val="nil"/>
              <w:right w:val="nil"/>
            </w:tcBorders>
            <w:vAlign w:val="center"/>
          </w:tcPr>
          <w:p w14:paraId="2AF85392" w14:textId="77777777" w:rsidR="008D1110" w:rsidRPr="00294D58" w:rsidRDefault="008D1110" w:rsidP="00C1393F">
            <w:pPr>
              <w:spacing w:after="0" w:line="276" w:lineRule="auto"/>
              <w:contextualSpacing/>
              <w:jc w:val="center"/>
              <w:rPr>
                <w:rFonts w:cs="Arial"/>
                <w:b/>
                <w:sz w:val="20"/>
              </w:rPr>
            </w:pPr>
            <w:r w:rsidRPr="00294D58">
              <w:rPr>
                <w:rFonts w:cs="Arial"/>
                <w:b/>
                <w:sz w:val="20"/>
              </w:rPr>
              <w:t xml:space="preserve">Had been homeless </w:t>
            </w:r>
          </w:p>
        </w:tc>
        <w:tc>
          <w:tcPr>
            <w:tcW w:w="850" w:type="dxa"/>
            <w:gridSpan w:val="2"/>
            <w:tcBorders>
              <w:top w:val="single" w:sz="4" w:space="0" w:color="auto"/>
              <w:left w:val="nil"/>
              <w:bottom w:val="nil"/>
              <w:right w:val="nil"/>
            </w:tcBorders>
            <w:vAlign w:val="center"/>
          </w:tcPr>
          <w:p w14:paraId="13AAC46F" w14:textId="77777777" w:rsidR="008D1110" w:rsidRPr="00294D58" w:rsidRDefault="008D1110" w:rsidP="00C1393F">
            <w:pPr>
              <w:spacing w:after="0" w:line="276" w:lineRule="auto"/>
              <w:contextualSpacing/>
              <w:jc w:val="center"/>
              <w:rPr>
                <w:rFonts w:cs="Arial"/>
                <w:b/>
                <w:i/>
                <w:sz w:val="20"/>
              </w:rPr>
            </w:pPr>
          </w:p>
        </w:tc>
      </w:tr>
      <w:tr w:rsidR="00294D58" w:rsidRPr="00294D58" w14:paraId="5AB4E461" w14:textId="77777777" w:rsidTr="00C1393F">
        <w:tc>
          <w:tcPr>
            <w:tcW w:w="421" w:type="dxa"/>
            <w:gridSpan w:val="2"/>
            <w:tcBorders>
              <w:top w:val="nil"/>
              <w:bottom w:val="single" w:sz="8" w:space="0" w:color="auto"/>
              <w:right w:val="nil"/>
            </w:tcBorders>
            <w:vAlign w:val="center"/>
          </w:tcPr>
          <w:p w14:paraId="11897482" w14:textId="77777777" w:rsidR="008D1110" w:rsidRPr="00294D58" w:rsidRDefault="008D1110" w:rsidP="00C1393F">
            <w:pPr>
              <w:spacing w:after="0" w:line="276" w:lineRule="auto"/>
              <w:contextualSpacing/>
              <w:jc w:val="center"/>
              <w:rPr>
                <w:rFonts w:cs="Arial"/>
                <w:sz w:val="20"/>
              </w:rPr>
            </w:pPr>
          </w:p>
        </w:tc>
        <w:tc>
          <w:tcPr>
            <w:tcW w:w="1661" w:type="dxa"/>
            <w:tcBorders>
              <w:top w:val="nil"/>
              <w:left w:val="nil"/>
              <w:bottom w:val="single" w:sz="8" w:space="0" w:color="auto"/>
              <w:right w:val="nil"/>
            </w:tcBorders>
            <w:vAlign w:val="center"/>
          </w:tcPr>
          <w:p w14:paraId="61474D4E" w14:textId="77777777" w:rsidR="008D1110" w:rsidRPr="00294D58" w:rsidRDefault="008D1110" w:rsidP="00C1393F">
            <w:pPr>
              <w:spacing w:after="0" w:line="276" w:lineRule="auto"/>
              <w:contextualSpacing/>
              <w:jc w:val="center"/>
              <w:rPr>
                <w:rFonts w:cs="Arial"/>
                <w:sz w:val="20"/>
              </w:rPr>
            </w:pPr>
          </w:p>
        </w:tc>
        <w:tc>
          <w:tcPr>
            <w:tcW w:w="470" w:type="dxa"/>
            <w:tcBorders>
              <w:top w:val="nil"/>
              <w:left w:val="nil"/>
              <w:bottom w:val="single" w:sz="8" w:space="0" w:color="auto"/>
              <w:right w:val="nil"/>
            </w:tcBorders>
            <w:vAlign w:val="center"/>
          </w:tcPr>
          <w:p w14:paraId="076D9E61" w14:textId="77777777" w:rsidR="008D1110" w:rsidRPr="00294D58" w:rsidRDefault="008D1110" w:rsidP="00C1393F">
            <w:pPr>
              <w:spacing w:after="0" w:line="276" w:lineRule="auto"/>
              <w:contextualSpacing/>
              <w:jc w:val="center"/>
              <w:rPr>
                <w:rFonts w:cs="Arial"/>
                <w:sz w:val="20"/>
              </w:rPr>
            </w:pPr>
          </w:p>
        </w:tc>
        <w:tc>
          <w:tcPr>
            <w:tcW w:w="1419" w:type="dxa"/>
            <w:tcBorders>
              <w:top w:val="nil"/>
              <w:left w:val="nil"/>
              <w:bottom w:val="single" w:sz="8" w:space="0" w:color="auto"/>
              <w:right w:val="nil"/>
            </w:tcBorders>
            <w:vAlign w:val="center"/>
          </w:tcPr>
          <w:p w14:paraId="13619814" w14:textId="77777777" w:rsidR="008D1110" w:rsidRPr="00294D58" w:rsidRDefault="008D1110" w:rsidP="00C1393F">
            <w:pPr>
              <w:spacing w:after="0" w:line="276" w:lineRule="auto"/>
              <w:jc w:val="center"/>
              <w:rPr>
                <w:rFonts w:cs="Arial"/>
                <w:b/>
                <w:sz w:val="20"/>
              </w:rPr>
            </w:pPr>
            <w:r w:rsidRPr="00294D58">
              <w:rPr>
                <w:rFonts w:cs="Arial"/>
                <w:b/>
                <w:sz w:val="20"/>
              </w:rPr>
              <w:t>(</w:t>
            </w:r>
            <w:r w:rsidRPr="00294D58">
              <w:rPr>
                <w:rFonts w:cs="Arial"/>
                <w:b/>
                <w:i/>
                <w:sz w:val="20"/>
              </w:rPr>
              <w:t>n</w:t>
            </w:r>
            <w:r w:rsidRPr="00294D58">
              <w:rPr>
                <w:rFonts w:cs="Arial"/>
                <w:b/>
                <w:sz w:val="20"/>
              </w:rPr>
              <w:t>=6,827)</w:t>
            </w:r>
            <w:r w:rsidRPr="00294D58">
              <w:rPr>
                <w:rFonts w:cs="Arial"/>
                <w:b/>
                <w:sz w:val="20"/>
                <w:vertAlign w:val="superscript"/>
              </w:rPr>
              <w:t>1</w:t>
            </w:r>
          </w:p>
        </w:tc>
        <w:tc>
          <w:tcPr>
            <w:tcW w:w="1559" w:type="dxa"/>
            <w:tcBorders>
              <w:top w:val="nil"/>
              <w:left w:val="nil"/>
              <w:bottom w:val="single" w:sz="8" w:space="0" w:color="auto"/>
              <w:right w:val="nil"/>
            </w:tcBorders>
            <w:vAlign w:val="center"/>
          </w:tcPr>
          <w:p w14:paraId="2213EA85" w14:textId="77777777" w:rsidR="008D1110" w:rsidRPr="00294D58" w:rsidRDefault="008D1110" w:rsidP="00C1393F">
            <w:pPr>
              <w:spacing w:after="0" w:line="276" w:lineRule="auto"/>
              <w:contextualSpacing/>
              <w:jc w:val="center"/>
              <w:rPr>
                <w:rFonts w:cs="Arial"/>
                <w:b/>
                <w:sz w:val="20"/>
              </w:rPr>
            </w:pPr>
            <w:r w:rsidRPr="00294D58">
              <w:rPr>
                <w:rFonts w:cs="Arial"/>
                <w:b/>
                <w:sz w:val="20"/>
              </w:rPr>
              <w:t>(</w:t>
            </w:r>
            <w:r w:rsidRPr="00294D58">
              <w:rPr>
                <w:rFonts w:cs="Arial"/>
                <w:b/>
                <w:i/>
                <w:sz w:val="20"/>
              </w:rPr>
              <w:t>n</w:t>
            </w:r>
            <w:r w:rsidRPr="00294D58">
              <w:rPr>
                <w:rFonts w:cs="Arial"/>
                <w:b/>
                <w:sz w:val="20"/>
              </w:rPr>
              <w:t>=104)</w:t>
            </w:r>
          </w:p>
        </w:tc>
        <w:tc>
          <w:tcPr>
            <w:tcW w:w="850" w:type="dxa"/>
            <w:gridSpan w:val="2"/>
            <w:tcBorders>
              <w:top w:val="nil"/>
              <w:left w:val="nil"/>
              <w:bottom w:val="single" w:sz="8" w:space="0" w:color="auto"/>
              <w:right w:val="nil"/>
            </w:tcBorders>
            <w:vAlign w:val="center"/>
          </w:tcPr>
          <w:p w14:paraId="7118AD15" w14:textId="77777777" w:rsidR="008D1110" w:rsidRPr="00294D58" w:rsidRDefault="008D1110" w:rsidP="00C1393F">
            <w:pPr>
              <w:spacing w:after="0" w:line="276" w:lineRule="auto"/>
              <w:contextualSpacing/>
              <w:jc w:val="center"/>
              <w:rPr>
                <w:rFonts w:cs="Arial"/>
                <w:b/>
                <w:sz w:val="20"/>
              </w:rPr>
            </w:pPr>
            <w:r w:rsidRPr="00294D58">
              <w:rPr>
                <w:rFonts w:cs="Arial"/>
                <w:b/>
                <w:i/>
                <w:sz w:val="20"/>
              </w:rPr>
              <w:t>p</w:t>
            </w:r>
          </w:p>
        </w:tc>
      </w:tr>
      <w:tr w:rsidR="00294D58" w:rsidRPr="00294D58" w14:paraId="4415B8F6" w14:textId="77777777" w:rsidTr="00C1393F">
        <w:tc>
          <w:tcPr>
            <w:tcW w:w="2552" w:type="dxa"/>
            <w:gridSpan w:val="4"/>
            <w:tcBorders>
              <w:top w:val="nil"/>
              <w:bottom w:val="single" w:sz="4" w:space="0" w:color="auto"/>
              <w:right w:val="nil"/>
            </w:tcBorders>
          </w:tcPr>
          <w:p w14:paraId="68AA50DA" w14:textId="77777777" w:rsidR="008D1110" w:rsidRPr="00294D58" w:rsidRDefault="008D1110" w:rsidP="00C1393F">
            <w:pPr>
              <w:spacing w:after="0" w:line="276" w:lineRule="auto"/>
              <w:contextualSpacing/>
              <w:rPr>
                <w:rFonts w:cs="Arial"/>
                <w:sz w:val="20"/>
              </w:rPr>
            </w:pPr>
            <w:r w:rsidRPr="00294D58">
              <w:rPr>
                <w:rFonts w:cs="Arial"/>
                <w:sz w:val="20"/>
              </w:rPr>
              <w:t>Age (years), mean (SD)</w:t>
            </w:r>
          </w:p>
        </w:tc>
        <w:tc>
          <w:tcPr>
            <w:tcW w:w="1419" w:type="dxa"/>
            <w:tcBorders>
              <w:top w:val="nil"/>
              <w:bottom w:val="single" w:sz="4" w:space="0" w:color="auto"/>
            </w:tcBorders>
            <w:vAlign w:val="bottom"/>
          </w:tcPr>
          <w:p w14:paraId="68EC9F72" w14:textId="77777777" w:rsidR="008D1110" w:rsidRPr="00294D58" w:rsidRDefault="008D1110" w:rsidP="00C1393F">
            <w:pPr>
              <w:spacing w:after="0" w:line="276" w:lineRule="auto"/>
              <w:contextualSpacing/>
              <w:jc w:val="center"/>
              <w:rPr>
                <w:rFonts w:cs="Arial"/>
                <w:sz w:val="20"/>
              </w:rPr>
            </w:pPr>
            <w:r w:rsidRPr="00294D58">
              <w:rPr>
                <w:rFonts w:cs="Arial"/>
                <w:sz w:val="20"/>
              </w:rPr>
              <w:t>65.74 (10.64)</w:t>
            </w:r>
          </w:p>
        </w:tc>
        <w:tc>
          <w:tcPr>
            <w:tcW w:w="1559" w:type="dxa"/>
            <w:tcBorders>
              <w:top w:val="nil"/>
              <w:bottom w:val="single" w:sz="4" w:space="0" w:color="auto"/>
            </w:tcBorders>
            <w:vAlign w:val="bottom"/>
          </w:tcPr>
          <w:p w14:paraId="58ADD9F7" w14:textId="77777777" w:rsidR="008D1110" w:rsidRPr="00294D58" w:rsidRDefault="008D1110" w:rsidP="00C1393F">
            <w:pPr>
              <w:spacing w:after="0" w:line="276" w:lineRule="auto"/>
              <w:contextualSpacing/>
              <w:jc w:val="center"/>
              <w:rPr>
                <w:rFonts w:cs="Arial"/>
                <w:sz w:val="20"/>
              </w:rPr>
            </w:pPr>
            <w:r w:rsidRPr="00294D58">
              <w:rPr>
                <w:rFonts w:cs="Arial"/>
                <w:sz w:val="20"/>
              </w:rPr>
              <w:t>60.94 (8.32)</w:t>
            </w:r>
          </w:p>
        </w:tc>
        <w:tc>
          <w:tcPr>
            <w:tcW w:w="850" w:type="dxa"/>
            <w:gridSpan w:val="2"/>
            <w:tcBorders>
              <w:top w:val="nil"/>
              <w:bottom w:val="single" w:sz="4" w:space="0" w:color="auto"/>
            </w:tcBorders>
            <w:vAlign w:val="bottom"/>
          </w:tcPr>
          <w:p w14:paraId="208FB4BF" w14:textId="77777777" w:rsidR="008D1110" w:rsidRPr="00294D58" w:rsidRDefault="008D1110" w:rsidP="00C1393F">
            <w:pPr>
              <w:spacing w:after="0" w:line="276" w:lineRule="auto"/>
              <w:contextualSpacing/>
              <w:jc w:val="center"/>
              <w:rPr>
                <w:rFonts w:cs="Arial"/>
                <w:sz w:val="20"/>
              </w:rPr>
            </w:pPr>
            <w:r w:rsidRPr="00294D58">
              <w:rPr>
                <w:rFonts w:cs="Arial"/>
                <w:sz w:val="20"/>
              </w:rPr>
              <w:t>&lt;0.001</w:t>
            </w:r>
          </w:p>
        </w:tc>
      </w:tr>
      <w:tr w:rsidR="00294D58" w:rsidRPr="00294D58" w14:paraId="2A25DCFC" w14:textId="77777777" w:rsidTr="00C1393F">
        <w:tc>
          <w:tcPr>
            <w:tcW w:w="2552" w:type="dxa"/>
            <w:gridSpan w:val="4"/>
            <w:tcBorders>
              <w:top w:val="single" w:sz="4" w:space="0" w:color="auto"/>
              <w:bottom w:val="nil"/>
              <w:right w:val="nil"/>
            </w:tcBorders>
          </w:tcPr>
          <w:p w14:paraId="10658A57" w14:textId="77777777" w:rsidR="008D1110" w:rsidRPr="00294D58" w:rsidRDefault="008D1110" w:rsidP="00C1393F">
            <w:pPr>
              <w:spacing w:after="0" w:line="276" w:lineRule="auto"/>
              <w:contextualSpacing/>
              <w:rPr>
                <w:rFonts w:cs="Arial"/>
                <w:sz w:val="20"/>
              </w:rPr>
            </w:pPr>
            <w:r w:rsidRPr="00294D58">
              <w:rPr>
                <w:rFonts w:cs="Arial"/>
                <w:sz w:val="20"/>
              </w:rPr>
              <w:t>Sex</w:t>
            </w:r>
          </w:p>
        </w:tc>
        <w:tc>
          <w:tcPr>
            <w:tcW w:w="1419" w:type="dxa"/>
            <w:tcBorders>
              <w:top w:val="single" w:sz="4" w:space="0" w:color="auto"/>
              <w:bottom w:val="nil"/>
            </w:tcBorders>
            <w:vAlign w:val="bottom"/>
          </w:tcPr>
          <w:p w14:paraId="2278DE56" w14:textId="77777777" w:rsidR="008D1110" w:rsidRPr="00294D58" w:rsidRDefault="008D1110" w:rsidP="00C1393F">
            <w:pPr>
              <w:spacing w:after="0" w:line="276" w:lineRule="auto"/>
              <w:contextualSpacing/>
              <w:jc w:val="center"/>
              <w:rPr>
                <w:rFonts w:cs="Arial"/>
                <w:sz w:val="20"/>
              </w:rPr>
            </w:pPr>
          </w:p>
        </w:tc>
        <w:tc>
          <w:tcPr>
            <w:tcW w:w="1559" w:type="dxa"/>
            <w:tcBorders>
              <w:top w:val="single" w:sz="4" w:space="0" w:color="auto"/>
              <w:bottom w:val="nil"/>
            </w:tcBorders>
            <w:vAlign w:val="bottom"/>
          </w:tcPr>
          <w:p w14:paraId="11F63B99" w14:textId="77777777" w:rsidR="008D1110" w:rsidRPr="00294D58" w:rsidRDefault="008D1110" w:rsidP="00C1393F">
            <w:pPr>
              <w:spacing w:after="0" w:line="276" w:lineRule="auto"/>
              <w:contextualSpacing/>
              <w:jc w:val="center"/>
              <w:rPr>
                <w:rFonts w:cs="Arial"/>
                <w:sz w:val="20"/>
              </w:rPr>
            </w:pPr>
          </w:p>
        </w:tc>
        <w:tc>
          <w:tcPr>
            <w:tcW w:w="850" w:type="dxa"/>
            <w:gridSpan w:val="2"/>
            <w:tcBorders>
              <w:top w:val="single" w:sz="4" w:space="0" w:color="auto"/>
              <w:bottom w:val="nil"/>
            </w:tcBorders>
            <w:vAlign w:val="bottom"/>
          </w:tcPr>
          <w:p w14:paraId="2E591275" w14:textId="77777777" w:rsidR="008D1110" w:rsidRPr="00294D58" w:rsidRDefault="008D1110" w:rsidP="00C1393F">
            <w:pPr>
              <w:spacing w:after="0" w:line="276" w:lineRule="auto"/>
              <w:contextualSpacing/>
              <w:jc w:val="center"/>
              <w:rPr>
                <w:rFonts w:cs="Arial"/>
                <w:sz w:val="20"/>
              </w:rPr>
            </w:pPr>
          </w:p>
        </w:tc>
      </w:tr>
      <w:tr w:rsidR="00294D58" w:rsidRPr="00294D58" w14:paraId="73A8BD3F" w14:textId="77777777" w:rsidTr="00C1393F">
        <w:tc>
          <w:tcPr>
            <w:tcW w:w="283" w:type="dxa"/>
            <w:tcBorders>
              <w:top w:val="nil"/>
              <w:bottom w:val="nil"/>
              <w:right w:val="nil"/>
            </w:tcBorders>
          </w:tcPr>
          <w:p w14:paraId="099B7828" w14:textId="77777777" w:rsidR="008D1110" w:rsidRPr="00294D58" w:rsidRDefault="008D1110" w:rsidP="00C1393F">
            <w:pPr>
              <w:spacing w:after="0" w:line="276" w:lineRule="auto"/>
              <w:contextualSpacing/>
              <w:rPr>
                <w:rFonts w:cs="Arial"/>
                <w:sz w:val="20"/>
              </w:rPr>
            </w:pPr>
          </w:p>
        </w:tc>
        <w:tc>
          <w:tcPr>
            <w:tcW w:w="2269" w:type="dxa"/>
            <w:gridSpan w:val="3"/>
            <w:tcBorders>
              <w:top w:val="nil"/>
              <w:left w:val="nil"/>
              <w:bottom w:val="single" w:sz="4" w:space="0" w:color="auto"/>
              <w:right w:val="nil"/>
            </w:tcBorders>
            <w:vAlign w:val="center"/>
          </w:tcPr>
          <w:p w14:paraId="2C5D4A62" w14:textId="77777777" w:rsidR="008D1110" w:rsidRPr="00294D58" w:rsidRDefault="008D1110" w:rsidP="00C1393F">
            <w:pPr>
              <w:spacing w:after="0" w:line="276" w:lineRule="auto"/>
              <w:contextualSpacing/>
              <w:rPr>
                <w:rFonts w:cs="Arial"/>
                <w:sz w:val="20"/>
              </w:rPr>
            </w:pPr>
            <w:r w:rsidRPr="00294D58">
              <w:rPr>
                <w:rFonts w:cs="Arial"/>
                <w:sz w:val="20"/>
              </w:rPr>
              <w:t>Men</w:t>
            </w:r>
          </w:p>
        </w:tc>
        <w:tc>
          <w:tcPr>
            <w:tcW w:w="1419" w:type="dxa"/>
            <w:tcBorders>
              <w:top w:val="nil"/>
              <w:left w:val="nil"/>
              <w:bottom w:val="single" w:sz="4" w:space="0" w:color="auto"/>
              <w:right w:val="nil"/>
            </w:tcBorders>
            <w:vAlign w:val="bottom"/>
          </w:tcPr>
          <w:p w14:paraId="11FB5FC1" w14:textId="77777777" w:rsidR="008D1110" w:rsidRPr="00294D58" w:rsidRDefault="008D1110" w:rsidP="00C1393F">
            <w:pPr>
              <w:spacing w:after="0" w:line="276" w:lineRule="auto"/>
              <w:contextualSpacing/>
              <w:jc w:val="center"/>
              <w:rPr>
                <w:rFonts w:cs="Arial"/>
                <w:sz w:val="20"/>
              </w:rPr>
            </w:pPr>
            <w:r w:rsidRPr="00294D58">
              <w:rPr>
                <w:rFonts w:cs="Arial"/>
                <w:sz w:val="20"/>
              </w:rPr>
              <w:t>46.7</w:t>
            </w:r>
          </w:p>
        </w:tc>
        <w:tc>
          <w:tcPr>
            <w:tcW w:w="1559" w:type="dxa"/>
            <w:tcBorders>
              <w:top w:val="nil"/>
              <w:left w:val="nil"/>
              <w:bottom w:val="single" w:sz="4" w:space="0" w:color="auto"/>
              <w:right w:val="nil"/>
            </w:tcBorders>
            <w:vAlign w:val="bottom"/>
          </w:tcPr>
          <w:p w14:paraId="739533E5" w14:textId="77777777" w:rsidR="008D1110" w:rsidRPr="00294D58" w:rsidRDefault="008D1110" w:rsidP="00C1393F">
            <w:pPr>
              <w:spacing w:after="0" w:line="276" w:lineRule="auto"/>
              <w:contextualSpacing/>
              <w:jc w:val="center"/>
              <w:rPr>
                <w:rFonts w:cs="Arial"/>
                <w:sz w:val="20"/>
              </w:rPr>
            </w:pPr>
            <w:r w:rsidRPr="00294D58">
              <w:rPr>
                <w:rFonts w:cs="Arial"/>
                <w:sz w:val="20"/>
              </w:rPr>
              <w:t>53.8</w:t>
            </w:r>
          </w:p>
        </w:tc>
        <w:tc>
          <w:tcPr>
            <w:tcW w:w="850" w:type="dxa"/>
            <w:gridSpan w:val="2"/>
            <w:tcBorders>
              <w:top w:val="nil"/>
              <w:left w:val="nil"/>
              <w:bottom w:val="single" w:sz="4" w:space="0" w:color="auto"/>
              <w:right w:val="nil"/>
            </w:tcBorders>
            <w:vAlign w:val="bottom"/>
          </w:tcPr>
          <w:p w14:paraId="3DF4CEA7" w14:textId="77777777" w:rsidR="008D1110" w:rsidRPr="00294D58" w:rsidRDefault="008D1110" w:rsidP="00C1393F">
            <w:pPr>
              <w:spacing w:after="0" w:line="276" w:lineRule="auto"/>
              <w:contextualSpacing/>
              <w:jc w:val="center"/>
              <w:rPr>
                <w:rFonts w:cs="Arial"/>
                <w:sz w:val="20"/>
              </w:rPr>
            </w:pPr>
            <w:r w:rsidRPr="00294D58">
              <w:rPr>
                <w:rFonts w:cs="Arial"/>
                <w:sz w:val="20"/>
              </w:rPr>
              <w:t>0.149</w:t>
            </w:r>
          </w:p>
        </w:tc>
      </w:tr>
      <w:tr w:rsidR="00294D58" w:rsidRPr="00294D58" w14:paraId="3A6C08D8" w14:textId="77777777" w:rsidTr="00C1393F">
        <w:tc>
          <w:tcPr>
            <w:tcW w:w="283" w:type="dxa"/>
            <w:tcBorders>
              <w:top w:val="nil"/>
              <w:bottom w:val="single" w:sz="4" w:space="0" w:color="auto"/>
              <w:right w:val="nil"/>
            </w:tcBorders>
          </w:tcPr>
          <w:p w14:paraId="2B711F43"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2DC90D1B" w14:textId="77777777" w:rsidR="008D1110" w:rsidRPr="00294D58" w:rsidRDefault="008D1110" w:rsidP="00C1393F">
            <w:pPr>
              <w:spacing w:after="0" w:line="276" w:lineRule="auto"/>
              <w:contextualSpacing/>
              <w:rPr>
                <w:rFonts w:cs="Arial"/>
                <w:sz w:val="20"/>
              </w:rPr>
            </w:pPr>
            <w:r w:rsidRPr="00294D58">
              <w:rPr>
                <w:rFonts w:cs="Arial"/>
                <w:sz w:val="20"/>
              </w:rPr>
              <w:t>Women</w:t>
            </w:r>
          </w:p>
        </w:tc>
        <w:tc>
          <w:tcPr>
            <w:tcW w:w="1419" w:type="dxa"/>
            <w:tcBorders>
              <w:top w:val="single" w:sz="4" w:space="0" w:color="auto"/>
              <w:left w:val="nil"/>
              <w:bottom w:val="single" w:sz="4" w:space="0" w:color="auto"/>
              <w:right w:val="nil"/>
            </w:tcBorders>
            <w:vAlign w:val="bottom"/>
          </w:tcPr>
          <w:p w14:paraId="15088E64" w14:textId="77777777" w:rsidR="008D1110" w:rsidRPr="00294D58" w:rsidRDefault="008D1110" w:rsidP="00C1393F">
            <w:pPr>
              <w:spacing w:after="0" w:line="276" w:lineRule="auto"/>
              <w:contextualSpacing/>
              <w:jc w:val="center"/>
              <w:rPr>
                <w:rFonts w:cs="Arial"/>
                <w:sz w:val="20"/>
              </w:rPr>
            </w:pPr>
            <w:r w:rsidRPr="00294D58">
              <w:rPr>
                <w:rFonts w:cs="Arial"/>
                <w:sz w:val="20"/>
              </w:rPr>
              <w:t>53.3</w:t>
            </w:r>
          </w:p>
        </w:tc>
        <w:tc>
          <w:tcPr>
            <w:tcW w:w="1559" w:type="dxa"/>
            <w:tcBorders>
              <w:top w:val="single" w:sz="4" w:space="0" w:color="auto"/>
              <w:left w:val="nil"/>
              <w:bottom w:val="single" w:sz="4" w:space="0" w:color="auto"/>
              <w:right w:val="nil"/>
            </w:tcBorders>
            <w:vAlign w:val="bottom"/>
          </w:tcPr>
          <w:p w14:paraId="044B540B" w14:textId="77777777" w:rsidR="008D1110" w:rsidRPr="00294D58" w:rsidRDefault="008D1110" w:rsidP="00C1393F">
            <w:pPr>
              <w:spacing w:after="0" w:line="276" w:lineRule="auto"/>
              <w:contextualSpacing/>
              <w:jc w:val="center"/>
              <w:rPr>
                <w:rFonts w:cs="Arial"/>
                <w:sz w:val="20"/>
              </w:rPr>
            </w:pPr>
            <w:r w:rsidRPr="00294D58">
              <w:rPr>
                <w:rFonts w:cs="Arial"/>
                <w:sz w:val="20"/>
              </w:rPr>
              <w:t>46.2</w:t>
            </w:r>
          </w:p>
        </w:tc>
        <w:tc>
          <w:tcPr>
            <w:tcW w:w="850" w:type="dxa"/>
            <w:gridSpan w:val="2"/>
            <w:tcBorders>
              <w:top w:val="single" w:sz="4" w:space="0" w:color="auto"/>
              <w:left w:val="nil"/>
              <w:bottom w:val="single" w:sz="4" w:space="0" w:color="auto"/>
              <w:right w:val="nil"/>
            </w:tcBorders>
            <w:vAlign w:val="bottom"/>
          </w:tcPr>
          <w:p w14:paraId="58E3E8EF"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0949D0B3" w14:textId="77777777" w:rsidTr="00C1393F">
        <w:tc>
          <w:tcPr>
            <w:tcW w:w="2552" w:type="dxa"/>
            <w:gridSpan w:val="4"/>
            <w:tcBorders>
              <w:top w:val="single" w:sz="4" w:space="0" w:color="auto"/>
              <w:bottom w:val="nil"/>
              <w:right w:val="nil"/>
            </w:tcBorders>
          </w:tcPr>
          <w:p w14:paraId="5D9C0F26" w14:textId="77777777" w:rsidR="008D1110" w:rsidRPr="00294D58" w:rsidRDefault="008D1110" w:rsidP="00C1393F">
            <w:pPr>
              <w:spacing w:after="0" w:line="276" w:lineRule="auto"/>
              <w:contextualSpacing/>
              <w:rPr>
                <w:rFonts w:cs="Arial"/>
                <w:sz w:val="20"/>
              </w:rPr>
            </w:pPr>
            <w:r w:rsidRPr="00294D58">
              <w:rPr>
                <w:rFonts w:cs="Arial"/>
                <w:sz w:val="20"/>
              </w:rPr>
              <w:t xml:space="preserve">Ethnicity </w:t>
            </w:r>
          </w:p>
        </w:tc>
        <w:tc>
          <w:tcPr>
            <w:tcW w:w="1419" w:type="dxa"/>
            <w:tcBorders>
              <w:top w:val="single" w:sz="4" w:space="0" w:color="auto"/>
              <w:bottom w:val="nil"/>
            </w:tcBorders>
            <w:vAlign w:val="bottom"/>
          </w:tcPr>
          <w:p w14:paraId="46FE05FD" w14:textId="77777777" w:rsidR="008D1110" w:rsidRPr="00294D58" w:rsidRDefault="008D1110" w:rsidP="00C1393F">
            <w:pPr>
              <w:spacing w:after="0" w:line="276" w:lineRule="auto"/>
              <w:contextualSpacing/>
              <w:jc w:val="center"/>
              <w:rPr>
                <w:rFonts w:cs="Arial"/>
                <w:sz w:val="20"/>
              </w:rPr>
            </w:pPr>
          </w:p>
        </w:tc>
        <w:tc>
          <w:tcPr>
            <w:tcW w:w="1559" w:type="dxa"/>
            <w:tcBorders>
              <w:top w:val="single" w:sz="4" w:space="0" w:color="auto"/>
              <w:bottom w:val="nil"/>
            </w:tcBorders>
            <w:vAlign w:val="bottom"/>
          </w:tcPr>
          <w:p w14:paraId="1A3884F1" w14:textId="77777777" w:rsidR="008D1110" w:rsidRPr="00294D58" w:rsidRDefault="008D1110" w:rsidP="00C1393F">
            <w:pPr>
              <w:spacing w:after="0" w:line="276" w:lineRule="auto"/>
              <w:contextualSpacing/>
              <w:jc w:val="center"/>
              <w:rPr>
                <w:rFonts w:cs="Arial"/>
                <w:sz w:val="20"/>
              </w:rPr>
            </w:pPr>
          </w:p>
        </w:tc>
        <w:tc>
          <w:tcPr>
            <w:tcW w:w="850" w:type="dxa"/>
            <w:gridSpan w:val="2"/>
            <w:tcBorders>
              <w:top w:val="single" w:sz="4" w:space="0" w:color="auto"/>
              <w:bottom w:val="nil"/>
            </w:tcBorders>
            <w:vAlign w:val="bottom"/>
          </w:tcPr>
          <w:p w14:paraId="0550D6B7" w14:textId="77777777" w:rsidR="008D1110" w:rsidRPr="00294D58" w:rsidRDefault="008D1110" w:rsidP="00C1393F">
            <w:pPr>
              <w:spacing w:after="0" w:line="276" w:lineRule="auto"/>
              <w:contextualSpacing/>
              <w:jc w:val="center"/>
              <w:rPr>
                <w:rFonts w:cs="Arial"/>
                <w:sz w:val="20"/>
              </w:rPr>
            </w:pPr>
          </w:p>
        </w:tc>
      </w:tr>
      <w:tr w:rsidR="00294D58" w:rsidRPr="00294D58" w14:paraId="0B50E9D6" w14:textId="77777777" w:rsidTr="00C1393F">
        <w:tc>
          <w:tcPr>
            <w:tcW w:w="283" w:type="dxa"/>
            <w:tcBorders>
              <w:top w:val="nil"/>
              <w:bottom w:val="nil"/>
              <w:right w:val="nil"/>
            </w:tcBorders>
          </w:tcPr>
          <w:p w14:paraId="6FD80890" w14:textId="77777777" w:rsidR="008D1110" w:rsidRPr="00294D58" w:rsidRDefault="008D1110" w:rsidP="00C1393F">
            <w:pPr>
              <w:spacing w:after="0" w:line="276" w:lineRule="auto"/>
              <w:contextualSpacing/>
              <w:rPr>
                <w:rFonts w:cs="Arial"/>
                <w:sz w:val="20"/>
              </w:rPr>
            </w:pPr>
          </w:p>
        </w:tc>
        <w:tc>
          <w:tcPr>
            <w:tcW w:w="2269" w:type="dxa"/>
            <w:gridSpan w:val="3"/>
            <w:tcBorders>
              <w:top w:val="nil"/>
              <w:left w:val="nil"/>
              <w:bottom w:val="single" w:sz="4" w:space="0" w:color="auto"/>
              <w:right w:val="nil"/>
            </w:tcBorders>
            <w:vAlign w:val="center"/>
          </w:tcPr>
          <w:p w14:paraId="4DCD7C97" w14:textId="77777777" w:rsidR="008D1110" w:rsidRPr="00294D58" w:rsidRDefault="008D1110" w:rsidP="00C1393F">
            <w:pPr>
              <w:spacing w:after="0" w:line="276" w:lineRule="auto"/>
              <w:contextualSpacing/>
              <w:rPr>
                <w:rFonts w:cs="Arial"/>
                <w:sz w:val="20"/>
              </w:rPr>
            </w:pPr>
            <w:r w:rsidRPr="00294D58">
              <w:rPr>
                <w:rFonts w:cs="Arial"/>
                <w:sz w:val="20"/>
              </w:rPr>
              <w:t>White</w:t>
            </w:r>
          </w:p>
        </w:tc>
        <w:tc>
          <w:tcPr>
            <w:tcW w:w="1419" w:type="dxa"/>
            <w:tcBorders>
              <w:top w:val="nil"/>
              <w:left w:val="nil"/>
              <w:bottom w:val="single" w:sz="4" w:space="0" w:color="auto"/>
              <w:right w:val="nil"/>
            </w:tcBorders>
            <w:vAlign w:val="bottom"/>
          </w:tcPr>
          <w:p w14:paraId="5F31857E" w14:textId="77777777" w:rsidR="008D1110" w:rsidRPr="00294D58" w:rsidRDefault="008D1110" w:rsidP="00C1393F">
            <w:pPr>
              <w:spacing w:after="0" w:line="276" w:lineRule="auto"/>
              <w:contextualSpacing/>
              <w:jc w:val="center"/>
              <w:rPr>
                <w:rFonts w:cs="Arial"/>
                <w:sz w:val="20"/>
              </w:rPr>
            </w:pPr>
            <w:r w:rsidRPr="00294D58">
              <w:rPr>
                <w:rFonts w:cs="Arial"/>
                <w:sz w:val="20"/>
              </w:rPr>
              <w:t>96.9</w:t>
            </w:r>
          </w:p>
        </w:tc>
        <w:tc>
          <w:tcPr>
            <w:tcW w:w="1559" w:type="dxa"/>
            <w:tcBorders>
              <w:top w:val="nil"/>
              <w:left w:val="nil"/>
              <w:bottom w:val="single" w:sz="4" w:space="0" w:color="auto"/>
              <w:right w:val="nil"/>
            </w:tcBorders>
            <w:vAlign w:val="bottom"/>
          </w:tcPr>
          <w:p w14:paraId="09DB2E69" w14:textId="77777777" w:rsidR="008D1110" w:rsidRPr="00294D58" w:rsidRDefault="008D1110" w:rsidP="00C1393F">
            <w:pPr>
              <w:spacing w:after="0" w:line="276" w:lineRule="auto"/>
              <w:contextualSpacing/>
              <w:jc w:val="center"/>
              <w:rPr>
                <w:rFonts w:cs="Arial"/>
                <w:sz w:val="20"/>
              </w:rPr>
            </w:pPr>
            <w:r w:rsidRPr="00294D58">
              <w:rPr>
                <w:rFonts w:cs="Arial"/>
                <w:sz w:val="20"/>
              </w:rPr>
              <w:t>93.4</w:t>
            </w:r>
          </w:p>
        </w:tc>
        <w:tc>
          <w:tcPr>
            <w:tcW w:w="850" w:type="dxa"/>
            <w:gridSpan w:val="2"/>
            <w:tcBorders>
              <w:top w:val="nil"/>
              <w:left w:val="nil"/>
              <w:bottom w:val="single" w:sz="4" w:space="0" w:color="auto"/>
              <w:right w:val="nil"/>
            </w:tcBorders>
            <w:vAlign w:val="bottom"/>
          </w:tcPr>
          <w:p w14:paraId="38901A62" w14:textId="77777777" w:rsidR="008D1110" w:rsidRPr="00294D58" w:rsidRDefault="008D1110" w:rsidP="00C1393F">
            <w:pPr>
              <w:spacing w:after="0" w:line="276" w:lineRule="auto"/>
              <w:contextualSpacing/>
              <w:jc w:val="center"/>
              <w:rPr>
                <w:rFonts w:cs="Arial"/>
                <w:sz w:val="20"/>
              </w:rPr>
            </w:pPr>
            <w:r w:rsidRPr="00294D58">
              <w:rPr>
                <w:rFonts w:cs="Arial"/>
                <w:sz w:val="20"/>
              </w:rPr>
              <w:t>0.042</w:t>
            </w:r>
          </w:p>
        </w:tc>
      </w:tr>
      <w:tr w:rsidR="00294D58" w:rsidRPr="00294D58" w14:paraId="44B001FC" w14:textId="77777777" w:rsidTr="00C1393F">
        <w:tc>
          <w:tcPr>
            <w:tcW w:w="283" w:type="dxa"/>
            <w:tcBorders>
              <w:top w:val="nil"/>
              <w:bottom w:val="single" w:sz="4" w:space="0" w:color="auto"/>
              <w:right w:val="nil"/>
            </w:tcBorders>
          </w:tcPr>
          <w:p w14:paraId="3A276E1D"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15B8314B" w14:textId="77777777" w:rsidR="008D1110" w:rsidRPr="00294D58" w:rsidRDefault="008D1110" w:rsidP="00C1393F">
            <w:pPr>
              <w:spacing w:after="0" w:line="276" w:lineRule="auto"/>
              <w:contextualSpacing/>
              <w:rPr>
                <w:rFonts w:cs="Arial"/>
                <w:sz w:val="20"/>
              </w:rPr>
            </w:pPr>
            <w:r w:rsidRPr="00294D58">
              <w:rPr>
                <w:rFonts w:cs="Arial"/>
                <w:sz w:val="20"/>
              </w:rPr>
              <w:t>Non-white</w:t>
            </w:r>
          </w:p>
        </w:tc>
        <w:tc>
          <w:tcPr>
            <w:tcW w:w="1419" w:type="dxa"/>
            <w:tcBorders>
              <w:top w:val="single" w:sz="4" w:space="0" w:color="auto"/>
              <w:left w:val="nil"/>
              <w:bottom w:val="single" w:sz="4" w:space="0" w:color="auto"/>
              <w:right w:val="nil"/>
            </w:tcBorders>
            <w:vAlign w:val="bottom"/>
          </w:tcPr>
          <w:p w14:paraId="5647CD28" w14:textId="77777777" w:rsidR="008D1110" w:rsidRPr="00294D58" w:rsidRDefault="008D1110" w:rsidP="00C1393F">
            <w:pPr>
              <w:spacing w:after="0" w:line="276" w:lineRule="auto"/>
              <w:contextualSpacing/>
              <w:jc w:val="center"/>
              <w:rPr>
                <w:rFonts w:cs="Arial"/>
                <w:sz w:val="20"/>
              </w:rPr>
            </w:pPr>
            <w:r w:rsidRPr="00294D58">
              <w:rPr>
                <w:rFonts w:cs="Arial"/>
                <w:sz w:val="20"/>
              </w:rPr>
              <w:t>3.1</w:t>
            </w:r>
          </w:p>
        </w:tc>
        <w:tc>
          <w:tcPr>
            <w:tcW w:w="1559" w:type="dxa"/>
            <w:tcBorders>
              <w:top w:val="single" w:sz="4" w:space="0" w:color="auto"/>
              <w:left w:val="nil"/>
              <w:bottom w:val="single" w:sz="4" w:space="0" w:color="auto"/>
              <w:right w:val="nil"/>
            </w:tcBorders>
            <w:vAlign w:val="bottom"/>
          </w:tcPr>
          <w:p w14:paraId="1B96593E" w14:textId="77777777" w:rsidR="008D1110" w:rsidRPr="00294D58" w:rsidRDefault="008D1110" w:rsidP="00C1393F">
            <w:pPr>
              <w:spacing w:after="0" w:line="276" w:lineRule="auto"/>
              <w:contextualSpacing/>
              <w:jc w:val="center"/>
              <w:rPr>
                <w:rFonts w:cs="Arial"/>
                <w:sz w:val="20"/>
              </w:rPr>
            </w:pPr>
            <w:r w:rsidRPr="00294D58">
              <w:rPr>
                <w:rFonts w:cs="Arial"/>
                <w:sz w:val="20"/>
              </w:rPr>
              <w:t>6.6</w:t>
            </w:r>
          </w:p>
        </w:tc>
        <w:tc>
          <w:tcPr>
            <w:tcW w:w="850" w:type="dxa"/>
            <w:gridSpan w:val="2"/>
            <w:tcBorders>
              <w:top w:val="single" w:sz="4" w:space="0" w:color="auto"/>
              <w:left w:val="nil"/>
              <w:bottom w:val="single" w:sz="4" w:space="0" w:color="auto"/>
              <w:right w:val="nil"/>
            </w:tcBorders>
            <w:vAlign w:val="bottom"/>
          </w:tcPr>
          <w:p w14:paraId="71EA4D9A"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3D90C6DD" w14:textId="77777777" w:rsidTr="00C1393F">
        <w:tc>
          <w:tcPr>
            <w:tcW w:w="2552" w:type="dxa"/>
            <w:gridSpan w:val="4"/>
            <w:tcBorders>
              <w:top w:val="single" w:sz="4" w:space="0" w:color="auto"/>
              <w:bottom w:val="nil"/>
              <w:right w:val="nil"/>
            </w:tcBorders>
          </w:tcPr>
          <w:p w14:paraId="2F48EFE6" w14:textId="77777777" w:rsidR="008D1110" w:rsidRPr="00294D58" w:rsidRDefault="008D1110" w:rsidP="00C1393F">
            <w:pPr>
              <w:spacing w:after="0" w:line="276" w:lineRule="auto"/>
              <w:contextualSpacing/>
              <w:rPr>
                <w:rFonts w:cs="Arial"/>
                <w:sz w:val="20"/>
              </w:rPr>
            </w:pPr>
            <w:r w:rsidRPr="00294D58">
              <w:rPr>
                <w:rFonts w:cs="Arial"/>
                <w:sz w:val="20"/>
              </w:rPr>
              <w:t>Highest level of education</w:t>
            </w:r>
          </w:p>
        </w:tc>
        <w:tc>
          <w:tcPr>
            <w:tcW w:w="1419" w:type="dxa"/>
            <w:tcBorders>
              <w:top w:val="single" w:sz="4" w:space="0" w:color="auto"/>
              <w:bottom w:val="nil"/>
            </w:tcBorders>
            <w:vAlign w:val="bottom"/>
          </w:tcPr>
          <w:p w14:paraId="1C280BBF" w14:textId="77777777" w:rsidR="008D1110" w:rsidRPr="00294D58" w:rsidRDefault="008D1110" w:rsidP="00C1393F">
            <w:pPr>
              <w:spacing w:after="0" w:line="276" w:lineRule="auto"/>
              <w:contextualSpacing/>
              <w:jc w:val="center"/>
              <w:rPr>
                <w:rFonts w:cs="Arial"/>
                <w:sz w:val="20"/>
              </w:rPr>
            </w:pPr>
          </w:p>
        </w:tc>
        <w:tc>
          <w:tcPr>
            <w:tcW w:w="1559" w:type="dxa"/>
            <w:tcBorders>
              <w:top w:val="single" w:sz="4" w:space="0" w:color="auto"/>
              <w:bottom w:val="nil"/>
            </w:tcBorders>
            <w:vAlign w:val="bottom"/>
          </w:tcPr>
          <w:p w14:paraId="475752E9" w14:textId="77777777" w:rsidR="008D1110" w:rsidRPr="00294D58" w:rsidRDefault="008D1110" w:rsidP="00C1393F">
            <w:pPr>
              <w:spacing w:after="0" w:line="276" w:lineRule="auto"/>
              <w:contextualSpacing/>
              <w:jc w:val="center"/>
              <w:rPr>
                <w:rFonts w:cs="Arial"/>
                <w:sz w:val="20"/>
              </w:rPr>
            </w:pPr>
          </w:p>
        </w:tc>
        <w:tc>
          <w:tcPr>
            <w:tcW w:w="850" w:type="dxa"/>
            <w:gridSpan w:val="2"/>
            <w:tcBorders>
              <w:top w:val="single" w:sz="4" w:space="0" w:color="auto"/>
              <w:bottom w:val="nil"/>
            </w:tcBorders>
            <w:vAlign w:val="bottom"/>
          </w:tcPr>
          <w:p w14:paraId="7C149B25" w14:textId="77777777" w:rsidR="008D1110" w:rsidRPr="00294D58" w:rsidRDefault="008D1110" w:rsidP="00C1393F">
            <w:pPr>
              <w:spacing w:after="0" w:line="276" w:lineRule="auto"/>
              <w:contextualSpacing/>
              <w:jc w:val="center"/>
              <w:rPr>
                <w:rFonts w:cs="Arial"/>
                <w:sz w:val="20"/>
              </w:rPr>
            </w:pPr>
          </w:p>
        </w:tc>
      </w:tr>
      <w:tr w:rsidR="00294D58" w:rsidRPr="00294D58" w14:paraId="55F02CF8" w14:textId="77777777" w:rsidTr="00C1393F">
        <w:tc>
          <w:tcPr>
            <w:tcW w:w="283" w:type="dxa"/>
            <w:tcBorders>
              <w:top w:val="nil"/>
              <w:bottom w:val="nil"/>
              <w:right w:val="nil"/>
            </w:tcBorders>
          </w:tcPr>
          <w:p w14:paraId="7629DFD4" w14:textId="77777777" w:rsidR="008D1110" w:rsidRPr="00294D58" w:rsidRDefault="008D1110" w:rsidP="00C1393F">
            <w:pPr>
              <w:spacing w:after="0" w:line="276" w:lineRule="auto"/>
              <w:contextualSpacing/>
              <w:rPr>
                <w:rFonts w:cs="Arial"/>
                <w:sz w:val="20"/>
              </w:rPr>
            </w:pPr>
          </w:p>
        </w:tc>
        <w:tc>
          <w:tcPr>
            <w:tcW w:w="2269" w:type="dxa"/>
            <w:gridSpan w:val="3"/>
            <w:tcBorders>
              <w:top w:val="nil"/>
              <w:left w:val="nil"/>
              <w:bottom w:val="single" w:sz="4" w:space="0" w:color="auto"/>
              <w:right w:val="nil"/>
            </w:tcBorders>
            <w:vAlign w:val="center"/>
          </w:tcPr>
          <w:p w14:paraId="3F7CB629" w14:textId="77777777" w:rsidR="008D1110" w:rsidRPr="00294D58" w:rsidRDefault="008D1110" w:rsidP="00C1393F">
            <w:pPr>
              <w:spacing w:after="0" w:line="276" w:lineRule="auto"/>
              <w:contextualSpacing/>
              <w:rPr>
                <w:rFonts w:cs="Arial"/>
                <w:sz w:val="20"/>
              </w:rPr>
            </w:pPr>
            <w:r w:rsidRPr="00294D58">
              <w:rPr>
                <w:rFonts w:cs="Arial"/>
                <w:sz w:val="20"/>
              </w:rPr>
              <w:t>No qualifications</w:t>
            </w:r>
          </w:p>
        </w:tc>
        <w:tc>
          <w:tcPr>
            <w:tcW w:w="1419" w:type="dxa"/>
            <w:tcBorders>
              <w:top w:val="nil"/>
              <w:left w:val="nil"/>
              <w:bottom w:val="single" w:sz="4" w:space="0" w:color="auto"/>
              <w:right w:val="nil"/>
            </w:tcBorders>
            <w:vAlign w:val="bottom"/>
          </w:tcPr>
          <w:p w14:paraId="2E651D56" w14:textId="77777777" w:rsidR="008D1110" w:rsidRPr="00294D58" w:rsidRDefault="008D1110" w:rsidP="00C1393F">
            <w:pPr>
              <w:spacing w:after="0" w:line="276" w:lineRule="auto"/>
              <w:contextualSpacing/>
              <w:jc w:val="center"/>
              <w:rPr>
                <w:rFonts w:cs="Arial"/>
                <w:sz w:val="20"/>
              </w:rPr>
            </w:pPr>
            <w:r w:rsidRPr="00294D58">
              <w:rPr>
                <w:rFonts w:cs="Arial"/>
                <w:sz w:val="20"/>
              </w:rPr>
              <w:t>32.4</w:t>
            </w:r>
          </w:p>
        </w:tc>
        <w:tc>
          <w:tcPr>
            <w:tcW w:w="1559" w:type="dxa"/>
            <w:tcBorders>
              <w:top w:val="nil"/>
              <w:left w:val="nil"/>
              <w:bottom w:val="single" w:sz="4" w:space="0" w:color="auto"/>
              <w:right w:val="nil"/>
            </w:tcBorders>
            <w:vAlign w:val="bottom"/>
          </w:tcPr>
          <w:p w14:paraId="782328EE" w14:textId="77777777" w:rsidR="008D1110" w:rsidRPr="00294D58" w:rsidRDefault="008D1110" w:rsidP="00C1393F">
            <w:pPr>
              <w:spacing w:after="0" w:line="276" w:lineRule="auto"/>
              <w:contextualSpacing/>
              <w:jc w:val="center"/>
              <w:rPr>
                <w:rFonts w:cs="Arial"/>
                <w:sz w:val="20"/>
              </w:rPr>
            </w:pPr>
            <w:r w:rsidRPr="00294D58">
              <w:rPr>
                <w:rFonts w:cs="Arial"/>
                <w:sz w:val="20"/>
              </w:rPr>
              <w:t>27.4</w:t>
            </w:r>
          </w:p>
        </w:tc>
        <w:tc>
          <w:tcPr>
            <w:tcW w:w="850" w:type="dxa"/>
            <w:gridSpan w:val="2"/>
            <w:tcBorders>
              <w:top w:val="nil"/>
              <w:left w:val="nil"/>
              <w:bottom w:val="single" w:sz="4" w:space="0" w:color="auto"/>
              <w:right w:val="nil"/>
            </w:tcBorders>
            <w:vAlign w:val="bottom"/>
          </w:tcPr>
          <w:p w14:paraId="77E6379B" w14:textId="77777777" w:rsidR="008D1110" w:rsidRPr="00294D58" w:rsidRDefault="008D1110" w:rsidP="00C1393F">
            <w:pPr>
              <w:spacing w:after="0" w:line="276" w:lineRule="auto"/>
              <w:contextualSpacing/>
              <w:jc w:val="center"/>
              <w:rPr>
                <w:rFonts w:cs="Arial"/>
                <w:sz w:val="20"/>
              </w:rPr>
            </w:pPr>
            <w:r w:rsidRPr="00294D58">
              <w:rPr>
                <w:rFonts w:cs="Arial"/>
                <w:sz w:val="20"/>
              </w:rPr>
              <w:t>0.541</w:t>
            </w:r>
          </w:p>
        </w:tc>
      </w:tr>
      <w:tr w:rsidR="00294D58" w:rsidRPr="00294D58" w14:paraId="65FA6356" w14:textId="77777777" w:rsidTr="00C1393F">
        <w:tc>
          <w:tcPr>
            <w:tcW w:w="283" w:type="dxa"/>
            <w:tcBorders>
              <w:top w:val="nil"/>
              <w:bottom w:val="nil"/>
              <w:right w:val="nil"/>
            </w:tcBorders>
          </w:tcPr>
          <w:p w14:paraId="79FA0314" w14:textId="77777777" w:rsidR="008D1110" w:rsidRPr="00294D58" w:rsidRDefault="008D1110" w:rsidP="00C1393F">
            <w:pPr>
              <w:spacing w:after="0" w:line="276" w:lineRule="auto"/>
              <w:contextualSpacing/>
              <w:rPr>
                <w:rFonts w:cs="Arial"/>
                <w:sz w:val="20"/>
              </w:rPr>
            </w:pPr>
          </w:p>
        </w:tc>
        <w:tc>
          <w:tcPr>
            <w:tcW w:w="2269" w:type="dxa"/>
            <w:gridSpan w:val="3"/>
            <w:tcBorders>
              <w:top w:val="nil"/>
              <w:left w:val="nil"/>
              <w:bottom w:val="single" w:sz="4" w:space="0" w:color="auto"/>
              <w:right w:val="nil"/>
            </w:tcBorders>
            <w:vAlign w:val="center"/>
          </w:tcPr>
          <w:p w14:paraId="07550011" w14:textId="77777777" w:rsidR="008D1110" w:rsidRPr="00294D58" w:rsidRDefault="008D1110" w:rsidP="00C1393F">
            <w:pPr>
              <w:spacing w:after="0" w:line="276" w:lineRule="auto"/>
              <w:contextualSpacing/>
              <w:rPr>
                <w:rFonts w:cs="Arial"/>
                <w:sz w:val="20"/>
              </w:rPr>
            </w:pPr>
            <w:r w:rsidRPr="00294D58">
              <w:rPr>
                <w:rFonts w:cs="Arial"/>
                <w:sz w:val="20"/>
              </w:rPr>
              <w:t>Below degree</w:t>
            </w:r>
          </w:p>
        </w:tc>
        <w:tc>
          <w:tcPr>
            <w:tcW w:w="1419" w:type="dxa"/>
            <w:tcBorders>
              <w:top w:val="nil"/>
              <w:left w:val="nil"/>
              <w:bottom w:val="single" w:sz="4" w:space="0" w:color="auto"/>
              <w:right w:val="nil"/>
            </w:tcBorders>
            <w:vAlign w:val="bottom"/>
          </w:tcPr>
          <w:p w14:paraId="62F051EF" w14:textId="77777777" w:rsidR="008D1110" w:rsidRPr="00294D58" w:rsidRDefault="008D1110" w:rsidP="00C1393F">
            <w:pPr>
              <w:spacing w:after="0" w:line="276" w:lineRule="auto"/>
              <w:contextualSpacing/>
              <w:jc w:val="center"/>
              <w:rPr>
                <w:rFonts w:cs="Arial"/>
                <w:sz w:val="20"/>
              </w:rPr>
            </w:pPr>
            <w:r w:rsidRPr="00294D58">
              <w:rPr>
                <w:rFonts w:cs="Arial"/>
                <w:sz w:val="20"/>
              </w:rPr>
              <w:t>52.2</w:t>
            </w:r>
          </w:p>
        </w:tc>
        <w:tc>
          <w:tcPr>
            <w:tcW w:w="1559" w:type="dxa"/>
            <w:tcBorders>
              <w:top w:val="nil"/>
              <w:left w:val="nil"/>
              <w:bottom w:val="single" w:sz="4" w:space="0" w:color="auto"/>
              <w:right w:val="nil"/>
            </w:tcBorders>
            <w:vAlign w:val="bottom"/>
          </w:tcPr>
          <w:p w14:paraId="38841BC9" w14:textId="77777777" w:rsidR="008D1110" w:rsidRPr="00294D58" w:rsidRDefault="008D1110" w:rsidP="00C1393F">
            <w:pPr>
              <w:spacing w:after="0" w:line="276" w:lineRule="auto"/>
              <w:contextualSpacing/>
              <w:jc w:val="center"/>
              <w:rPr>
                <w:rFonts w:cs="Arial"/>
                <w:sz w:val="20"/>
              </w:rPr>
            </w:pPr>
            <w:r w:rsidRPr="00294D58">
              <w:rPr>
                <w:rFonts w:cs="Arial"/>
                <w:sz w:val="20"/>
              </w:rPr>
              <w:t>56.6</w:t>
            </w:r>
          </w:p>
        </w:tc>
        <w:tc>
          <w:tcPr>
            <w:tcW w:w="850" w:type="dxa"/>
            <w:gridSpan w:val="2"/>
            <w:tcBorders>
              <w:top w:val="nil"/>
              <w:left w:val="nil"/>
              <w:bottom w:val="single" w:sz="4" w:space="0" w:color="auto"/>
              <w:right w:val="nil"/>
            </w:tcBorders>
            <w:vAlign w:val="bottom"/>
          </w:tcPr>
          <w:p w14:paraId="3F2ABF51"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79247537" w14:textId="77777777" w:rsidTr="00C1393F">
        <w:tc>
          <w:tcPr>
            <w:tcW w:w="283" w:type="dxa"/>
            <w:tcBorders>
              <w:top w:val="nil"/>
              <w:bottom w:val="single" w:sz="4" w:space="0" w:color="auto"/>
              <w:right w:val="nil"/>
            </w:tcBorders>
          </w:tcPr>
          <w:p w14:paraId="51C1BD12"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107F4BC9" w14:textId="77777777" w:rsidR="008D1110" w:rsidRPr="00294D58" w:rsidRDefault="008D1110" w:rsidP="00C1393F">
            <w:pPr>
              <w:spacing w:after="0" w:line="276" w:lineRule="auto"/>
              <w:contextualSpacing/>
              <w:rPr>
                <w:rFonts w:cs="Arial"/>
                <w:sz w:val="20"/>
              </w:rPr>
            </w:pPr>
            <w:r w:rsidRPr="00294D58">
              <w:rPr>
                <w:rFonts w:cs="Arial"/>
                <w:sz w:val="20"/>
              </w:rPr>
              <w:t>Degree or higher</w:t>
            </w:r>
          </w:p>
        </w:tc>
        <w:tc>
          <w:tcPr>
            <w:tcW w:w="1419" w:type="dxa"/>
            <w:tcBorders>
              <w:top w:val="single" w:sz="4" w:space="0" w:color="auto"/>
              <w:left w:val="nil"/>
              <w:bottom w:val="single" w:sz="4" w:space="0" w:color="auto"/>
              <w:right w:val="nil"/>
            </w:tcBorders>
            <w:vAlign w:val="bottom"/>
          </w:tcPr>
          <w:p w14:paraId="7E8B153D" w14:textId="77777777" w:rsidR="008D1110" w:rsidRPr="00294D58" w:rsidRDefault="008D1110" w:rsidP="00C1393F">
            <w:pPr>
              <w:spacing w:after="0" w:line="276" w:lineRule="auto"/>
              <w:contextualSpacing/>
              <w:jc w:val="center"/>
              <w:rPr>
                <w:rFonts w:cs="Arial"/>
                <w:sz w:val="20"/>
              </w:rPr>
            </w:pPr>
            <w:r w:rsidRPr="00294D58">
              <w:rPr>
                <w:rFonts w:cs="Arial"/>
                <w:sz w:val="20"/>
              </w:rPr>
              <w:t>15.5</w:t>
            </w:r>
          </w:p>
        </w:tc>
        <w:tc>
          <w:tcPr>
            <w:tcW w:w="1559" w:type="dxa"/>
            <w:tcBorders>
              <w:top w:val="single" w:sz="4" w:space="0" w:color="auto"/>
              <w:left w:val="nil"/>
              <w:bottom w:val="single" w:sz="4" w:space="0" w:color="auto"/>
              <w:right w:val="nil"/>
            </w:tcBorders>
            <w:vAlign w:val="bottom"/>
          </w:tcPr>
          <w:p w14:paraId="38BAC058" w14:textId="77777777" w:rsidR="008D1110" w:rsidRPr="00294D58" w:rsidRDefault="008D1110" w:rsidP="00C1393F">
            <w:pPr>
              <w:spacing w:after="0" w:line="276" w:lineRule="auto"/>
              <w:contextualSpacing/>
              <w:jc w:val="center"/>
              <w:rPr>
                <w:rFonts w:cs="Arial"/>
                <w:sz w:val="20"/>
              </w:rPr>
            </w:pPr>
            <w:r w:rsidRPr="00294D58">
              <w:rPr>
                <w:rFonts w:cs="Arial"/>
                <w:sz w:val="20"/>
              </w:rPr>
              <w:t>16.0</w:t>
            </w:r>
          </w:p>
        </w:tc>
        <w:tc>
          <w:tcPr>
            <w:tcW w:w="850" w:type="dxa"/>
            <w:gridSpan w:val="2"/>
            <w:tcBorders>
              <w:top w:val="single" w:sz="4" w:space="0" w:color="auto"/>
              <w:left w:val="nil"/>
              <w:bottom w:val="single" w:sz="4" w:space="0" w:color="auto"/>
              <w:right w:val="nil"/>
            </w:tcBorders>
            <w:vAlign w:val="bottom"/>
          </w:tcPr>
          <w:p w14:paraId="6F71BB1F"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23238DDF" w14:textId="77777777" w:rsidTr="00C1393F">
        <w:tc>
          <w:tcPr>
            <w:tcW w:w="2552" w:type="dxa"/>
            <w:gridSpan w:val="4"/>
            <w:tcBorders>
              <w:top w:val="single" w:sz="4" w:space="0" w:color="auto"/>
              <w:bottom w:val="nil"/>
              <w:right w:val="nil"/>
            </w:tcBorders>
          </w:tcPr>
          <w:p w14:paraId="06B1C0FC" w14:textId="77777777" w:rsidR="008D1110" w:rsidRPr="00294D58" w:rsidRDefault="008D1110" w:rsidP="00C1393F">
            <w:pPr>
              <w:spacing w:after="0" w:line="276" w:lineRule="auto"/>
              <w:contextualSpacing/>
              <w:rPr>
                <w:rFonts w:cs="Arial"/>
                <w:sz w:val="20"/>
              </w:rPr>
            </w:pPr>
            <w:r w:rsidRPr="00294D58">
              <w:rPr>
                <w:rFonts w:cs="Arial"/>
                <w:sz w:val="20"/>
              </w:rPr>
              <w:t>Marital status</w:t>
            </w:r>
          </w:p>
        </w:tc>
        <w:tc>
          <w:tcPr>
            <w:tcW w:w="1419" w:type="dxa"/>
            <w:tcBorders>
              <w:top w:val="single" w:sz="4" w:space="0" w:color="auto"/>
              <w:bottom w:val="nil"/>
            </w:tcBorders>
            <w:vAlign w:val="bottom"/>
          </w:tcPr>
          <w:p w14:paraId="6C453CB7" w14:textId="77777777" w:rsidR="008D1110" w:rsidRPr="00294D58" w:rsidRDefault="008D1110" w:rsidP="00C1393F">
            <w:pPr>
              <w:spacing w:after="0" w:line="276" w:lineRule="auto"/>
              <w:contextualSpacing/>
              <w:jc w:val="center"/>
              <w:rPr>
                <w:rFonts w:cs="Arial"/>
                <w:sz w:val="20"/>
              </w:rPr>
            </w:pPr>
          </w:p>
        </w:tc>
        <w:tc>
          <w:tcPr>
            <w:tcW w:w="1559" w:type="dxa"/>
            <w:tcBorders>
              <w:top w:val="single" w:sz="4" w:space="0" w:color="auto"/>
              <w:bottom w:val="nil"/>
            </w:tcBorders>
            <w:vAlign w:val="bottom"/>
          </w:tcPr>
          <w:p w14:paraId="37372906" w14:textId="77777777" w:rsidR="008D1110" w:rsidRPr="00294D58" w:rsidRDefault="008D1110" w:rsidP="00C1393F">
            <w:pPr>
              <w:spacing w:after="0" w:line="276" w:lineRule="auto"/>
              <w:contextualSpacing/>
              <w:jc w:val="center"/>
              <w:rPr>
                <w:rFonts w:cs="Arial"/>
                <w:sz w:val="20"/>
              </w:rPr>
            </w:pPr>
          </w:p>
        </w:tc>
        <w:tc>
          <w:tcPr>
            <w:tcW w:w="850" w:type="dxa"/>
            <w:gridSpan w:val="2"/>
            <w:tcBorders>
              <w:top w:val="single" w:sz="4" w:space="0" w:color="auto"/>
              <w:bottom w:val="nil"/>
            </w:tcBorders>
            <w:vAlign w:val="bottom"/>
          </w:tcPr>
          <w:p w14:paraId="5A2D9E6C" w14:textId="77777777" w:rsidR="008D1110" w:rsidRPr="00294D58" w:rsidRDefault="008D1110" w:rsidP="00C1393F">
            <w:pPr>
              <w:spacing w:after="0" w:line="276" w:lineRule="auto"/>
              <w:contextualSpacing/>
              <w:jc w:val="center"/>
              <w:rPr>
                <w:rFonts w:cs="Arial"/>
                <w:sz w:val="20"/>
              </w:rPr>
            </w:pPr>
          </w:p>
        </w:tc>
      </w:tr>
      <w:tr w:rsidR="00294D58" w:rsidRPr="00294D58" w14:paraId="57BD9053" w14:textId="77777777" w:rsidTr="00C1393F">
        <w:tc>
          <w:tcPr>
            <w:tcW w:w="283" w:type="dxa"/>
            <w:tcBorders>
              <w:top w:val="nil"/>
              <w:bottom w:val="nil"/>
              <w:right w:val="nil"/>
            </w:tcBorders>
          </w:tcPr>
          <w:p w14:paraId="2606686C" w14:textId="77777777" w:rsidR="008D1110" w:rsidRPr="00294D58" w:rsidRDefault="008D1110" w:rsidP="00C1393F">
            <w:pPr>
              <w:spacing w:after="0" w:line="276" w:lineRule="auto"/>
              <w:contextualSpacing/>
              <w:rPr>
                <w:rFonts w:cs="Arial"/>
                <w:sz w:val="20"/>
              </w:rPr>
            </w:pPr>
          </w:p>
        </w:tc>
        <w:tc>
          <w:tcPr>
            <w:tcW w:w="2269" w:type="dxa"/>
            <w:gridSpan w:val="3"/>
            <w:tcBorders>
              <w:top w:val="nil"/>
              <w:left w:val="nil"/>
              <w:bottom w:val="single" w:sz="4" w:space="0" w:color="auto"/>
              <w:right w:val="nil"/>
            </w:tcBorders>
            <w:vAlign w:val="center"/>
          </w:tcPr>
          <w:p w14:paraId="5EE0CADA" w14:textId="77777777" w:rsidR="008D1110" w:rsidRPr="00294D58" w:rsidRDefault="008D1110" w:rsidP="00C1393F">
            <w:pPr>
              <w:spacing w:after="0" w:line="276" w:lineRule="auto"/>
              <w:contextualSpacing/>
              <w:rPr>
                <w:rFonts w:cs="Arial"/>
                <w:sz w:val="20"/>
              </w:rPr>
            </w:pPr>
            <w:r w:rsidRPr="00294D58">
              <w:rPr>
                <w:rFonts w:cs="Arial"/>
                <w:sz w:val="20"/>
              </w:rPr>
              <w:t>Married</w:t>
            </w:r>
          </w:p>
        </w:tc>
        <w:tc>
          <w:tcPr>
            <w:tcW w:w="1419" w:type="dxa"/>
            <w:tcBorders>
              <w:top w:val="nil"/>
              <w:left w:val="nil"/>
              <w:bottom w:val="single" w:sz="4" w:space="0" w:color="auto"/>
              <w:right w:val="nil"/>
            </w:tcBorders>
            <w:vAlign w:val="bottom"/>
          </w:tcPr>
          <w:p w14:paraId="70D3024E" w14:textId="77777777" w:rsidR="008D1110" w:rsidRPr="00294D58" w:rsidRDefault="008D1110" w:rsidP="00C1393F">
            <w:pPr>
              <w:spacing w:after="0" w:line="276" w:lineRule="auto"/>
              <w:contextualSpacing/>
              <w:jc w:val="center"/>
              <w:rPr>
                <w:rFonts w:cs="Arial"/>
                <w:sz w:val="20"/>
              </w:rPr>
            </w:pPr>
            <w:r w:rsidRPr="00294D58">
              <w:rPr>
                <w:rFonts w:cs="Arial"/>
                <w:sz w:val="20"/>
              </w:rPr>
              <w:t>66.2</w:t>
            </w:r>
          </w:p>
        </w:tc>
        <w:tc>
          <w:tcPr>
            <w:tcW w:w="1559" w:type="dxa"/>
            <w:tcBorders>
              <w:top w:val="nil"/>
              <w:left w:val="nil"/>
              <w:bottom w:val="single" w:sz="4" w:space="0" w:color="auto"/>
              <w:right w:val="nil"/>
            </w:tcBorders>
            <w:vAlign w:val="bottom"/>
          </w:tcPr>
          <w:p w14:paraId="6A0C66DD" w14:textId="77777777" w:rsidR="008D1110" w:rsidRPr="00294D58" w:rsidRDefault="008D1110" w:rsidP="00C1393F">
            <w:pPr>
              <w:spacing w:after="0" w:line="276" w:lineRule="auto"/>
              <w:contextualSpacing/>
              <w:jc w:val="center"/>
              <w:rPr>
                <w:rFonts w:cs="Arial"/>
                <w:sz w:val="20"/>
              </w:rPr>
            </w:pPr>
            <w:r w:rsidRPr="00294D58">
              <w:rPr>
                <w:rFonts w:cs="Arial"/>
                <w:sz w:val="20"/>
              </w:rPr>
              <w:t>45.7</w:t>
            </w:r>
          </w:p>
        </w:tc>
        <w:tc>
          <w:tcPr>
            <w:tcW w:w="850" w:type="dxa"/>
            <w:gridSpan w:val="2"/>
            <w:tcBorders>
              <w:top w:val="nil"/>
              <w:left w:val="nil"/>
              <w:bottom w:val="single" w:sz="4" w:space="0" w:color="auto"/>
              <w:right w:val="nil"/>
            </w:tcBorders>
            <w:vAlign w:val="bottom"/>
          </w:tcPr>
          <w:p w14:paraId="78D3284A" w14:textId="77777777" w:rsidR="008D1110" w:rsidRPr="00294D58" w:rsidRDefault="008D1110" w:rsidP="00C1393F">
            <w:pPr>
              <w:spacing w:after="0" w:line="276" w:lineRule="auto"/>
              <w:contextualSpacing/>
              <w:jc w:val="center"/>
              <w:rPr>
                <w:rFonts w:cs="Arial"/>
                <w:sz w:val="20"/>
              </w:rPr>
            </w:pPr>
            <w:r w:rsidRPr="00294D58">
              <w:rPr>
                <w:rFonts w:cs="Arial"/>
                <w:sz w:val="20"/>
              </w:rPr>
              <w:t>&lt;0.001</w:t>
            </w:r>
          </w:p>
        </w:tc>
      </w:tr>
      <w:tr w:rsidR="00294D58" w:rsidRPr="00294D58" w14:paraId="452282AB" w14:textId="77777777" w:rsidTr="00C1393F">
        <w:tc>
          <w:tcPr>
            <w:tcW w:w="283" w:type="dxa"/>
            <w:tcBorders>
              <w:top w:val="nil"/>
              <w:bottom w:val="single" w:sz="4" w:space="0" w:color="auto"/>
              <w:right w:val="nil"/>
            </w:tcBorders>
          </w:tcPr>
          <w:p w14:paraId="1E569A4B"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7B69F66D" w14:textId="77777777" w:rsidR="008D1110" w:rsidRPr="00294D58" w:rsidRDefault="008D1110" w:rsidP="00C1393F">
            <w:pPr>
              <w:spacing w:after="0" w:line="276" w:lineRule="auto"/>
              <w:contextualSpacing/>
              <w:rPr>
                <w:rFonts w:cs="Arial"/>
                <w:sz w:val="20"/>
              </w:rPr>
            </w:pPr>
            <w:r w:rsidRPr="00294D58">
              <w:rPr>
                <w:rFonts w:cs="Arial"/>
                <w:sz w:val="20"/>
              </w:rPr>
              <w:t>Unmarried</w:t>
            </w:r>
          </w:p>
        </w:tc>
        <w:tc>
          <w:tcPr>
            <w:tcW w:w="1419" w:type="dxa"/>
            <w:tcBorders>
              <w:top w:val="single" w:sz="4" w:space="0" w:color="auto"/>
              <w:left w:val="nil"/>
              <w:bottom w:val="single" w:sz="4" w:space="0" w:color="auto"/>
              <w:right w:val="nil"/>
            </w:tcBorders>
            <w:vAlign w:val="bottom"/>
          </w:tcPr>
          <w:p w14:paraId="2B1FA2DE" w14:textId="77777777" w:rsidR="008D1110" w:rsidRPr="00294D58" w:rsidRDefault="008D1110" w:rsidP="00C1393F">
            <w:pPr>
              <w:spacing w:after="0" w:line="276" w:lineRule="auto"/>
              <w:contextualSpacing/>
              <w:jc w:val="center"/>
              <w:rPr>
                <w:rFonts w:cs="Arial"/>
                <w:sz w:val="20"/>
              </w:rPr>
            </w:pPr>
            <w:r w:rsidRPr="00294D58">
              <w:rPr>
                <w:rFonts w:cs="Arial"/>
                <w:sz w:val="20"/>
              </w:rPr>
              <w:t>33.8</w:t>
            </w:r>
          </w:p>
        </w:tc>
        <w:tc>
          <w:tcPr>
            <w:tcW w:w="1559" w:type="dxa"/>
            <w:tcBorders>
              <w:top w:val="single" w:sz="4" w:space="0" w:color="auto"/>
              <w:left w:val="nil"/>
              <w:bottom w:val="single" w:sz="4" w:space="0" w:color="auto"/>
              <w:right w:val="nil"/>
            </w:tcBorders>
            <w:vAlign w:val="bottom"/>
          </w:tcPr>
          <w:p w14:paraId="77B7EE72" w14:textId="77777777" w:rsidR="008D1110" w:rsidRPr="00294D58" w:rsidRDefault="008D1110" w:rsidP="00C1393F">
            <w:pPr>
              <w:spacing w:after="0" w:line="276" w:lineRule="auto"/>
              <w:contextualSpacing/>
              <w:jc w:val="center"/>
              <w:rPr>
                <w:rFonts w:cs="Arial"/>
                <w:sz w:val="20"/>
              </w:rPr>
            </w:pPr>
            <w:r w:rsidRPr="00294D58">
              <w:rPr>
                <w:rFonts w:cs="Arial"/>
                <w:sz w:val="20"/>
              </w:rPr>
              <w:t>54.3</w:t>
            </w:r>
          </w:p>
        </w:tc>
        <w:tc>
          <w:tcPr>
            <w:tcW w:w="850" w:type="dxa"/>
            <w:gridSpan w:val="2"/>
            <w:tcBorders>
              <w:top w:val="single" w:sz="4" w:space="0" w:color="auto"/>
              <w:left w:val="nil"/>
              <w:bottom w:val="single" w:sz="4" w:space="0" w:color="auto"/>
              <w:right w:val="nil"/>
            </w:tcBorders>
            <w:vAlign w:val="bottom"/>
          </w:tcPr>
          <w:p w14:paraId="66437669"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6B019EF6" w14:textId="77777777" w:rsidTr="00C1393F">
        <w:tc>
          <w:tcPr>
            <w:tcW w:w="2552" w:type="dxa"/>
            <w:gridSpan w:val="4"/>
            <w:tcBorders>
              <w:top w:val="single" w:sz="4" w:space="0" w:color="auto"/>
              <w:bottom w:val="nil"/>
              <w:right w:val="nil"/>
            </w:tcBorders>
          </w:tcPr>
          <w:p w14:paraId="57FBC2DF" w14:textId="77777777" w:rsidR="008D1110" w:rsidRPr="00294D58" w:rsidRDefault="008D1110" w:rsidP="00C1393F">
            <w:pPr>
              <w:spacing w:after="0" w:line="276" w:lineRule="auto"/>
              <w:contextualSpacing/>
              <w:rPr>
                <w:rFonts w:cs="Arial"/>
                <w:sz w:val="20"/>
              </w:rPr>
            </w:pPr>
            <w:r w:rsidRPr="00294D58">
              <w:rPr>
                <w:rFonts w:cs="Arial"/>
                <w:sz w:val="20"/>
              </w:rPr>
              <w:t>Wealth quintile</w:t>
            </w:r>
          </w:p>
        </w:tc>
        <w:tc>
          <w:tcPr>
            <w:tcW w:w="1419" w:type="dxa"/>
            <w:tcBorders>
              <w:top w:val="single" w:sz="4" w:space="0" w:color="auto"/>
              <w:bottom w:val="nil"/>
            </w:tcBorders>
            <w:vAlign w:val="bottom"/>
          </w:tcPr>
          <w:p w14:paraId="706FBC4D" w14:textId="77777777" w:rsidR="008D1110" w:rsidRPr="00294D58" w:rsidRDefault="008D1110" w:rsidP="00C1393F">
            <w:pPr>
              <w:spacing w:after="0" w:line="276" w:lineRule="auto"/>
              <w:contextualSpacing/>
              <w:jc w:val="center"/>
              <w:rPr>
                <w:rFonts w:cs="Arial"/>
                <w:sz w:val="20"/>
              </w:rPr>
            </w:pPr>
          </w:p>
        </w:tc>
        <w:tc>
          <w:tcPr>
            <w:tcW w:w="1559" w:type="dxa"/>
            <w:tcBorders>
              <w:top w:val="single" w:sz="4" w:space="0" w:color="auto"/>
              <w:bottom w:val="nil"/>
            </w:tcBorders>
            <w:vAlign w:val="bottom"/>
          </w:tcPr>
          <w:p w14:paraId="0997C745" w14:textId="77777777" w:rsidR="008D1110" w:rsidRPr="00294D58" w:rsidRDefault="008D1110" w:rsidP="00C1393F">
            <w:pPr>
              <w:spacing w:after="0" w:line="276" w:lineRule="auto"/>
              <w:contextualSpacing/>
              <w:jc w:val="center"/>
              <w:rPr>
                <w:rFonts w:cs="Arial"/>
                <w:sz w:val="20"/>
              </w:rPr>
            </w:pPr>
          </w:p>
        </w:tc>
        <w:tc>
          <w:tcPr>
            <w:tcW w:w="850" w:type="dxa"/>
            <w:gridSpan w:val="2"/>
            <w:tcBorders>
              <w:top w:val="single" w:sz="4" w:space="0" w:color="auto"/>
              <w:bottom w:val="nil"/>
            </w:tcBorders>
            <w:vAlign w:val="bottom"/>
          </w:tcPr>
          <w:p w14:paraId="1EC447C2" w14:textId="77777777" w:rsidR="008D1110" w:rsidRPr="00294D58" w:rsidRDefault="008D1110" w:rsidP="00C1393F">
            <w:pPr>
              <w:spacing w:after="0" w:line="276" w:lineRule="auto"/>
              <w:contextualSpacing/>
              <w:jc w:val="center"/>
              <w:rPr>
                <w:rFonts w:cs="Arial"/>
                <w:sz w:val="20"/>
              </w:rPr>
            </w:pPr>
          </w:p>
        </w:tc>
      </w:tr>
      <w:tr w:rsidR="00294D58" w:rsidRPr="00294D58" w14:paraId="12508433" w14:textId="77777777" w:rsidTr="00C1393F">
        <w:tc>
          <w:tcPr>
            <w:tcW w:w="283" w:type="dxa"/>
            <w:tcBorders>
              <w:top w:val="nil"/>
              <w:bottom w:val="nil"/>
              <w:right w:val="nil"/>
            </w:tcBorders>
          </w:tcPr>
          <w:p w14:paraId="383C3A21" w14:textId="77777777" w:rsidR="008D1110" w:rsidRPr="00294D58" w:rsidRDefault="008D1110" w:rsidP="00C1393F">
            <w:pPr>
              <w:spacing w:after="0" w:line="276" w:lineRule="auto"/>
              <w:contextualSpacing/>
              <w:rPr>
                <w:rFonts w:cs="Arial"/>
                <w:sz w:val="20"/>
              </w:rPr>
            </w:pPr>
          </w:p>
        </w:tc>
        <w:tc>
          <w:tcPr>
            <w:tcW w:w="2269" w:type="dxa"/>
            <w:gridSpan w:val="3"/>
            <w:tcBorders>
              <w:top w:val="nil"/>
              <w:left w:val="nil"/>
              <w:bottom w:val="single" w:sz="4" w:space="0" w:color="auto"/>
              <w:right w:val="nil"/>
            </w:tcBorders>
            <w:vAlign w:val="center"/>
          </w:tcPr>
          <w:p w14:paraId="798EDA14" w14:textId="77777777" w:rsidR="008D1110" w:rsidRPr="00294D58" w:rsidRDefault="008D1110" w:rsidP="00C1393F">
            <w:pPr>
              <w:spacing w:after="0" w:line="276" w:lineRule="auto"/>
              <w:contextualSpacing/>
              <w:rPr>
                <w:rFonts w:cs="Arial"/>
                <w:sz w:val="20"/>
              </w:rPr>
            </w:pPr>
            <w:r w:rsidRPr="00294D58">
              <w:rPr>
                <w:rFonts w:cs="Arial"/>
                <w:sz w:val="20"/>
              </w:rPr>
              <w:t>1 (poorest)</w:t>
            </w:r>
          </w:p>
        </w:tc>
        <w:tc>
          <w:tcPr>
            <w:tcW w:w="1419" w:type="dxa"/>
            <w:tcBorders>
              <w:top w:val="nil"/>
              <w:left w:val="nil"/>
              <w:bottom w:val="single" w:sz="4" w:space="0" w:color="auto"/>
              <w:right w:val="nil"/>
            </w:tcBorders>
            <w:vAlign w:val="bottom"/>
          </w:tcPr>
          <w:p w14:paraId="78512627" w14:textId="77777777" w:rsidR="008D1110" w:rsidRPr="00294D58" w:rsidRDefault="008D1110" w:rsidP="00C1393F">
            <w:pPr>
              <w:spacing w:after="0" w:line="276" w:lineRule="auto"/>
              <w:contextualSpacing/>
              <w:jc w:val="center"/>
              <w:rPr>
                <w:rFonts w:cs="Arial"/>
                <w:sz w:val="20"/>
              </w:rPr>
            </w:pPr>
            <w:r w:rsidRPr="00294D58">
              <w:rPr>
                <w:rFonts w:cs="Arial"/>
                <w:sz w:val="20"/>
              </w:rPr>
              <w:t>18.9</w:t>
            </w:r>
          </w:p>
        </w:tc>
        <w:tc>
          <w:tcPr>
            <w:tcW w:w="1559" w:type="dxa"/>
            <w:tcBorders>
              <w:top w:val="nil"/>
              <w:left w:val="nil"/>
              <w:bottom w:val="single" w:sz="4" w:space="0" w:color="auto"/>
              <w:right w:val="nil"/>
            </w:tcBorders>
            <w:vAlign w:val="bottom"/>
          </w:tcPr>
          <w:p w14:paraId="5C318DCB" w14:textId="77777777" w:rsidR="008D1110" w:rsidRPr="00294D58" w:rsidRDefault="008D1110" w:rsidP="00C1393F">
            <w:pPr>
              <w:spacing w:after="0" w:line="276" w:lineRule="auto"/>
              <w:contextualSpacing/>
              <w:jc w:val="center"/>
              <w:rPr>
                <w:rFonts w:cs="Arial"/>
                <w:sz w:val="20"/>
              </w:rPr>
            </w:pPr>
            <w:r w:rsidRPr="00294D58">
              <w:rPr>
                <w:rFonts w:cs="Arial"/>
                <w:sz w:val="20"/>
              </w:rPr>
              <w:t>44.3</w:t>
            </w:r>
          </w:p>
        </w:tc>
        <w:tc>
          <w:tcPr>
            <w:tcW w:w="850" w:type="dxa"/>
            <w:gridSpan w:val="2"/>
            <w:tcBorders>
              <w:top w:val="nil"/>
              <w:left w:val="nil"/>
              <w:bottom w:val="single" w:sz="4" w:space="0" w:color="auto"/>
              <w:right w:val="nil"/>
            </w:tcBorders>
            <w:vAlign w:val="bottom"/>
          </w:tcPr>
          <w:p w14:paraId="741986AD" w14:textId="77777777" w:rsidR="008D1110" w:rsidRPr="00294D58" w:rsidRDefault="008D1110" w:rsidP="00C1393F">
            <w:pPr>
              <w:spacing w:after="0" w:line="276" w:lineRule="auto"/>
              <w:contextualSpacing/>
              <w:jc w:val="center"/>
              <w:rPr>
                <w:rFonts w:cs="Arial"/>
                <w:sz w:val="20"/>
              </w:rPr>
            </w:pPr>
            <w:r w:rsidRPr="00294D58">
              <w:rPr>
                <w:rFonts w:cs="Arial"/>
                <w:sz w:val="20"/>
              </w:rPr>
              <w:t>&lt;0.001</w:t>
            </w:r>
          </w:p>
        </w:tc>
      </w:tr>
      <w:tr w:rsidR="00294D58" w:rsidRPr="00294D58" w14:paraId="4A815EAF" w14:textId="77777777" w:rsidTr="00C1393F">
        <w:tc>
          <w:tcPr>
            <w:tcW w:w="283" w:type="dxa"/>
            <w:tcBorders>
              <w:top w:val="nil"/>
              <w:bottom w:val="nil"/>
              <w:right w:val="nil"/>
            </w:tcBorders>
          </w:tcPr>
          <w:p w14:paraId="35EC5AFD"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476B7A2B" w14:textId="77777777" w:rsidR="008D1110" w:rsidRPr="00294D58" w:rsidRDefault="008D1110" w:rsidP="00C1393F">
            <w:pPr>
              <w:spacing w:after="0" w:line="276" w:lineRule="auto"/>
              <w:contextualSpacing/>
              <w:rPr>
                <w:rFonts w:cs="Arial"/>
                <w:sz w:val="20"/>
              </w:rPr>
            </w:pPr>
            <w:r w:rsidRPr="00294D58">
              <w:rPr>
                <w:rFonts w:cs="Arial"/>
                <w:sz w:val="20"/>
              </w:rPr>
              <w:t>2</w:t>
            </w:r>
          </w:p>
        </w:tc>
        <w:tc>
          <w:tcPr>
            <w:tcW w:w="1419" w:type="dxa"/>
            <w:tcBorders>
              <w:top w:val="single" w:sz="4" w:space="0" w:color="auto"/>
              <w:left w:val="nil"/>
              <w:bottom w:val="single" w:sz="4" w:space="0" w:color="auto"/>
              <w:right w:val="nil"/>
            </w:tcBorders>
            <w:vAlign w:val="bottom"/>
          </w:tcPr>
          <w:p w14:paraId="013AB0CC" w14:textId="77777777" w:rsidR="008D1110" w:rsidRPr="00294D58" w:rsidRDefault="008D1110" w:rsidP="00C1393F">
            <w:pPr>
              <w:spacing w:after="0" w:line="276" w:lineRule="auto"/>
              <w:contextualSpacing/>
              <w:jc w:val="center"/>
              <w:rPr>
                <w:rFonts w:cs="Arial"/>
                <w:sz w:val="20"/>
              </w:rPr>
            </w:pPr>
            <w:r w:rsidRPr="00294D58">
              <w:rPr>
                <w:rFonts w:cs="Arial"/>
                <w:sz w:val="20"/>
              </w:rPr>
              <w:t>19.5</w:t>
            </w:r>
          </w:p>
        </w:tc>
        <w:tc>
          <w:tcPr>
            <w:tcW w:w="1559" w:type="dxa"/>
            <w:tcBorders>
              <w:top w:val="single" w:sz="4" w:space="0" w:color="auto"/>
              <w:left w:val="nil"/>
              <w:bottom w:val="single" w:sz="4" w:space="0" w:color="auto"/>
              <w:right w:val="nil"/>
            </w:tcBorders>
            <w:vAlign w:val="bottom"/>
          </w:tcPr>
          <w:p w14:paraId="439D282C" w14:textId="77777777" w:rsidR="008D1110" w:rsidRPr="00294D58" w:rsidRDefault="008D1110" w:rsidP="00C1393F">
            <w:pPr>
              <w:spacing w:after="0" w:line="276" w:lineRule="auto"/>
              <w:contextualSpacing/>
              <w:jc w:val="center"/>
              <w:rPr>
                <w:rFonts w:cs="Arial"/>
                <w:sz w:val="20"/>
              </w:rPr>
            </w:pPr>
            <w:r w:rsidRPr="00294D58">
              <w:rPr>
                <w:rFonts w:cs="Arial"/>
                <w:sz w:val="20"/>
              </w:rPr>
              <w:t>13.2</w:t>
            </w:r>
          </w:p>
        </w:tc>
        <w:tc>
          <w:tcPr>
            <w:tcW w:w="850" w:type="dxa"/>
            <w:gridSpan w:val="2"/>
            <w:tcBorders>
              <w:top w:val="single" w:sz="4" w:space="0" w:color="auto"/>
              <w:left w:val="nil"/>
              <w:bottom w:val="single" w:sz="4" w:space="0" w:color="auto"/>
              <w:right w:val="nil"/>
            </w:tcBorders>
            <w:vAlign w:val="bottom"/>
          </w:tcPr>
          <w:p w14:paraId="7F1B0450"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331E747D" w14:textId="77777777" w:rsidTr="00C1393F">
        <w:tc>
          <w:tcPr>
            <w:tcW w:w="283" w:type="dxa"/>
            <w:tcBorders>
              <w:top w:val="nil"/>
              <w:bottom w:val="nil"/>
              <w:right w:val="nil"/>
            </w:tcBorders>
          </w:tcPr>
          <w:p w14:paraId="601A2F85"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679DFA40" w14:textId="77777777" w:rsidR="008D1110" w:rsidRPr="00294D58" w:rsidRDefault="008D1110" w:rsidP="00C1393F">
            <w:pPr>
              <w:spacing w:after="0" w:line="276" w:lineRule="auto"/>
              <w:contextualSpacing/>
              <w:rPr>
                <w:rFonts w:cs="Arial"/>
                <w:sz w:val="20"/>
              </w:rPr>
            </w:pPr>
            <w:r w:rsidRPr="00294D58">
              <w:rPr>
                <w:rFonts w:cs="Arial"/>
                <w:sz w:val="20"/>
              </w:rPr>
              <w:t>3</w:t>
            </w:r>
          </w:p>
        </w:tc>
        <w:tc>
          <w:tcPr>
            <w:tcW w:w="1419" w:type="dxa"/>
            <w:tcBorders>
              <w:top w:val="single" w:sz="4" w:space="0" w:color="auto"/>
              <w:left w:val="nil"/>
              <w:bottom w:val="single" w:sz="4" w:space="0" w:color="auto"/>
              <w:right w:val="nil"/>
            </w:tcBorders>
            <w:vAlign w:val="bottom"/>
          </w:tcPr>
          <w:p w14:paraId="32964989" w14:textId="77777777" w:rsidR="008D1110" w:rsidRPr="00294D58" w:rsidRDefault="008D1110" w:rsidP="00C1393F">
            <w:pPr>
              <w:spacing w:after="0" w:line="276" w:lineRule="auto"/>
              <w:contextualSpacing/>
              <w:jc w:val="center"/>
              <w:rPr>
                <w:rFonts w:cs="Arial"/>
                <w:sz w:val="20"/>
              </w:rPr>
            </w:pPr>
            <w:r w:rsidRPr="00294D58">
              <w:rPr>
                <w:rFonts w:cs="Arial"/>
                <w:sz w:val="20"/>
              </w:rPr>
              <w:t>20.6</w:t>
            </w:r>
          </w:p>
        </w:tc>
        <w:tc>
          <w:tcPr>
            <w:tcW w:w="1559" w:type="dxa"/>
            <w:tcBorders>
              <w:top w:val="single" w:sz="4" w:space="0" w:color="auto"/>
              <w:left w:val="nil"/>
              <w:bottom w:val="single" w:sz="4" w:space="0" w:color="auto"/>
              <w:right w:val="nil"/>
            </w:tcBorders>
            <w:vAlign w:val="bottom"/>
          </w:tcPr>
          <w:p w14:paraId="4A8FCFE8" w14:textId="77777777" w:rsidR="008D1110" w:rsidRPr="00294D58" w:rsidRDefault="008D1110" w:rsidP="00C1393F">
            <w:pPr>
              <w:spacing w:after="0" w:line="276" w:lineRule="auto"/>
              <w:contextualSpacing/>
              <w:jc w:val="center"/>
              <w:rPr>
                <w:rFonts w:cs="Arial"/>
                <w:sz w:val="20"/>
              </w:rPr>
            </w:pPr>
            <w:r w:rsidRPr="00294D58">
              <w:rPr>
                <w:rFonts w:cs="Arial"/>
                <w:sz w:val="20"/>
              </w:rPr>
              <w:t>14.2</w:t>
            </w:r>
          </w:p>
        </w:tc>
        <w:tc>
          <w:tcPr>
            <w:tcW w:w="850" w:type="dxa"/>
            <w:gridSpan w:val="2"/>
            <w:tcBorders>
              <w:top w:val="single" w:sz="4" w:space="0" w:color="auto"/>
              <w:left w:val="nil"/>
              <w:bottom w:val="single" w:sz="4" w:space="0" w:color="auto"/>
              <w:right w:val="nil"/>
            </w:tcBorders>
            <w:vAlign w:val="bottom"/>
          </w:tcPr>
          <w:p w14:paraId="0A27C788"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77666FCA" w14:textId="77777777" w:rsidTr="00C1393F">
        <w:tc>
          <w:tcPr>
            <w:tcW w:w="283" w:type="dxa"/>
            <w:tcBorders>
              <w:top w:val="nil"/>
              <w:bottom w:val="nil"/>
              <w:right w:val="nil"/>
            </w:tcBorders>
          </w:tcPr>
          <w:p w14:paraId="3267AF36"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4EB96F40" w14:textId="77777777" w:rsidR="008D1110" w:rsidRPr="00294D58" w:rsidRDefault="008D1110" w:rsidP="00C1393F">
            <w:pPr>
              <w:spacing w:after="0" w:line="276" w:lineRule="auto"/>
              <w:contextualSpacing/>
              <w:rPr>
                <w:rFonts w:cs="Arial"/>
                <w:sz w:val="20"/>
              </w:rPr>
            </w:pPr>
            <w:r w:rsidRPr="00294D58">
              <w:rPr>
                <w:rFonts w:cs="Arial"/>
                <w:sz w:val="20"/>
              </w:rPr>
              <w:t>4</w:t>
            </w:r>
          </w:p>
        </w:tc>
        <w:tc>
          <w:tcPr>
            <w:tcW w:w="1419" w:type="dxa"/>
            <w:tcBorders>
              <w:top w:val="single" w:sz="4" w:space="0" w:color="auto"/>
              <w:left w:val="nil"/>
              <w:bottom w:val="single" w:sz="4" w:space="0" w:color="auto"/>
              <w:right w:val="nil"/>
            </w:tcBorders>
            <w:vAlign w:val="bottom"/>
          </w:tcPr>
          <w:p w14:paraId="3AEDD2C7" w14:textId="77777777" w:rsidR="008D1110" w:rsidRPr="00294D58" w:rsidRDefault="008D1110" w:rsidP="00C1393F">
            <w:pPr>
              <w:spacing w:after="0" w:line="276" w:lineRule="auto"/>
              <w:contextualSpacing/>
              <w:jc w:val="center"/>
              <w:rPr>
                <w:rFonts w:cs="Arial"/>
                <w:sz w:val="20"/>
              </w:rPr>
            </w:pPr>
            <w:r w:rsidRPr="00294D58">
              <w:rPr>
                <w:rFonts w:cs="Arial"/>
                <w:sz w:val="20"/>
              </w:rPr>
              <w:t>20.0</w:t>
            </w:r>
          </w:p>
        </w:tc>
        <w:tc>
          <w:tcPr>
            <w:tcW w:w="1559" w:type="dxa"/>
            <w:tcBorders>
              <w:top w:val="single" w:sz="4" w:space="0" w:color="auto"/>
              <w:left w:val="nil"/>
              <w:bottom w:val="single" w:sz="4" w:space="0" w:color="auto"/>
              <w:right w:val="nil"/>
            </w:tcBorders>
            <w:vAlign w:val="bottom"/>
          </w:tcPr>
          <w:p w14:paraId="50BBDEAE" w14:textId="77777777" w:rsidR="008D1110" w:rsidRPr="00294D58" w:rsidRDefault="008D1110" w:rsidP="00C1393F">
            <w:pPr>
              <w:spacing w:after="0" w:line="276" w:lineRule="auto"/>
              <w:contextualSpacing/>
              <w:jc w:val="center"/>
              <w:rPr>
                <w:rFonts w:cs="Arial"/>
                <w:sz w:val="20"/>
              </w:rPr>
            </w:pPr>
            <w:r w:rsidRPr="00294D58">
              <w:rPr>
                <w:rFonts w:cs="Arial"/>
                <w:sz w:val="20"/>
              </w:rPr>
              <w:t>16.0</w:t>
            </w:r>
          </w:p>
        </w:tc>
        <w:tc>
          <w:tcPr>
            <w:tcW w:w="850" w:type="dxa"/>
            <w:gridSpan w:val="2"/>
            <w:tcBorders>
              <w:top w:val="single" w:sz="4" w:space="0" w:color="auto"/>
              <w:left w:val="nil"/>
              <w:bottom w:val="single" w:sz="4" w:space="0" w:color="auto"/>
              <w:right w:val="nil"/>
            </w:tcBorders>
            <w:vAlign w:val="bottom"/>
          </w:tcPr>
          <w:p w14:paraId="525A9080"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38CB2075" w14:textId="77777777" w:rsidTr="00C1393F">
        <w:tc>
          <w:tcPr>
            <w:tcW w:w="283" w:type="dxa"/>
            <w:tcBorders>
              <w:top w:val="nil"/>
              <w:bottom w:val="single" w:sz="4" w:space="0" w:color="auto"/>
              <w:right w:val="nil"/>
            </w:tcBorders>
          </w:tcPr>
          <w:p w14:paraId="2FDB8ACD" w14:textId="77777777" w:rsidR="008D1110" w:rsidRPr="00294D58" w:rsidRDefault="008D1110" w:rsidP="00C1393F">
            <w:pPr>
              <w:spacing w:after="0" w:line="276" w:lineRule="auto"/>
              <w:contextualSpacing/>
              <w:rPr>
                <w:rFonts w:cs="Arial"/>
                <w:sz w:val="20"/>
              </w:rPr>
            </w:pPr>
          </w:p>
        </w:tc>
        <w:tc>
          <w:tcPr>
            <w:tcW w:w="2269" w:type="dxa"/>
            <w:gridSpan w:val="3"/>
            <w:tcBorders>
              <w:top w:val="single" w:sz="4" w:space="0" w:color="auto"/>
              <w:left w:val="nil"/>
              <w:bottom w:val="single" w:sz="4" w:space="0" w:color="auto"/>
              <w:right w:val="nil"/>
            </w:tcBorders>
            <w:vAlign w:val="center"/>
          </w:tcPr>
          <w:p w14:paraId="14689C0A" w14:textId="77777777" w:rsidR="008D1110" w:rsidRPr="00294D58" w:rsidRDefault="008D1110" w:rsidP="00C1393F">
            <w:pPr>
              <w:spacing w:after="0" w:line="276" w:lineRule="auto"/>
              <w:contextualSpacing/>
              <w:rPr>
                <w:rFonts w:cs="Arial"/>
                <w:sz w:val="20"/>
              </w:rPr>
            </w:pPr>
            <w:r w:rsidRPr="00294D58">
              <w:rPr>
                <w:rFonts w:cs="Arial"/>
                <w:sz w:val="20"/>
              </w:rPr>
              <w:t>5 (richest)</w:t>
            </w:r>
          </w:p>
        </w:tc>
        <w:tc>
          <w:tcPr>
            <w:tcW w:w="1419" w:type="dxa"/>
            <w:tcBorders>
              <w:top w:val="single" w:sz="4" w:space="0" w:color="auto"/>
              <w:left w:val="nil"/>
              <w:bottom w:val="single" w:sz="4" w:space="0" w:color="auto"/>
              <w:right w:val="nil"/>
            </w:tcBorders>
            <w:vAlign w:val="bottom"/>
          </w:tcPr>
          <w:p w14:paraId="0C36DCA4" w14:textId="77777777" w:rsidR="008D1110" w:rsidRPr="00294D58" w:rsidRDefault="008D1110" w:rsidP="00C1393F">
            <w:pPr>
              <w:spacing w:after="0" w:line="276" w:lineRule="auto"/>
              <w:contextualSpacing/>
              <w:jc w:val="center"/>
              <w:rPr>
                <w:rFonts w:cs="Arial"/>
                <w:sz w:val="20"/>
              </w:rPr>
            </w:pPr>
            <w:r w:rsidRPr="00294D58">
              <w:rPr>
                <w:rFonts w:cs="Arial"/>
                <w:sz w:val="20"/>
              </w:rPr>
              <w:t>21.0</w:t>
            </w:r>
          </w:p>
        </w:tc>
        <w:tc>
          <w:tcPr>
            <w:tcW w:w="1559" w:type="dxa"/>
            <w:tcBorders>
              <w:top w:val="single" w:sz="4" w:space="0" w:color="auto"/>
              <w:left w:val="nil"/>
              <w:bottom w:val="single" w:sz="4" w:space="0" w:color="auto"/>
              <w:right w:val="nil"/>
            </w:tcBorders>
            <w:vAlign w:val="bottom"/>
          </w:tcPr>
          <w:p w14:paraId="2FBB2B1D" w14:textId="77777777" w:rsidR="008D1110" w:rsidRPr="00294D58" w:rsidRDefault="008D1110" w:rsidP="00C1393F">
            <w:pPr>
              <w:spacing w:after="0" w:line="276" w:lineRule="auto"/>
              <w:contextualSpacing/>
              <w:jc w:val="center"/>
              <w:rPr>
                <w:rFonts w:cs="Arial"/>
                <w:sz w:val="20"/>
              </w:rPr>
            </w:pPr>
            <w:r w:rsidRPr="00294D58">
              <w:rPr>
                <w:rFonts w:cs="Arial"/>
                <w:sz w:val="20"/>
              </w:rPr>
              <w:t>12.3</w:t>
            </w:r>
          </w:p>
        </w:tc>
        <w:tc>
          <w:tcPr>
            <w:tcW w:w="850" w:type="dxa"/>
            <w:gridSpan w:val="2"/>
            <w:tcBorders>
              <w:top w:val="single" w:sz="4" w:space="0" w:color="auto"/>
              <w:left w:val="nil"/>
              <w:bottom w:val="single" w:sz="4" w:space="0" w:color="auto"/>
              <w:right w:val="nil"/>
            </w:tcBorders>
            <w:vAlign w:val="bottom"/>
          </w:tcPr>
          <w:p w14:paraId="3A71BF78"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414089A9" w14:textId="77777777" w:rsidTr="00C1393F">
        <w:trPr>
          <w:gridAfter w:val="1"/>
          <w:wAfter w:w="6" w:type="dxa"/>
        </w:trPr>
        <w:tc>
          <w:tcPr>
            <w:tcW w:w="6374" w:type="dxa"/>
            <w:gridSpan w:val="7"/>
            <w:tcBorders>
              <w:top w:val="single" w:sz="4" w:space="0" w:color="auto"/>
              <w:bottom w:val="nil"/>
              <w:right w:val="nil"/>
            </w:tcBorders>
          </w:tcPr>
          <w:p w14:paraId="63A8F561" w14:textId="77777777" w:rsidR="008D1110" w:rsidRPr="00294D58" w:rsidRDefault="008D1110" w:rsidP="00C1393F">
            <w:pPr>
              <w:spacing w:after="0" w:line="240" w:lineRule="auto"/>
              <w:rPr>
                <w:rFonts w:cs="Arial"/>
                <w:sz w:val="18"/>
                <w:szCs w:val="18"/>
                <w:lang w:val="en-US"/>
              </w:rPr>
            </w:pPr>
            <w:r w:rsidRPr="00294D58">
              <w:rPr>
                <w:rFonts w:cs="Arial"/>
                <w:sz w:val="18"/>
                <w:szCs w:val="18"/>
                <w:vertAlign w:val="superscript"/>
                <w:lang w:val="en-US"/>
              </w:rPr>
              <w:t>1</w:t>
            </w:r>
            <w:r w:rsidRPr="00294D58">
              <w:rPr>
                <w:rFonts w:cs="Arial"/>
                <w:sz w:val="18"/>
                <w:szCs w:val="18"/>
                <w:lang w:val="en-US"/>
              </w:rPr>
              <w:t xml:space="preserve"> Unweighted sample sizes.</w:t>
            </w:r>
          </w:p>
          <w:p w14:paraId="63DA7203" w14:textId="77777777" w:rsidR="008D1110" w:rsidRPr="00294D58" w:rsidRDefault="008D1110" w:rsidP="00C1393F">
            <w:pPr>
              <w:spacing w:after="0" w:line="240" w:lineRule="auto"/>
              <w:rPr>
                <w:rFonts w:cs="Arial"/>
                <w:sz w:val="18"/>
                <w:szCs w:val="18"/>
                <w:lang w:val="en-US"/>
              </w:rPr>
            </w:pPr>
            <w:r w:rsidRPr="00294D58">
              <w:rPr>
                <w:rFonts w:cs="Arial"/>
                <w:sz w:val="18"/>
                <w:szCs w:val="18"/>
                <w:lang w:val="en-US"/>
              </w:rPr>
              <w:t>All figures are weighted for sampling probabilities and differential non-response.</w:t>
            </w:r>
          </w:p>
          <w:p w14:paraId="4E54CCE2" w14:textId="77777777" w:rsidR="008D1110" w:rsidRPr="00294D58" w:rsidRDefault="008D1110" w:rsidP="00C1393F">
            <w:pPr>
              <w:spacing w:after="0" w:line="240" w:lineRule="auto"/>
              <w:rPr>
                <w:rFonts w:cs="Arial"/>
                <w:sz w:val="18"/>
                <w:szCs w:val="18"/>
                <w:lang w:val="en-US"/>
              </w:rPr>
            </w:pPr>
            <w:r w:rsidRPr="00294D58">
              <w:rPr>
                <w:rFonts w:cs="Arial"/>
                <w:sz w:val="18"/>
                <w:szCs w:val="18"/>
                <w:lang w:val="en-US"/>
              </w:rPr>
              <w:t xml:space="preserve">Values are percentages unless otherwise stated. </w:t>
            </w:r>
          </w:p>
          <w:p w14:paraId="2644D43E" w14:textId="77777777" w:rsidR="008D1110" w:rsidRPr="00294D58" w:rsidRDefault="008D1110" w:rsidP="00C1393F">
            <w:pPr>
              <w:spacing w:after="0" w:line="240" w:lineRule="auto"/>
              <w:rPr>
                <w:rFonts w:cs="Arial"/>
                <w:sz w:val="18"/>
                <w:szCs w:val="18"/>
                <w:lang w:val="en-US"/>
              </w:rPr>
            </w:pPr>
            <w:r w:rsidRPr="00294D58">
              <w:rPr>
                <w:rFonts w:cs="Arial"/>
                <w:sz w:val="18"/>
                <w:szCs w:val="18"/>
                <w:lang w:val="en-US"/>
              </w:rPr>
              <w:t>SD = standard deviation.</w:t>
            </w:r>
          </w:p>
          <w:p w14:paraId="398F15B5" w14:textId="77777777" w:rsidR="008D1110" w:rsidRPr="00294D58" w:rsidRDefault="008D1110" w:rsidP="00C1393F">
            <w:pPr>
              <w:spacing w:after="0" w:line="240" w:lineRule="auto"/>
              <w:rPr>
                <w:rFonts w:cs="Arial"/>
                <w:sz w:val="18"/>
                <w:szCs w:val="18"/>
                <w:vertAlign w:val="superscript"/>
                <w:lang w:val="en-US"/>
              </w:rPr>
            </w:pPr>
          </w:p>
        </w:tc>
      </w:tr>
    </w:tbl>
    <w:p w14:paraId="63EDE81E" w14:textId="77777777" w:rsidR="007C457B" w:rsidRPr="00294D58" w:rsidRDefault="007C457B" w:rsidP="007C457B">
      <w:pPr>
        <w:pStyle w:val="Heading3"/>
      </w:pPr>
      <w:r w:rsidRPr="00294D58">
        <w:t>History of homelessness and health behaviours</w:t>
      </w:r>
    </w:p>
    <w:p w14:paraId="38EEAAEE" w14:textId="77777777" w:rsidR="007C457B" w:rsidRPr="00294D58" w:rsidRDefault="007C457B" w:rsidP="007C457B">
      <w:pPr>
        <w:rPr>
          <w:rFonts w:eastAsiaTheme="majorEastAsia"/>
        </w:rPr>
      </w:pPr>
      <w:r w:rsidRPr="00294D58">
        <w:rPr>
          <w:rFonts w:eastAsiaTheme="majorEastAsia"/>
        </w:rPr>
        <w:t xml:space="preserve">Associations between history of homelessness and health behaviours are shown in Table 2. </w:t>
      </w:r>
      <w:r w:rsidR="00594D04" w:rsidRPr="00294D58">
        <w:rPr>
          <w:rFonts w:eastAsiaTheme="majorEastAsia"/>
        </w:rPr>
        <w:t xml:space="preserve">After adjustment for age, sex, ethnicity, education, marital status and wealth, </w:t>
      </w:r>
      <w:r w:rsidR="00006AB6" w:rsidRPr="00294D58">
        <w:rPr>
          <w:rFonts w:eastAsiaTheme="majorEastAsia"/>
        </w:rPr>
        <w:t>participants</w:t>
      </w:r>
      <w:r w:rsidR="00C32A37" w:rsidRPr="00294D58">
        <w:rPr>
          <w:rFonts w:eastAsiaTheme="majorEastAsia"/>
        </w:rPr>
        <w:t xml:space="preserve"> who had been homeless </w:t>
      </w:r>
      <w:r w:rsidR="00006AB6" w:rsidRPr="00294D58">
        <w:rPr>
          <w:rFonts w:eastAsiaTheme="majorEastAsia"/>
        </w:rPr>
        <w:t>had 1.</w:t>
      </w:r>
      <w:r w:rsidR="00821C08" w:rsidRPr="00294D58">
        <w:rPr>
          <w:rFonts w:eastAsiaTheme="majorEastAsia"/>
        </w:rPr>
        <w:t>62</w:t>
      </w:r>
      <w:r w:rsidR="00006AB6" w:rsidRPr="00294D58">
        <w:rPr>
          <w:rFonts w:eastAsiaTheme="majorEastAsia"/>
        </w:rPr>
        <w:t xml:space="preserve"> time</w:t>
      </w:r>
      <w:r w:rsidR="00EC72EE" w:rsidRPr="00294D58">
        <w:rPr>
          <w:rFonts w:eastAsiaTheme="majorEastAsia"/>
        </w:rPr>
        <w:t>s higher odds</w:t>
      </w:r>
      <w:r w:rsidR="005B049F" w:rsidRPr="00294D58">
        <w:rPr>
          <w:rFonts w:eastAsiaTheme="majorEastAsia"/>
        </w:rPr>
        <w:t xml:space="preserve"> (95% CI 1.</w:t>
      </w:r>
      <w:r w:rsidR="00821C08" w:rsidRPr="00294D58">
        <w:rPr>
          <w:rFonts w:eastAsiaTheme="majorEastAsia"/>
        </w:rPr>
        <w:t>4</w:t>
      </w:r>
      <w:r w:rsidR="005B049F" w:rsidRPr="00294D58">
        <w:rPr>
          <w:rFonts w:eastAsiaTheme="majorEastAsia"/>
        </w:rPr>
        <w:t>4 to 2.</w:t>
      </w:r>
      <w:r w:rsidR="00821C08" w:rsidRPr="00294D58">
        <w:rPr>
          <w:rFonts w:eastAsiaTheme="majorEastAsia"/>
        </w:rPr>
        <w:t>52</w:t>
      </w:r>
      <w:r w:rsidR="005B049F" w:rsidRPr="00294D58">
        <w:rPr>
          <w:rFonts w:eastAsiaTheme="majorEastAsia"/>
        </w:rPr>
        <w:t>)</w:t>
      </w:r>
      <w:r w:rsidR="00EC72EE" w:rsidRPr="00294D58">
        <w:rPr>
          <w:rFonts w:eastAsiaTheme="majorEastAsia"/>
        </w:rPr>
        <w:t xml:space="preserve"> of being </w:t>
      </w:r>
      <w:r w:rsidR="00821C08" w:rsidRPr="00294D58">
        <w:rPr>
          <w:rFonts w:eastAsiaTheme="majorEastAsia"/>
        </w:rPr>
        <w:t>inactive</w:t>
      </w:r>
      <w:r w:rsidR="00006AB6" w:rsidRPr="00294D58">
        <w:rPr>
          <w:rFonts w:eastAsiaTheme="majorEastAsia"/>
        </w:rPr>
        <w:t xml:space="preserve"> than those who had not been homeless</w:t>
      </w:r>
      <w:r w:rsidR="00EC72EE" w:rsidRPr="00294D58">
        <w:rPr>
          <w:rFonts w:eastAsiaTheme="majorEastAsia"/>
        </w:rPr>
        <w:t xml:space="preserve"> (</w:t>
      </w:r>
      <w:r w:rsidR="00821C08" w:rsidRPr="00294D58">
        <w:rPr>
          <w:rFonts w:eastAsiaTheme="majorEastAsia"/>
        </w:rPr>
        <w:t xml:space="preserve">30.7% vs. 23.0%, </w:t>
      </w:r>
      <w:r w:rsidR="00821C08" w:rsidRPr="00294D58">
        <w:rPr>
          <w:rFonts w:eastAsiaTheme="majorEastAsia"/>
          <w:i/>
        </w:rPr>
        <w:t>p</w:t>
      </w:r>
      <w:r w:rsidR="00821C08" w:rsidRPr="00294D58">
        <w:rPr>
          <w:rFonts w:eastAsiaTheme="majorEastAsia"/>
        </w:rPr>
        <w:t>=0.031</w:t>
      </w:r>
      <w:r w:rsidR="00EC72EE" w:rsidRPr="00294D58">
        <w:rPr>
          <w:rFonts w:eastAsiaTheme="majorEastAsia"/>
        </w:rPr>
        <w:t>)</w:t>
      </w:r>
      <w:r w:rsidR="00006AB6" w:rsidRPr="00294D58">
        <w:rPr>
          <w:rFonts w:eastAsiaTheme="majorEastAsia"/>
        </w:rPr>
        <w:t xml:space="preserve">. </w:t>
      </w:r>
      <w:r w:rsidR="008C7627" w:rsidRPr="00294D58">
        <w:rPr>
          <w:rFonts w:eastAsiaTheme="majorEastAsia"/>
        </w:rPr>
        <w:t>Rates</w:t>
      </w:r>
      <w:r w:rsidR="008F105A" w:rsidRPr="00294D58">
        <w:rPr>
          <w:rFonts w:eastAsiaTheme="majorEastAsia"/>
        </w:rPr>
        <w:t xml:space="preserve"> of </w:t>
      </w:r>
      <w:r w:rsidR="00821C08" w:rsidRPr="00294D58">
        <w:rPr>
          <w:rFonts w:eastAsiaTheme="majorEastAsia"/>
        </w:rPr>
        <w:t xml:space="preserve">smoking (20.2% vs. 15.4%) and </w:t>
      </w:r>
      <w:r w:rsidR="008F105A" w:rsidRPr="00294D58">
        <w:rPr>
          <w:rFonts w:eastAsiaTheme="majorEastAsia"/>
        </w:rPr>
        <w:t xml:space="preserve">daily drinking (27.6% vs. </w:t>
      </w:r>
      <w:r w:rsidR="00C32A37" w:rsidRPr="00294D58">
        <w:rPr>
          <w:rFonts w:eastAsiaTheme="majorEastAsia"/>
        </w:rPr>
        <w:lastRenderedPageBreak/>
        <w:t xml:space="preserve">22.8%) </w:t>
      </w:r>
      <w:r w:rsidR="008C7627" w:rsidRPr="00294D58">
        <w:rPr>
          <w:rFonts w:eastAsiaTheme="majorEastAsia"/>
        </w:rPr>
        <w:t>were</w:t>
      </w:r>
      <w:r w:rsidR="008F105A" w:rsidRPr="00294D58">
        <w:rPr>
          <w:rFonts w:eastAsiaTheme="majorEastAsia"/>
        </w:rPr>
        <w:t xml:space="preserve"> also higher in </w:t>
      </w:r>
      <w:r w:rsidR="00C32A37" w:rsidRPr="00294D58">
        <w:rPr>
          <w:rFonts w:eastAsiaTheme="majorEastAsia"/>
        </w:rPr>
        <w:t>the group who had been homeless</w:t>
      </w:r>
      <w:r w:rsidR="008F105A" w:rsidRPr="00294D58">
        <w:rPr>
          <w:rFonts w:eastAsiaTheme="majorEastAsia"/>
        </w:rPr>
        <w:t>,</w:t>
      </w:r>
      <w:r w:rsidR="006B2681" w:rsidRPr="00294D58">
        <w:rPr>
          <w:rFonts w:eastAsiaTheme="majorEastAsia"/>
        </w:rPr>
        <w:t xml:space="preserve"> </w:t>
      </w:r>
      <w:r w:rsidR="008F105A" w:rsidRPr="00294D58">
        <w:rPr>
          <w:rFonts w:eastAsiaTheme="majorEastAsia"/>
        </w:rPr>
        <w:t>but differences were not statistically significant</w:t>
      </w:r>
      <w:r w:rsidR="00767740" w:rsidRPr="00294D58">
        <w:rPr>
          <w:rFonts w:eastAsiaTheme="majorEastAsia"/>
        </w:rPr>
        <w:t>.</w:t>
      </w:r>
    </w:p>
    <w:p w14:paraId="372032BF" w14:textId="77777777" w:rsidR="00C1393F" w:rsidRPr="00294D58" w:rsidRDefault="00C1393F" w:rsidP="007C457B">
      <w:pPr>
        <w:rPr>
          <w:rFonts w:eastAsiaTheme="majorEastAsia"/>
        </w:rPr>
      </w:pPr>
    </w:p>
    <w:p w14:paraId="69478B65" w14:textId="77777777" w:rsidR="00C1393F" w:rsidRPr="00294D58" w:rsidRDefault="00C1393F" w:rsidP="007C457B">
      <w:pPr>
        <w:rPr>
          <w:rFonts w:eastAsiaTheme="majorEastAsia"/>
        </w:rPr>
      </w:pPr>
    </w:p>
    <w:tbl>
      <w:tblPr>
        <w:tblStyle w:val="TableGrid"/>
        <w:tblW w:w="6521"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3"/>
        <w:gridCol w:w="138"/>
        <w:gridCol w:w="1661"/>
        <w:gridCol w:w="328"/>
        <w:gridCol w:w="1419"/>
        <w:gridCol w:w="1700"/>
        <w:gridCol w:w="992"/>
      </w:tblGrid>
      <w:tr w:rsidR="00294D58" w:rsidRPr="00294D58" w14:paraId="5163FE2E" w14:textId="77777777" w:rsidTr="00C1393F">
        <w:trPr>
          <w:trHeight w:val="242"/>
        </w:trPr>
        <w:tc>
          <w:tcPr>
            <w:tcW w:w="6516" w:type="dxa"/>
            <w:gridSpan w:val="7"/>
            <w:tcBorders>
              <w:top w:val="nil"/>
              <w:bottom w:val="single" w:sz="4" w:space="0" w:color="auto"/>
              <w:right w:val="nil"/>
            </w:tcBorders>
          </w:tcPr>
          <w:p w14:paraId="78BBA2DD" w14:textId="77777777" w:rsidR="008D1110" w:rsidRPr="00294D58" w:rsidRDefault="008D1110" w:rsidP="00C1393F">
            <w:pPr>
              <w:pStyle w:val="Beforetables"/>
              <w:spacing w:line="276" w:lineRule="auto"/>
              <w:rPr>
                <w:rFonts w:cs="Arial"/>
                <w:b/>
                <w:sz w:val="20"/>
              </w:rPr>
            </w:pPr>
            <w:r w:rsidRPr="00294D58">
              <w:rPr>
                <w:rFonts w:cs="Arial"/>
                <w:b/>
                <w:sz w:val="20"/>
              </w:rPr>
              <w:t xml:space="preserve">Table 2 </w:t>
            </w:r>
            <w:r w:rsidRPr="00294D58">
              <w:rPr>
                <w:rFonts w:cs="Arial"/>
                <w:sz w:val="20"/>
              </w:rPr>
              <w:t>Associations between history of homelessness and health behaviours</w:t>
            </w:r>
          </w:p>
        </w:tc>
      </w:tr>
      <w:tr w:rsidR="00294D58" w:rsidRPr="00294D58" w14:paraId="680E38F8" w14:textId="77777777" w:rsidTr="00C1393F">
        <w:tc>
          <w:tcPr>
            <w:tcW w:w="421" w:type="dxa"/>
            <w:gridSpan w:val="2"/>
            <w:tcBorders>
              <w:top w:val="nil"/>
              <w:bottom w:val="single" w:sz="4" w:space="0" w:color="auto"/>
              <w:right w:val="nil"/>
            </w:tcBorders>
            <w:vAlign w:val="center"/>
          </w:tcPr>
          <w:p w14:paraId="041B1B55" w14:textId="77777777" w:rsidR="008D1110" w:rsidRPr="00294D58" w:rsidRDefault="008D1110" w:rsidP="00C1393F">
            <w:pPr>
              <w:spacing w:after="0" w:line="276" w:lineRule="auto"/>
              <w:contextualSpacing/>
              <w:jc w:val="center"/>
              <w:rPr>
                <w:rFonts w:cs="Arial"/>
                <w:sz w:val="20"/>
              </w:rPr>
            </w:pPr>
          </w:p>
        </w:tc>
        <w:tc>
          <w:tcPr>
            <w:tcW w:w="1661" w:type="dxa"/>
            <w:tcBorders>
              <w:top w:val="nil"/>
              <w:left w:val="nil"/>
              <w:bottom w:val="single" w:sz="4" w:space="0" w:color="auto"/>
              <w:right w:val="nil"/>
            </w:tcBorders>
            <w:vAlign w:val="center"/>
          </w:tcPr>
          <w:p w14:paraId="1EF43F95" w14:textId="77777777" w:rsidR="008D1110" w:rsidRPr="00294D58" w:rsidRDefault="008D1110" w:rsidP="00C1393F">
            <w:pPr>
              <w:spacing w:after="0" w:line="276" w:lineRule="auto"/>
              <w:contextualSpacing/>
              <w:jc w:val="center"/>
              <w:rPr>
                <w:rFonts w:cs="Arial"/>
                <w:sz w:val="20"/>
              </w:rPr>
            </w:pPr>
          </w:p>
        </w:tc>
        <w:tc>
          <w:tcPr>
            <w:tcW w:w="328" w:type="dxa"/>
            <w:tcBorders>
              <w:top w:val="nil"/>
              <w:left w:val="nil"/>
              <w:bottom w:val="single" w:sz="4" w:space="0" w:color="auto"/>
              <w:right w:val="nil"/>
            </w:tcBorders>
            <w:vAlign w:val="center"/>
          </w:tcPr>
          <w:p w14:paraId="1B37F758" w14:textId="77777777" w:rsidR="008D1110" w:rsidRPr="00294D58" w:rsidRDefault="008D1110" w:rsidP="00C1393F">
            <w:pPr>
              <w:spacing w:after="0" w:line="276" w:lineRule="auto"/>
              <w:contextualSpacing/>
              <w:jc w:val="center"/>
              <w:rPr>
                <w:rFonts w:cs="Arial"/>
                <w:sz w:val="20"/>
              </w:rPr>
            </w:pPr>
          </w:p>
        </w:tc>
        <w:tc>
          <w:tcPr>
            <w:tcW w:w="1419" w:type="dxa"/>
            <w:tcBorders>
              <w:top w:val="single" w:sz="4" w:space="0" w:color="auto"/>
              <w:left w:val="nil"/>
              <w:bottom w:val="single" w:sz="4" w:space="0" w:color="auto"/>
              <w:right w:val="nil"/>
            </w:tcBorders>
            <w:vAlign w:val="center"/>
          </w:tcPr>
          <w:p w14:paraId="4D18B7FF" w14:textId="77777777" w:rsidR="008D1110" w:rsidRPr="00294D58" w:rsidRDefault="008D1110" w:rsidP="00C1393F">
            <w:pPr>
              <w:spacing w:after="0" w:line="276" w:lineRule="auto"/>
              <w:jc w:val="center"/>
              <w:rPr>
                <w:rFonts w:cs="Arial"/>
                <w:b/>
                <w:sz w:val="20"/>
              </w:rPr>
            </w:pPr>
            <w:r w:rsidRPr="00294D58">
              <w:rPr>
                <w:rFonts w:cs="Arial"/>
                <w:b/>
                <w:sz w:val="20"/>
              </w:rPr>
              <w:t xml:space="preserve">Had not been homeless </w:t>
            </w:r>
          </w:p>
        </w:tc>
        <w:tc>
          <w:tcPr>
            <w:tcW w:w="1700" w:type="dxa"/>
            <w:tcBorders>
              <w:top w:val="single" w:sz="4" w:space="0" w:color="auto"/>
              <w:left w:val="nil"/>
              <w:bottom w:val="single" w:sz="4" w:space="0" w:color="auto"/>
              <w:right w:val="nil"/>
            </w:tcBorders>
            <w:vAlign w:val="center"/>
          </w:tcPr>
          <w:p w14:paraId="485780FC" w14:textId="77777777" w:rsidR="008D1110" w:rsidRPr="00294D58" w:rsidRDefault="008D1110" w:rsidP="00C1393F">
            <w:pPr>
              <w:spacing w:after="0" w:line="276" w:lineRule="auto"/>
              <w:contextualSpacing/>
              <w:jc w:val="center"/>
              <w:rPr>
                <w:rFonts w:cs="Arial"/>
                <w:b/>
                <w:sz w:val="20"/>
              </w:rPr>
            </w:pPr>
            <w:r w:rsidRPr="00294D58">
              <w:rPr>
                <w:rFonts w:cs="Arial"/>
                <w:b/>
                <w:sz w:val="20"/>
              </w:rPr>
              <w:t xml:space="preserve">Had been homeless </w:t>
            </w:r>
          </w:p>
        </w:tc>
        <w:tc>
          <w:tcPr>
            <w:tcW w:w="992" w:type="dxa"/>
            <w:tcBorders>
              <w:top w:val="nil"/>
              <w:left w:val="nil"/>
              <w:bottom w:val="single" w:sz="4" w:space="0" w:color="auto"/>
              <w:right w:val="nil"/>
            </w:tcBorders>
            <w:vAlign w:val="center"/>
          </w:tcPr>
          <w:p w14:paraId="5FFC2B19" w14:textId="77777777" w:rsidR="008D1110" w:rsidRPr="00294D58" w:rsidRDefault="008D1110" w:rsidP="00C1393F">
            <w:pPr>
              <w:spacing w:after="0" w:line="276" w:lineRule="auto"/>
              <w:contextualSpacing/>
              <w:jc w:val="center"/>
              <w:rPr>
                <w:rFonts w:cs="Arial"/>
                <w:b/>
                <w:i/>
                <w:sz w:val="20"/>
              </w:rPr>
            </w:pPr>
            <w:r w:rsidRPr="00294D58">
              <w:rPr>
                <w:rFonts w:cs="Arial"/>
                <w:b/>
                <w:i/>
                <w:sz w:val="20"/>
              </w:rPr>
              <w:t>p</w:t>
            </w:r>
          </w:p>
        </w:tc>
      </w:tr>
      <w:tr w:rsidR="00294D58" w:rsidRPr="00294D58" w14:paraId="0796B32F" w14:textId="77777777" w:rsidTr="00C1393F">
        <w:tc>
          <w:tcPr>
            <w:tcW w:w="2410" w:type="dxa"/>
            <w:gridSpan w:val="4"/>
            <w:tcBorders>
              <w:top w:val="single" w:sz="4" w:space="0" w:color="auto"/>
              <w:bottom w:val="nil"/>
              <w:right w:val="nil"/>
            </w:tcBorders>
          </w:tcPr>
          <w:p w14:paraId="04AC6899" w14:textId="77777777" w:rsidR="008D1110" w:rsidRPr="00294D58" w:rsidRDefault="008D1110" w:rsidP="00C1393F">
            <w:pPr>
              <w:spacing w:after="0" w:line="276" w:lineRule="auto"/>
              <w:contextualSpacing/>
              <w:rPr>
                <w:rFonts w:cs="Arial"/>
                <w:sz w:val="20"/>
              </w:rPr>
            </w:pPr>
            <w:r w:rsidRPr="00294D58">
              <w:rPr>
                <w:rFonts w:cs="Arial"/>
                <w:sz w:val="20"/>
              </w:rPr>
              <w:t>Smoking</w:t>
            </w:r>
          </w:p>
        </w:tc>
        <w:tc>
          <w:tcPr>
            <w:tcW w:w="1419" w:type="dxa"/>
            <w:tcBorders>
              <w:top w:val="single" w:sz="4" w:space="0" w:color="auto"/>
              <w:bottom w:val="nil"/>
            </w:tcBorders>
            <w:vAlign w:val="bottom"/>
          </w:tcPr>
          <w:p w14:paraId="65357BA3" w14:textId="77777777" w:rsidR="008D1110" w:rsidRPr="00294D58" w:rsidRDefault="008D1110" w:rsidP="00C1393F">
            <w:pPr>
              <w:spacing w:after="0" w:line="276" w:lineRule="auto"/>
              <w:contextualSpacing/>
              <w:jc w:val="center"/>
              <w:rPr>
                <w:rFonts w:cs="Arial"/>
                <w:sz w:val="20"/>
              </w:rPr>
            </w:pPr>
          </w:p>
        </w:tc>
        <w:tc>
          <w:tcPr>
            <w:tcW w:w="1700" w:type="dxa"/>
            <w:tcBorders>
              <w:top w:val="single" w:sz="4" w:space="0" w:color="auto"/>
              <w:bottom w:val="nil"/>
            </w:tcBorders>
            <w:vAlign w:val="bottom"/>
          </w:tcPr>
          <w:p w14:paraId="4FD5160C" w14:textId="77777777" w:rsidR="008D1110" w:rsidRPr="00294D58" w:rsidRDefault="008D1110" w:rsidP="00C1393F">
            <w:pPr>
              <w:spacing w:after="0" w:line="276" w:lineRule="auto"/>
              <w:contextualSpacing/>
              <w:jc w:val="center"/>
              <w:rPr>
                <w:rFonts w:cs="Arial"/>
                <w:sz w:val="20"/>
              </w:rPr>
            </w:pPr>
          </w:p>
        </w:tc>
        <w:tc>
          <w:tcPr>
            <w:tcW w:w="992" w:type="dxa"/>
            <w:tcBorders>
              <w:top w:val="single" w:sz="4" w:space="0" w:color="auto"/>
              <w:bottom w:val="nil"/>
            </w:tcBorders>
            <w:vAlign w:val="bottom"/>
          </w:tcPr>
          <w:p w14:paraId="3CBBB189" w14:textId="77777777" w:rsidR="008D1110" w:rsidRPr="00294D58" w:rsidRDefault="008D1110" w:rsidP="00C1393F">
            <w:pPr>
              <w:spacing w:after="0" w:line="276" w:lineRule="auto"/>
              <w:contextualSpacing/>
              <w:jc w:val="center"/>
              <w:rPr>
                <w:rFonts w:cs="Arial"/>
                <w:sz w:val="20"/>
              </w:rPr>
            </w:pPr>
          </w:p>
        </w:tc>
      </w:tr>
      <w:tr w:rsidR="00294D58" w:rsidRPr="00294D58" w14:paraId="32669EE7" w14:textId="77777777" w:rsidTr="00C1393F">
        <w:tc>
          <w:tcPr>
            <w:tcW w:w="283" w:type="dxa"/>
            <w:tcBorders>
              <w:top w:val="nil"/>
              <w:bottom w:val="nil"/>
              <w:right w:val="nil"/>
            </w:tcBorders>
          </w:tcPr>
          <w:p w14:paraId="3B64C075" w14:textId="77777777" w:rsidR="008D1110" w:rsidRPr="00294D58" w:rsidRDefault="008D1110" w:rsidP="00C1393F">
            <w:pPr>
              <w:spacing w:after="0" w:line="276" w:lineRule="auto"/>
              <w:contextualSpacing/>
              <w:rPr>
                <w:rFonts w:cs="Arial"/>
                <w:sz w:val="20"/>
              </w:rPr>
            </w:pPr>
          </w:p>
        </w:tc>
        <w:tc>
          <w:tcPr>
            <w:tcW w:w="2127" w:type="dxa"/>
            <w:gridSpan w:val="3"/>
            <w:tcBorders>
              <w:top w:val="nil"/>
              <w:left w:val="nil"/>
              <w:bottom w:val="single" w:sz="4" w:space="0" w:color="auto"/>
              <w:right w:val="nil"/>
            </w:tcBorders>
            <w:vAlign w:val="center"/>
          </w:tcPr>
          <w:p w14:paraId="23380CB1" w14:textId="77777777" w:rsidR="008D1110" w:rsidRPr="00294D58" w:rsidRDefault="008D1110" w:rsidP="00C1393F">
            <w:pPr>
              <w:spacing w:after="0" w:line="276" w:lineRule="auto"/>
              <w:contextualSpacing/>
              <w:rPr>
                <w:rFonts w:cs="Arial"/>
                <w:sz w:val="20"/>
              </w:rPr>
            </w:pPr>
            <w:r w:rsidRPr="00294D58">
              <w:rPr>
                <w:rFonts w:cs="Arial"/>
                <w:sz w:val="20"/>
              </w:rPr>
              <w:t>% (SE)</w:t>
            </w:r>
          </w:p>
        </w:tc>
        <w:tc>
          <w:tcPr>
            <w:tcW w:w="1419" w:type="dxa"/>
            <w:tcBorders>
              <w:top w:val="nil"/>
              <w:left w:val="nil"/>
              <w:bottom w:val="single" w:sz="4" w:space="0" w:color="auto"/>
              <w:right w:val="nil"/>
            </w:tcBorders>
            <w:vAlign w:val="bottom"/>
          </w:tcPr>
          <w:p w14:paraId="384BA104" w14:textId="77777777" w:rsidR="008D1110" w:rsidRPr="00294D58" w:rsidRDefault="008D1110" w:rsidP="00C1393F">
            <w:pPr>
              <w:spacing w:after="0" w:line="276" w:lineRule="auto"/>
              <w:contextualSpacing/>
              <w:rPr>
                <w:rFonts w:cs="Arial"/>
                <w:sz w:val="20"/>
              </w:rPr>
            </w:pPr>
            <w:r w:rsidRPr="00294D58">
              <w:rPr>
                <w:rFonts w:cs="Arial"/>
                <w:sz w:val="20"/>
              </w:rPr>
              <w:t>15.4 (0.4)</w:t>
            </w:r>
          </w:p>
        </w:tc>
        <w:tc>
          <w:tcPr>
            <w:tcW w:w="1700" w:type="dxa"/>
            <w:tcBorders>
              <w:top w:val="nil"/>
              <w:left w:val="nil"/>
              <w:bottom w:val="single" w:sz="4" w:space="0" w:color="auto"/>
              <w:right w:val="nil"/>
            </w:tcBorders>
            <w:vAlign w:val="bottom"/>
          </w:tcPr>
          <w:p w14:paraId="486CF191" w14:textId="77777777" w:rsidR="008D1110" w:rsidRPr="00294D58" w:rsidRDefault="008D1110" w:rsidP="00C1393F">
            <w:pPr>
              <w:spacing w:after="0" w:line="276" w:lineRule="auto"/>
              <w:contextualSpacing/>
              <w:rPr>
                <w:rFonts w:cs="Arial"/>
                <w:sz w:val="20"/>
              </w:rPr>
            </w:pPr>
            <w:r w:rsidRPr="00294D58">
              <w:rPr>
                <w:rFonts w:cs="Arial"/>
                <w:sz w:val="20"/>
              </w:rPr>
              <w:t>20.2 (3.3)</w:t>
            </w:r>
          </w:p>
        </w:tc>
        <w:tc>
          <w:tcPr>
            <w:tcW w:w="992" w:type="dxa"/>
            <w:tcBorders>
              <w:top w:val="nil"/>
              <w:left w:val="nil"/>
              <w:bottom w:val="single" w:sz="4" w:space="0" w:color="auto"/>
              <w:right w:val="nil"/>
            </w:tcBorders>
            <w:vAlign w:val="bottom"/>
          </w:tcPr>
          <w:p w14:paraId="167C1CB9"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228B6E28" w14:textId="77777777" w:rsidTr="00C1393F">
        <w:tc>
          <w:tcPr>
            <w:tcW w:w="283" w:type="dxa"/>
            <w:tcBorders>
              <w:top w:val="nil"/>
              <w:bottom w:val="single" w:sz="4" w:space="0" w:color="auto"/>
              <w:right w:val="nil"/>
            </w:tcBorders>
          </w:tcPr>
          <w:p w14:paraId="25EAD884" w14:textId="77777777" w:rsidR="008D1110" w:rsidRPr="00294D58" w:rsidRDefault="008D1110" w:rsidP="00C1393F">
            <w:pPr>
              <w:spacing w:after="0" w:line="276" w:lineRule="auto"/>
              <w:contextualSpacing/>
              <w:rPr>
                <w:rFonts w:cs="Arial"/>
                <w:sz w:val="20"/>
              </w:rPr>
            </w:pPr>
          </w:p>
        </w:tc>
        <w:tc>
          <w:tcPr>
            <w:tcW w:w="2127" w:type="dxa"/>
            <w:gridSpan w:val="3"/>
            <w:tcBorders>
              <w:top w:val="single" w:sz="4" w:space="0" w:color="auto"/>
              <w:left w:val="nil"/>
              <w:bottom w:val="single" w:sz="4" w:space="0" w:color="auto"/>
              <w:right w:val="nil"/>
            </w:tcBorders>
            <w:vAlign w:val="center"/>
          </w:tcPr>
          <w:p w14:paraId="3D80F634" w14:textId="77777777" w:rsidR="008D1110" w:rsidRPr="00294D58" w:rsidRDefault="008D1110" w:rsidP="00C1393F">
            <w:pPr>
              <w:spacing w:after="0" w:line="276" w:lineRule="auto"/>
              <w:contextualSpacing/>
              <w:rPr>
                <w:rFonts w:cs="Arial"/>
                <w:sz w:val="20"/>
              </w:rPr>
            </w:pPr>
            <w:r w:rsidRPr="00294D58">
              <w:rPr>
                <w:rFonts w:cs="Arial"/>
                <w:sz w:val="20"/>
              </w:rPr>
              <w:t>OR [95% CI]</w:t>
            </w:r>
          </w:p>
        </w:tc>
        <w:tc>
          <w:tcPr>
            <w:tcW w:w="1419" w:type="dxa"/>
            <w:tcBorders>
              <w:top w:val="single" w:sz="4" w:space="0" w:color="auto"/>
              <w:left w:val="nil"/>
              <w:bottom w:val="single" w:sz="4" w:space="0" w:color="auto"/>
              <w:right w:val="nil"/>
            </w:tcBorders>
            <w:vAlign w:val="bottom"/>
          </w:tcPr>
          <w:p w14:paraId="1771EFDA" w14:textId="77777777" w:rsidR="008D1110" w:rsidRPr="00294D58" w:rsidRDefault="008D1110" w:rsidP="00C1393F">
            <w:pPr>
              <w:spacing w:after="0" w:line="276" w:lineRule="auto"/>
              <w:contextualSpacing/>
              <w:rPr>
                <w:rFonts w:cs="Arial"/>
                <w:sz w:val="20"/>
              </w:rPr>
            </w:pPr>
            <w:r w:rsidRPr="00294D58">
              <w:rPr>
                <w:rFonts w:cs="Arial"/>
                <w:sz w:val="20"/>
              </w:rPr>
              <w:t>1.00 (Ref)</w:t>
            </w:r>
          </w:p>
        </w:tc>
        <w:tc>
          <w:tcPr>
            <w:tcW w:w="1700" w:type="dxa"/>
            <w:tcBorders>
              <w:top w:val="single" w:sz="4" w:space="0" w:color="auto"/>
              <w:left w:val="nil"/>
              <w:bottom w:val="single" w:sz="4" w:space="0" w:color="auto"/>
              <w:right w:val="nil"/>
            </w:tcBorders>
            <w:vAlign w:val="bottom"/>
          </w:tcPr>
          <w:p w14:paraId="090B3233" w14:textId="77777777" w:rsidR="008D1110" w:rsidRPr="00294D58" w:rsidRDefault="008D1110" w:rsidP="00C1393F">
            <w:pPr>
              <w:spacing w:after="0" w:line="276" w:lineRule="auto"/>
              <w:contextualSpacing/>
              <w:rPr>
                <w:rFonts w:cs="Arial"/>
                <w:sz w:val="20"/>
              </w:rPr>
            </w:pPr>
            <w:r w:rsidRPr="00294D58">
              <w:rPr>
                <w:rFonts w:cs="Arial"/>
                <w:sz w:val="20"/>
              </w:rPr>
              <w:t>1.</w:t>
            </w:r>
            <w:r w:rsidR="00821C08" w:rsidRPr="00294D58">
              <w:rPr>
                <w:rFonts w:cs="Arial"/>
                <w:sz w:val="20"/>
              </w:rPr>
              <w:t>21</w:t>
            </w:r>
            <w:r w:rsidRPr="00294D58">
              <w:rPr>
                <w:rFonts w:cs="Arial"/>
                <w:sz w:val="20"/>
              </w:rPr>
              <w:t xml:space="preserve"> [</w:t>
            </w:r>
            <w:r w:rsidR="00821C08" w:rsidRPr="00294D58">
              <w:rPr>
                <w:rFonts w:cs="Arial"/>
                <w:sz w:val="20"/>
              </w:rPr>
              <w:t>0.75</w:t>
            </w:r>
            <w:r w:rsidRPr="00294D58">
              <w:rPr>
                <w:rFonts w:cs="Arial"/>
                <w:sz w:val="20"/>
              </w:rPr>
              <w:t xml:space="preserve">; </w:t>
            </w:r>
            <w:r w:rsidR="00821C08" w:rsidRPr="00294D58">
              <w:rPr>
                <w:rFonts w:cs="Arial"/>
                <w:sz w:val="20"/>
              </w:rPr>
              <w:t>1.94</w:t>
            </w:r>
            <w:r w:rsidRPr="00294D58">
              <w:rPr>
                <w:rFonts w:cs="Arial"/>
                <w:sz w:val="20"/>
              </w:rPr>
              <w:t>]</w:t>
            </w:r>
          </w:p>
        </w:tc>
        <w:tc>
          <w:tcPr>
            <w:tcW w:w="992" w:type="dxa"/>
            <w:tcBorders>
              <w:top w:val="single" w:sz="4" w:space="0" w:color="auto"/>
              <w:left w:val="nil"/>
              <w:bottom w:val="single" w:sz="4" w:space="0" w:color="auto"/>
              <w:right w:val="nil"/>
            </w:tcBorders>
            <w:vAlign w:val="bottom"/>
          </w:tcPr>
          <w:p w14:paraId="0D918441" w14:textId="77777777" w:rsidR="008D1110" w:rsidRPr="00294D58" w:rsidRDefault="008D1110" w:rsidP="00C1393F">
            <w:pPr>
              <w:spacing w:after="0" w:line="276" w:lineRule="auto"/>
              <w:contextualSpacing/>
              <w:jc w:val="center"/>
              <w:rPr>
                <w:rFonts w:cs="Arial"/>
                <w:sz w:val="20"/>
              </w:rPr>
            </w:pPr>
            <w:r w:rsidRPr="00294D58">
              <w:rPr>
                <w:rFonts w:cs="Arial"/>
                <w:sz w:val="20"/>
              </w:rPr>
              <w:t>0.</w:t>
            </w:r>
            <w:r w:rsidR="00821C08" w:rsidRPr="00294D58">
              <w:rPr>
                <w:rFonts w:cs="Arial"/>
                <w:sz w:val="20"/>
              </w:rPr>
              <w:t>436</w:t>
            </w:r>
          </w:p>
        </w:tc>
      </w:tr>
      <w:tr w:rsidR="00294D58" w:rsidRPr="00294D58" w14:paraId="7B9D0EF9" w14:textId="77777777" w:rsidTr="00C1393F">
        <w:tc>
          <w:tcPr>
            <w:tcW w:w="2410" w:type="dxa"/>
            <w:gridSpan w:val="4"/>
            <w:tcBorders>
              <w:top w:val="single" w:sz="4" w:space="0" w:color="auto"/>
              <w:bottom w:val="nil"/>
              <w:right w:val="nil"/>
            </w:tcBorders>
          </w:tcPr>
          <w:p w14:paraId="5A0DC561" w14:textId="77777777" w:rsidR="008D1110" w:rsidRPr="00294D58" w:rsidRDefault="008D1110" w:rsidP="00C1393F">
            <w:pPr>
              <w:spacing w:after="0" w:line="276" w:lineRule="auto"/>
              <w:contextualSpacing/>
              <w:rPr>
                <w:rFonts w:cs="Arial"/>
                <w:sz w:val="20"/>
              </w:rPr>
            </w:pPr>
            <w:r w:rsidRPr="00294D58">
              <w:rPr>
                <w:rFonts w:cs="Arial"/>
                <w:sz w:val="20"/>
              </w:rPr>
              <w:t>Daily drinking</w:t>
            </w:r>
          </w:p>
        </w:tc>
        <w:tc>
          <w:tcPr>
            <w:tcW w:w="1419" w:type="dxa"/>
            <w:tcBorders>
              <w:top w:val="single" w:sz="4" w:space="0" w:color="auto"/>
              <w:bottom w:val="nil"/>
            </w:tcBorders>
            <w:vAlign w:val="bottom"/>
          </w:tcPr>
          <w:p w14:paraId="5D59F3B4" w14:textId="77777777" w:rsidR="008D1110" w:rsidRPr="00294D58" w:rsidRDefault="008D1110" w:rsidP="00C1393F">
            <w:pPr>
              <w:spacing w:after="0" w:line="276" w:lineRule="auto"/>
              <w:contextualSpacing/>
              <w:jc w:val="center"/>
              <w:rPr>
                <w:rFonts w:cs="Arial"/>
                <w:sz w:val="20"/>
              </w:rPr>
            </w:pPr>
          </w:p>
        </w:tc>
        <w:tc>
          <w:tcPr>
            <w:tcW w:w="1700" w:type="dxa"/>
            <w:tcBorders>
              <w:top w:val="single" w:sz="4" w:space="0" w:color="auto"/>
              <w:bottom w:val="nil"/>
            </w:tcBorders>
            <w:vAlign w:val="bottom"/>
          </w:tcPr>
          <w:p w14:paraId="5EE71595" w14:textId="77777777" w:rsidR="008D1110" w:rsidRPr="00294D58" w:rsidRDefault="008D1110" w:rsidP="00C1393F">
            <w:pPr>
              <w:spacing w:after="0" w:line="276" w:lineRule="auto"/>
              <w:contextualSpacing/>
              <w:jc w:val="center"/>
              <w:rPr>
                <w:rFonts w:cs="Arial"/>
                <w:sz w:val="20"/>
              </w:rPr>
            </w:pPr>
          </w:p>
        </w:tc>
        <w:tc>
          <w:tcPr>
            <w:tcW w:w="992" w:type="dxa"/>
            <w:tcBorders>
              <w:top w:val="single" w:sz="4" w:space="0" w:color="auto"/>
              <w:bottom w:val="nil"/>
            </w:tcBorders>
            <w:vAlign w:val="bottom"/>
          </w:tcPr>
          <w:p w14:paraId="6233E31F" w14:textId="77777777" w:rsidR="008D1110" w:rsidRPr="00294D58" w:rsidRDefault="008D1110" w:rsidP="00C1393F">
            <w:pPr>
              <w:spacing w:after="0" w:line="276" w:lineRule="auto"/>
              <w:contextualSpacing/>
              <w:jc w:val="center"/>
              <w:rPr>
                <w:rFonts w:cs="Arial"/>
                <w:sz w:val="20"/>
              </w:rPr>
            </w:pPr>
          </w:p>
        </w:tc>
      </w:tr>
      <w:tr w:rsidR="00294D58" w:rsidRPr="00294D58" w14:paraId="05C912CE" w14:textId="77777777" w:rsidTr="00C1393F">
        <w:tc>
          <w:tcPr>
            <w:tcW w:w="283" w:type="dxa"/>
            <w:tcBorders>
              <w:top w:val="nil"/>
              <w:bottom w:val="nil"/>
              <w:right w:val="nil"/>
            </w:tcBorders>
          </w:tcPr>
          <w:p w14:paraId="53546A2E" w14:textId="77777777" w:rsidR="008D1110" w:rsidRPr="00294D58" w:rsidRDefault="008D1110" w:rsidP="00C1393F">
            <w:pPr>
              <w:spacing w:after="0" w:line="276" w:lineRule="auto"/>
              <w:contextualSpacing/>
              <w:rPr>
                <w:rFonts w:cs="Arial"/>
                <w:sz w:val="20"/>
              </w:rPr>
            </w:pPr>
          </w:p>
        </w:tc>
        <w:tc>
          <w:tcPr>
            <w:tcW w:w="2127" w:type="dxa"/>
            <w:gridSpan w:val="3"/>
            <w:tcBorders>
              <w:top w:val="nil"/>
              <w:left w:val="nil"/>
              <w:bottom w:val="single" w:sz="4" w:space="0" w:color="auto"/>
              <w:right w:val="nil"/>
            </w:tcBorders>
            <w:vAlign w:val="center"/>
          </w:tcPr>
          <w:p w14:paraId="687A4D23" w14:textId="77777777" w:rsidR="008D1110" w:rsidRPr="00294D58" w:rsidRDefault="008D1110" w:rsidP="00C1393F">
            <w:pPr>
              <w:spacing w:after="0" w:line="276" w:lineRule="auto"/>
              <w:contextualSpacing/>
              <w:rPr>
                <w:rFonts w:cs="Arial"/>
                <w:sz w:val="20"/>
              </w:rPr>
            </w:pPr>
            <w:r w:rsidRPr="00294D58">
              <w:rPr>
                <w:rFonts w:cs="Arial"/>
                <w:sz w:val="20"/>
              </w:rPr>
              <w:t xml:space="preserve">% (SE) </w:t>
            </w:r>
          </w:p>
        </w:tc>
        <w:tc>
          <w:tcPr>
            <w:tcW w:w="1419" w:type="dxa"/>
            <w:tcBorders>
              <w:top w:val="nil"/>
              <w:left w:val="nil"/>
              <w:bottom w:val="single" w:sz="4" w:space="0" w:color="auto"/>
              <w:right w:val="nil"/>
            </w:tcBorders>
            <w:vAlign w:val="bottom"/>
          </w:tcPr>
          <w:p w14:paraId="36EE1D2B" w14:textId="77777777" w:rsidR="008D1110" w:rsidRPr="00294D58" w:rsidRDefault="008D1110" w:rsidP="00C1393F">
            <w:pPr>
              <w:spacing w:after="0" w:line="276" w:lineRule="auto"/>
              <w:contextualSpacing/>
              <w:rPr>
                <w:rFonts w:cs="Arial"/>
                <w:sz w:val="20"/>
              </w:rPr>
            </w:pPr>
            <w:r w:rsidRPr="00294D58">
              <w:rPr>
                <w:rFonts w:cs="Arial"/>
                <w:sz w:val="20"/>
              </w:rPr>
              <w:t>22.8 (0.5)</w:t>
            </w:r>
          </w:p>
        </w:tc>
        <w:tc>
          <w:tcPr>
            <w:tcW w:w="1700" w:type="dxa"/>
            <w:tcBorders>
              <w:top w:val="nil"/>
              <w:left w:val="nil"/>
              <w:bottom w:val="single" w:sz="4" w:space="0" w:color="auto"/>
              <w:right w:val="nil"/>
            </w:tcBorders>
            <w:vAlign w:val="bottom"/>
          </w:tcPr>
          <w:p w14:paraId="67E1D236" w14:textId="77777777" w:rsidR="008D1110" w:rsidRPr="00294D58" w:rsidRDefault="008D1110" w:rsidP="00C1393F">
            <w:pPr>
              <w:spacing w:after="0" w:line="276" w:lineRule="auto"/>
              <w:contextualSpacing/>
              <w:rPr>
                <w:rFonts w:cs="Arial"/>
                <w:sz w:val="20"/>
              </w:rPr>
            </w:pPr>
            <w:r w:rsidRPr="00294D58">
              <w:rPr>
                <w:rFonts w:cs="Arial"/>
                <w:sz w:val="20"/>
              </w:rPr>
              <w:t>27.6 (4.2)</w:t>
            </w:r>
          </w:p>
        </w:tc>
        <w:tc>
          <w:tcPr>
            <w:tcW w:w="992" w:type="dxa"/>
            <w:tcBorders>
              <w:top w:val="nil"/>
              <w:left w:val="nil"/>
              <w:bottom w:val="single" w:sz="4" w:space="0" w:color="auto"/>
              <w:right w:val="nil"/>
            </w:tcBorders>
            <w:vAlign w:val="bottom"/>
          </w:tcPr>
          <w:p w14:paraId="5D4A486B"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1A7804B4" w14:textId="77777777" w:rsidTr="00C1393F">
        <w:tc>
          <w:tcPr>
            <w:tcW w:w="283" w:type="dxa"/>
            <w:tcBorders>
              <w:top w:val="nil"/>
              <w:bottom w:val="single" w:sz="4" w:space="0" w:color="auto"/>
              <w:right w:val="nil"/>
            </w:tcBorders>
          </w:tcPr>
          <w:p w14:paraId="0DE32BD3" w14:textId="77777777" w:rsidR="008D1110" w:rsidRPr="00294D58" w:rsidRDefault="008D1110" w:rsidP="00C1393F">
            <w:pPr>
              <w:spacing w:after="0" w:line="276" w:lineRule="auto"/>
              <w:contextualSpacing/>
              <w:rPr>
                <w:rFonts w:cs="Arial"/>
                <w:sz w:val="20"/>
              </w:rPr>
            </w:pPr>
          </w:p>
        </w:tc>
        <w:tc>
          <w:tcPr>
            <w:tcW w:w="2127" w:type="dxa"/>
            <w:gridSpan w:val="3"/>
            <w:tcBorders>
              <w:top w:val="single" w:sz="4" w:space="0" w:color="auto"/>
              <w:left w:val="nil"/>
              <w:bottom w:val="single" w:sz="4" w:space="0" w:color="auto"/>
              <w:right w:val="nil"/>
            </w:tcBorders>
            <w:vAlign w:val="center"/>
          </w:tcPr>
          <w:p w14:paraId="5F14FFF6" w14:textId="77777777" w:rsidR="008D1110" w:rsidRPr="00294D58" w:rsidRDefault="008D1110" w:rsidP="00C1393F">
            <w:pPr>
              <w:spacing w:after="0" w:line="276" w:lineRule="auto"/>
              <w:contextualSpacing/>
              <w:rPr>
                <w:rFonts w:cs="Arial"/>
                <w:sz w:val="20"/>
              </w:rPr>
            </w:pPr>
            <w:r w:rsidRPr="00294D58">
              <w:rPr>
                <w:rFonts w:cs="Arial"/>
                <w:sz w:val="20"/>
              </w:rPr>
              <w:t>OR [95% CI]</w:t>
            </w:r>
          </w:p>
        </w:tc>
        <w:tc>
          <w:tcPr>
            <w:tcW w:w="1419" w:type="dxa"/>
            <w:tcBorders>
              <w:top w:val="single" w:sz="4" w:space="0" w:color="auto"/>
              <w:left w:val="nil"/>
              <w:bottom w:val="single" w:sz="4" w:space="0" w:color="auto"/>
              <w:right w:val="nil"/>
            </w:tcBorders>
            <w:vAlign w:val="bottom"/>
          </w:tcPr>
          <w:p w14:paraId="43AC770E" w14:textId="77777777" w:rsidR="008D1110" w:rsidRPr="00294D58" w:rsidRDefault="008D1110" w:rsidP="00C1393F">
            <w:pPr>
              <w:spacing w:after="0" w:line="276" w:lineRule="auto"/>
              <w:contextualSpacing/>
              <w:rPr>
                <w:rFonts w:cs="Arial"/>
                <w:sz w:val="20"/>
              </w:rPr>
            </w:pPr>
            <w:r w:rsidRPr="00294D58">
              <w:rPr>
                <w:rFonts w:cs="Arial"/>
                <w:sz w:val="20"/>
              </w:rPr>
              <w:t>1.00 (Ref)</w:t>
            </w:r>
          </w:p>
        </w:tc>
        <w:tc>
          <w:tcPr>
            <w:tcW w:w="1700" w:type="dxa"/>
            <w:tcBorders>
              <w:top w:val="single" w:sz="4" w:space="0" w:color="auto"/>
              <w:left w:val="nil"/>
              <w:bottom w:val="single" w:sz="4" w:space="0" w:color="auto"/>
              <w:right w:val="nil"/>
            </w:tcBorders>
            <w:vAlign w:val="bottom"/>
          </w:tcPr>
          <w:p w14:paraId="4A602323" w14:textId="77777777" w:rsidR="008D1110" w:rsidRPr="00294D58" w:rsidRDefault="008D1110" w:rsidP="00C1393F">
            <w:pPr>
              <w:spacing w:after="0" w:line="276" w:lineRule="auto"/>
              <w:contextualSpacing/>
              <w:rPr>
                <w:rFonts w:cs="Arial"/>
                <w:sz w:val="20"/>
              </w:rPr>
            </w:pPr>
            <w:r w:rsidRPr="00294D58">
              <w:rPr>
                <w:rFonts w:cs="Arial"/>
                <w:sz w:val="20"/>
              </w:rPr>
              <w:t>1.</w:t>
            </w:r>
            <w:r w:rsidR="00821C08" w:rsidRPr="00294D58">
              <w:rPr>
                <w:rFonts w:cs="Arial"/>
                <w:sz w:val="20"/>
              </w:rPr>
              <w:t>31</w:t>
            </w:r>
            <w:r w:rsidRPr="00294D58">
              <w:rPr>
                <w:rFonts w:cs="Arial"/>
                <w:sz w:val="20"/>
              </w:rPr>
              <w:t xml:space="preserve"> [0.</w:t>
            </w:r>
            <w:r w:rsidR="00821C08" w:rsidRPr="00294D58">
              <w:rPr>
                <w:rFonts w:cs="Arial"/>
                <w:sz w:val="20"/>
              </w:rPr>
              <w:t>77</w:t>
            </w:r>
            <w:r w:rsidRPr="00294D58">
              <w:rPr>
                <w:rFonts w:cs="Arial"/>
                <w:sz w:val="20"/>
              </w:rPr>
              <w:t>; 2.</w:t>
            </w:r>
            <w:r w:rsidR="00821C08" w:rsidRPr="00294D58">
              <w:rPr>
                <w:rFonts w:cs="Arial"/>
                <w:sz w:val="20"/>
              </w:rPr>
              <w:t>21</w:t>
            </w:r>
            <w:r w:rsidRPr="00294D58">
              <w:rPr>
                <w:rFonts w:cs="Arial"/>
                <w:sz w:val="20"/>
              </w:rPr>
              <w:t>]</w:t>
            </w:r>
          </w:p>
        </w:tc>
        <w:tc>
          <w:tcPr>
            <w:tcW w:w="992" w:type="dxa"/>
            <w:tcBorders>
              <w:top w:val="single" w:sz="4" w:space="0" w:color="auto"/>
              <w:left w:val="nil"/>
              <w:bottom w:val="single" w:sz="4" w:space="0" w:color="auto"/>
              <w:right w:val="nil"/>
            </w:tcBorders>
            <w:vAlign w:val="bottom"/>
          </w:tcPr>
          <w:p w14:paraId="6530C164" w14:textId="77777777" w:rsidR="008D1110" w:rsidRPr="00294D58" w:rsidRDefault="008D1110" w:rsidP="00C1393F">
            <w:pPr>
              <w:spacing w:after="0" w:line="276" w:lineRule="auto"/>
              <w:contextualSpacing/>
              <w:jc w:val="center"/>
              <w:rPr>
                <w:rFonts w:cs="Arial"/>
                <w:sz w:val="20"/>
              </w:rPr>
            </w:pPr>
            <w:r w:rsidRPr="00294D58">
              <w:rPr>
                <w:rFonts w:cs="Arial"/>
                <w:sz w:val="20"/>
              </w:rPr>
              <w:t>0.</w:t>
            </w:r>
            <w:r w:rsidR="00821C08" w:rsidRPr="00294D58">
              <w:rPr>
                <w:rFonts w:cs="Arial"/>
                <w:sz w:val="20"/>
              </w:rPr>
              <w:t>321</w:t>
            </w:r>
          </w:p>
        </w:tc>
      </w:tr>
      <w:tr w:rsidR="00294D58" w:rsidRPr="00294D58" w14:paraId="54AECFEB" w14:textId="77777777" w:rsidTr="00C1393F">
        <w:tc>
          <w:tcPr>
            <w:tcW w:w="2410" w:type="dxa"/>
            <w:gridSpan w:val="4"/>
            <w:tcBorders>
              <w:top w:val="single" w:sz="4" w:space="0" w:color="auto"/>
              <w:bottom w:val="nil"/>
              <w:right w:val="nil"/>
            </w:tcBorders>
          </w:tcPr>
          <w:p w14:paraId="09592C09" w14:textId="77777777" w:rsidR="008D1110" w:rsidRPr="00294D58" w:rsidRDefault="008D1110" w:rsidP="00C1393F">
            <w:pPr>
              <w:spacing w:after="0" w:line="276" w:lineRule="auto"/>
              <w:contextualSpacing/>
              <w:rPr>
                <w:rFonts w:cs="Arial"/>
                <w:sz w:val="20"/>
              </w:rPr>
            </w:pPr>
            <w:r w:rsidRPr="00294D58">
              <w:rPr>
                <w:rFonts w:cs="Arial"/>
                <w:sz w:val="20"/>
              </w:rPr>
              <w:t>Physical inactivity</w:t>
            </w:r>
          </w:p>
        </w:tc>
        <w:tc>
          <w:tcPr>
            <w:tcW w:w="1419" w:type="dxa"/>
            <w:tcBorders>
              <w:top w:val="single" w:sz="4" w:space="0" w:color="auto"/>
              <w:bottom w:val="nil"/>
            </w:tcBorders>
            <w:vAlign w:val="bottom"/>
          </w:tcPr>
          <w:p w14:paraId="3CFB030D" w14:textId="77777777" w:rsidR="008D1110" w:rsidRPr="00294D58" w:rsidRDefault="008D1110" w:rsidP="00C1393F">
            <w:pPr>
              <w:spacing w:after="0" w:line="276" w:lineRule="auto"/>
              <w:contextualSpacing/>
              <w:jc w:val="center"/>
              <w:rPr>
                <w:rFonts w:cs="Arial"/>
                <w:sz w:val="20"/>
              </w:rPr>
            </w:pPr>
          </w:p>
        </w:tc>
        <w:tc>
          <w:tcPr>
            <w:tcW w:w="1700" w:type="dxa"/>
            <w:tcBorders>
              <w:top w:val="single" w:sz="4" w:space="0" w:color="auto"/>
              <w:bottom w:val="nil"/>
            </w:tcBorders>
            <w:vAlign w:val="bottom"/>
          </w:tcPr>
          <w:p w14:paraId="04B0E2E4" w14:textId="77777777" w:rsidR="008D1110" w:rsidRPr="00294D58" w:rsidRDefault="008D1110" w:rsidP="00C1393F">
            <w:pPr>
              <w:spacing w:after="0" w:line="276" w:lineRule="auto"/>
              <w:contextualSpacing/>
              <w:jc w:val="center"/>
              <w:rPr>
                <w:rFonts w:cs="Arial"/>
                <w:sz w:val="20"/>
              </w:rPr>
            </w:pPr>
          </w:p>
        </w:tc>
        <w:tc>
          <w:tcPr>
            <w:tcW w:w="992" w:type="dxa"/>
            <w:tcBorders>
              <w:top w:val="single" w:sz="4" w:space="0" w:color="auto"/>
              <w:bottom w:val="nil"/>
            </w:tcBorders>
            <w:vAlign w:val="bottom"/>
          </w:tcPr>
          <w:p w14:paraId="10FCFE27" w14:textId="77777777" w:rsidR="008D1110" w:rsidRPr="00294D58" w:rsidRDefault="008D1110" w:rsidP="00C1393F">
            <w:pPr>
              <w:spacing w:after="0" w:line="276" w:lineRule="auto"/>
              <w:contextualSpacing/>
              <w:jc w:val="center"/>
              <w:rPr>
                <w:rFonts w:cs="Arial"/>
                <w:sz w:val="20"/>
              </w:rPr>
            </w:pPr>
          </w:p>
        </w:tc>
      </w:tr>
      <w:tr w:rsidR="00294D58" w:rsidRPr="00294D58" w14:paraId="53174DCF" w14:textId="77777777" w:rsidTr="00C1393F">
        <w:trPr>
          <w:trHeight w:val="80"/>
        </w:trPr>
        <w:tc>
          <w:tcPr>
            <w:tcW w:w="283" w:type="dxa"/>
            <w:tcBorders>
              <w:top w:val="nil"/>
              <w:bottom w:val="nil"/>
              <w:right w:val="nil"/>
            </w:tcBorders>
          </w:tcPr>
          <w:p w14:paraId="516B5B96" w14:textId="77777777" w:rsidR="008D1110" w:rsidRPr="00294D58" w:rsidRDefault="008D1110" w:rsidP="00C1393F">
            <w:pPr>
              <w:spacing w:after="0" w:line="276" w:lineRule="auto"/>
              <w:contextualSpacing/>
              <w:rPr>
                <w:rFonts w:cs="Arial"/>
                <w:sz w:val="20"/>
              </w:rPr>
            </w:pPr>
          </w:p>
        </w:tc>
        <w:tc>
          <w:tcPr>
            <w:tcW w:w="2127" w:type="dxa"/>
            <w:gridSpan w:val="3"/>
            <w:tcBorders>
              <w:top w:val="nil"/>
              <w:left w:val="nil"/>
              <w:bottom w:val="single" w:sz="4" w:space="0" w:color="auto"/>
              <w:right w:val="nil"/>
            </w:tcBorders>
            <w:vAlign w:val="center"/>
          </w:tcPr>
          <w:p w14:paraId="1EA574F1" w14:textId="77777777" w:rsidR="008D1110" w:rsidRPr="00294D58" w:rsidRDefault="008D1110" w:rsidP="00C1393F">
            <w:pPr>
              <w:spacing w:after="0" w:line="276" w:lineRule="auto"/>
              <w:contextualSpacing/>
              <w:rPr>
                <w:rFonts w:cs="Arial"/>
                <w:sz w:val="20"/>
              </w:rPr>
            </w:pPr>
            <w:r w:rsidRPr="00294D58">
              <w:rPr>
                <w:rFonts w:cs="Arial"/>
                <w:sz w:val="20"/>
              </w:rPr>
              <w:t xml:space="preserve">% (SE) </w:t>
            </w:r>
          </w:p>
        </w:tc>
        <w:tc>
          <w:tcPr>
            <w:tcW w:w="1419" w:type="dxa"/>
            <w:tcBorders>
              <w:top w:val="nil"/>
              <w:left w:val="nil"/>
              <w:bottom w:val="single" w:sz="4" w:space="0" w:color="auto"/>
              <w:right w:val="nil"/>
            </w:tcBorders>
            <w:vAlign w:val="bottom"/>
          </w:tcPr>
          <w:p w14:paraId="4C840729" w14:textId="77777777" w:rsidR="008D1110" w:rsidRPr="00294D58" w:rsidRDefault="008D1110" w:rsidP="00C1393F">
            <w:pPr>
              <w:spacing w:after="0" w:line="276" w:lineRule="auto"/>
              <w:contextualSpacing/>
              <w:rPr>
                <w:rFonts w:cs="Arial"/>
                <w:sz w:val="20"/>
              </w:rPr>
            </w:pPr>
            <w:r w:rsidRPr="00294D58">
              <w:rPr>
                <w:rFonts w:cs="Arial"/>
                <w:sz w:val="20"/>
              </w:rPr>
              <w:t>23.0 (0.5)</w:t>
            </w:r>
          </w:p>
        </w:tc>
        <w:tc>
          <w:tcPr>
            <w:tcW w:w="1700" w:type="dxa"/>
            <w:tcBorders>
              <w:top w:val="nil"/>
              <w:left w:val="nil"/>
              <w:bottom w:val="single" w:sz="4" w:space="0" w:color="auto"/>
              <w:right w:val="nil"/>
            </w:tcBorders>
            <w:vAlign w:val="bottom"/>
          </w:tcPr>
          <w:p w14:paraId="00137FEC" w14:textId="77777777" w:rsidR="008D1110" w:rsidRPr="00294D58" w:rsidRDefault="008D1110" w:rsidP="00C1393F">
            <w:pPr>
              <w:spacing w:after="0" w:line="276" w:lineRule="auto"/>
              <w:contextualSpacing/>
              <w:rPr>
                <w:rFonts w:cs="Arial"/>
                <w:sz w:val="20"/>
              </w:rPr>
            </w:pPr>
            <w:r w:rsidRPr="00294D58">
              <w:rPr>
                <w:rFonts w:cs="Arial"/>
                <w:sz w:val="20"/>
              </w:rPr>
              <w:t>30.7 (3.7)</w:t>
            </w:r>
          </w:p>
        </w:tc>
        <w:tc>
          <w:tcPr>
            <w:tcW w:w="992" w:type="dxa"/>
            <w:tcBorders>
              <w:top w:val="nil"/>
              <w:left w:val="nil"/>
              <w:bottom w:val="single" w:sz="4" w:space="0" w:color="auto"/>
              <w:right w:val="nil"/>
            </w:tcBorders>
            <w:vAlign w:val="bottom"/>
          </w:tcPr>
          <w:p w14:paraId="071F33EA"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2E825800" w14:textId="77777777" w:rsidTr="00C1393F">
        <w:tc>
          <w:tcPr>
            <w:tcW w:w="283" w:type="dxa"/>
            <w:tcBorders>
              <w:top w:val="nil"/>
              <w:bottom w:val="single" w:sz="4" w:space="0" w:color="auto"/>
              <w:right w:val="nil"/>
            </w:tcBorders>
          </w:tcPr>
          <w:p w14:paraId="4010CF5E" w14:textId="77777777" w:rsidR="008D1110" w:rsidRPr="00294D58" w:rsidRDefault="008D1110" w:rsidP="00C1393F">
            <w:pPr>
              <w:spacing w:after="0" w:line="276" w:lineRule="auto"/>
              <w:contextualSpacing/>
              <w:rPr>
                <w:rFonts w:cs="Arial"/>
                <w:sz w:val="20"/>
              </w:rPr>
            </w:pPr>
          </w:p>
        </w:tc>
        <w:tc>
          <w:tcPr>
            <w:tcW w:w="2127" w:type="dxa"/>
            <w:gridSpan w:val="3"/>
            <w:tcBorders>
              <w:top w:val="single" w:sz="4" w:space="0" w:color="auto"/>
              <w:left w:val="nil"/>
              <w:bottom w:val="single" w:sz="4" w:space="0" w:color="auto"/>
              <w:right w:val="nil"/>
            </w:tcBorders>
            <w:vAlign w:val="center"/>
          </w:tcPr>
          <w:p w14:paraId="5FF01041" w14:textId="77777777" w:rsidR="008D1110" w:rsidRPr="00294D58" w:rsidRDefault="008D1110" w:rsidP="00C1393F">
            <w:pPr>
              <w:spacing w:after="0" w:line="276" w:lineRule="auto"/>
              <w:contextualSpacing/>
              <w:rPr>
                <w:rFonts w:cs="Arial"/>
                <w:sz w:val="20"/>
              </w:rPr>
            </w:pPr>
            <w:r w:rsidRPr="00294D58">
              <w:rPr>
                <w:rFonts w:cs="Arial"/>
                <w:sz w:val="20"/>
              </w:rPr>
              <w:t>OR [95% CI]</w:t>
            </w:r>
          </w:p>
        </w:tc>
        <w:tc>
          <w:tcPr>
            <w:tcW w:w="1419" w:type="dxa"/>
            <w:tcBorders>
              <w:top w:val="single" w:sz="4" w:space="0" w:color="auto"/>
              <w:left w:val="nil"/>
              <w:bottom w:val="single" w:sz="4" w:space="0" w:color="auto"/>
              <w:right w:val="nil"/>
            </w:tcBorders>
            <w:vAlign w:val="bottom"/>
          </w:tcPr>
          <w:p w14:paraId="17AC75EB" w14:textId="77777777" w:rsidR="008D1110" w:rsidRPr="00294D58" w:rsidRDefault="008D1110" w:rsidP="00C1393F">
            <w:pPr>
              <w:spacing w:after="0" w:line="276" w:lineRule="auto"/>
              <w:contextualSpacing/>
              <w:rPr>
                <w:rFonts w:cs="Arial"/>
                <w:sz w:val="20"/>
              </w:rPr>
            </w:pPr>
            <w:r w:rsidRPr="00294D58">
              <w:rPr>
                <w:rFonts w:cs="Arial"/>
                <w:sz w:val="20"/>
              </w:rPr>
              <w:t>1.00 (Ref)</w:t>
            </w:r>
          </w:p>
        </w:tc>
        <w:tc>
          <w:tcPr>
            <w:tcW w:w="1700" w:type="dxa"/>
            <w:tcBorders>
              <w:top w:val="single" w:sz="4" w:space="0" w:color="auto"/>
              <w:left w:val="nil"/>
              <w:bottom w:val="single" w:sz="4" w:space="0" w:color="auto"/>
              <w:right w:val="nil"/>
            </w:tcBorders>
            <w:vAlign w:val="bottom"/>
          </w:tcPr>
          <w:p w14:paraId="4E3465DA" w14:textId="77777777" w:rsidR="008D1110" w:rsidRPr="00294D58" w:rsidRDefault="008D1110" w:rsidP="00C1393F">
            <w:pPr>
              <w:spacing w:after="0" w:line="276" w:lineRule="auto"/>
              <w:contextualSpacing/>
              <w:rPr>
                <w:rFonts w:cs="Arial"/>
                <w:sz w:val="20"/>
              </w:rPr>
            </w:pPr>
            <w:r w:rsidRPr="00294D58">
              <w:rPr>
                <w:rFonts w:cs="Arial"/>
                <w:sz w:val="20"/>
              </w:rPr>
              <w:t>1.</w:t>
            </w:r>
            <w:r w:rsidR="00821C08" w:rsidRPr="00294D58">
              <w:rPr>
                <w:rFonts w:cs="Arial"/>
                <w:sz w:val="20"/>
              </w:rPr>
              <w:t>62</w:t>
            </w:r>
            <w:r w:rsidRPr="00294D58">
              <w:rPr>
                <w:rFonts w:cs="Arial"/>
                <w:sz w:val="20"/>
              </w:rPr>
              <w:t xml:space="preserve"> [</w:t>
            </w:r>
            <w:r w:rsidR="00821C08" w:rsidRPr="00294D58">
              <w:rPr>
                <w:rFonts w:cs="Arial"/>
                <w:sz w:val="20"/>
              </w:rPr>
              <w:t>1.04</w:t>
            </w:r>
            <w:r w:rsidRPr="00294D58">
              <w:rPr>
                <w:rFonts w:cs="Arial"/>
                <w:sz w:val="20"/>
              </w:rPr>
              <w:t xml:space="preserve">; </w:t>
            </w:r>
            <w:r w:rsidR="00821C08" w:rsidRPr="00294D58">
              <w:rPr>
                <w:rFonts w:cs="Arial"/>
                <w:sz w:val="20"/>
              </w:rPr>
              <w:t>2.52]</w:t>
            </w:r>
          </w:p>
        </w:tc>
        <w:tc>
          <w:tcPr>
            <w:tcW w:w="992" w:type="dxa"/>
            <w:tcBorders>
              <w:top w:val="single" w:sz="4" w:space="0" w:color="auto"/>
              <w:left w:val="nil"/>
              <w:bottom w:val="single" w:sz="4" w:space="0" w:color="auto"/>
              <w:right w:val="nil"/>
            </w:tcBorders>
            <w:vAlign w:val="bottom"/>
          </w:tcPr>
          <w:p w14:paraId="4B343FD9" w14:textId="77777777" w:rsidR="008D1110" w:rsidRPr="00294D58" w:rsidRDefault="008D1110" w:rsidP="00C1393F">
            <w:pPr>
              <w:spacing w:after="0" w:line="276" w:lineRule="auto"/>
              <w:contextualSpacing/>
              <w:jc w:val="center"/>
              <w:rPr>
                <w:rFonts w:cs="Arial"/>
                <w:sz w:val="20"/>
              </w:rPr>
            </w:pPr>
            <w:r w:rsidRPr="00294D58">
              <w:rPr>
                <w:rFonts w:cs="Arial"/>
                <w:sz w:val="20"/>
              </w:rPr>
              <w:t>0.</w:t>
            </w:r>
            <w:r w:rsidR="00821C08" w:rsidRPr="00294D58">
              <w:rPr>
                <w:rFonts w:cs="Arial"/>
                <w:sz w:val="20"/>
              </w:rPr>
              <w:t>031</w:t>
            </w:r>
          </w:p>
        </w:tc>
      </w:tr>
      <w:tr w:rsidR="00294D58" w:rsidRPr="00294D58" w14:paraId="2A1EF35C" w14:textId="77777777" w:rsidTr="00C1393F">
        <w:tc>
          <w:tcPr>
            <w:tcW w:w="6516" w:type="dxa"/>
            <w:gridSpan w:val="7"/>
            <w:tcBorders>
              <w:top w:val="single" w:sz="4" w:space="0" w:color="auto"/>
              <w:bottom w:val="nil"/>
              <w:right w:val="nil"/>
            </w:tcBorders>
          </w:tcPr>
          <w:p w14:paraId="5976CE9E" w14:textId="77777777" w:rsidR="008D1110" w:rsidRPr="00294D58" w:rsidRDefault="008D1110" w:rsidP="00C1393F">
            <w:pPr>
              <w:spacing w:after="0" w:line="240" w:lineRule="auto"/>
              <w:rPr>
                <w:rFonts w:cs="Arial"/>
                <w:sz w:val="20"/>
                <w:szCs w:val="20"/>
                <w:lang w:val="en-US"/>
              </w:rPr>
            </w:pPr>
            <w:r w:rsidRPr="00294D58">
              <w:rPr>
                <w:rFonts w:cs="Arial"/>
                <w:sz w:val="20"/>
                <w:szCs w:val="20"/>
                <w:lang w:val="en-US"/>
              </w:rPr>
              <w:t>All figures are weighted for sampling probabilities and differential non-response, and are adjusted for age, sex, ethnicity, education, marital status and wealth.</w:t>
            </w:r>
          </w:p>
          <w:p w14:paraId="3DE15C57" w14:textId="77777777" w:rsidR="008D1110" w:rsidRPr="00294D58" w:rsidRDefault="008D1110" w:rsidP="00C1393F">
            <w:pPr>
              <w:spacing w:after="0" w:line="240" w:lineRule="auto"/>
              <w:rPr>
                <w:rFonts w:cs="Arial"/>
                <w:sz w:val="20"/>
                <w:szCs w:val="20"/>
                <w:lang w:val="en-US"/>
              </w:rPr>
            </w:pPr>
            <w:r w:rsidRPr="00294D58">
              <w:rPr>
                <w:rFonts w:cs="Arial"/>
                <w:sz w:val="20"/>
                <w:szCs w:val="20"/>
                <w:lang w:val="en-US"/>
              </w:rPr>
              <w:t>SE = standard error, OR = odds ratio, CI = confidence interval.</w:t>
            </w:r>
          </w:p>
          <w:p w14:paraId="09A04063" w14:textId="77777777" w:rsidR="008D1110" w:rsidRPr="00294D58" w:rsidRDefault="008D1110" w:rsidP="00C1393F">
            <w:pPr>
              <w:spacing w:after="0" w:line="240" w:lineRule="auto"/>
              <w:rPr>
                <w:rFonts w:cs="Arial"/>
                <w:sz w:val="18"/>
                <w:szCs w:val="18"/>
                <w:lang w:val="en-US"/>
              </w:rPr>
            </w:pPr>
          </w:p>
          <w:p w14:paraId="63D2D414" w14:textId="77777777" w:rsidR="008D1110" w:rsidRPr="00294D58" w:rsidRDefault="008D1110" w:rsidP="00C1393F">
            <w:pPr>
              <w:spacing w:after="0" w:line="240" w:lineRule="auto"/>
              <w:rPr>
                <w:rFonts w:cs="Arial"/>
                <w:sz w:val="18"/>
                <w:szCs w:val="18"/>
                <w:lang w:val="en-US"/>
              </w:rPr>
            </w:pPr>
          </w:p>
        </w:tc>
      </w:tr>
    </w:tbl>
    <w:p w14:paraId="006AE013" w14:textId="77777777" w:rsidR="00D62217" w:rsidRPr="00294D58" w:rsidRDefault="00D62217" w:rsidP="007C457B">
      <w:pPr>
        <w:pStyle w:val="Heading3"/>
      </w:pPr>
    </w:p>
    <w:p w14:paraId="1F22EF9A" w14:textId="77777777" w:rsidR="007C457B" w:rsidRPr="00294D58" w:rsidRDefault="007C457B" w:rsidP="007C457B">
      <w:pPr>
        <w:pStyle w:val="Heading3"/>
      </w:pPr>
      <w:r w:rsidRPr="00294D58">
        <w:t>History of homelessness and health and wellbeing</w:t>
      </w:r>
    </w:p>
    <w:p w14:paraId="1A4EB15A" w14:textId="7CB4B155" w:rsidR="00EA7851" w:rsidRPr="00294D58" w:rsidRDefault="007C457B" w:rsidP="002D680C">
      <w:pPr>
        <w:rPr>
          <w:rFonts w:eastAsiaTheme="majorEastAsia"/>
        </w:rPr>
      </w:pPr>
      <w:r w:rsidRPr="00294D58">
        <w:rPr>
          <w:rFonts w:eastAsiaTheme="majorEastAsia"/>
        </w:rPr>
        <w:t xml:space="preserve">Associations between history of homelessness and health and wellbeing are summarised in Table 3. </w:t>
      </w:r>
      <w:r w:rsidR="00067C2F" w:rsidRPr="00294D58">
        <w:rPr>
          <w:rFonts w:eastAsiaTheme="majorEastAsia"/>
        </w:rPr>
        <w:t>After adjustment for</w:t>
      </w:r>
      <w:r w:rsidR="006B2681" w:rsidRPr="00294D58">
        <w:rPr>
          <w:rFonts w:eastAsiaTheme="majorEastAsia"/>
        </w:rPr>
        <w:t xml:space="preserve"> </w:t>
      </w:r>
      <w:proofErr w:type="spellStart"/>
      <w:r w:rsidR="00067C2F" w:rsidRPr="00294D58">
        <w:rPr>
          <w:rFonts w:eastAsiaTheme="majorEastAsia"/>
        </w:rPr>
        <w:t>sociodemographics</w:t>
      </w:r>
      <w:proofErr w:type="spellEnd"/>
      <w:r w:rsidR="00067C2F" w:rsidRPr="00294D58">
        <w:rPr>
          <w:rFonts w:eastAsiaTheme="majorEastAsia"/>
        </w:rPr>
        <w:t xml:space="preserve"> and health behaviours, </w:t>
      </w:r>
      <w:r w:rsidR="005E1752" w:rsidRPr="00294D58">
        <w:rPr>
          <w:rFonts w:eastAsiaTheme="majorEastAsia"/>
        </w:rPr>
        <w:t xml:space="preserve">compared </w:t>
      </w:r>
      <w:r w:rsidR="00D2702D" w:rsidRPr="00294D58">
        <w:rPr>
          <w:rFonts w:eastAsiaTheme="majorEastAsia"/>
        </w:rPr>
        <w:t xml:space="preserve">with </w:t>
      </w:r>
      <w:r w:rsidR="005E1752" w:rsidRPr="00294D58">
        <w:rPr>
          <w:rFonts w:eastAsiaTheme="majorEastAsia"/>
        </w:rPr>
        <w:t xml:space="preserve">the group who had not been homeless, </w:t>
      </w:r>
      <w:r w:rsidR="00D653F5" w:rsidRPr="00294D58">
        <w:rPr>
          <w:rFonts w:eastAsiaTheme="majorEastAsia"/>
        </w:rPr>
        <w:t xml:space="preserve">the group who had been homeless </w:t>
      </w:r>
      <w:r w:rsidR="00524E97" w:rsidRPr="00294D58">
        <w:rPr>
          <w:rFonts w:eastAsiaTheme="majorEastAsia"/>
        </w:rPr>
        <w:t xml:space="preserve">had </w:t>
      </w:r>
      <w:r w:rsidR="00B437C3" w:rsidRPr="00294D58">
        <w:rPr>
          <w:rFonts w:eastAsiaTheme="majorEastAsia"/>
        </w:rPr>
        <w:t xml:space="preserve">1.75 times higher odds (95% CI 1.07 to 2.86) of reporting fair/bad/very bad self-rated health (41.9% vs. 30.5%, </w:t>
      </w:r>
      <w:r w:rsidR="00B437C3" w:rsidRPr="00294D58">
        <w:rPr>
          <w:rFonts w:eastAsiaTheme="majorEastAsia"/>
          <w:i/>
        </w:rPr>
        <w:t>p</w:t>
      </w:r>
      <w:r w:rsidR="00B437C3" w:rsidRPr="00294D58">
        <w:rPr>
          <w:rFonts w:eastAsiaTheme="majorEastAsia"/>
        </w:rPr>
        <w:t xml:space="preserve">=0.025), </w:t>
      </w:r>
      <w:r w:rsidR="00524E97" w:rsidRPr="00294D58">
        <w:rPr>
          <w:rFonts w:eastAsiaTheme="majorEastAsia"/>
        </w:rPr>
        <w:t>2.</w:t>
      </w:r>
      <w:r w:rsidR="00B437C3" w:rsidRPr="00294D58">
        <w:rPr>
          <w:rFonts w:eastAsiaTheme="majorEastAsia"/>
        </w:rPr>
        <w:t>66</w:t>
      </w:r>
      <w:r w:rsidR="00524E97" w:rsidRPr="00294D58">
        <w:rPr>
          <w:rFonts w:eastAsiaTheme="majorEastAsia"/>
        </w:rPr>
        <w:t xml:space="preserve"> times higher odds</w:t>
      </w:r>
      <w:r w:rsidR="005B049F" w:rsidRPr="00294D58">
        <w:rPr>
          <w:rFonts w:eastAsiaTheme="majorEastAsia"/>
        </w:rPr>
        <w:t xml:space="preserve"> (95% CI 1.</w:t>
      </w:r>
      <w:r w:rsidR="00B437C3" w:rsidRPr="00294D58">
        <w:rPr>
          <w:rFonts w:eastAsiaTheme="majorEastAsia"/>
        </w:rPr>
        <w:t>65</w:t>
      </w:r>
      <w:r w:rsidR="005B049F" w:rsidRPr="00294D58">
        <w:rPr>
          <w:rFonts w:eastAsiaTheme="majorEastAsia"/>
        </w:rPr>
        <w:t xml:space="preserve"> to 4.</w:t>
      </w:r>
      <w:r w:rsidR="00B437C3" w:rsidRPr="00294D58">
        <w:rPr>
          <w:rFonts w:eastAsiaTheme="majorEastAsia"/>
        </w:rPr>
        <w:t>30</w:t>
      </w:r>
      <w:r w:rsidR="005B049F" w:rsidRPr="00294D58">
        <w:rPr>
          <w:rFonts w:eastAsiaTheme="majorEastAsia"/>
        </w:rPr>
        <w:t>)</w:t>
      </w:r>
      <w:r w:rsidR="00524E97" w:rsidRPr="00294D58">
        <w:rPr>
          <w:rFonts w:eastAsiaTheme="majorEastAsia"/>
        </w:rPr>
        <w:t xml:space="preserve"> of reporting a limiting long-standing illness (55.8% vs. 33.5</w:t>
      </w:r>
      <w:r w:rsidR="005B049F" w:rsidRPr="00294D58">
        <w:rPr>
          <w:rFonts w:eastAsiaTheme="majorEastAsia"/>
        </w:rPr>
        <w:t>%</w:t>
      </w:r>
      <w:r w:rsidR="00524E97" w:rsidRPr="00294D58">
        <w:rPr>
          <w:rFonts w:eastAsiaTheme="majorEastAsia"/>
        </w:rPr>
        <w:t xml:space="preserve">, </w:t>
      </w:r>
      <w:r w:rsidR="00524E97" w:rsidRPr="00294D58">
        <w:rPr>
          <w:rFonts w:eastAsiaTheme="majorEastAsia"/>
          <w:i/>
        </w:rPr>
        <w:t>p</w:t>
      </w:r>
      <w:r w:rsidR="00524E97" w:rsidRPr="00294D58">
        <w:rPr>
          <w:rFonts w:eastAsiaTheme="majorEastAsia"/>
        </w:rPr>
        <w:t>&lt;0.001)</w:t>
      </w:r>
      <w:r w:rsidR="005E1752" w:rsidRPr="00294D58">
        <w:rPr>
          <w:rFonts w:eastAsiaTheme="majorEastAsia"/>
        </w:rPr>
        <w:t xml:space="preserve"> and 3.</w:t>
      </w:r>
      <w:r w:rsidR="00B437C3" w:rsidRPr="00294D58">
        <w:rPr>
          <w:rFonts w:eastAsiaTheme="majorEastAsia"/>
        </w:rPr>
        <w:t>06</w:t>
      </w:r>
      <w:r w:rsidR="005E1752" w:rsidRPr="00294D58">
        <w:rPr>
          <w:rFonts w:eastAsiaTheme="majorEastAsia"/>
        </w:rPr>
        <w:t xml:space="preserve"> times higher odds (95% CI </w:t>
      </w:r>
      <w:r w:rsidR="00B437C3" w:rsidRPr="00294D58">
        <w:rPr>
          <w:rFonts w:eastAsiaTheme="majorEastAsia"/>
        </w:rPr>
        <w:t>1.85</w:t>
      </w:r>
      <w:r w:rsidR="005E1752" w:rsidRPr="00294D58">
        <w:rPr>
          <w:rFonts w:eastAsiaTheme="majorEastAsia"/>
        </w:rPr>
        <w:t xml:space="preserve"> to 5.</w:t>
      </w:r>
      <w:r w:rsidR="00B437C3" w:rsidRPr="00294D58">
        <w:rPr>
          <w:rFonts w:eastAsiaTheme="majorEastAsia"/>
        </w:rPr>
        <w:t>05</w:t>
      </w:r>
      <w:r w:rsidR="005E1752" w:rsidRPr="00294D58">
        <w:rPr>
          <w:rFonts w:eastAsiaTheme="majorEastAsia"/>
        </w:rPr>
        <w:t xml:space="preserve">) of depressive symptoms (33.3% vs. 13.0%, </w:t>
      </w:r>
      <w:r w:rsidR="005E1752" w:rsidRPr="00294D58">
        <w:rPr>
          <w:rFonts w:eastAsiaTheme="majorEastAsia"/>
          <w:i/>
        </w:rPr>
        <w:t>p</w:t>
      </w:r>
      <w:r w:rsidR="005E1752" w:rsidRPr="00294D58">
        <w:rPr>
          <w:rFonts w:eastAsiaTheme="majorEastAsia"/>
        </w:rPr>
        <w:t>&lt;0.001).</w:t>
      </w:r>
      <w:r w:rsidR="007D305E" w:rsidRPr="00294D58">
        <w:rPr>
          <w:rFonts w:eastAsiaTheme="majorEastAsia"/>
        </w:rPr>
        <w:t xml:space="preserve"> The group who had been homeless also scored</w:t>
      </w:r>
      <w:r w:rsidR="00D653F5" w:rsidRPr="00294D58">
        <w:rPr>
          <w:rFonts w:eastAsiaTheme="majorEastAsia"/>
        </w:rPr>
        <w:t xml:space="preserve"> lower </w:t>
      </w:r>
      <w:r w:rsidR="007D305E" w:rsidRPr="00294D58">
        <w:rPr>
          <w:rFonts w:eastAsiaTheme="majorEastAsia"/>
        </w:rPr>
        <w:t>on average on</w:t>
      </w:r>
      <w:r w:rsidR="00D653F5" w:rsidRPr="00294D58">
        <w:rPr>
          <w:rFonts w:eastAsiaTheme="majorEastAsia"/>
        </w:rPr>
        <w:t xml:space="preserve"> measures of life satisfaction (17.34 vs. 19.96</w:t>
      </w:r>
      <w:r w:rsidR="007D305E" w:rsidRPr="00294D58">
        <w:rPr>
          <w:rFonts w:eastAsiaTheme="majorEastAsia"/>
        </w:rPr>
        <w:t xml:space="preserve">, </w:t>
      </w:r>
      <w:r w:rsidR="007D305E" w:rsidRPr="00294D58">
        <w:rPr>
          <w:rFonts w:eastAsiaTheme="majorEastAsia"/>
          <w:i/>
        </w:rPr>
        <w:t>p</w:t>
      </w:r>
      <w:r w:rsidR="007D305E" w:rsidRPr="00294D58">
        <w:rPr>
          <w:rFonts w:eastAsiaTheme="majorEastAsia"/>
        </w:rPr>
        <w:t>&lt;0.001</w:t>
      </w:r>
      <w:r w:rsidR="00D653F5" w:rsidRPr="00294D58">
        <w:rPr>
          <w:rFonts w:eastAsiaTheme="majorEastAsia"/>
        </w:rPr>
        <w:t>) and quality of life (39.02 vs. 41.21</w:t>
      </w:r>
      <w:r w:rsidR="003A6549" w:rsidRPr="00294D58">
        <w:rPr>
          <w:rFonts w:eastAsiaTheme="majorEastAsia"/>
        </w:rPr>
        <w:t xml:space="preserve">, </w:t>
      </w:r>
      <w:r w:rsidR="003A6549" w:rsidRPr="00294D58">
        <w:rPr>
          <w:rFonts w:eastAsiaTheme="majorEastAsia"/>
          <w:i/>
        </w:rPr>
        <w:t>p</w:t>
      </w:r>
      <w:r w:rsidR="003A6549" w:rsidRPr="00294D58">
        <w:rPr>
          <w:rFonts w:eastAsiaTheme="majorEastAsia"/>
        </w:rPr>
        <w:t>=0.013</w:t>
      </w:r>
      <w:r w:rsidR="00D653F5" w:rsidRPr="00294D58">
        <w:rPr>
          <w:rFonts w:eastAsiaTheme="majorEastAsia"/>
        </w:rPr>
        <w:t>).</w:t>
      </w:r>
      <w:r w:rsidR="00A3477C" w:rsidRPr="00294D58">
        <w:rPr>
          <w:rFonts w:eastAsiaTheme="majorEastAsia"/>
        </w:rPr>
        <w:t xml:space="preserve"> </w:t>
      </w:r>
      <w:r w:rsidR="00184B14" w:rsidRPr="00294D58">
        <w:rPr>
          <w:rFonts w:eastAsiaTheme="majorEastAsia"/>
        </w:rPr>
        <w:t>The rate</w:t>
      </w:r>
      <w:r w:rsidR="002E6AF5" w:rsidRPr="00294D58">
        <w:rPr>
          <w:rFonts w:eastAsiaTheme="majorEastAsia"/>
        </w:rPr>
        <w:t xml:space="preserve"> of</w:t>
      </w:r>
      <w:r w:rsidR="00E52B45" w:rsidRPr="00294D58">
        <w:rPr>
          <w:rFonts w:eastAsiaTheme="majorEastAsia"/>
        </w:rPr>
        <w:t xml:space="preserve"> </w:t>
      </w:r>
      <w:r w:rsidR="002E6AF5" w:rsidRPr="00294D58">
        <w:rPr>
          <w:rFonts w:eastAsiaTheme="majorEastAsia"/>
        </w:rPr>
        <w:t xml:space="preserve">loneliness </w:t>
      </w:r>
      <w:r w:rsidR="00E52B45" w:rsidRPr="00294D58">
        <w:rPr>
          <w:rFonts w:eastAsiaTheme="majorEastAsia"/>
        </w:rPr>
        <w:t xml:space="preserve">(27.1% vs. 21.0%) </w:t>
      </w:r>
      <w:r w:rsidR="00184B14" w:rsidRPr="00294D58">
        <w:rPr>
          <w:rFonts w:eastAsiaTheme="majorEastAsia"/>
        </w:rPr>
        <w:t>was</w:t>
      </w:r>
      <w:r w:rsidR="006B2681" w:rsidRPr="00294D58">
        <w:rPr>
          <w:rFonts w:eastAsiaTheme="majorEastAsia"/>
        </w:rPr>
        <w:t xml:space="preserve"> </w:t>
      </w:r>
      <w:r w:rsidR="002E6AF5" w:rsidRPr="00294D58">
        <w:rPr>
          <w:rFonts w:eastAsiaTheme="majorEastAsia"/>
        </w:rPr>
        <w:t xml:space="preserve">higher in the group who had been homeless but </w:t>
      </w:r>
      <w:r w:rsidR="00184B14" w:rsidRPr="00294D58">
        <w:rPr>
          <w:rFonts w:eastAsiaTheme="majorEastAsia"/>
        </w:rPr>
        <w:t>this</w:t>
      </w:r>
      <w:r w:rsidR="002E6AF5" w:rsidRPr="00294D58">
        <w:rPr>
          <w:rFonts w:eastAsiaTheme="majorEastAsia"/>
        </w:rPr>
        <w:t xml:space="preserve"> difference did not reach statistical significance (</w:t>
      </w:r>
      <w:r w:rsidR="002E6AF5" w:rsidRPr="00294D58">
        <w:rPr>
          <w:rFonts w:eastAsiaTheme="majorEastAsia"/>
          <w:i/>
        </w:rPr>
        <w:t>p</w:t>
      </w:r>
      <w:r w:rsidR="009C6AB7" w:rsidRPr="00294D58">
        <w:rPr>
          <w:rFonts w:eastAsiaTheme="majorEastAsia"/>
        </w:rPr>
        <w:t>=0.</w:t>
      </w:r>
      <w:r w:rsidR="00184B14" w:rsidRPr="00294D58">
        <w:rPr>
          <w:rFonts w:eastAsiaTheme="majorEastAsia"/>
        </w:rPr>
        <w:t>110</w:t>
      </w:r>
      <w:r w:rsidR="009C6AB7" w:rsidRPr="00294D58">
        <w:rPr>
          <w:rFonts w:eastAsiaTheme="majorEastAsia"/>
        </w:rPr>
        <w:t>).</w:t>
      </w:r>
    </w:p>
    <w:tbl>
      <w:tblPr>
        <w:tblStyle w:val="TableGrid"/>
        <w:tblW w:w="7089"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3"/>
        <w:gridCol w:w="138"/>
        <w:gridCol w:w="1661"/>
        <w:gridCol w:w="612"/>
        <w:gridCol w:w="1560"/>
        <w:gridCol w:w="1842"/>
        <w:gridCol w:w="993"/>
      </w:tblGrid>
      <w:tr w:rsidR="00294D58" w:rsidRPr="00294D58" w14:paraId="2A05565D" w14:textId="77777777" w:rsidTr="00C1393F">
        <w:trPr>
          <w:trHeight w:val="242"/>
        </w:trPr>
        <w:tc>
          <w:tcPr>
            <w:tcW w:w="7089" w:type="dxa"/>
            <w:gridSpan w:val="7"/>
            <w:tcBorders>
              <w:top w:val="nil"/>
              <w:bottom w:val="single" w:sz="4" w:space="0" w:color="auto"/>
              <w:right w:val="nil"/>
            </w:tcBorders>
          </w:tcPr>
          <w:p w14:paraId="57F696D5" w14:textId="77777777" w:rsidR="008D1110" w:rsidRPr="00294D58" w:rsidRDefault="008D1110" w:rsidP="00C1393F">
            <w:pPr>
              <w:pStyle w:val="Beforetables"/>
              <w:spacing w:line="276" w:lineRule="auto"/>
              <w:rPr>
                <w:rFonts w:cs="Arial"/>
                <w:b/>
                <w:sz w:val="20"/>
              </w:rPr>
            </w:pPr>
            <w:r w:rsidRPr="00294D58">
              <w:rPr>
                <w:rFonts w:cs="Arial"/>
                <w:b/>
                <w:sz w:val="20"/>
              </w:rPr>
              <w:t xml:space="preserve">Table 3 </w:t>
            </w:r>
            <w:r w:rsidRPr="00294D58">
              <w:rPr>
                <w:rFonts w:cs="Arial"/>
                <w:sz w:val="20"/>
              </w:rPr>
              <w:t>Associations between history of homelessness and health and wellbeing</w:t>
            </w:r>
          </w:p>
        </w:tc>
      </w:tr>
      <w:tr w:rsidR="00294D58" w:rsidRPr="00294D58" w14:paraId="67CC6EED" w14:textId="77777777" w:rsidTr="00C1393F">
        <w:tc>
          <w:tcPr>
            <w:tcW w:w="421" w:type="dxa"/>
            <w:gridSpan w:val="2"/>
            <w:tcBorders>
              <w:top w:val="nil"/>
              <w:bottom w:val="single" w:sz="4" w:space="0" w:color="auto"/>
              <w:right w:val="nil"/>
            </w:tcBorders>
            <w:vAlign w:val="center"/>
          </w:tcPr>
          <w:p w14:paraId="29CEFC03" w14:textId="77777777" w:rsidR="008D1110" w:rsidRPr="00294D58" w:rsidRDefault="008D1110" w:rsidP="00C1393F">
            <w:pPr>
              <w:spacing w:after="0" w:line="276" w:lineRule="auto"/>
              <w:contextualSpacing/>
              <w:jc w:val="center"/>
              <w:rPr>
                <w:rFonts w:cs="Arial"/>
                <w:sz w:val="20"/>
              </w:rPr>
            </w:pPr>
          </w:p>
        </w:tc>
        <w:tc>
          <w:tcPr>
            <w:tcW w:w="1661" w:type="dxa"/>
            <w:tcBorders>
              <w:top w:val="nil"/>
              <w:left w:val="nil"/>
              <w:bottom w:val="single" w:sz="4" w:space="0" w:color="auto"/>
              <w:right w:val="nil"/>
            </w:tcBorders>
            <w:vAlign w:val="center"/>
          </w:tcPr>
          <w:p w14:paraId="04A6CAD9" w14:textId="77777777" w:rsidR="008D1110" w:rsidRPr="00294D58" w:rsidRDefault="008D1110" w:rsidP="00C1393F">
            <w:pPr>
              <w:spacing w:after="0" w:line="276" w:lineRule="auto"/>
              <w:contextualSpacing/>
              <w:jc w:val="center"/>
              <w:rPr>
                <w:rFonts w:cs="Arial"/>
                <w:sz w:val="20"/>
              </w:rPr>
            </w:pPr>
          </w:p>
        </w:tc>
        <w:tc>
          <w:tcPr>
            <w:tcW w:w="612" w:type="dxa"/>
            <w:tcBorders>
              <w:top w:val="nil"/>
              <w:left w:val="nil"/>
              <w:bottom w:val="single" w:sz="4" w:space="0" w:color="auto"/>
              <w:right w:val="nil"/>
            </w:tcBorders>
            <w:vAlign w:val="center"/>
          </w:tcPr>
          <w:p w14:paraId="0DC08C73" w14:textId="77777777" w:rsidR="008D1110" w:rsidRPr="00294D58" w:rsidRDefault="008D1110" w:rsidP="00C1393F">
            <w:pPr>
              <w:spacing w:after="0" w:line="276" w:lineRule="auto"/>
              <w:contextualSpacing/>
              <w:jc w:val="center"/>
              <w:rPr>
                <w:rFonts w:cs="Arial"/>
                <w:sz w:val="20"/>
              </w:rPr>
            </w:pPr>
          </w:p>
        </w:tc>
        <w:tc>
          <w:tcPr>
            <w:tcW w:w="1560" w:type="dxa"/>
            <w:tcBorders>
              <w:top w:val="single" w:sz="4" w:space="0" w:color="auto"/>
              <w:left w:val="nil"/>
              <w:bottom w:val="single" w:sz="4" w:space="0" w:color="auto"/>
              <w:right w:val="nil"/>
            </w:tcBorders>
            <w:vAlign w:val="center"/>
          </w:tcPr>
          <w:p w14:paraId="2ED8D24C" w14:textId="77777777" w:rsidR="008D1110" w:rsidRPr="00294D58" w:rsidRDefault="008D1110" w:rsidP="00C1393F">
            <w:pPr>
              <w:spacing w:after="0" w:line="276" w:lineRule="auto"/>
              <w:contextualSpacing/>
              <w:jc w:val="center"/>
              <w:rPr>
                <w:rFonts w:cs="Arial"/>
                <w:b/>
                <w:i/>
                <w:sz w:val="20"/>
              </w:rPr>
            </w:pPr>
            <w:r w:rsidRPr="00294D58">
              <w:rPr>
                <w:rFonts w:cs="Arial"/>
                <w:b/>
                <w:sz w:val="20"/>
              </w:rPr>
              <w:t xml:space="preserve">Had not been homeless </w:t>
            </w:r>
          </w:p>
        </w:tc>
        <w:tc>
          <w:tcPr>
            <w:tcW w:w="1842" w:type="dxa"/>
            <w:tcBorders>
              <w:top w:val="single" w:sz="4" w:space="0" w:color="auto"/>
              <w:left w:val="nil"/>
              <w:bottom w:val="single" w:sz="4" w:space="0" w:color="auto"/>
              <w:right w:val="nil"/>
            </w:tcBorders>
            <w:vAlign w:val="center"/>
          </w:tcPr>
          <w:p w14:paraId="4F088221" w14:textId="77777777" w:rsidR="008D1110" w:rsidRPr="00294D58" w:rsidRDefault="008D1110" w:rsidP="00C1393F">
            <w:pPr>
              <w:spacing w:after="0" w:line="276" w:lineRule="auto"/>
              <w:contextualSpacing/>
              <w:jc w:val="center"/>
              <w:rPr>
                <w:rFonts w:cs="Arial"/>
                <w:b/>
                <w:i/>
                <w:sz w:val="20"/>
              </w:rPr>
            </w:pPr>
            <w:r w:rsidRPr="00294D58">
              <w:rPr>
                <w:rFonts w:cs="Arial"/>
                <w:b/>
                <w:sz w:val="20"/>
              </w:rPr>
              <w:t xml:space="preserve">Had been homeless </w:t>
            </w:r>
          </w:p>
        </w:tc>
        <w:tc>
          <w:tcPr>
            <w:tcW w:w="993" w:type="dxa"/>
            <w:tcBorders>
              <w:top w:val="single" w:sz="4" w:space="0" w:color="auto"/>
              <w:left w:val="nil"/>
              <w:bottom w:val="single" w:sz="4" w:space="0" w:color="auto"/>
              <w:right w:val="nil"/>
            </w:tcBorders>
            <w:vAlign w:val="center"/>
          </w:tcPr>
          <w:p w14:paraId="147501A2" w14:textId="77777777" w:rsidR="008D1110" w:rsidRPr="00294D58" w:rsidRDefault="008D1110" w:rsidP="00C1393F">
            <w:pPr>
              <w:spacing w:after="0" w:line="276" w:lineRule="auto"/>
              <w:contextualSpacing/>
              <w:jc w:val="center"/>
              <w:rPr>
                <w:rFonts w:cs="Arial"/>
                <w:b/>
                <w:i/>
                <w:sz w:val="20"/>
              </w:rPr>
            </w:pPr>
            <w:r w:rsidRPr="00294D58">
              <w:rPr>
                <w:rFonts w:cs="Arial"/>
                <w:b/>
                <w:i/>
                <w:sz w:val="20"/>
              </w:rPr>
              <w:t>p</w:t>
            </w:r>
          </w:p>
        </w:tc>
      </w:tr>
      <w:tr w:rsidR="00294D58" w:rsidRPr="00294D58" w14:paraId="4A96D173" w14:textId="77777777" w:rsidTr="00C1393F">
        <w:tc>
          <w:tcPr>
            <w:tcW w:w="2694" w:type="dxa"/>
            <w:gridSpan w:val="4"/>
            <w:tcBorders>
              <w:top w:val="single" w:sz="4" w:space="0" w:color="auto"/>
              <w:bottom w:val="nil"/>
              <w:right w:val="nil"/>
            </w:tcBorders>
          </w:tcPr>
          <w:p w14:paraId="28C87A74" w14:textId="77777777" w:rsidR="008D1110" w:rsidRPr="00294D58" w:rsidRDefault="008D1110" w:rsidP="00C1393F">
            <w:pPr>
              <w:spacing w:after="0" w:line="276" w:lineRule="auto"/>
              <w:contextualSpacing/>
              <w:rPr>
                <w:rFonts w:cs="Arial"/>
                <w:sz w:val="20"/>
              </w:rPr>
            </w:pPr>
            <w:r w:rsidRPr="00294D58">
              <w:rPr>
                <w:rFonts w:cs="Arial"/>
                <w:sz w:val="20"/>
              </w:rPr>
              <w:t>Fair/bad/very bad self-rated health</w:t>
            </w:r>
          </w:p>
        </w:tc>
        <w:tc>
          <w:tcPr>
            <w:tcW w:w="1560" w:type="dxa"/>
            <w:tcBorders>
              <w:top w:val="single" w:sz="4" w:space="0" w:color="auto"/>
              <w:bottom w:val="nil"/>
            </w:tcBorders>
          </w:tcPr>
          <w:p w14:paraId="2E0E6D63" w14:textId="77777777" w:rsidR="008D1110" w:rsidRPr="00294D58" w:rsidRDefault="008D1110" w:rsidP="00C1393F">
            <w:pPr>
              <w:spacing w:after="0" w:line="276" w:lineRule="auto"/>
              <w:contextualSpacing/>
              <w:jc w:val="center"/>
              <w:rPr>
                <w:rFonts w:cs="Arial"/>
                <w:sz w:val="20"/>
              </w:rPr>
            </w:pPr>
          </w:p>
        </w:tc>
        <w:tc>
          <w:tcPr>
            <w:tcW w:w="1842" w:type="dxa"/>
            <w:tcBorders>
              <w:top w:val="single" w:sz="4" w:space="0" w:color="auto"/>
              <w:bottom w:val="nil"/>
            </w:tcBorders>
          </w:tcPr>
          <w:p w14:paraId="7A87401C" w14:textId="77777777" w:rsidR="008D1110" w:rsidRPr="00294D58" w:rsidRDefault="008D1110" w:rsidP="00C1393F">
            <w:pPr>
              <w:spacing w:after="0" w:line="276" w:lineRule="auto"/>
              <w:contextualSpacing/>
              <w:jc w:val="center"/>
              <w:rPr>
                <w:rFonts w:cs="Arial"/>
                <w:sz w:val="20"/>
              </w:rPr>
            </w:pPr>
          </w:p>
        </w:tc>
        <w:tc>
          <w:tcPr>
            <w:tcW w:w="993" w:type="dxa"/>
            <w:tcBorders>
              <w:top w:val="single" w:sz="4" w:space="0" w:color="auto"/>
              <w:bottom w:val="nil"/>
            </w:tcBorders>
          </w:tcPr>
          <w:p w14:paraId="31B36783" w14:textId="77777777" w:rsidR="008D1110" w:rsidRPr="00294D58" w:rsidRDefault="008D1110" w:rsidP="00C1393F">
            <w:pPr>
              <w:spacing w:after="0" w:line="276" w:lineRule="auto"/>
              <w:contextualSpacing/>
              <w:jc w:val="center"/>
              <w:rPr>
                <w:rFonts w:cs="Arial"/>
                <w:sz w:val="20"/>
              </w:rPr>
            </w:pPr>
          </w:p>
        </w:tc>
      </w:tr>
      <w:tr w:rsidR="00294D58" w:rsidRPr="00294D58" w14:paraId="503CBDBD" w14:textId="77777777" w:rsidTr="009A25E6">
        <w:tc>
          <w:tcPr>
            <w:tcW w:w="283" w:type="dxa"/>
            <w:tcBorders>
              <w:top w:val="nil"/>
              <w:bottom w:val="nil"/>
              <w:right w:val="nil"/>
            </w:tcBorders>
          </w:tcPr>
          <w:p w14:paraId="16EDFFD9" w14:textId="77777777" w:rsidR="007157C3" w:rsidRPr="00294D58" w:rsidRDefault="007157C3" w:rsidP="009A25E6">
            <w:pPr>
              <w:spacing w:after="0" w:line="276" w:lineRule="auto"/>
              <w:contextualSpacing/>
              <w:rPr>
                <w:rFonts w:cs="Arial"/>
                <w:sz w:val="20"/>
              </w:rPr>
            </w:pPr>
          </w:p>
        </w:tc>
        <w:tc>
          <w:tcPr>
            <w:tcW w:w="2411" w:type="dxa"/>
            <w:gridSpan w:val="3"/>
            <w:tcBorders>
              <w:top w:val="nil"/>
              <w:left w:val="nil"/>
              <w:bottom w:val="single" w:sz="4" w:space="0" w:color="auto"/>
              <w:right w:val="nil"/>
            </w:tcBorders>
            <w:vAlign w:val="center"/>
          </w:tcPr>
          <w:p w14:paraId="437CDDDB" w14:textId="77777777" w:rsidR="007157C3" w:rsidRPr="00294D58" w:rsidRDefault="007157C3" w:rsidP="009A25E6">
            <w:pPr>
              <w:spacing w:after="0" w:line="276" w:lineRule="auto"/>
              <w:contextualSpacing/>
              <w:rPr>
                <w:rFonts w:cs="Arial"/>
                <w:sz w:val="20"/>
              </w:rPr>
            </w:pPr>
            <w:r w:rsidRPr="00294D58">
              <w:rPr>
                <w:rFonts w:cs="Arial"/>
                <w:sz w:val="20"/>
              </w:rPr>
              <w:t>% (SE)</w:t>
            </w:r>
          </w:p>
        </w:tc>
        <w:tc>
          <w:tcPr>
            <w:tcW w:w="1560" w:type="dxa"/>
            <w:tcBorders>
              <w:top w:val="nil"/>
              <w:left w:val="nil"/>
              <w:bottom w:val="single" w:sz="4" w:space="0" w:color="auto"/>
              <w:right w:val="nil"/>
            </w:tcBorders>
          </w:tcPr>
          <w:p w14:paraId="2857F2FA" w14:textId="77777777" w:rsidR="007157C3" w:rsidRPr="00294D58" w:rsidRDefault="007157C3" w:rsidP="009A25E6">
            <w:pPr>
              <w:spacing w:after="0" w:line="276" w:lineRule="auto"/>
              <w:contextualSpacing/>
              <w:rPr>
                <w:rFonts w:cs="Arial"/>
                <w:sz w:val="20"/>
              </w:rPr>
            </w:pPr>
            <w:r w:rsidRPr="00294D58">
              <w:rPr>
                <w:rFonts w:cs="Arial"/>
                <w:sz w:val="20"/>
              </w:rPr>
              <w:t>30.5 (0.6)</w:t>
            </w:r>
          </w:p>
        </w:tc>
        <w:tc>
          <w:tcPr>
            <w:tcW w:w="1842" w:type="dxa"/>
            <w:tcBorders>
              <w:top w:val="nil"/>
              <w:left w:val="nil"/>
              <w:bottom w:val="single" w:sz="4" w:space="0" w:color="auto"/>
              <w:right w:val="nil"/>
            </w:tcBorders>
          </w:tcPr>
          <w:p w14:paraId="5111212F" w14:textId="77777777" w:rsidR="007157C3" w:rsidRPr="00294D58" w:rsidRDefault="007157C3" w:rsidP="009A25E6">
            <w:pPr>
              <w:spacing w:after="0" w:line="276" w:lineRule="auto"/>
              <w:contextualSpacing/>
              <w:rPr>
                <w:rFonts w:cs="Arial"/>
                <w:sz w:val="20"/>
              </w:rPr>
            </w:pPr>
            <w:r w:rsidRPr="00294D58">
              <w:rPr>
                <w:rFonts w:cs="Arial"/>
                <w:sz w:val="20"/>
              </w:rPr>
              <w:t>41.9 (4.5)</w:t>
            </w:r>
          </w:p>
        </w:tc>
        <w:tc>
          <w:tcPr>
            <w:tcW w:w="993" w:type="dxa"/>
            <w:tcBorders>
              <w:top w:val="nil"/>
              <w:left w:val="nil"/>
              <w:bottom w:val="single" w:sz="4" w:space="0" w:color="auto"/>
              <w:right w:val="nil"/>
            </w:tcBorders>
          </w:tcPr>
          <w:p w14:paraId="1932E30A" w14:textId="77777777" w:rsidR="007157C3" w:rsidRPr="00294D58" w:rsidRDefault="007157C3" w:rsidP="009A25E6">
            <w:pPr>
              <w:spacing w:after="0" w:line="276" w:lineRule="auto"/>
              <w:contextualSpacing/>
              <w:jc w:val="center"/>
              <w:rPr>
                <w:rFonts w:cs="Arial"/>
                <w:sz w:val="20"/>
              </w:rPr>
            </w:pPr>
            <w:r w:rsidRPr="00294D58">
              <w:rPr>
                <w:rFonts w:cs="Arial"/>
                <w:sz w:val="20"/>
              </w:rPr>
              <w:t>-</w:t>
            </w:r>
          </w:p>
        </w:tc>
      </w:tr>
      <w:tr w:rsidR="00294D58" w:rsidRPr="00294D58" w14:paraId="504BE13A" w14:textId="77777777" w:rsidTr="00C1393F">
        <w:tc>
          <w:tcPr>
            <w:tcW w:w="283" w:type="dxa"/>
            <w:tcBorders>
              <w:top w:val="nil"/>
              <w:bottom w:val="single" w:sz="4" w:space="0" w:color="auto"/>
              <w:right w:val="nil"/>
            </w:tcBorders>
          </w:tcPr>
          <w:p w14:paraId="4547E3F6" w14:textId="77777777" w:rsidR="008D1110" w:rsidRPr="00294D58" w:rsidRDefault="008D1110" w:rsidP="00C1393F">
            <w:pPr>
              <w:spacing w:after="0" w:line="276" w:lineRule="auto"/>
              <w:contextualSpacing/>
              <w:rPr>
                <w:rFonts w:cs="Arial"/>
                <w:sz w:val="20"/>
              </w:rPr>
            </w:pPr>
          </w:p>
        </w:tc>
        <w:tc>
          <w:tcPr>
            <w:tcW w:w="2411" w:type="dxa"/>
            <w:gridSpan w:val="3"/>
            <w:tcBorders>
              <w:top w:val="single" w:sz="4" w:space="0" w:color="auto"/>
              <w:left w:val="nil"/>
              <w:bottom w:val="single" w:sz="4" w:space="0" w:color="auto"/>
              <w:right w:val="nil"/>
            </w:tcBorders>
            <w:vAlign w:val="center"/>
          </w:tcPr>
          <w:p w14:paraId="72012836" w14:textId="77777777" w:rsidR="008D1110" w:rsidRPr="00294D58" w:rsidRDefault="008D1110" w:rsidP="00C1393F">
            <w:pPr>
              <w:spacing w:after="0" w:line="276" w:lineRule="auto"/>
              <w:contextualSpacing/>
              <w:rPr>
                <w:rFonts w:cs="Arial"/>
                <w:sz w:val="20"/>
              </w:rPr>
            </w:pPr>
            <w:r w:rsidRPr="00294D58">
              <w:rPr>
                <w:rFonts w:cs="Arial"/>
                <w:sz w:val="20"/>
              </w:rPr>
              <w:t>OR [95% CI]</w:t>
            </w:r>
          </w:p>
        </w:tc>
        <w:tc>
          <w:tcPr>
            <w:tcW w:w="1560" w:type="dxa"/>
            <w:tcBorders>
              <w:top w:val="single" w:sz="4" w:space="0" w:color="auto"/>
              <w:left w:val="nil"/>
              <w:bottom w:val="single" w:sz="4" w:space="0" w:color="auto"/>
              <w:right w:val="nil"/>
            </w:tcBorders>
            <w:vAlign w:val="bottom"/>
          </w:tcPr>
          <w:p w14:paraId="31708346" w14:textId="77777777" w:rsidR="008D1110" w:rsidRPr="00294D58" w:rsidRDefault="008D1110" w:rsidP="00C1393F">
            <w:pPr>
              <w:spacing w:after="0" w:line="276" w:lineRule="auto"/>
              <w:contextualSpacing/>
              <w:rPr>
                <w:rFonts w:cs="Arial"/>
                <w:sz w:val="20"/>
              </w:rPr>
            </w:pPr>
            <w:r w:rsidRPr="00294D58">
              <w:rPr>
                <w:rFonts w:cs="Arial"/>
                <w:sz w:val="20"/>
              </w:rPr>
              <w:t>1.00 (Ref)</w:t>
            </w:r>
          </w:p>
        </w:tc>
        <w:tc>
          <w:tcPr>
            <w:tcW w:w="1842" w:type="dxa"/>
            <w:tcBorders>
              <w:top w:val="single" w:sz="4" w:space="0" w:color="auto"/>
              <w:left w:val="nil"/>
              <w:bottom w:val="single" w:sz="4" w:space="0" w:color="auto"/>
              <w:right w:val="nil"/>
            </w:tcBorders>
          </w:tcPr>
          <w:p w14:paraId="4468DE62" w14:textId="77777777" w:rsidR="008D1110" w:rsidRPr="00294D58" w:rsidRDefault="008D1110" w:rsidP="00C1393F">
            <w:pPr>
              <w:spacing w:after="0" w:line="276" w:lineRule="auto"/>
              <w:contextualSpacing/>
              <w:rPr>
                <w:rFonts w:cs="Arial"/>
                <w:sz w:val="20"/>
              </w:rPr>
            </w:pPr>
            <w:r w:rsidRPr="00294D58">
              <w:rPr>
                <w:rFonts w:cs="Arial"/>
                <w:sz w:val="20"/>
              </w:rPr>
              <w:t>1.</w:t>
            </w:r>
            <w:r w:rsidR="005C1EE1" w:rsidRPr="00294D58">
              <w:rPr>
                <w:rFonts w:cs="Arial"/>
                <w:sz w:val="20"/>
              </w:rPr>
              <w:t>75</w:t>
            </w:r>
            <w:r w:rsidRPr="00294D58">
              <w:rPr>
                <w:rFonts w:cs="Arial"/>
                <w:sz w:val="20"/>
              </w:rPr>
              <w:t xml:space="preserve"> [1.0</w:t>
            </w:r>
            <w:r w:rsidR="005C1EE1" w:rsidRPr="00294D58">
              <w:rPr>
                <w:rFonts w:cs="Arial"/>
                <w:sz w:val="20"/>
              </w:rPr>
              <w:t>7</w:t>
            </w:r>
            <w:r w:rsidRPr="00294D58">
              <w:rPr>
                <w:rFonts w:cs="Arial"/>
                <w:sz w:val="20"/>
              </w:rPr>
              <w:t>; 2.</w:t>
            </w:r>
            <w:r w:rsidR="005C1EE1" w:rsidRPr="00294D58">
              <w:rPr>
                <w:rFonts w:cs="Arial"/>
                <w:sz w:val="20"/>
              </w:rPr>
              <w:t>86</w:t>
            </w:r>
            <w:r w:rsidRPr="00294D58">
              <w:rPr>
                <w:rFonts w:cs="Arial"/>
                <w:sz w:val="20"/>
              </w:rPr>
              <w:t>]</w:t>
            </w:r>
          </w:p>
        </w:tc>
        <w:tc>
          <w:tcPr>
            <w:tcW w:w="993" w:type="dxa"/>
            <w:tcBorders>
              <w:top w:val="single" w:sz="4" w:space="0" w:color="auto"/>
              <w:left w:val="nil"/>
              <w:bottom w:val="single" w:sz="4" w:space="0" w:color="auto"/>
              <w:right w:val="nil"/>
            </w:tcBorders>
          </w:tcPr>
          <w:p w14:paraId="06283A29" w14:textId="77777777" w:rsidR="008D1110" w:rsidRPr="00294D58" w:rsidRDefault="008D1110" w:rsidP="00C1393F">
            <w:pPr>
              <w:spacing w:after="0" w:line="276" w:lineRule="auto"/>
              <w:contextualSpacing/>
              <w:jc w:val="center"/>
              <w:rPr>
                <w:rFonts w:cs="Arial"/>
                <w:sz w:val="20"/>
              </w:rPr>
            </w:pPr>
            <w:r w:rsidRPr="00294D58">
              <w:rPr>
                <w:rFonts w:cs="Arial"/>
                <w:sz w:val="20"/>
              </w:rPr>
              <w:t>0.</w:t>
            </w:r>
            <w:r w:rsidR="005C1EE1" w:rsidRPr="00294D58">
              <w:rPr>
                <w:rFonts w:cs="Arial"/>
                <w:sz w:val="20"/>
              </w:rPr>
              <w:t>025</w:t>
            </w:r>
          </w:p>
        </w:tc>
      </w:tr>
      <w:tr w:rsidR="00294D58" w:rsidRPr="00294D58" w14:paraId="5E97D05E" w14:textId="77777777" w:rsidTr="00C1393F">
        <w:tc>
          <w:tcPr>
            <w:tcW w:w="2694" w:type="dxa"/>
            <w:gridSpan w:val="4"/>
            <w:tcBorders>
              <w:top w:val="single" w:sz="4" w:space="0" w:color="auto"/>
              <w:bottom w:val="nil"/>
              <w:right w:val="nil"/>
            </w:tcBorders>
          </w:tcPr>
          <w:p w14:paraId="0A0C5FF7" w14:textId="77777777" w:rsidR="008D1110" w:rsidRPr="00294D58" w:rsidRDefault="008D1110" w:rsidP="00C1393F">
            <w:pPr>
              <w:spacing w:after="0" w:line="276" w:lineRule="auto"/>
              <w:contextualSpacing/>
              <w:rPr>
                <w:rFonts w:cs="Arial"/>
                <w:sz w:val="20"/>
              </w:rPr>
            </w:pPr>
            <w:r w:rsidRPr="00294D58">
              <w:rPr>
                <w:rFonts w:cs="Arial"/>
                <w:sz w:val="20"/>
              </w:rPr>
              <w:t>Limiting long-standing illness</w:t>
            </w:r>
          </w:p>
        </w:tc>
        <w:tc>
          <w:tcPr>
            <w:tcW w:w="1560" w:type="dxa"/>
            <w:tcBorders>
              <w:top w:val="single" w:sz="4" w:space="0" w:color="auto"/>
              <w:bottom w:val="nil"/>
            </w:tcBorders>
          </w:tcPr>
          <w:p w14:paraId="17CA3DCE" w14:textId="77777777" w:rsidR="008D1110" w:rsidRPr="00294D58" w:rsidRDefault="008D1110" w:rsidP="00C1393F">
            <w:pPr>
              <w:spacing w:after="0" w:line="276" w:lineRule="auto"/>
              <w:contextualSpacing/>
              <w:jc w:val="center"/>
              <w:rPr>
                <w:rFonts w:cs="Arial"/>
                <w:sz w:val="20"/>
              </w:rPr>
            </w:pPr>
          </w:p>
        </w:tc>
        <w:tc>
          <w:tcPr>
            <w:tcW w:w="1842" w:type="dxa"/>
            <w:tcBorders>
              <w:top w:val="single" w:sz="4" w:space="0" w:color="auto"/>
              <w:bottom w:val="nil"/>
            </w:tcBorders>
          </w:tcPr>
          <w:p w14:paraId="44B1CEB8" w14:textId="77777777" w:rsidR="008D1110" w:rsidRPr="00294D58" w:rsidRDefault="008D1110" w:rsidP="00C1393F">
            <w:pPr>
              <w:spacing w:after="0" w:line="276" w:lineRule="auto"/>
              <w:contextualSpacing/>
              <w:jc w:val="center"/>
              <w:rPr>
                <w:rFonts w:cs="Arial"/>
                <w:sz w:val="20"/>
              </w:rPr>
            </w:pPr>
          </w:p>
        </w:tc>
        <w:tc>
          <w:tcPr>
            <w:tcW w:w="993" w:type="dxa"/>
            <w:tcBorders>
              <w:top w:val="single" w:sz="4" w:space="0" w:color="auto"/>
              <w:bottom w:val="nil"/>
            </w:tcBorders>
          </w:tcPr>
          <w:p w14:paraId="74543C3C" w14:textId="77777777" w:rsidR="008D1110" w:rsidRPr="00294D58" w:rsidRDefault="008D1110" w:rsidP="00C1393F">
            <w:pPr>
              <w:spacing w:after="0" w:line="276" w:lineRule="auto"/>
              <w:contextualSpacing/>
              <w:jc w:val="center"/>
              <w:rPr>
                <w:rFonts w:cs="Arial"/>
                <w:sz w:val="20"/>
              </w:rPr>
            </w:pPr>
          </w:p>
        </w:tc>
      </w:tr>
      <w:tr w:rsidR="00294D58" w:rsidRPr="00294D58" w14:paraId="514BAC6D" w14:textId="77777777" w:rsidTr="00C1393F">
        <w:tc>
          <w:tcPr>
            <w:tcW w:w="283" w:type="dxa"/>
            <w:tcBorders>
              <w:top w:val="nil"/>
              <w:bottom w:val="nil"/>
              <w:right w:val="nil"/>
            </w:tcBorders>
          </w:tcPr>
          <w:p w14:paraId="012188AF" w14:textId="77777777" w:rsidR="008D1110" w:rsidRPr="00294D58" w:rsidRDefault="008D1110" w:rsidP="00C1393F">
            <w:pPr>
              <w:spacing w:after="0" w:line="276" w:lineRule="auto"/>
              <w:contextualSpacing/>
              <w:rPr>
                <w:rFonts w:cs="Arial"/>
                <w:sz w:val="20"/>
              </w:rPr>
            </w:pPr>
          </w:p>
        </w:tc>
        <w:tc>
          <w:tcPr>
            <w:tcW w:w="2411" w:type="dxa"/>
            <w:gridSpan w:val="3"/>
            <w:tcBorders>
              <w:top w:val="nil"/>
              <w:left w:val="nil"/>
              <w:bottom w:val="single" w:sz="4" w:space="0" w:color="auto"/>
              <w:right w:val="nil"/>
            </w:tcBorders>
            <w:vAlign w:val="center"/>
          </w:tcPr>
          <w:p w14:paraId="7E854F94" w14:textId="77777777" w:rsidR="008D1110" w:rsidRPr="00294D58" w:rsidRDefault="008D1110" w:rsidP="00C1393F">
            <w:pPr>
              <w:spacing w:after="0" w:line="276" w:lineRule="auto"/>
              <w:contextualSpacing/>
              <w:rPr>
                <w:rFonts w:cs="Arial"/>
                <w:sz w:val="20"/>
              </w:rPr>
            </w:pPr>
            <w:r w:rsidRPr="00294D58">
              <w:rPr>
                <w:rFonts w:cs="Arial"/>
                <w:sz w:val="20"/>
              </w:rPr>
              <w:t>% (SE)</w:t>
            </w:r>
          </w:p>
        </w:tc>
        <w:tc>
          <w:tcPr>
            <w:tcW w:w="1560" w:type="dxa"/>
            <w:tcBorders>
              <w:top w:val="nil"/>
              <w:left w:val="nil"/>
              <w:bottom w:val="single" w:sz="4" w:space="0" w:color="auto"/>
              <w:right w:val="nil"/>
            </w:tcBorders>
          </w:tcPr>
          <w:p w14:paraId="5B4ACED6" w14:textId="77777777" w:rsidR="008D1110" w:rsidRPr="00294D58" w:rsidRDefault="008D1110" w:rsidP="00C1393F">
            <w:pPr>
              <w:spacing w:after="0" w:line="276" w:lineRule="auto"/>
              <w:contextualSpacing/>
              <w:rPr>
                <w:rFonts w:cs="Arial"/>
                <w:sz w:val="20"/>
              </w:rPr>
            </w:pPr>
            <w:r w:rsidRPr="00294D58">
              <w:rPr>
                <w:rFonts w:cs="Arial"/>
                <w:sz w:val="20"/>
              </w:rPr>
              <w:t>33.5 (0.6)</w:t>
            </w:r>
          </w:p>
        </w:tc>
        <w:tc>
          <w:tcPr>
            <w:tcW w:w="1842" w:type="dxa"/>
            <w:tcBorders>
              <w:top w:val="nil"/>
              <w:left w:val="nil"/>
              <w:bottom w:val="single" w:sz="4" w:space="0" w:color="auto"/>
              <w:right w:val="nil"/>
            </w:tcBorders>
          </w:tcPr>
          <w:p w14:paraId="5FEDC6AD" w14:textId="77777777" w:rsidR="008D1110" w:rsidRPr="00294D58" w:rsidRDefault="008D1110" w:rsidP="00C1393F">
            <w:pPr>
              <w:spacing w:after="0" w:line="276" w:lineRule="auto"/>
              <w:contextualSpacing/>
              <w:rPr>
                <w:rFonts w:cs="Arial"/>
                <w:sz w:val="20"/>
              </w:rPr>
            </w:pPr>
            <w:r w:rsidRPr="00294D58">
              <w:rPr>
                <w:rFonts w:cs="Arial"/>
                <w:sz w:val="20"/>
              </w:rPr>
              <w:t>55.8 (4.7)</w:t>
            </w:r>
          </w:p>
        </w:tc>
        <w:tc>
          <w:tcPr>
            <w:tcW w:w="993" w:type="dxa"/>
            <w:tcBorders>
              <w:top w:val="nil"/>
              <w:left w:val="nil"/>
              <w:bottom w:val="single" w:sz="4" w:space="0" w:color="auto"/>
              <w:right w:val="nil"/>
            </w:tcBorders>
          </w:tcPr>
          <w:p w14:paraId="3FEBBA02"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2E614563" w14:textId="77777777" w:rsidTr="00C1393F">
        <w:tc>
          <w:tcPr>
            <w:tcW w:w="283" w:type="dxa"/>
            <w:tcBorders>
              <w:top w:val="nil"/>
              <w:bottom w:val="single" w:sz="4" w:space="0" w:color="auto"/>
              <w:right w:val="nil"/>
            </w:tcBorders>
          </w:tcPr>
          <w:p w14:paraId="5F22B94C" w14:textId="77777777" w:rsidR="008D1110" w:rsidRPr="00294D58" w:rsidRDefault="008D1110" w:rsidP="00C1393F">
            <w:pPr>
              <w:spacing w:after="0" w:line="276" w:lineRule="auto"/>
              <w:contextualSpacing/>
              <w:rPr>
                <w:rFonts w:cs="Arial"/>
                <w:sz w:val="20"/>
              </w:rPr>
            </w:pPr>
          </w:p>
        </w:tc>
        <w:tc>
          <w:tcPr>
            <w:tcW w:w="2411" w:type="dxa"/>
            <w:gridSpan w:val="3"/>
            <w:tcBorders>
              <w:top w:val="single" w:sz="4" w:space="0" w:color="auto"/>
              <w:left w:val="nil"/>
              <w:bottom w:val="single" w:sz="4" w:space="0" w:color="auto"/>
              <w:right w:val="nil"/>
            </w:tcBorders>
            <w:vAlign w:val="center"/>
          </w:tcPr>
          <w:p w14:paraId="522B816F" w14:textId="77777777" w:rsidR="008D1110" w:rsidRPr="00294D58" w:rsidRDefault="008D1110" w:rsidP="00C1393F">
            <w:pPr>
              <w:spacing w:after="0" w:line="276" w:lineRule="auto"/>
              <w:contextualSpacing/>
              <w:rPr>
                <w:rFonts w:cs="Arial"/>
                <w:sz w:val="20"/>
              </w:rPr>
            </w:pPr>
            <w:r w:rsidRPr="00294D58">
              <w:rPr>
                <w:rFonts w:cs="Arial"/>
                <w:sz w:val="20"/>
              </w:rPr>
              <w:t>OR [95% CI]</w:t>
            </w:r>
          </w:p>
        </w:tc>
        <w:tc>
          <w:tcPr>
            <w:tcW w:w="1560" w:type="dxa"/>
            <w:tcBorders>
              <w:top w:val="single" w:sz="4" w:space="0" w:color="auto"/>
              <w:left w:val="nil"/>
              <w:bottom w:val="single" w:sz="4" w:space="0" w:color="auto"/>
              <w:right w:val="nil"/>
            </w:tcBorders>
            <w:vAlign w:val="bottom"/>
          </w:tcPr>
          <w:p w14:paraId="6A115D95" w14:textId="77777777" w:rsidR="008D1110" w:rsidRPr="00294D58" w:rsidRDefault="008D1110" w:rsidP="00C1393F">
            <w:pPr>
              <w:spacing w:after="0" w:line="276" w:lineRule="auto"/>
              <w:contextualSpacing/>
              <w:rPr>
                <w:rFonts w:cs="Arial"/>
                <w:sz w:val="20"/>
              </w:rPr>
            </w:pPr>
            <w:r w:rsidRPr="00294D58">
              <w:rPr>
                <w:rFonts w:cs="Arial"/>
                <w:sz w:val="20"/>
              </w:rPr>
              <w:t>1.00 (Ref)</w:t>
            </w:r>
          </w:p>
        </w:tc>
        <w:tc>
          <w:tcPr>
            <w:tcW w:w="1842" w:type="dxa"/>
            <w:tcBorders>
              <w:top w:val="single" w:sz="4" w:space="0" w:color="auto"/>
              <w:left w:val="nil"/>
              <w:bottom w:val="single" w:sz="4" w:space="0" w:color="auto"/>
              <w:right w:val="nil"/>
            </w:tcBorders>
          </w:tcPr>
          <w:p w14:paraId="37400A4D" w14:textId="77777777" w:rsidR="008D1110" w:rsidRPr="00294D58" w:rsidRDefault="008D1110" w:rsidP="00C1393F">
            <w:pPr>
              <w:spacing w:after="0" w:line="276" w:lineRule="auto"/>
              <w:contextualSpacing/>
              <w:rPr>
                <w:rFonts w:cs="Arial"/>
                <w:sz w:val="20"/>
              </w:rPr>
            </w:pPr>
            <w:r w:rsidRPr="00294D58">
              <w:rPr>
                <w:rFonts w:cs="Arial"/>
                <w:sz w:val="20"/>
              </w:rPr>
              <w:t>2.</w:t>
            </w:r>
            <w:r w:rsidR="005C1EE1" w:rsidRPr="00294D58">
              <w:rPr>
                <w:rFonts w:cs="Arial"/>
                <w:sz w:val="20"/>
              </w:rPr>
              <w:t>66</w:t>
            </w:r>
            <w:r w:rsidRPr="00294D58">
              <w:rPr>
                <w:rFonts w:cs="Arial"/>
                <w:sz w:val="20"/>
              </w:rPr>
              <w:t xml:space="preserve"> [1.</w:t>
            </w:r>
            <w:r w:rsidR="005C1EE1" w:rsidRPr="00294D58">
              <w:rPr>
                <w:rFonts w:cs="Arial"/>
                <w:sz w:val="20"/>
              </w:rPr>
              <w:t>65</w:t>
            </w:r>
            <w:r w:rsidRPr="00294D58">
              <w:rPr>
                <w:rFonts w:cs="Arial"/>
                <w:sz w:val="20"/>
              </w:rPr>
              <w:t>; 4.</w:t>
            </w:r>
            <w:r w:rsidR="005C1EE1" w:rsidRPr="00294D58">
              <w:rPr>
                <w:rFonts w:cs="Arial"/>
                <w:sz w:val="20"/>
              </w:rPr>
              <w:t>30</w:t>
            </w:r>
            <w:r w:rsidRPr="00294D58">
              <w:rPr>
                <w:rFonts w:cs="Arial"/>
                <w:sz w:val="20"/>
              </w:rPr>
              <w:t>]</w:t>
            </w:r>
          </w:p>
        </w:tc>
        <w:tc>
          <w:tcPr>
            <w:tcW w:w="993" w:type="dxa"/>
            <w:tcBorders>
              <w:top w:val="single" w:sz="4" w:space="0" w:color="auto"/>
              <w:left w:val="nil"/>
              <w:bottom w:val="single" w:sz="4" w:space="0" w:color="auto"/>
              <w:right w:val="nil"/>
            </w:tcBorders>
          </w:tcPr>
          <w:p w14:paraId="2ED7F867" w14:textId="77777777" w:rsidR="008D1110" w:rsidRPr="00294D58" w:rsidRDefault="008D1110" w:rsidP="00C1393F">
            <w:pPr>
              <w:spacing w:after="0" w:line="276" w:lineRule="auto"/>
              <w:contextualSpacing/>
              <w:jc w:val="center"/>
              <w:rPr>
                <w:rFonts w:cs="Arial"/>
                <w:sz w:val="20"/>
              </w:rPr>
            </w:pPr>
            <w:r w:rsidRPr="00294D58">
              <w:rPr>
                <w:rFonts w:cs="Arial"/>
                <w:sz w:val="20"/>
              </w:rPr>
              <w:t>&lt;0.001</w:t>
            </w:r>
          </w:p>
        </w:tc>
      </w:tr>
      <w:tr w:rsidR="00294D58" w:rsidRPr="00294D58" w14:paraId="79323DE8" w14:textId="77777777" w:rsidTr="00C1393F">
        <w:tc>
          <w:tcPr>
            <w:tcW w:w="2694" w:type="dxa"/>
            <w:gridSpan w:val="4"/>
            <w:tcBorders>
              <w:top w:val="single" w:sz="4" w:space="0" w:color="auto"/>
              <w:bottom w:val="nil"/>
              <w:right w:val="nil"/>
            </w:tcBorders>
          </w:tcPr>
          <w:p w14:paraId="64AFA2C1" w14:textId="77777777" w:rsidR="008D1110" w:rsidRPr="00294D58" w:rsidRDefault="008D1110" w:rsidP="00C1393F">
            <w:pPr>
              <w:spacing w:after="0" w:line="276" w:lineRule="auto"/>
              <w:contextualSpacing/>
              <w:rPr>
                <w:rFonts w:cs="Arial"/>
                <w:sz w:val="20"/>
              </w:rPr>
            </w:pPr>
            <w:r w:rsidRPr="00294D58">
              <w:rPr>
                <w:rFonts w:cs="Arial"/>
                <w:sz w:val="20"/>
              </w:rPr>
              <w:t>Depressive symptoms above threshold</w:t>
            </w:r>
          </w:p>
        </w:tc>
        <w:tc>
          <w:tcPr>
            <w:tcW w:w="1560" w:type="dxa"/>
            <w:tcBorders>
              <w:top w:val="single" w:sz="4" w:space="0" w:color="auto"/>
              <w:bottom w:val="nil"/>
            </w:tcBorders>
          </w:tcPr>
          <w:p w14:paraId="4103C45E" w14:textId="77777777" w:rsidR="008D1110" w:rsidRPr="00294D58" w:rsidRDefault="008D1110" w:rsidP="00C1393F">
            <w:pPr>
              <w:spacing w:after="0" w:line="276" w:lineRule="auto"/>
              <w:contextualSpacing/>
              <w:rPr>
                <w:rFonts w:cs="Arial"/>
                <w:sz w:val="20"/>
              </w:rPr>
            </w:pPr>
          </w:p>
        </w:tc>
        <w:tc>
          <w:tcPr>
            <w:tcW w:w="1842" w:type="dxa"/>
            <w:tcBorders>
              <w:top w:val="single" w:sz="4" w:space="0" w:color="auto"/>
              <w:bottom w:val="nil"/>
            </w:tcBorders>
            <w:vAlign w:val="bottom"/>
          </w:tcPr>
          <w:p w14:paraId="48912676" w14:textId="77777777" w:rsidR="008D1110" w:rsidRPr="00294D58" w:rsidRDefault="008D1110" w:rsidP="00C1393F">
            <w:pPr>
              <w:spacing w:after="0" w:line="276" w:lineRule="auto"/>
              <w:contextualSpacing/>
              <w:rPr>
                <w:rFonts w:cs="Arial"/>
                <w:sz w:val="20"/>
              </w:rPr>
            </w:pPr>
          </w:p>
        </w:tc>
        <w:tc>
          <w:tcPr>
            <w:tcW w:w="993" w:type="dxa"/>
            <w:tcBorders>
              <w:top w:val="single" w:sz="4" w:space="0" w:color="auto"/>
              <w:bottom w:val="nil"/>
            </w:tcBorders>
          </w:tcPr>
          <w:p w14:paraId="037D4E51" w14:textId="77777777" w:rsidR="008D1110" w:rsidRPr="00294D58" w:rsidRDefault="008D1110" w:rsidP="00C1393F">
            <w:pPr>
              <w:spacing w:after="0" w:line="276" w:lineRule="auto"/>
              <w:contextualSpacing/>
              <w:jc w:val="center"/>
              <w:rPr>
                <w:rFonts w:cs="Arial"/>
                <w:sz w:val="20"/>
              </w:rPr>
            </w:pPr>
          </w:p>
        </w:tc>
      </w:tr>
      <w:tr w:rsidR="00294D58" w:rsidRPr="00294D58" w14:paraId="583F553C" w14:textId="77777777" w:rsidTr="00C1393F">
        <w:tc>
          <w:tcPr>
            <w:tcW w:w="283" w:type="dxa"/>
            <w:tcBorders>
              <w:top w:val="nil"/>
              <w:bottom w:val="nil"/>
              <w:right w:val="nil"/>
            </w:tcBorders>
          </w:tcPr>
          <w:p w14:paraId="177DEE3C" w14:textId="77777777" w:rsidR="008D1110" w:rsidRPr="00294D58" w:rsidRDefault="008D1110" w:rsidP="00C1393F">
            <w:pPr>
              <w:spacing w:after="0" w:line="276" w:lineRule="auto"/>
              <w:contextualSpacing/>
              <w:rPr>
                <w:rFonts w:cs="Arial"/>
                <w:sz w:val="20"/>
              </w:rPr>
            </w:pPr>
          </w:p>
        </w:tc>
        <w:tc>
          <w:tcPr>
            <w:tcW w:w="2411" w:type="dxa"/>
            <w:gridSpan w:val="3"/>
            <w:tcBorders>
              <w:top w:val="nil"/>
              <w:left w:val="nil"/>
              <w:bottom w:val="single" w:sz="4" w:space="0" w:color="auto"/>
              <w:right w:val="nil"/>
            </w:tcBorders>
            <w:vAlign w:val="center"/>
          </w:tcPr>
          <w:p w14:paraId="55293E80" w14:textId="77777777" w:rsidR="008D1110" w:rsidRPr="00294D58" w:rsidRDefault="008D1110" w:rsidP="00C1393F">
            <w:pPr>
              <w:spacing w:after="0" w:line="276" w:lineRule="auto"/>
              <w:contextualSpacing/>
              <w:rPr>
                <w:rFonts w:cs="Arial"/>
                <w:sz w:val="20"/>
              </w:rPr>
            </w:pPr>
            <w:r w:rsidRPr="00294D58">
              <w:rPr>
                <w:rFonts w:cs="Arial"/>
                <w:sz w:val="20"/>
              </w:rPr>
              <w:t>% (SE)</w:t>
            </w:r>
          </w:p>
        </w:tc>
        <w:tc>
          <w:tcPr>
            <w:tcW w:w="1560" w:type="dxa"/>
            <w:tcBorders>
              <w:top w:val="nil"/>
              <w:left w:val="nil"/>
              <w:bottom w:val="single" w:sz="4" w:space="0" w:color="auto"/>
              <w:right w:val="nil"/>
            </w:tcBorders>
          </w:tcPr>
          <w:p w14:paraId="2A4F9203" w14:textId="77777777" w:rsidR="008D1110" w:rsidRPr="00294D58" w:rsidRDefault="008D1110" w:rsidP="00C1393F">
            <w:pPr>
              <w:spacing w:after="0" w:line="276" w:lineRule="auto"/>
              <w:contextualSpacing/>
              <w:rPr>
                <w:rFonts w:cs="Arial"/>
                <w:sz w:val="20"/>
              </w:rPr>
            </w:pPr>
            <w:r w:rsidRPr="00294D58">
              <w:rPr>
                <w:rFonts w:cs="Arial"/>
                <w:sz w:val="20"/>
              </w:rPr>
              <w:t>13.0 (0.4)</w:t>
            </w:r>
          </w:p>
        </w:tc>
        <w:tc>
          <w:tcPr>
            <w:tcW w:w="1842" w:type="dxa"/>
            <w:tcBorders>
              <w:top w:val="nil"/>
              <w:left w:val="nil"/>
              <w:bottom w:val="single" w:sz="4" w:space="0" w:color="auto"/>
              <w:right w:val="nil"/>
            </w:tcBorders>
          </w:tcPr>
          <w:p w14:paraId="49A14AF1" w14:textId="77777777" w:rsidR="008D1110" w:rsidRPr="00294D58" w:rsidRDefault="008D1110" w:rsidP="00C1393F">
            <w:pPr>
              <w:spacing w:after="0" w:line="276" w:lineRule="auto"/>
              <w:contextualSpacing/>
              <w:rPr>
                <w:rFonts w:cs="Arial"/>
                <w:sz w:val="20"/>
              </w:rPr>
            </w:pPr>
            <w:r w:rsidRPr="00294D58">
              <w:rPr>
                <w:rFonts w:cs="Arial"/>
                <w:sz w:val="20"/>
              </w:rPr>
              <w:t>33.3 (3.5)</w:t>
            </w:r>
          </w:p>
        </w:tc>
        <w:tc>
          <w:tcPr>
            <w:tcW w:w="993" w:type="dxa"/>
            <w:tcBorders>
              <w:top w:val="nil"/>
              <w:left w:val="nil"/>
              <w:bottom w:val="single" w:sz="4" w:space="0" w:color="auto"/>
              <w:right w:val="nil"/>
            </w:tcBorders>
          </w:tcPr>
          <w:p w14:paraId="4BC4CED3"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2E89A074" w14:textId="77777777" w:rsidTr="00C1393F">
        <w:tc>
          <w:tcPr>
            <w:tcW w:w="283" w:type="dxa"/>
            <w:tcBorders>
              <w:top w:val="nil"/>
              <w:bottom w:val="single" w:sz="4" w:space="0" w:color="auto"/>
              <w:right w:val="nil"/>
            </w:tcBorders>
          </w:tcPr>
          <w:p w14:paraId="10B5BDCF" w14:textId="77777777" w:rsidR="008D1110" w:rsidRPr="00294D58" w:rsidRDefault="008D1110" w:rsidP="00C1393F">
            <w:pPr>
              <w:spacing w:after="0" w:line="276" w:lineRule="auto"/>
              <w:contextualSpacing/>
              <w:rPr>
                <w:rFonts w:cs="Arial"/>
                <w:sz w:val="20"/>
              </w:rPr>
            </w:pPr>
          </w:p>
        </w:tc>
        <w:tc>
          <w:tcPr>
            <w:tcW w:w="2411" w:type="dxa"/>
            <w:gridSpan w:val="3"/>
            <w:tcBorders>
              <w:top w:val="single" w:sz="4" w:space="0" w:color="auto"/>
              <w:left w:val="nil"/>
              <w:bottom w:val="single" w:sz="4" w:space="0" w:color="auto"/>
              <w:right w:val="nil"/>
            </w:tcBorders>
            <w:vAlign w:val="center"/>
          </w:tcPr>
          <w:p w14:paraId="273F6DF7" w14:textId="77777777" w:rsidR="008D1110" w:rsidRPr="00294D58" w:rsidRDefault="008D1110" w:rsidP="00C1393F">
            <w:pPr>
              <w:spacing w:after="0" w:line="276" w:lineRule="auto"/>
              <w:contextualSpacing/>
              <w:rPr>
                <w:rFonts w:cs="Arial"/>
                <w:sz w:val="20"/>
              </w:rPr>
            </w:pPr>
            <w:r w:rsidRPr="00294D58">
              <w:rPr>
                <w:rFonts w:cs="Arial"/>
                <w:sz w:val="20"/>
              </w:rPr>
              <w:t>OR [95% CI]</w:t>
            </w:r>
          </w:p>
        </w:tc>
        <w:tc>
          <w:tcPr>
            <w:tcW w:w="1560" w:type="dxa"/>
            <w:tcBorders>
              <w:top w:val="single" w:sz="4" w:space="0" w:color="auto"/>
              <w:left w:val="nil"/>
              <w:bottom w:val="single" w:sz="4" w:space="0" w:color="auto"/>
              <w:right w:val="nil"/>
            </w:tcBorders>
            <w:vAlign w:val="bottom"/>
          </w:tcPr>
          <w:p w14:paraId="476A664F" w14:textId="77777777" w:rsidR="008D1110" w:rsidRPr="00294D58" w:rsidRDefault="008D1110" w:rsidP="00C1393F">
            <w:pPr>
              <w:spacing w:after="0" w:line="276" w:lineRule="auto"/>
              <w:contextualSpacing/>
              <w:rPr>
                <w:rFonts w:cs="Arial"/>
                <w:sz w:val="20"/>
              </w:rPr>
            </w:pPr>
            <w:r w:rsidRPr="00294D58">
              <w:rPr>
                <w:rFonts w:cs="Arial"/>
                <w:sz w:val="20"/>
              </w:rPr>
              <w:t>1.00 (Ref)</w:t>
            </w:r>
          </w:p>
        </w:tc>
        <w:tc>
          <w:tcPr>
            <w:tcW w:w="1842" w:type="dxa"/>
            <w:tcBorders>
              <w:top w:val="single" w:sz="4" w:space="0" w:color="auto"/>
              <w:left w:val="nil"/>
              <w:bottom w:val="single" w:sz="4" w:space="0" w:color="auto"/>
              <w:right w:val="nil"/>
            </w:tcBorders>
          </w:tcPr>
          <w:p w14:paraId="57E3CCC6" w14:textId="77777777" w:rsidR="008D1110" w:rsidRPr="00294D58" w:rsidRDefault="008D1110" w:rsidP="00C1393F">
            <w:pPr>
              <w:spacing w:after="0" w:line="276" w:lineRule="auto"/>
              <w:contextualSpacing/>
              <w:rPr>
                <w:rFonts w:cs="Arial"/>
                <w:sz w:val="20"/>
              </w:rPr>
            </w:pPr>
            <w:r w:rsidRPr="00294D58">
              <w:rPr>
                <w:rFonts w:cs="Arial"/>
                <w:sz w:val="20"/>
              </w:rPr>
              <w:t>3.</w:t>
            </w:r>
            <w:r w:rsidR="005C1EE1" w:rsidRPr="00294D58">
              <w:rPr>
                <w:rFonts w:cs="Arial"/>
                <w:sz w:val="20"/>
              </w:rPr>
              <w:t>06</w:t>
            </w:r>
            <w:r w:rsidRPr="00294D58">
              <w:rPr>
                <w:rFonts w:cs="Arial"/>
                <w:sz w:val="20"/>
              </w:rPr>
              <w:t xml:space="preserve"> [</w:t>
            </w:r>
            <w:r w:rsidR="005C1EE1" w:rsidRPr="00294D58">
              <w:rPr>
                <w:rFonts w:cs="Arial"/>
                <w:sz w:val="20"/>
              </w:rPr>
              <w:t>1.85</w:t>
            </w:r>
            <w:r w:rsidRPr="00294D58">
              <w:rPr>
                <w:rFonts w:cs="Arial"/>
                <w:sz w:val="20"/>
              </w:rPr>
              <w:t>; 5.</w:t>
            </w:r>
            <w:r w:rsidR="005C1EE1" w:rsidRPr="00294D58">
              <w:rPr>
                <w:rFonts w:cs="Arial"/>
                <w:sz w:val="20"/>
              </w:rPr>
              <w:t>05</w:t>
            </w:r>
            <w:r w:rsidRPr="00294D58">
              <w:rPr>
                <w:rFonts w:cs="Arial"/>
                <w:sz w:val="20"/>
              </w:rPr>
              <w:t>]</w:t>
            </w:r>
          </w:p>
        </w:tc>
        <w:tc>
          <w:tcPr>
            <w:tcW w:w="993" w:type="dxa"/>
            <w:tcBorders>
              <w:top w:val="single" w:sz="4" w:space="0" w:color="auto"/>
              <w:left w:val="nil"/>
              <w:bottom w:val="single" w:sz="4" w:space="0" w:color="auto"/>
              <w:right w:val="nil"/>
            </w:tcBorders>
          </w:tcPr>
          <w:p w14:paraId="5933AD3B" w14:textId="77777777" w:rsidR="008D1110" w:rsidRPr="00294D58" w:rsidRDefault="008D1110" w:rsidP="00C1393F">
            <w:pPr>
              <w:spacing w:after="0" w:line="276" w:lineRule="auto"/>
              <w:contextualSpacing/>
              <w:jc w:val="center"/>
              <w:rPr>
                <w:rFonts w:cs="Arial"/>
                <w:sz w:val="20"/>
              </w:rPr>
            </w:pPr>
            <w:r w:rsidRPr="00294D58">
              <w:rPr>
                <w:rFonts w:cs="Arial"/>
                <w:sz w:val="20"/>
              </w:rPr>
              <w:t>&lt;0.001</w:t>
            </w:r>
          </w:p>
        </w:tc>
      </w:tr>
      <w:tr w:rsidR="00294D58" w:rsidRPr="00294D58" w14:paraId="5A5705E0" w14:textId="77777777" w:rsidTr="00C1393F">
        <w:tc>
          <w:tcPr>
            <w:tcW w:w="2694" w:type="dxa"/>
            <w:gridSpan w:val="4"/>
            <w:tcBorders>
              <w:top w:val="single" w:sz="4" w:space="0" w:color="auto"/>
              <w:bottom w:val="nil"/>
              <w:right w:val="nil"/>
            </w:tcBorders>
          </w:tcPr>
          <w:p w14:paraId="70DD4AD2" w14:textId="77777777" w:rsidR="008D1110" w:rsidRPr="00294D58" w:rsidRDefault="008D1110" w:rsidP="00C1393F">
            <w:pPr>
              <w:spacing w:after="0" w:line="276" w:lineRule="auto"/>
              <w:contextualSpacing/>
              <w:rPr>
                <w:rFonts w:cs="Arial"/>
                <w:sz w:val="20"/>
              </w:rPr>
            </w:pPr>
            <w:r w:rsidRPr="00294D58">
              <w:rPr>
                <w:rFonts w:cs="Arial"/>
                <w:sz w:val="20"/>
              </w:rPr>
              <w:t>Life satisfaction</w:t>
            </w:r>
          </w:p>
        </w:tc>
        <w:tc>
          <w:tcPr>
            <w:tcW w:w="1560" w:type="dxa"/>
            <w:tcBorders>
              <w:top w:val="single" w:sz="4" w:space="0" w:color="auto"/>
              <w:bottom w:val="nil"/>
            </w:tcBorders>
          </w:tcPr>
          <w:p w14:paraId="748C3B78" w14:textId="77777777" w:rsidR="008D1110" w:rsidRPr="00294D58" w:rsidRDefault="008D1110" w:rsidP="00C1393F">
            <w:pPr>
              <w:spacing w:after="0" w:line="276" w:lineRule="auto"/>
              <w:contextualSpacing/>
              <w:rPr>
                <w:rFonts w:cs="Arial"/>
                <w:sz w:val="20"/>
              </w:rPr>
            </w:pPr>
          </w:p>
        </w:tc>
        <w:tc>
          <w:tcPr>
            <w:tcW w:w="1842" w:type="dxa"/>
            <w:tcBorders>
              <w:top w:val="single" w:sz="4" w:space="0" w:color="auto"/>
              <w:bottom w:val="nil"/>
            </w:tcBorders>
            <w:vAlign w:val="bottom"/>
          </w:tcPr>
          <w:p w14:paraId="42D25B10" w14:textId="77777777" w:rsidR="008D1110" w:rsidRPr="00294D58" w:rsidRDefault="008D1110" w:rsidP="00C1393F">
            <w:pPr>
              <w:spacing w:after="0" w:line="276" w:lineRule="auto"/>
              <w:contextualSpacing/>
              <w:rPr>
                <w:rFonts w:cs="Arial"/>
                <w:sz w:val="20"/>
              </w:rPr>
            </w:pPr>
          </w:p>
        </w:tc>
        <w:tc>
          <w:tcPr>
            <w:tcW w:w="993" w:type="dxa"/>
            <w:tcBorders>
              <w:top w:val="single" w:sz="4" w:space="0" w:color="auto"/>
              <w:bottom w:val="nil"/>
            </w:tcBorders>
          </w:tcPr>
          <w:p w14:paraId="1AFC4104" w14:textId="77777777" w:rsidR="008D1110" w:rsidRPr="00294D58" w:rsidRDefault="008D1110" w:rsidP="00C1393F">
            <w:pPr>
              <w:spacing w:after="0" w:line="276" w:lineRule="auto"/>
              <w:contextualSpacing/>
              <w:jc w:val="center"/>
              <w:rPr>
                <w:rFonts w:cs="Arial"/>
                <w:sz w:val="20"/>
              </w:rPr>
            </w:pPr>
          </w:p>
        </w:tc>
      </w:tr>
      <w:tr w:rsidR="00294D58" w:rsidRPr="00294D58" w14:paraId="22433A1A" w14:textId="77777777" w:rsidTr="00C1393F">
        <w:tc>
          <w:tcPr>
            <w:tcW w:w="283" w:type="dxa"/>
            <w:tcBorders>
              <w:top w:val="nil"/>
              <w:bottom w:val="nil"/>
              <w:right w:val="nil"/>
            </w:tcBorders>
          </w:tcPr>
          <w:p w14:paraId="578950E5" w14:textId="77777777" w:rsidR="008D1110" w:rsidRPr="00294D58" w:rsidRDefault="008D1110" w:rsidP="00C1393F">
            <w:pPr>
              <w:spacing w:after="0" w:line="276" w:lineRule="auto"/>
              <w:contextualSpacing/>
              <w:rPr>
                <w:rFonts w:cs="Arial"/>
                <w:sz w:val="20"/>
              </w:rPr>
            </w:pPr>
          </w:p>
        </w:tc>
        <w:tc>
          <w:tcPr>
            <w:tcW w:w="2411" w:type="dxa"/>
            <w:gridSpan w:val="3"/>
            <w:tcBorders>
              <w:top w:val="nil"/>
              <w:left w:val="nil"/>
              <w:bottom w:val="single" w:sz="4" w:space="0" w:color="auto"/>
              <w:right w:val="nil"/>
            </w:tcBorders>
            <w:vAlign w:val="center"/>
          </w:tcPr>
          <w:p w14:paraId="49F137F5" w14:textId="77777777" w:rsidR="008D1110" w:rsidRPr="00294D58" w:rsidRDefault="008D1110" w:rsidP="00C1393F">
            <w:pPr>
              <w:spacing w:after="0" w:line="276" w:lineRule="auto"/>
              <w:contextualSpacing/>
              <w:rPr>
                <w:rFonts w:cs="Arial"/>
                <w:sz w:val="20"/>
              </w:rPr>
            </w:pPr>
            <w:r w:rsidRPr="00294D58">
              <w:rPr>
                <w:rFonts w:cs="Arial"/>
                <w:sz w:val="20"/>
              </w:rPr>
              <w:t>Mean score (SE)</w:t>
            </w:r>
          </w:p>
        </w:tc>
        <w:tc>
          <w:tcPr>
            <w:tcW w:w="1560" w:type="dxa"/>
            <w:tcBorders>
              <w:top w:val="nil"/>
              <w:left w:val="nil"/>
              <w:bottom w:val="single" w:sz="4" w:space="0" w:color="auto"/>
              <w:right w:val="nil"/>
            </w:tcBorders>
            <w:vAlign w:val="bottom"/>
          </w:tcPr>
          <w:p w14:paraId="45FC98E1" w14:textId="77777777" w:rsidR="008D1110" w:rsidRPr="00294D58" w:rsidRDefault="008D1110" w:rsidP="00C1393F">
            <w:pPr>
              <w:spacing w:after="0" w:line="276" w:lineRule="auto"/>
              <w:contextualSpacing/>
              <w:rPr>
                <w:rFonts w:cs="Arial"/>
                <w:sz w:val="20"/>
              </w:rPr>
            </w:pPr>
            <w:r w:rsidRPr="00294D58">
              <w:rPr>
                <w:rFonts w:cs="Arial"/>
                <w:sz w:val="20"/>
              </w:rPr>
              <w:t>19.96 (0.1)</w:t>
            </w:r>
          </w:p>
        </w:tc>
        <w:tc>
          <w:tcPr>
            <w:tcW w:w="1842" w:type="dxa"/>
            <w:tcBorders>
              <w:top w:val="nil"/>
              <w:left w:val="nil"/>
              <w:bottom w:val="single" w:sz="4" w:space="0" w:color="auto"/>
              <w:right w:val="nil"/>
            </w:tcBorders>
          </w:tcPr>
          <w:p w14:paraId="0681D8A4" w14:textId="77777777" w:rsidR="008D1110" w:rsidRPr="00294D58" w:rsidRDefault="008D1110" w:rsidP="00C1393F">
            <w:pPr>
              <w:spacing w:after="0" w:line="276" w:lineRule="auto"/>
              <w:contextualSpacing/>
              <w:rPr>
                <w:rFonts w:cs="Arial"/>
                <w:sz w:val="20"/>
              </w:rPr>
            </w:pPr>
            <w:r w:rsidRPr="00294D58">
              <w:rPr>
                <w:rFonts w:cs="Arial"/>
                <w:sz w:val="20"/>
              </w:rPr>
              <w:t>17.34 (0.7)</w:t>
            </w:r>
          </w:p>
        </w:tc>
        <w:tc>
          <w:tcPr>
            <w:tcW w:w="993" w:type="dxa"/>
            <w:tcBorders>
              <w:top w:val="nil"/>
              <w:left w:val="nil"/>
              <w:bottom w:val="single" w:sz="4" w:space="0" w:color="auto"/>
              <w:right w:val="nil"/>
            </w:tcBorders>
          </w:tcPr>
          <w:p w14:paraId="3E60CA72"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2923D7DE" w14:textId="77777777" w:rsidTr="00C1393F">
        <w:tc>
          <w:tcPr>
            <w:tcW w:w="283" w:type="dxa"/>
            <w:tcBorders>
              <w:top w:val="nil"/>
              <w:bottom w:val="single" w:sz="4" w:space="0" w:color="auto"/>
              <w:right w:val="nil"/>
            </w:tcBorders>
          </w:tcPr>
          <w:p w14:paraId="0818C440" w14:textId="77777777" w:rsidR="008D1110" w:rsidRPr="00294D58" w:rsidRDefault="008D1110" w:rsidP="00C1393F">
            <w:pPr>
              <w:spacing w:after="0" w:line="276" w:lineRule="auto"/>
              <w:contextualSpacing/>
              <w:rPr>
                <w:rFonts w:cs="Arial"/>
                <w:sz w:val="20"/>
              </w:rPr>
            </w:pPr>
          </w:p>
        </w:tc>
        <w:tc>
          <w:tcPr>
            <w:tcW w:w="2411" w:type="dxa"/>
            <w:gridSpan w:val="3"/>
            <w:tcBorders>
              <w:top w:val="single" w:sz="4" w:space="0" w:color="auto"/>
              <w:left w:val="nil"/>
              <w:bottom w:val="single" w:sz="4" w:space="0" w:color="auto"/>
              <w:right w:val="nil"/>
            </w:tcBorders>
            <w:vAlign w:val="center"/>
          </w:tcPr>
          <w:p w14:paraId="392D85B2" w14:textId="77777777" w:rsidR="008D1110" w:rsidRPr="00294D58" w:rsidRDefault="00821C08" w:rsidP="00C1393F">
            <w:pPr>
              <w:spacing w:after="0" w:line="276" w:lineRule="auto"/>
              <w:contextualSpacing/>
              <w:rPr>
                <w:rFonts w:cs="Arial"/>
                <w:sz w:val="20"/>
              </w:rPr>
            </w:pPr>
            <w:proofErr w:type="spellStart"/>
            <w:r w:rsidRPr="00294D58">
              <w:rPr>
                <w:rFonts w:cs="Arial"/>
                <w:sz w:val="20"/>
              </w:rPr>
              <w:t>C</w:t>
            </w:r>
            <w:r w:rsidR="008D1110" w:rsidRPr="00294D58">
              <w:rPr>
                <w:rFonts w:cs="Arial"/>
                <w:sz w:val="20"/>
              </w:rPr>
              <w:t>oeff</w:t>
            </w:r>
            <w:proofErr w:type="spellEnd"/>
            <w:r w:rsidR="008D1110" w:rsidRPr="00294D58">
              <w:rPr>
                <w:rFonts w:cs="Arial"/>
                <w:sz w:val="20"/>
              </w:rPr>
              <w:t>. [95% CI]</w:t>
            </w:r>
          </w:p>
        </w:tc>
        <w:tc>
          <w:tcPr>
            <w:tcW w:w="1560" w:type="dxa"/>
            <w:tcBorders>
              <w:top w:val="single" w:sz="4" w:space="0" w:color="auto"/>
              <w:left w:val="nil"/>
              <w:bottom w:val="single" w:sz="4" w:space="0" w:color="auto"/>
              <w:right w:val="nil"/>
            </w:tcBorders>
            <w:vAlign w:val="bottom"/>
          </w:tcPr>
          <w:p w14:paraId="226ECB38" w14:textId="77777777" w:rsidR="008D1110" w:rsidRPr="00294D58" w:rsidRDefault="008D1110" w:rsidP="00C1393F">
            <w:pPr>
              <w:spacing w:after="0" w:line="276" w:lineRule="auto"/>
              <w:contextualSpacing/>
              <w:rPr>
                <w:rFonts w:cs="Arial"/>
                <w:sz w:val="20"/>
              </w:rPr>
            </w:pPr>
            <w:r w:rsidRPr="00294D58">
              <w:rPr>
                <w:rFonts w:cs="Arial"/>
                <w:sz w:val="20"/>
              </w:rPr>
              <w:t>Ref</w:t>
            </w:r>
          </w:p>
        </w:tc>
        <w:tc>
          <w:tcPr>
            <w:tcW w:w="1842" w:type="dxa"/>
            <w:tcBorders>
              <w:top w:val="single" w:sz="4" w:space="0" w:color="auto"/>
              <w:left w:val="nil"/>
              <w:bottom w:val="single" w:sz="4" w:space="0" w:color="auto"/>
              <w:right w:val="nil"/>
            </w:tcBorders>
          </w:tcPr>
          <w:p w14:paraId="0F76D6BF" w14:textId="77777777" w:rsidR="008D1110" w:rsidRPr="00294D58" w:rsidRDefault="008D1110" w:rsidP="00C1393F">
            <w:pPr>
              <w:spacing w:after="0" w:line="276" w:lineRule="auto"/>
              <w:contextualSpacing/>
              <w:rPr>
                <w:rFonts w:cs="Arial"/>
                <w:sz w:val="20"/>
              </w:rPr>
            </w:pPr>
            <w:r w:rsidRPr="00294D58">
              <w:rPr>
                <w:rFonts w:cs="Arial"/>
                <w:sz w:val="20"/>
              </w:rPr>
              <w:t>-2.78 [-4.18; -1.37]</w:t>
            </w:r>
          </w:p>
        </w:tc>
        <w:tc>
          <w:tcPr>
            <w:tcW w:w="993" w:type="dxa"/>
            <w:tcBorders>
              <w:top w:val="single" w:sz="4" w:space="0" w:color="auto"/>
              <w:left w:val="nil"/>
              <w:bottom w:val="single" w:sz="4" w:space="0" w:color="auto"/>
              <w:right w:val="nil"/>
            </w:tcBorders>
          </w:tcPr>
          <w:p w14:paraId="5D192817" w14:textId="77777777" w:rsidR="008D1110" w:rsidRPr="00294D58" w:rsidRDefault="008D1110" w:rsidP="00C1393F">
            <w:pPr>
              <w:spacing w:after="0" w:line="276" w:lineRule="auto"/>
              <w:contextualSpacing/>
              <w:jc w:val="center"/>
              <w:rPr>
                <w:rFonts w:cs="Arial"/>
                <w:sz w:val="20"/>
              </w:rPr>
            </w:pPr>
            <w:r w:rsidRPr="00294D58">
              <w:rPr>
                <w:rFonts w:cs="Arial"/>
                <w:sz w:val="20"/>
              </w:rPr>
              <w:t>&lt;0.001</w:t>
            </w:r>
          </w:p>
        </w:tc>
      </w:tr>
      <w:tr w:rsidR="00294D58" w:rsidRPr="00294D58" w14:paraId="0AEDCD96" w14:textId="77777777" w:rsidTr="00C1393F">
        <w:tc>
          <w:tcPr>
            <w:tcW w:w="2694" w:type="dxa"/>
            <w:gridSpan w:val="4"/>
            <w:tcBorders>
              <w:top w:val="single" w:sz="4" w:space="0" w:color="auto"/>
              <w:bottom w:val="nil"/>
              <w:right w:val="nil"/>
            </w:tcBorders>
          </w:tcPr>
          <w:p w14:paraId="5F1D2D7F" w14:textId="77777777" w:rsidR="008D1110" w:rsidRPr="00294D58" w:rsidRDefault="008D1110" w:rsidP="00C1393F">
            <w:pPr>
              <w:spacing w:after="0" w:line="276" w:lineRule="auto"/>
              <w:contextualSpacing/>
              <w:rPr>
                <w:rFonts w:cs="Arial"/>
                <w:sz w:val="20"/>
              </w:rPr>
            </w:pPr>
            <w:r w:rsidRPr="00294D58">
              <w:rPr>
                <w:rFonts w:cs="Arial"/>
                <w:sz w:val="20"/>
              </w:rPr>
              <w:t>Quality of life</w:t>
            </w:r>
          </w:p>
        </w:tc>
        <w:tc>
          <w:tcPr>
            <w:tcW w:w="1560" w:type="dxa"/>
            <w:tcBorders>
              <w:top w:val="single" w:sz="4" w:space="0" w:color="auto"/>
              <w:bottom w:val="nil"/>
            </w:tcBorders>
          </w:tcPr>
          <w:p w14:paraId="7D6756C5" w14:textId="77777777" w:rsidR="008D1110" w:rsidRPr="00294D58" w:rsidRDefault="008D1110" w:rsidP="00C1393F">
            <w:pPr>
              <w:spacing w:after="0" w:line="276" w:lineRule="auto"/>
              <w:contextualSpacing/>
              <w:rPr>
                <w:rFonts w:cs="Arial"/>
                <w:sz w:val="20"/>
              </w:rPr>
            </w:pPr>
          </w:p>
        </w:tc>
        <w:tc>
          <w:tcPr>
            <w:tcW w:w="1842" w:type="dxa"/>
            <w:tcBorders>
              <w:top w:val="single" w:sz="4" w:space="0" w:color="auto"/>
              <w:bottom w:val="nil"/>
            </w:tcBorders>
            <w:vAlign w:val="bottom"/>
          </w:tcPr>
          <w:p w14:paraId="0078CA84" w14:textId="77777777" w:rsidR="008D1110" w:rsidRPr="00294D58" w:rsidRDefault="008D1110" w:rsidP="00C1393F">
            <w:pPr>
              <w:spacing w:after="0" w:line="276" w:lineRule="auto"/>
              <w:contextualSpacing/>
              <w:rPr>
                <w:rFonts w:cs="Arial"/>
                <w:sz w:val="20"/>
              </w:rPr>
            </w:pPr>
          </w:p>
        </w:tc>
        <w:tc>
          <w:tcPr>
            <w:tcW w:w="993" w:type="dxa"/>
            <w:tcBorders>
              <w:top w:val="single" w:sz="4" w:space="0" w:color="auto"/>
              <w:bottom w:val="nil"/>
            </w:tcBorders>
          </w:tcPr>
          <w:p w14:paraId="34FDE2AD" w14:textId="77777777" w:rsidR="008D1110" w:rsidRPr="00294D58" w:rsidRDefault="008D1110" w:rsidP="00C1393F">
            <w:pPr>
              <w:spacing w:after="0" w:line="276" w:lineRule="auto"/>
              <w:contextualSpacing/>
              <w:jc w:val="center"/>
              <w:rPr>
                <w:rFonts w:cs="Arial"/>
                <w:sz w:val="20"/>
              </w:rPr>
            </w:pPr>
          </w:p>
        </w:tc>
      </w:tr>
      <w:tr w:rsidR="00294D58" w:rsidRPr="00294D58" w14:paraId="0D0C8816" w14:textId="77777777" w:rsidTr="00C1393F">
        <w:tc>
          <w:tcPr>
            <w:tcW w:w="283" w:type="dxa"/>
            <w:tcBorders>
              <w:top w:val="nil"/>
              <w:bottom w:val="nil"/>
              <w:right w:val="nil"/>
            </w:tcBorders>
          </w:tcPr>
          <w:p w14:paraId="5FF49E16" w14:textId="77777777" w:rsidR="008D1110" w:rsidRPr="00294D58" w:rsidRDefault="008D1110" w:rsidP="00C1393F">
            <w:pPr>
              <w:spacing w:after="0" w:line="276" w:lineRule="auto"/>
              <w:contextualSpacing/>
              <w:rPr>
                <w:rFonts w:cs="Arial"/>
                <w:sz w:val="20"/>
              </w:rPr>
            </w:pPr>
          </w:p>
        </w:tc>
        <w:tc>
          <w:tcPr>
            <w:tcW w:w="2411" w:type="dxa"/>
            <w:gridSpan w:val="3"/>
            <w:tcBorders>
              <w:top w:val="nil"/>
              <w:left w:val="nil"/>
              <w:bottom w:val="single" w:sz="4" w:space="0" w:color="auto"/>
              <w:right w:val="nil"/>
            </w:tcBorders>
            <w:vAlign w:val="center"/>
          </w:tcPr>
          <w:p w14:paraId="4661A917" w14:textId="77777777" w:rsidR="008D1110" w:rsidRPr="00294D58" w:rsidRDefault="008D1110" w:rsidP="00C1393F">
            <w:pPr>
              <w:spacing w:after="0" w:line="276" w:lineRule="auto"/>
              <w:contextualSpacing/>
              <w:rPr>
                <w:rFonts w:cs="Arial"/>
                <w:sz w:val="20"/>
              </w:rPr>
            </w:pPr>
            <w:r w:rsidRPr="00294D58">
              <w:rPr>
                <w:rFonts w:cs="Arial"/>
                <w:sz w:val="20"/>
              </w:rPr>
              <w:t>Mean score (SE)</w:t>
            </w:r>
          </w:p>
        </w:tc>
        <w:tc>
          <w:tcPr>
            <w:tcW w:w="1560" w:type="dxa"/>
            <w:tcBorders>
              <w:top w:val="nil"/>
              <w:left w:val="nil"/>
              <w:bottom w:val="single" w:sz="4" w:space="0" w:color="auto"/>
              <w:right w:val="nil"/>
            </w:tcBorders>
            <w:vAlign w:val="bottom"/>
          </w:tcPr>
          <w:p w14:paraId="2BA0B983" w14:textId="77777777" w:rsidR="008D1110" w:rsidRPr="00294D58" w:rsidRDefault="008D1110" w:rsidP="00C1393F">
            <w:pPr>
              <w:spacing w:after="0" w:line="276" w:lineRule="auto"/>
              <w:contextualSpacing/>
              <w:rPr>
                <w:rFonts w:cs="Arial"/>
                <w:sz w:val="20"/>
              </w:rPr>
            </w:pPr>
            <w:r w:rsidRPr="00294D58">
              <w:rPr>
                <w:rFonts w:cs="Arial"/>
                <w:sz w:val="20"/>
              </w:rPr>
              <w:t>41.21 (0.1)</w:t>
            </w:r>
          </w:p>
        </w:tc>
        <w:tc>
          <w:tcPr>
            <w:tcW w:w="1842" w:type="dxa"/>
            <w:tcBorders>
              <w:top w:val="nil"/>
              <w:left w:val="nil"/>
              <w:bottom w:val="single" w:sz="4" w:space="0" w:color="auto"/>
              <w:right w:val="nil"/>
            </w:tcBorders>
          </w:tcPr>
          <w:p w14:paraId="4FF9AE7B" w14:textId="77777777" w:rsidR="008D1110" w:rsidRPr="00294D58" w:rsidRDefault="008D1110" w:rsidP="00C1393F">
            <w:pPr>
              <w:spacing w:after="0" w:line="276" w:lineRule="auto"/>
              <w:contextualSpacing/>
              <w:rPr>
                <w:rFonts w:cs="Arial"/>
                <w:sz w:val="20"/>
              </w:rPr>
            </w:pPr>
            <w:r w:rsidRPr="00294D58">
              <w:rPr>
                <w:rFonts w:cs="Arial"/>
                <w:sz w:val="20"/>
              </w:rPr>
              <w:t>39.02 (0.9)</w:t>
            </w:r>
          </w:p>
        </w:tc>
        <w:tc>
          <w:tcPr>
            <w:tcW w:w="993" w:type="dxa"/>
            <w:tcBorders>
              <w:top w:val="nil"/>
              <w:left w:val="nil"/>
              <w:bottom w:val="single" w:sz="4" w:space="0" w:color="auto"/>
              <w:right w:val="nil"/>
            </w:tcBorders>
          </w:tcPr>
          <w:p w14:paraId="38A780FF"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15BE32DD" w14:textId="77777777" w:rsidTr="00C1393F">
        <w:tc>
          <w:tcPr>
            <w:tcW w:w="283" w:type="dxa"/>
            <w:tcBorders>
              <w:top w:val="nil"/>
              <w:bottom w:val="single" w:sz="4" w:space="0" w:color="auto"/>
              <w:right w:val="nil"/>
            </w:tcBorders>
          </w:tcPr>
          <w:p w14:paraId="34CD787A" w14:textId="77777777" w:rsidR="008D1110" w:rsidRPr="00294D58" w:rsidRDefault="008D1110" w:rsidP="00C1393F">
            <w:pPr>
              <w:spacing w:after="0" w:line="276" w:lineRule="auto"/>
              <w:contextualSpacing/>
              <w:rPr>
                <w:rFonts w:cs="Arial"/>
                <w:sz w:val="20"/>
              </w:rPr>
            </w:pPr>
          </w:p>
        </w:tc>
        <w:tc>
          <w:tcPr>
            <w:tcW w:w="2411" w:type="dxa"/>
            <w:gridSpan w:val="3"/>
            <w:tcBorders>
              <w:top w:val="single" w:sz="4" w:space="0" w:color="auto"/>
              <w:left w:val="nil"/>
              <w:bottom w:val="single" w:sz="4" w:space="0" w:color="auto"/>
              <w:right w:val="nil"/>
            </w:tcBorders>
            <w:vAlign w:val="center"/>
          </w:tcPr>
          <w:p w14:paraId="4993BAE9" w14:textId="77777777" w:rsidR="008D1110" w:rsidRPr="00294D58" w:rsidRDefault="00821C08" w:rsidP="00C1393F">
            <w:pPr>
              <w:spacing w:after="0" w:line="276" w:lineRule="auto"/>
              <w:contextualSpacing/>
              <w:rPr>
                <w:rFonts w:cs="Arial"/>
                <w:sz w:val="20"/>
              </w:rPr>
            </w:pPr>
            <w:proofErr w:type="spellStart"/>
            <w:r w:rsidRPr="00294D58">
              <w:rPr>
                <w:rFonts w:cs="Arial"/>
                <w:sz w:val="20"/>
              </w:rPr>
              <w:t>C</w:t>
            </w:r>
            <w:r w:rsidR="008D1110" w:rsidRPr="00294D58">
              <w:rPr>
                <w:rFonts w:cs="Arial"/>
                <w:sz w:val="20"/>
              </w:rPr>
              <w:t>oeff</w:t>
            </w:r>
            <w:proofErr w:type="spellEnd"/>
            <w:r w:rsidR="008D1110" w:rsidRPr="00294D58">
              <w:rPr>
                <w:rFonts w:cs="Arial"/>
                <w:sz w:val="20"/>
              </w:rPr>
              <w:t>. [95% CI]</w:t>
            </w:r>
          </w:p>
        </w:tc>
        <w:tc>
          <w:tcPr>
            <w:tcW w:w="1560" w:type="dxa"/>
            <w:tcBorders>
              <w:top w:val="single" w:sz="4" w:space="0" w:color="auto"/>
              <w:left w:val="nil"/>
              <w:bottom w:val="single" w:sz="4" w:space="0" w:color="auto"/>
              <w:right w:val="nil"/>
            </w:tcBorders>
            <w:vAlign w:val="bottom"/>
          </w:tcPr>
          <w:p w14:paraId="43764746" w14:textId="77777777" w:rsidR="008D1110" w:rsidRPr="00294D58" w:rsidRDefault="008D1110" w:rsidP="00C1393F">
            <w:pPr>
              <w:spacing w:after="0" w:line="276" w:lineRule="auto"/>
              <w:contextualSpacing/>
              <w:rPr>
                <w:rFonts w:cs="Arial"/>
                <w:sz w:val="20"/>
              </w:rPr>
            </w:pPr>
            <w:r w:rsidRPr="00294D58">
              <w:rPr>
                <w:rFonts w:cs="Arial"/>
                <w:sz w:val="20"/>
              </w:rPr>
              <w:t>Ref</w:t>
            </w:r>
          </w:p>
        </w:tc>
        <w:tc>
          <w:tcPr>
            <w:tcW w:w="1842" w:type="dxa"/>
            <w:tcBorders>
              <w:top w:val="single" w:sz="4" w:space="0" w:color="auto"/>
              <w:left w:val="nil"/>
              <w:bottom w:val="single" w:sz="4" w:space="0" w:color="auto"/>
              <w:right w:val="nil"/>
            </w:tcBorders>
          </w:tcPr>
          <w:p w14:paraId="2B991EF9" w14:textId="77777777" w:rsidR="008D1110" w:rsidRPr="00294D58" w:rsidRDefault="008D1110" w:rsidP="00C1393F">
            <w:pPr>
              <w:spacing w:after="0" w:line="276" w:lineRule="auto"/>
              <w:contextualSpacing/>
              <w:rPr>
                <w:rFonts w:cs="Arial"/>
                <w:sz w:val="20"/>
              </w:rPr>
            </w:pPr>
            <w:r w:rsidRPr="00294D58">
              <w:rPr>
                <w:rFonts w:cs="Arial"/>
                <w:sz w:val="20"/>
              </w:rPr>
              <w:t>-2.25 [-4.03; -0.47]</w:t>
            </w:r>
          </w:p>
        </w:tc>
        <w:tc>
          <w:tcPr>
            <w:tcW w:w="993" w:type="dxa"/>
            <w:tcBorders>
              <w:top w:val="single" w:sz="4" w:space="0" w:color="auto"/>
              <w:left w:val="nil"/>
              <w:bottom w:val="single" w:sz="4" w:space="0" w:color="auto"/>
              <w:right w:val="nil"/>
            </w:tcBorders>
          </w:tcPr>
          <w:p w14:paraId="2C46086E" w14:textId="77777777" w:rsidR="008D1110" w:rsidRPr="00294D58" w:rsidRDefault="008D1110" w:rsidP="00C1393F">
            <w:pPr>
              <w:spacing w:after="0" w:line="276" w:lineRule="auto"/>
              <w:contextualSpacing/>
              <w:jc w:val="center"/>
              <w:rPr>
                <w:rFonts w:cs="Arial"/>
                <w:sz w:val="20"/>
              </w:rPr>
            </w:pPr>
            <w:r w:rsidRPr="00294D58">
              <w:rPr>
                <w:rFonts w:cs="Arial"/>
                <w:sz w:val="20"/>
              </w:rPr>
              <w:t>0.013</w:t>
            </w:r>
          </w:p>
        </w:tc>
      </w:tr>
      <w:tr w:rsidR="00294D58" w:rsidRPr="00294D58" w14:paraId="77E18F72" w14:textId="77777777" w:rsidTr="00C1393F">
        <w:tc>
          <w:tcPr>
            <w:tcW w:w="2694" w:type="dxa"/>
            <w:gridSpan w:val="4"/>
            <w:tcBorders>
              <w:top w:val="single" w:sz="4" w:space="0" w:color="auto"/>
              <w:bottom w:val="nil"/>
              <w:right w:val="nil"/>
            </w:tcBorders>
          </w:tcPr>
          <w:p w14:paraId="3CB20607" w14:textId="77777777" w:rsidR="008D1110" w:rsidRPr="00294D58" w:rsidRDefault="008D1110" w:rsidP="00C1393F">
            <w:pPr>
              <w:spacing w:after="0" w:line="276" w:lineRule="auto"/>
              <w:contextualSpacing/>
              <w:rPr>
                <w:rFonts w:cs="Arial"/>
                <w:sz w:val="20"/>
              </w:rPr>
            </w:pPr>
            <w:r w:rsidRPr="00294D58">
              <w:rPr>
                <w:rFonts w:cs="Arial"/>
                <w:sz w:val="20"/>
              </w:rPr>
              <w:t>High loneliness</w:t>
            </w:r>
          </w:p>
        </w:tc>
        <w:tc>
          <w:tcPr>
            <w:tcW w:w="1560" w:type="dxa"/>
            <w:tcBorders>
              <w:top w:val="single" w:sz="4" w:space="0" w:color="auto"/>
              <w:bottom w:val="nil"/>
            </w:tcBorders>
          </w:tcPr>
          <w:p w14:paraId="149E07CC" w14:textId="77777777" w:rsidR="008D1110" w:rsidRPr="00294D58" w:rsidRDefault="008D1110" w:rsidP="00C1393F">
            <w:pPr>
              <w:spacing w:after="0" w:line="276" w:lineRule="auto"/>
              <w:contextualSpacing/>
              <w:rPr>
                <w:rFonts w:cs="Arial"/>
                <w:sz w:val="20"/>
              </w:rPr>
            </w:pPr>
          </w:p>
        </w:tc>
        <w:tc>
          <w:tcPr>
            <w:tcW w:w="1842" w:type="dxa"/>
            <w:tcBorders>
              <w:top w:val="single" w:sz="4" w:space="0" w:color="auto"/>
              <w:bottom w:val="nil"/>
            </w:tcBorders>
            <w:vAlign w:val="bottom"/>
          </w:tcPr>
          <w:p w14:paraId="0D9DDB01" w14:textId="77777777" w:rsidR="008D1110" w:rsidRPr="00294D58" w:rsidRDefault="008D1110" w:rsidP="00C1393F">
            <w:pPr>
              <w:spacing w:after="0" w:line="276" w:lineRule="auto"/>
              <w:contextualSpacing/>
              <w:rPr>
                <w:rFonts w:cs="Arial"/>
                <w:sz w:val="20"/>
              </w:rPr>
            </w:pPr>
          </w:p>
        </w:tc>
        <w:tc>
          <w:tcPr>
            <w:tcW w:w="993" w:type="dxa"/>
            <w:tcBorders>
              <w:top w:val="single" w:sz="4" w:space="0" w:color="auto"/>
              <w:bottom w:val="nil"/>
            </w:tcBorders>
          </w:tcPr>
          <w:p w14:paraId="7BE76A2F" w14:textId="77777777" w:rsidR="008D1110" w:rsidRPr="00294D58" w:rsidRDefault="008D1110" w:rsidP="00C1393F">
            <w:pPr>
              <w:spacing w:after="0" w:line="276" w:lineRule="auto"/>
              <w:contextualSpacing/>
              <w:jc w:val="center"/>
              <w:rPr>
                <w:rFonts w:cs="Arial"/>
                <w:sz w:val="20"/>
              </w:rPr>
            </w:pPr>
          </w:p>
        </w:tc>
      </w:tr>
      <w:tr w:rsidR="00294D58" w:rsidRPr="00294D58" w14:paraId="15812008" w14:textId="77777777" w:rsidTr="00C1393F">
        <w:tc>
          <w:tcPr>
            <w:tcW w:w="283" w:type="dxa"/>
            <w:tcBorders>
              <w:top w:val="nil"/>
              <w:bottom w:val="nil"/>
              <w:right w:val="nil"/>
            </w:tcBorders>
          </w:tcPr>
          <w:p w14:paraId="23490AB7" w14:textId="77777777" w:rsidR="008D1110" w:rsidRPr="00294D58" w:rsidRDefault="008D1110" w:rsidP="00C1393F">
            <w:pPr>
              <w:spacing w:after="0" w:line="276" w:lineRule="auto"/>
              <w:contextualSpacing/>
              <w:rPr>
                <w:rFonts w:cs="Arial"/>
                <w:sz w:val="20"/>
              </w:rPr>
            </w:pPr>
          </w:p>
        </w:tc>
        <w:tc>
          <w:tcPr>
            <w:tcW w:w="2411" w:type="dxa"/>
            <w:gridSpan w:val="3"/>
            <w:tcBorders>
              <w:top w:val="nil"/>
              <w:left w:val="nil"/>
              <w:bottom w:val="single" w:sz="4" w:space="0" w:color="auto"/>
              <w:right w:val="nil"/>
            </w:tcBorders>
            <w:vAlign w:val="center"/>
          </w:tcPr>
          <w:p w14:paraId="442CE386" w14:textId="77777777" w:rsidR="008D1110" w:rsidRPr="00294D58" w:rsidRDefault="008D1110" w:rsidP="00C1393F">
            <w:pPr>
              <w:spacing w:after="0" w:line="276" w:lineRule="auto"/>
              <w:contextualSpacing/>
              <w:rPr>
                <w:rFonts w:cs="Arial"/>
                <w:sz w:val="20"/>
              </w:rPr>
            </w:pPr>
            <w:r w:rsidRPr="00294D58">
              <w:rPr>
                <w:rFonts w:cs="Arial"/>
                <w:sz w:val="20"/>
              </w:rPr>
              <w:t>% (SE)</w:t>
            </w:r>
          </w:p>
        </w:tc>
        <w:tc>
          <w:tcPr>
            <w:tcW w:w="1560" w:type="dxa"/>
            <w:tcBorders>
              <w:top w:val="nil"/>
              <w:left w:val="nil"/>
              <w:bottom w:val="single" w:sz="4" w:space="0" w:color="auto"/>
              <w:right w:val="nil"/>
            </w:tcBorders>
          </w:tcPr>
          <w:p w14:paraId="09216BBE" w14:textId="77777777" w:rsidR="008D1110" w:rsidRPr="00294D58" w:rsidRDefault="008D1110" w:rsidP="00C1393F">
            <w:pPr>
              <w:spacing w:after="0" w:line="276" w:lineRule="auto"/>
              <w:contextualSpacing/>
              <w:rPr>
                <w:rFonts w:cs="Arial"/>
                <w:sz w:val="20"/>
              </w:rPr>
            </w:pPr>
            <w:r w:rsidRPr="00294D58">
              <w:rPr>
                <w:rFonts w:cs="Arial"/>
                <w:sz w:val="20"/>
              </w:rPr>
              <w:t>21.0 (0.5)</w:t>
            </w:r>
          </w:p>
        </w:tc>
        <w:tc>
          <w:tcPr>
            <w:tcW w:w="1842" w:type="dxa"/>
            <w:tcBorders>
              <w:top w:val="nil"/>
              <w:left w:val="nil"/>
              <w:bottom w:val="single" w:sz="4" w:space="0" w:color="auto"/>
              <w:right w:val="nil"/>
            </w:tcBorders>
          </w:tcPr>
          <w:p w14:paraId="622F0641" w14:textId="77777777" w:rsidR="008D1110" w:rsidRPr="00294D58" w:rsidRDefault="008D1110" w:rsidP="00C1393F">
            <w:pPr>
              <w:spacing w:after="0" w:line="276" w:lineRule="auto"/>
              <w:contextualSpacing/>
              <w:rPr>
                <w:rFonts w:cs="Arial"/>
                <w:sz w:val="20"/>
              </w:rPr>
            </w:pPr>
            <w:r w:rsidRPr="00294D58">
              <w:rPr>
                <w:rFonts w:cs="Arial"/>
                <w:sz w:val="20"/>
              </w:rPr>
              <w:t>27.1 (4.2)</w:t>
            </w:r>
          </w:p>
        </w:tc>
        <w:tc>
          <w:tcPr>
            <w:tcW w:w="993" w:type="dxa"/>
            <w:tcBorders>
              <w:top w:val="nil"/>
              <w:left w:val="nil"/>
              <w:bottom w:val="single" w:sz="4" w:space="0" w:color="auto"/>
              <w:right w:val="nil"/>
            </w:tcBorders>
          </w:tcPr>
          <w:p w14:paraId="410FC83A" w14:textId="77777777" w:rsidR="008D1110" w:rsidRPr="00294D58" w:rsidRDefault="008D1110" w:rsidP="00C1393F">
            <w:pPr>
              <w:spacing w:after="0" w:line="276" w:lineRule="auto"/>
              <w:contextualSpacing/>
              <w:jc w:val="center"/>
              <w:rPr>
                <w:rFonts w:cs="Arial"/>
                <w:sz w:val="20"/>
              </w:rPr>
            </w:pPr>
            <w:r w:rsidRPr="00294D58">
              <w:rPr>
                <w:rFonts w:cs="Arial"/>
                <w:sz w:val="20"/>
              </w:rPr>
              <w:t>-</w:t>
            </w:r>
          </w:p>
        </w:tc>
      </w:tr>
      <w:tr w:rsidR="00294D58" w:rsidRPr="00294D58" w14:paraId="356E2A14" w14:textId="77777777" w:rsidTr="00C705F6">
        <w:tc>
          <w:tcPr>
            <w:tcW w:w="283" w:type="dxa"/>
            <w:tcBorders>
              <w:top w:val="nil"/>
              <w:bottom w:val="single" w:sz="4" w:space="0" w:color="auto"/>
              <w:right w:val="nil"/>
            </w:tcBorders>
          </w:tcPr>
          <w:p w14:paraId="15B686E9" w14:textId="77777777" w:rsidR="008D1110" w:rsidRPr="00294D58" w:rsidRDefault="008D1110" w:rsidP="00C1393F">
            <w:pPr>
              <w:spacing w:after="0" w:line="276" w:lineRule="auto"/>
              <w:contextualSpacing/>
              <w:rPr>
                <w:rFonts w:cs="Arial"/>
                <w:sz w:val="20"/>
              </w:rPr>
            </w:pPr>
          </w:p>
        </w:tc>
        <w:tc>
          <w:tcPr>
            <w:tcW w:w="2411" w:type="dxa"/>
            <w:gridSpan w:val="3"/>
            <w:tcBorders>
              <w:top w:val="single" w:sz="4" w:space="0" w:color="auto"/>
              <w:left w:val="nil"/>
              <w:bottom w:val="single" w:sz="4" w:space="0" w:color="auto"/>
              <w:right w:val="nil"/>
            </w:tcBorders>
            <w:vAlign w:val="center"/>
          </w:tcPr>
          <w:p w14:paraId="16624E5F" w14:textId="77777777" w:rsidR="008D1110" w:rsidRPr="00294D58" w:rsidRDefault="008D1110" w:rsidP="00C1393F">
            <w:pPr>
              <w:spacing w:after="0" w:line="276" w:lineRule="auto"/>
              <w:contextualSpacing/>
              <w:rPr>
                <w:rFonts w:cs="Arial"/>
                <w:sz w:val="20"/>
              </w:rPr>
            </w:pPr>
            <w:r w:rsidRPr="00294D58">
              <w:rPr>
                <w:rFonts w:cs="Arial"/>
                <w:sz w:val="20"/>
              </w:rPr>
              <w:t>OR [95% CI]</w:t>
            </w:r>
          </w:p>
        </w:tc>
        <w:tc>
          <w:tcPr>
            <w:tcW w:w="1560" w:type="dxa"/>
            <w:tcBorders>
              <w:top w:val="single" w:sz="4" w:space="0" w:color="auto"/>
              <w:left w:val="nil"/>
              <w:bottom w:val="single" w:sz="4" w:space="0" w:color="auto"/>
              <w:right w:val="nil"/>
            </w:tcBorders>
            <w:vAlign w:val="bottom"/>
          </w:tcPr>
          <w:p w14:paraId="54654F0E" w14:textId="77777777" w:rsidR="008D1110" w:rsidRPr="00294D58" w:rsidRDefault="008D1110" w:rsidP="00C1393F">
            <w:pPr>
              <w:spacing w:after="0" w:line="276" w:lineRule="auto"/>
              <w:contextualSpacing/>
              <w:rPr>
                <w:rFonts w:cs="Arial"/>
                <w:sz w:val="20"/>
              </w:rPr>
            </w:pPr>
            <w:r w:rsidRPr="00294D58">
              <w:rPr>
                <w:rFonts w:cs="Arial"/>
                <w:sz w:val="20"/>
              </w:rPr>
              <w:t>1.00 (Ref)</w:t>
            </w:r>
          </w:p>
        </w:tc>
        <w:tc>
          <w:tcPr>
            <w:tcW w:w="1842" w:type="dxa"/>
            <w:tcBorders>
              <w:top w:val="single" w:sz="4" w:space="0" w:color="auto"/>
              <w:left w:val="nil"/>
              <w:bottom w:val="single" w:sz="4" w:space="0" w:color="auto"/>
              <w:right w:val="nil"/>
            </w:tcBorders>
          </w:tcPr>
          <w:p w14:paraId="4D969CEF" w14:textId="77777777" w:rsidR="008D1110" w:rsidRPr="00294D58" w:rsidRDefault="008D1110" w:rsidP="00C1393F">
            <w:pPr>
              <w:spacing w:after="0" w:line="276" w:lineRule="auto"/>
              <w:contextualSpacing/>
              <w:rPr>
                <w:rFonts w:cs="Arial"/>
                <w:sz w:val="20"/>
              </w:rPr>
            </w:pPr>
            <w:r w:rsidRPr="00294D58">
              <w:rPr>
                <w:rFonts w:cs="Arial"/>
                <w:sz w:val="20"/>
              </w:rPr>
              <w:t>1.5</w:t>
            </w:r>
            <w:r w:rsidR="005C1EE1" w:rsidRPr="00294D58">
              <w:rPr>
                <w:rFonts w:cs="Arial"/>
                <w:sz w:val="20"/>
              </w:rPr>
              <w:t>0</w:t>
            </w:r>
            <w:r w:rsidRPr="00294D58">
              <w:rPr>
                <w:rFonts w:cs="Arial"/>
                <w:sz w:val="20"/>
              </w:rPr>
              <w:t xml:space="preserve"> [0.9</w:t>
            </w:r>
            <w:r w:rsidR="005C1EE1" w:rsidRPr="00294D58">
              <w:rPr>
                <w:rFonts w:cs="Arial"/>
                <w:sz w:val="20"/>
              </w:rPr>
              <w:t>1</w:t>
            </w:r>
            <w:r w:rsidRPr="00294D58">
              <w:rPr>
                <w:rFonts w:cs="Arial"/>
                <w:sz w:val="20"/>
              </w:rPr>
              <w:t>; 2.</w:t>
            </w:r>
            <w:r w:rsidR="005C1EE1" w:rsidRPr="00294D58">
              <w:rPr>
                <w:rFonts w:cs="Arial"/>
                <w:sz w:val="20"/>
              </w:rPr>
              <w:t>47</w:t>
            </w:r>
            <w:r w:rsidRPr="00294D58">
              <w:rPr>
                <w:rFonts w:cs="Arial"/>
                <w:sz w:val="20"/>
              </w:rPr>
              <w:t>]</w:t>
            </w:r>
          </w:p>
        </w:tc>
        <w:tc>
          <w:tcPr>
            <w:tcW w:w="993" w:type="dxa"/>
            <w:tcBorders>
              <w:top w:val="single" w:sz="4" w:space="0" w:color="auto"/>
              <w:left w:val="nil"/>
              <w:bottom w:val="single" w:sz="4" w:space="0" w:color="auto"/>
              <w:right w:val="nil"/>
            </w:tcBorders>
          </w:tcPr>
          <w:p w14:paraId="260F564A" w14:textId="77777777" w:rsidR="008D1110" w:rsidRPr="00294D58" w:rsidRDefault="008D1110" w:rsidP="00C1393F">
            <w:pPr>
              <w:spacing w:after="0" w:line="276" w:lineRule="auto"/>
              <w:contextualSpacing/>
              <w:jc w:val="center"/>
              <w:rPr>
                <w:rFonts w:cs="Arial"/>
                <w:sz w:val="20"/>
              </w:rPr>
            </w:pPr>
            <w:r w:rsidRPr="00294D58">
              <w:rPr>
                <w:rFonts w:cs="Arial"/>
                <w:sz w:val="20"/>
              </w:rPr>
              <w:t>0.</w:t>
            </w:r>
            <w:r w:rsidR="005C1EE1" w:rsidRPr="00294D58">
              <w:rPr>
                <w:rFonts w:cs="Arial"/>
                <w:sz w:val="20"/>
              </w:rPr>
              <w:t>110</w:t>
            </w:r>
          </w:p>
        </w:tc>
      </w:tr>
      <w:tr w:rsidR="00294D58" w:rsidRPr="00294D58" w14:paraId="4CA25EBC" w14:textId="77777777" w:rsidTr="00C705F6">
        <w:tc>
          <w:tcPr>
            <w:tcW w:w="7089" w:type="dxa"/>
            <w:gridSpan w:val="7"/>
            <w:tcBorders>
              <w:top w:val="single" w:sz="4" w:space="0" w:color="auto"/>
              <w:bottom w:val="nil"/>
              <w:right w:val="nil"/>
            </w:tcBorders>
          </w:tcPr>
          <w:p w14:paraId="5E5108E5" w14:textId="77777777" w:rsidR="00A3477C" w:rsidRPr="00294D58" w:rsidRDefault="008D1110" w:rsidP="00C1393F">
            <w:pPr>
              <w:spacing w:after="0" w:line="240" w:lineRule="auto"/>
              <w:rPr>
                <w:rFonts w:cs="Arial"/>
                <w:sz w:val="20"/>
                <w:szCs w:val="20"/>
                <w:lang w:val="en-US"/>
              </w:rPr>
            </w:pPr>
            <w:r w:rsidRPr="00294D58">
              <w:rPr>
                <w:rFonts w:cs="Arial"/>
                <w:sz w:val="20"/>
                <w:szCs w:val="20"/>
                <w:lang w:val="en-US"/>
              </w:rPr>
              <w:t>All figures are weighted for sampling probabilities and differential non-response</w:t>
            </w:r>
            <w:r w:rsidR="00821C08" w:rsidRPr="00294D58">
              <w:rPr>
                <w:rFonts w:cs="Arial"/>
                <w:sz w:val="20"/>
                <w:szCs w:val="20"/>
                <w:lang w:val="en-US"/>
              </w:rPr>
              <w:t xml:space="preserve"> and </w:t>
            </w:r>
          </w:p>
          <w:p w14:paraId="65CF2BE8" w14:textId="77777777" w:rsidR="008D1110" w:rsidRPr="00294D58" w:rsidRDefault="008D1110" w:rsidP="00C1393F">
            <w:pPr>
              <w:spacing w:after="0" w:line="240" w:lineRule="auto"/>
              <w:rPr>
                <w:rFonts w:cs="Arial"/>
                <w:sz w:val="20"/>
                <w:szCs w:val="20"/>
                <w:lang w:val="en-US"/>
              </w:rPr>
            </w:pPr>
            <w:r w:rsidRPr="00294D58">
              <w:rPr>
                <w:rFonts w:cs="Arial"/>
                <w:sz w:val="20"/>
                <w:szCs w:val="20"/>
                <w:lang w:val="en-US"/>
              </w:rPr>
              <w:t>adjusted for age, sex, ethnicity, education, marital status, wealth, smoking status, alcohol intake and physical activity.</w:t>
            </w:r>
          </w:p>
          <w:p w14:paraId="57D440A4" w14:textId="77777777" w:rsidR="008D1110" w:rsidRPr="00294D58" w:rsidRDefault="008D1110" w:rsidP="00C1393F">
            <w:pPr>
              <w:spacing w:after="0" w:line="240" w:lineRule="auto"/>
              <w:rPr>
                <w:rFonts w:cs="Arial"/>
                <w:sz w:val="20"/>
                <w:szCs w:val="20"/>
                <w:lang w:val="en-US"/>
              </w:rPr>
            </w:pPr>
            <w:r w:rsidRPr="00294D58">
              <w:rPr>
                <w:rFonts w:cs="Arial"/>
                <w:sz w:val="20"/>
                <w:szCs w:val="20"/>
                <w:lang w:val="en-US"/>
              </w:rPr>
              <w:t xml:space="preserve">SE = standard error, OR = odds ratio, CI = confidence interval, </w:t>
            </w:r>
            <w:proofErr w:type="spellStart"/>
            <w:r w:rsidRPr="00294D58">
              <w:rPr>
                <w:rFonts w:cs="Arial"/>
                <w:sz w:val="20"/>
                <w:szCs w:val="20"/>
                <w:lang w:val="en-US"/>
              </w:rPr>
              <w:t>Coeff</w:t>
            </w:r>
            <w:proofErr w:type="spellEnd"/>
            <w:r w:rsidRPr="00294D58">
              <w:rPr>
                <w:rFonts w:cs="Arial"/>
                <w:sz w:val="20"/>
                <w:szCs w:val="20"/>
                <w:lang w:val="en-US"/>
              </w:rPr>
              <w:t xml:space="preserve"> = coefficient.</w:t>
            </w:r>
          </w:p>
          <w:p w14:paraId="04C0B9DC" w14:textId="77777777" w:rsidR="008D1110" w:rsidRPr="00294D58" w:rsidRDefault="008D1110" w:rsidP="00C705F6">
            <w:pPr>
              <w:spacing w:after="0" w:line="240" w:lineRule="auto"/>
              <w:rPr>
                <w:rFonts w:cs="Arial"/>
                <w:sz w:val="20"/>
                <w:szCs w:val="20"/>
                <w:lang w:val="en-US"/>
              </w:rPr>
            </w:pPr>
            <w:r w:rsidRPr="00294D58">
              <w:rPr>
                <w:rFonts w:cs="Arial"/>
                <w:sz w:val="20"/>
                <w:szCs w:val="20"/>
                <w:lang w:val="en-US"/>
              </w:rPr>
              <w:t>Possible scores on the quality of life scale range from 0-57, and on life satisfaction scale range from 0-30.</w:t>
            </w:r>
          </w:p>
          <w:p w14:paraId="70A6DE12" w14:textId="77777777" w:rsidR="008D1110" w:rsidRPr="00294D58" w:rsidRDefault="008D1110" w:rsidP="00C1393F">
            <w:pPr>
              <w:spacing w:after="0" w:line="240" w:lineRule="auto"/>
              <w:rPr>
                <w:rFonts w:cs="Arial"/>
                <w:sz w:val="20"/>
                <w:szCs w:val="20"/>
                <w:lang w:val="en-US"/>
              </w:rPr>
            </w:pPr>
          </w:p>
        </w:tc>
      </w:tr>
    </w:tbl>
    <w:p w14:paraId="0C19386D" w14:textId="77777777" w:rsidR="007C457B" w:rsidRPr="00294D58" w:rsidRDefault="00375BE3" w:rsidP="007C457B">
      <w:pPr>
        <w:pStyle w:val="Heading2"/>
        <w:spacing w:line="360" w:lineRule="auto"/>
      </w:pPr>
      <w:r w:rsidRPr="00294D58">
        <w:t>DISCUSSION</w:t>
      </w:r>
    </w:p>
    <w:p w14:paraId="1E761722" w14:textId="77777777" w:rsidR="00726784" w:rsidRPr="00294D58" w:rsidRDefault="00C46306" w:rsidP="00D54F51">
      <w:pPr>
        <w:rPr>
          <w:rFonts w:eastAsiaTheme="majorEastAsia"/>
        </w:rPr>
      </w:pPr>
      <w:r w:rsidRPr="00294D58">
        <w:t>In the present analyses</w:t>
      </w:r>
      <w:r w:rsidR="00237934" w:rsidRPr="00294D58">
        <w:t>,</w:t>
      </w:r>
      <w:r w:rsidRPr="00294D58">
        <w:t xml:space="preserve"> a total of </w:t>
      </w:r>
      <w:r w:rsidR="000048DD" w:rsidRPr="00294D58">
        <w:rPr>
          <w:rFonts w:eastAsiaTheme="majorEastAsia"/>
        </w:rPr>
        <w:t>104</w:t>
      </w:r>
      <w:r w:rsidR="00F77FEC" w:rsidRPr="00294D58">
        <w:rPr>
          <w:rFonts w:eastAsiaTheme="majorEastAsia"/>
        </w:rPr>
        <w:t xml:space="preserve"> </w:t>
      </w:r>
      <w:r w:rsidRPr="00294D58">
        <w:rPr>
          <w:rFonts w:eastAsiaTheme="majorEastAsia"/>
        </w:rPr>
        <w:t xml:space="preserve">participants reported having been homeless for one month or more. Those who reported </w:t>
      </w:r>
      <w:r w:rsidR="00237934" w:rsidRPr="00294D58">
        <w:rPr>
          <w:rFonts w:eastAsiaTheme="majorEastAsia"/>
        </w:rPr>
        <w:t>a history of homelessness</w:t>
      </w:r>
      <w:r w:rsidRPr="00294D58">
        <w:rPr>
          <w:rFonts w:eastAsiaTheme="majorEastAsia"/>
        </w:rPr>
        <w:t xml:space="preserve"> had </w:t>
      </w:r>
      <w:r w:rsidR="00375BE3" w:rsidRPr="00294D58">
        <w:rPr>
          <w:rFonts w:eastAsiaTheme="majorEastAsia"/>
        </w:rPr>
        <w:t xml:space="preserve">significantly </w:t>
      </w:r>
      <w:r w:rsidRPr="00294D58">
        <w:rPr>
          <w:rFonts w:eastAsiaTheme="majorEastAsia"/>
        </w:rPr>
        <w:t xml:space="preserve">higher odds of </w:t>
      </w:r>
      <w:r w:rsidR="003C57C1" w:rsidRPr="00294D58">
        <w:rPr>
          <w:rFonts w:eastAsiaTheme="majorEastAsia"/>
        </w:rPr>
        <w:t>physical inactivity</w:t>
      </w:r>
      <w:r w:rsidRPr="00294D58">
        <w:rPr>
          <w:rFonts w:eastAsiaTheme="majorEastAsia"/>
        </w:rPr>
        <w:t xml:space="preserve"> than those who had not been homeless</w:t>
      </w:r>
      <w:r w:rsidR="008366EE" w:rsidRPr="00294D58">
        <w:rPr>
          <w:rFonts w:eastAsiaTheme="majorEastAsia"/>
        </w:rPr>
        <w:t xml:space="preserve"> and were more likely to</w:t>
      </w:r>
      <w:r w:rsidR="003C57C1" w:rsidRPr="00294D58">
        <w:rPr>
          <w:rFonts w:eastAsiaTheme="majorEastAsia"/>
        </w:rPr>
        <w:t xml:space="preserve"> smoke and</w:t>
      </w:r>
      <w:r w:rsidR="008366EE" w:rsidRPr="00294D58">
        <w:rPr>
          <w:rFonts w:eastAsiaTheme="majorEastAsia"/>
        </w:rPr>
        <w:t xml:space="preserve"> drink </w:t>
      </w:r>
      <w:r w:rsidR="0030297A" w:rsidRPr="00294D58">
        <w:rPr>
          <w:rFonts w:eastAsiaTheme="majorEastAsia"/>
        </w:rPr>
        <w:t>daily but these</w:t>
      </w:r>
      <w:r w:rsidR="008366EE" w:rsidRPr="00294D58">
        <w:rPr>
          <w:rFonts w:eastAsiaTheme="majorEastAsia"/>
        </w:rPr>
        <w:t xml:space="preserve"> did not reach significance</w:t>
      </w:r>
      <w:r w:rsidR="0030297A" w:rsidRPr="00294D58">
        <w:rPr>
          <w:rFonts w:eastAsiaTheme="majorEastAsia"/>
        </w:rPr>
        <w:t>. Importantly, those who</w:t>
      </w:r>
      <w:r w:rsidRPr="00294D58">
        <w:rPr>
          <w:rFonts w:eastAsiaTheme="majorEastAsia"/>
        </w:rPr>
        <w:t xml:space="preserve"> had reported being homeless had a higher odds of reporting</w:t>
      </w:r>
      <w:r w:rsidR="003C57C1" w:rsidRPr="00294D58">
        <w:rPr>
          <w:rFonts w:eastAsiaTheme="majorEastAsia"/>
        </w:rPr>
        <w:t xml:space="preserve"> fair/bad/very bad self-rated health,</w:t>
      </w:r>
      <w:r w:rsidRPr="00294D58">
        <w:rPr>
          <w:rFonts w:eastAsiaTheme="majorEastAsia"/>
        </w:rPr>
        <w:t xml:space="preserve"> </w:t>
      </w:r>
      <w:r w:rsidR="00375BE3" w:rsidRPr="00294D58">
        <w:rPr>
          <w:rFonts w:eastAsiaTheme="majorEastAsia"/>
        </w:rPr>
        <w:t>limiting long</w:t>
      </w:r>
      <w:r w:rsidR="00A21F10" w:rsidRPr="00294D58">
        <w:rPr>
          <w:rFonts w:eastAsiaTheme="majorEastAsia"/>
        </w:rPr>
        <w:t>-</w:t>
      </w:r>
      <w:r w:rsidRPr="00294D58">
        <w:rPr>
          <w:rFonts w:eastAsiaTheme="majorEastAsia"/>
        </w:rPr>
        <w:t xml:space="preserve">standing illness and depressive symptoms and scored lower on </w:t>
      </w:r>
      <w:r w:rsidR="00A21F10" w:rsidRPr="00294D58">
        <w:rPr>
          <w:rFonts w:eastAsiaTheme="majorEastAsia"/>
        </w:rPr>
        <w:t xml:space="preserve">measures of </w:t>
      </w:r>
      <w:r w:rsidRPr="00294D58">
        <w:rPr>
          <w:rFonts w:eastAsiaTheme="majorEastAsia"/>
        </w:rPr>
        <w:t>life satisfaction and quality of life. Taken together</w:t>
      </w:r>
      <w:r w:rsidR="00BD1546" w:rsidRPr="00294D58">
        <w:rPr>
          <w:rFonts w:eastAsiaTheme="majorEastAsia"/>
        </w:rPr>
        <w:t>,</w:t>
      </w:r>
      <w:r w:rsidRPr="00294D58">
        <w:rPr>
          <w:rFonts w:eastAsiaTheme="majorEastAsia"/>
        </w:rPr>
        <w:t xml:space="preserve"> these data suggest that </w:t>
      </w:r>
      <w:r w:rsidR="00BD1546" w:rsidRPr="00294D58">
        <w:rPr>
          <w:rFonts w:eastAsiaTheme="majorEastAsia"/>
        </w:rPr>
        <w:t>people who transition out of homelessness</w:t>
      </w:r>
      <w:r w:rsidRPr="00294D58">
        <w:rPr>
          <w:rFonts w:eastAsiaTheme="majorEastAsia"/>
        </w:rPr>
        <w:t xml:space="preserve"> </w:t>
      </w:r>
      <w:r w:rsidR="00335371" w:rsidRPr="00294D58">
        <w:rPr>
          <w:rFonts w:eastAsiaTheme="majorEastAsia"/>
        </w:rPr>
        <w:t>may be</w:t>
      </w:r>
      <w:r w:rsidRPr="00294D58">
        <w:rPr>
          <w:rFonts w:eastAsiaTheme="majorEastAsia"/>
        </w:rPr>
        <w:t xml:space="preserve"> at </w:t>
      </w:r>
      <w:r w:rsidR="00D500A6" w:rsidRPr="00294D58">
        <w:rPr>
          <w:rFonts w:eastAsiaTheme="majorEastAsia"/>
        </w:rPr>
        <w:t xml:space="preserve">increased </w:t>
      </w:r>
      <w:r w:rsidRPr="00294D58">
        <w:rPr>
          <w:rFonts w:eastAsiaTheme="majorEastAsia"/>
        </w:rPr>
        <w:t xml:space="preserve">risk of partaking in unhealthy behaviour and </w:t>
      </w:r>
      <w:r w:rsidR="00396A74" w:rsidRPr="00294D58">
        <w:rPr>
          <w:rFonts w:eastAsiaTheme="majorEastAsia"/>
        </w:rPr>
        <w:t xml:space="preserve">suffer </w:t>
      </w:r>
      <w:r w:rsidRPr="00294D58">
        <w:rPr>
          <w:rFonts w:eastAsiaTheme="majorEastAsia"/>
        </w:rPr>
        <w:t>poorer mental a</w:t>
      </w:r>
      <w:r w:rsidR="0030297A" w:rsidRPr="00294D58">
        <w:rPr>
          <w:rFonts w:eastAsiaTheme="majorEastAsia"/>
        </w:rPr>
        <w:t>nd physical health.</w:t>
      </w:r>
    </w:p>
    <w:p w14:paraId="6DF64285" w14:textId="01278AD8" w:rsidR="00483D39" w:rsidRPr="00294D58" w:rsidRDefault="00D54F51" w:rsidP="00D54F51">
      <w:pPr>
        <w:rPr>
          <w:rFonts w:eastAsiaTheme="majorEastAsia"/>
        </w:rPr>
      </w:pPr>
      <w:r w:rsidRPr="00294D58">
        <w:rPr>
          <w:rFonts w:eastAsiaTheme="majorEastAsia"/>
        </w:rPr>
        <w:t xml:space="preserve">The finding that those who were previously homeless </w:t>
      </w:r>
      <w:r w:rsidR="00B67F23" w:rsidRPr="00294D58">
        <w:rPr>
          <w:rFonts w:eastAsiaTheme="majorEastAsia"/>
        </w:rPr>
        <w:t xml:space="preserve">were </w:t>
      </w:r>
      <w:r w:rsidRPr="00294D58">
        <w:rPr>
          <w:rFonts w:eastAsiaTheme="majorEastAsia"/>
        </w:rPr>
        <w:t xml:space="preserve">more likely to be inactive than those who were not is of importance. </w:t>
      </w:r>
      <w:r w:rsidR="00A46662" w:rsidRPr="00294D58">
        <w:rPr>
          <w:rFonts w:eastAsiaTheme="majorEastAsia"/>
        </w:rPr>
        <w:t xml:space="preserve">Indeed, sustained and regular participation in physical activity can aid in the </w:t>
      </w:r>
      <w:r w:rsidR="00A46662" w:rsidRPr="00294D58">
        <w:rPr>
          <w:rFonts w:eastAsiaTheme="majorEastAsia"/>
        </w:rPr>
        <w:lastRenderedPageBreak/>
        <w:t>prevention against</w:t>
      </w:r>
      <w:r w:rsidR="00244126" w:rsidRPr="00294D58">
        <w:rPr>
          <w:rFonts w:eastAsiaTheme="majorEastAsia"/>
        </w:rPr>
        <w:t>, and improve the profile of,</w:t>
      </w:r>
      <w:r w:rsidR="00A46662" w:rsidRPr="00294D58">
        <w:rPr>
          <w:rFonts w:eastAsiaTheme="majorEastAsia"/>
        </w:rPr>
        <w:t xml:space="preserve"> non-communicable diseases</w:t>
      </w:r>
      <w:r w:rsidR="00B67F23" w:rsidRPr="00294D58">
        <w:rPr>
          <w:rFonts w:eastAsiaTheme="majorEastAsia"/>
        </w:rPr>
        <w:t xml:space="preserve"> –</w:t>
      </w:r>
      <w:r w:rsidR="00A46662" w:rsidRPr="00294D58">
        <w:rPr>
          <w:rFonts w:eastAsiaTheme="majorEastAsia"/>
        </w:rPr>
        <w:t xml:space="preserve"> including those in relation to both physical (e.g. cardio respiratory</w:t>
      </w:r>
      <w:r w:rsidR="00D2702D" w:rsidRPr="00294D58">
        <w:rPr>
          <w:rFonts w:eastAsiaTheme="majorEastAsia"/>
        </w:rPr>
        <w:t xml:space="preserve">; </w:t>
      </w:r>
      <w:r w:rsidR="00D2702D" w:rsidRPr="00294D58">
        <w:rPr>
          <w:rFonts w:eastAsiaTheme="majorEastAsia"/>
        </w:rPr>
        <w:fldChar w:fldCharType="begin"/>
      </w:r>
      <w:r w:rsidR="00716C82" w:rsidRPr="00294D58">
        <w:rPr>
          <w:rFonts w:eastAsiaTheme="majorEastAsia"/>
        </w:rPr>
        <w:instrText xml:space="preserve"> ADDIN ZOTERO_ITEM CSL_CITATION {"citationID":"gjRRQPlJ","properties":{"formattedCitation":"[27]","plainCitation":"[27]","noteIndex":0},"citationItems":[{"id":7343,"uris":["http://zotero.org/users/446899/items/FF24USJG"],"uri":["http://zotero.org/users/446899/items/FF24USJG"],"itemData":{"id":7343,"type":"article-journal","title":"Physical activity and risk of cardiovascular disease--a meta-analysis of prospective cohort studies","container-title":"International Journal of Environmental Research and Public Health","page":"391-407","volume":"9","issue":"2","source":"PubMed","abstract":"In order to update and improve available evidence on associations of physical activity (PA) with cardiovascular disease (CVD) by applying meta-analytic random effects modeling to data from prospective cohort studies, using high quality criteria of study selection, we searched the PubMed database from January 1980 to December 2010 for prospective cohort studies of PA and incident CVD, distinguishing occupational PA and leisure time PA, coronary heart disease (CHD) and stroke, respectively. Inclusion criteria were peer-reviewed English papers with original data, studies with large sample size (n ≥ 1,000) and substantial follow-up (≥ 5 years), available data on major confounders and on estimates of relative risk (RR) or hazard ratio (HR), with 95% confidence intervals (CI). We included 21 prospective studies in the overall analysis, with a sample size of more than 650,000 adults who were initially free from CVD, and with some 20,000 incident cases documented during follow-up. Among men, RR of overall CVD in the group with the high level of leisure time PA was 0.76 (95% CI 0.70-0.82, p &lt; 0.001), compared to the reference group with low leisure time PA, with obvious dose-response relationship. A similar effect was observed among women (RR = 0.73, 95% CI 0.68-0.78, p &lt; 0.001). A strong protective effect of occupational PA was observed for moderate level in both men (RR = 0.89, 95% CI 0.82-0.97, p = 0.008) and women (RR = 0.83, 95% CI 0.67-1.03, p = 0.089). No publication bias was observed. Our findings suggest that high level of leisure time PA and moderate level of occupational PA have a beneficial effect on cardiovascular health by reducing the overall risk of incident coronary heart disease and stroke among men and women by 20 to 30 percent and 10 to 20 percent, respectively. This evidence from high quality studies supports efforts of primary and secondary prevention of CVD in economically advanced as well as in rapidly developing countries.","DOI":"10.3390/ijerph9020391","ISSN":"1660-4601","note":"PMID: 22470299\nPMCID: PMC3315253","journalAbbreviation":"Int J Environ Res Public Health","language":"eng","author":[{"family":"Li","given":"Jian"},{"family":"Siegrist","given":"Johannes"}],"issued":{"date-parts":[["2012"]]}}}],"schema":"https://github.com/citation-style-language/schema/raw/master/csl-citation.json"} </w:instrText>
      </w:r>
      <w:r w:rsidR="00D2702D" w:rsidRPr="00294D58">
        <w:rPr>
          <w:rFonts w:eastAsiaTheme="majorEastAsia"/>
        </w:rPr>
        <w:fldChar w:fldCharType="separate"/>
      </w:r>
      <w:r w:rsidR="00716C82" w:rsidRPr="00294D58">
        <w:rPr>
          <w:rFonts w:ascii="Calibri" w:hAnsi="Calibri" w:cs="Calibri"/>
        </w:rPr>
        <w:t>[27]</w:t>
      </w:r>
      <w:r w:rsidR="00D2702D" w:rsidRPr="00294D58">
        <w:rPr>
          <w:rFonts w:eastAsiaTheme="majorEastAsia"/>
        </w:rPr>
        <w:fldChar w:fldCharType="end"/>
      </w:r>
      <w:r w:rsidR="00A46662" w:rsidRPr="00294D58">
        <w:rPr>
          <w:rFonts w:eastAsiaTheme="majorEastAsia"/>
        </w:rPr>
        <w:t>) and mental (e.g. anxiety and depression</w:t>
      </w:r>
      <w:r w:rsidR="00D2702D" w:rsidRPr="00294D58">
        <w:rPr>
          <w:rFonts w:eastAsiaTheme="majorEastAsia"/>
        </w:rPr>
        <w:t xml:space="preserve">; </w:t>
      </w:r>
      <w:r w:rsidR="00D2702D" w:rsidRPr="00294D58">
        <w:rPr>
          <w:rFonts w:eastAsiaTheme="majorEastAsia"/>
        </w:rPr>
        <w:fldChar w:fldCharType="begin"/>
      </w:r>
      <w:r w:rsidR="00716C82" w:rsidRPr="00294D58">
        <w:rPr>
          <w:rFonts w:eastAsiaTheme="majorEastAsia"/>
        </w:rPr>
        <w:instrText xml:space="preserve"> ADDIN ZOTERO_ITEM CSL_CITATION {"citationID":"AMO5Z6Z7","properties":{"formattedCitation":"[28,29]","plainCitation":"[28,29]","noteIndex":0},"citationItems":[{"id":7345,"uris":["http://zotero.org/users/446899/items/K72RED6R"],"uri":["http://zotero.org/users/446899/items/K72RED6R"],"itemData":{"id":7345,"type":"article-journal","title":"Exercise as a treatment for depression: A meta-analysis adjusting for publication bias","container-title":"Journal of Psychiatric Research","page":"42-51","volume":"77","source":"PubMed","abstract":"The effects of exercise on depression have been a source of contentious debate. Meta-analyses have demonstrated a range of effect sizes. Both inclusion criteria and heterogeneity may influence the effect sizes reported. The extent and influence of publication bias is also unknown. Randomized controlled trials (RCTs) were identified from a recent Cochrane review and searches of major electronic databases from 01/2013 to 08/2015. We included RCTs of exercise interventions in people with depression (including those with a diagnosis of major depressive disorder (MDD) or ratings on depressive symptoms), comparing exercise versus control conditions. A random effects meta-analysis calculating the standardized mean difference (SMD, 95% confidence interval; CI), meta-regressions, trim and fill and fail-safe n analyses were conducted. Twenty-five RCTs were included comparing exercise versus control comparison groups, including 9 examining participants with MDD. Overall, exercise had a large and significant effect on depression (SMD adjusted for publication bias = 1.11 (95% CI 0.79-1.43)) with a fail-safe number of 1057. Most adjusted analyses suggested publication bias led to an underestimated SMD. Larger effects were found for interventions in MDD, utilising aerobic exercise, at moderate and vigorous intensities, in a supervised and unsupervised format. In MDD, larger effects were found for moderate intensity, aerobic exercise, and interventions supervised by exercise professionals. Exercise has a large and significant antidepressant effect in people with depression (including MDD). Previous meta-analyses may have underestimated the benefits of exercise due to publication bias. Our data strongly support the claim that exercise is an evidence-based treatment for depression.","DOI":"10.1016/j.jpsychires.2016.02.023","ISSN":"1879-1379","note":"PMID: 26978184","shortTitle":"Exercise as a treatment for depression","journalAbbreviation":"J Psychiatr Res","language":"eng","author":[{"family":"Schuch","given":"Felipe B."},{"family":"Vancampfort","given":"Davy"},{"family":"Richards","given":"Justin"},{"family":"Rosenbaum","given":"Simon"},{"family":"Ward","given":"Philip B."},{"family":"Stubbs","given":"Brendon"}],"issued":{"date-parts":[["2016",6]]}}},{"id":7347,"uris":["http://zotero.org/users/446899/items/ETSULAIL"],"uri":["http://zotero.org/users/446899/items/ETSULAIL"],"itemData":{"id":7347,"type":"article-journal","title":"Exercise as Treatment for Anxiety: Systematic Review and Analysis","container-title":"Annals of Behavioral Medicine: A Publication of the Society of Behavioral Medicine","page":"542-556","volume":"49","issue":"4","source":"PubMed","abstract":"BACKGROUND: Exercise has been shown to reduce symptoms of anxiety, but few studies have studied exercise in individuals preselected because of their high anxiety.\nPURPOSE: The objective of this study is to review and critically evaluate studies of exercise training in adults with either high levels of anxiety or an anxiety disorder.\nMETHODS: We conducted a systematic review of randomized clinical trials (RCTs) in which anxious adults were randomized to an exercise or nonexercise control condition. Data were extracted concerning anxiety outcomes and study design. Existing meta-analyses were also reviewed.\nRESULTS: Evidence from 12 RCTs suggested benefits of exercise, for select groups, similar to established treatments and greater than placebo. However, most studies had significant methodological limitations, including small sample sizes, concurrent therapies, and inadequate assessment of adherence and fitness levels.\nCONCLUSIONS: Exercise may be a useful treatment for anxiety, but lack of data from rigorous, methodologically sound RCTs precludes any definitive conclusions about its effectiveness.","DOI":"10.1007/s12160-014-9685-9","ISSN":"1532-4796","note":"PMID: 25697132\nPMCID: PMC4498975","shortTitle":"Exercise as Treatment for Anxiety","journalAbbreviation":"Ann Behav Med","language":"eng","author":[{"family":"Stonerock","given":"Gregory L."},{"family":"Hoffman","given":"Benson M."},{"family":"Smith","given":"Patrick J."},{"family":"Blumenthal","given":"James A."}],"issued":{"date-parts":[["2015",8]]}}}],"schema":"https://github.com/citation-style-language/schema/raw/master/csl-citation.json"} </w:instrText>
      </w:r>
      <w:r w:rsidR="00D2702D" w:rsidRPr="00294D58">
        <w:rPr>
          <w:rFonts w:eastAsiaTheme="majorEastAsia"/>
        </w:rPr>
        <w:fldChar w:fldCharType="separate"/>
      </w:r>
      <w:r w:rsidR="00716C82" w:rsidRPr="00294D58">
        <w:rPr>
          <w:rFonts w:ascii="Calibri" w:hAnsi="Calibri" w:cs="Calibri"/>
        </w:rPr>
        <w:t>[28,29]</w:t>
      </w:r>
      <w:r w:rsidR="00D2702D" w:rsidRPr="00294D58">
        <w:rPr>
          <w:rFonts w:eastAsiaTheme="majorEastAsia"/>
        </w:rPr>
        <w:fldChar w:fldCharType="end"/>
      </w:r>
      <w:r w:rsidR="00A46662" w:rsidRPr="00294D58">
        <w:rPr>
          <w:rFonts w:eastAsiaTheme="majorEastAsia"/>
        </w:rPr>
        <w:t>) health</w:t>
      </w:r>
      <w:r w:rsidR="00B67F23" w:rsidRPr="00294D58">
        <w:rPr>
          <w:rFonts w:eastAsiaTheme="majorEastAsia"/>
        </w:rPr>
        <w:t>,</w:t>
      </w:r>
      <w:r w:rsidR="00A46662" w:rsidRPr="00294D58">
        <w:rPr>
          <w:rFonts w:eastAsiaTheme="majorEastAsia"/>
        </w:rPr>
        <w:t xml:space="preserve"> both of which are common in homeless populations</w:t>
      </w:r>
      <w:r w:rsidR="00D2702D" w:rsidRPr="00294D58">
        <w:rPr>
          <w:rFonts w:eastAsiaTheme="majorEastAsia"/>
        </w:rPr>
        <w:t xml:space="preserve"> </w:t>
      </w:r>
      <w:r w:rsidR="00D2702D" w:rsidRPr="00294D58">
        <w:rPr>
          <w:rFonts w:eastAsiaTheme="majorEastAsia"/>
        </w:rPr>
        <w:fldChar w:fldCharType="begin"/>
      </w:r>
      <w:r w:rsidR="00D2702D" w:rsidRPr="00294D58">
        <w:rPr>
          <w:rFonts w:eastAsiaTheme="majorEastAsia"/>
        </w:rPr>
        <w:instrText xml:space="preserve"> ADDIN ZOTERO_ITEM CSL_CITATION {"citationID":"QQp49i2s","properties":{"formattedCitation":"[3]","plainCitation":"[3]","noteIndex":0},"citationItems":[{"id":5289,"uris":["http://zotero.org/users/446899/items/D5XB6SAE"],"uri":["http://zotero.org/users/446899/items/D5XB6SAE"],"itemData":{"id":5289,"type":"article-journal","title":"Housing improvements for health and associated socio-economic outcomes","container-title":"The Cochrane Database of Systematic Reviews","page":"CD008657","issue":"2","source":"PubMed","abstract":"BACKGROUND: The well established links between poor housing and poor health indicate that housing improvement may be an important mechanism through which public investment can lead to health improvement. Intervention studies which have assessed the health impacts of housing improvements are an important data resource to test assumptions about the potential for health improvement. Evaluations may not detect long term health impacts due to limited follow-up periods. Impacts on socio-economic determinants of health may be a valuable proxy indication of the potential for longer term health impacts.\nOBJECTIVES: To assess the health and social impacts on residents following improvements to the physical fabric of housing.\nSEARCH METHODS: Twenty seven academic and grey literature bibliographic databases were searched for housing intervention studies from 1887 to July 2012 (ASSIA; Avery Index; CAB Abstracts; The Campbell Library; CINAHL; The Cochrane Library; COPAC; DH-DATA: Health Admin; EMBASE; Geobase; Global Health; IBSS; ICONDA; MEDLINE; MEDLINE In-Process &amp; Other Non-Indexed Citations; NTIS; PAIS; PLANEX; PsycINFO; RIBA; SCIE; Sociological Abstracts; Social Science Citations Index; Science Citations Index expanded; SIGLE; SPECTR). Twelve Scandinavian grey literature and policy databases (Libris; SveMed+; Libris uppsök; DIVA; Artikelsök; NORART; DEFF; AKF; DSI; SBI; Statens Institut for Folkesundhed; Social.dk) and 23 relevant websites were searched. In addition, a request to topic experts was issued for details of relevant studies. Searches were not restricted by language or publication status.\nSELECTION CRITERIA: Studies which assessed change in any health outcome following housing improvement were included. This included experimental studies and uncontrolled studies. Cross-sectional studies were excluded as correlations are not able to shed light on changes in outcomes. Studies reporting only socio-economic outcomes or indirect measures of health, such as health service use, were excluded. All housing improvements which involved a physical improvement to the fabric of the house were included. Excluded interventions were improvements to mobile homes; modifications for mobility or medical reasons; air quality; lead removal; radon exposure reduction; allergen reduction or removal; and furniture or equipment. Where an improvement included one of these in addition to an included intervention the study was included in the review. Studies were not excluded on the basis of date, location, or language.\nDATA COLLECTION AND ANALYSIS: Studies were independently screened and critically appraised by two review authors. Study quality was assessed using the risk of bias tool and the Hamilton tool to accommodate non-experimental and uncontrolled studies. Health and socio-economic impact data were extracted by one review author and checked by a second review author. Studies were grouped according to broad intervention categories, date, and context before synthesis. Where possible, standardized effect estimates were calculated and statistically pooled. Where meta-analysis was not appropriate the data were tabulated and synthesized narratively following a cross-study examination of reported impacts and study characteristics. Qualitative data were summarized using a logic model to map reported impacts and links to health impacts; quantitative data were incorporated into the model.\nMAIN RESULTS: Thirty-nine studies which reported quantitative or qualitative data, or both, were included in the review. Thirty-three quantitative studies were identified. This included five randomised controlled trials (RCTs) and 10 non-experimental studies of warmth improvements, 12 non-experimental studies of rehousing or retrofitting, three non-experimental studies of provision of basic improvements in low or mIddle Income countries (LMIC), and three non-experimental historical studies of rehousing from slums. Fourteen quantitative studies (42.4%) were assessed to be poor quality and were not included in the synthesis. Twelve studies reporting qualitative data were identified. These were studies of warmth improvements (n = 7) and rehousing (n = 5). Three qualitative studies were excluded from the synthesis due to lack of clarity of methods. Six of the included qualitative studies also reported quantitative data which was included in the review.Very little quantitative synthesis was possible as the data were not amenable to meta-analysis. This was largely due to extreme heterogeneity both methodologically as well as because of variations in the intervention, samples, context, and outcome; these variations remained even following grouping of interventions and outcomes. In addition, few studies reported data that were amenable to calculation of standardized effect sizes. The data were synthesised narratively.Data from studies of warmth and energy efficiency interventions suggested that improvements in general health, respiratory health, and mental health are possible. Studies which targeted those with inadequate warmth and existing chronic respiratory disease were most likely to report health improvement. Impacts following housing-led neighbourhood renewal were less clear; these interventions targeted areas rather than individual households in most need. Two poorer quality LMIC studies reported unclear or small health improvements. One better quality study of rehousing from slums (pre-1960) reported some improvement in mental health. There were few reports of adverse health impacts following housing improvement. A small number of studies gathered data on social and socio-economic impacts associated with housing improvement. Warmth improvements were associated with increased usable space, increased privacy, and improved social relationships; absences from work or school due to illness were also reduced.Very few studies reported differential impacts relevant to equity issues, and what data were reported were not amenable to synthesis.\nAUTHORS' CONCLUSIONS: Housing investment which improves thermal comfort in the home can lead to health improvements, especially where the improvements are targeted at those with inadequate warmth and those with chronic respiratory disease. The health impacts of programmes which deliver improvements across areas and do not target according to levels of individual need were less clear, but reported impacts at an area level may conceal health improvements for those with the greatest potential to benefit. Best available evidence indicates that housing which is an appropriate size for the householders and is affordable to heat is linked to improved health and may promote improved social relationships within and beyond the household. In addition, there is some suggestion that provision of adequate, affordable warmth may reduce absences from school or work.While many of the interventions were targeted at low income groups, a near absence of reporting differential impacts prevented analysis of the potential for housing improvement to impact on social and economic inequalities.","DOI":"10.1002/14651858.CD008657.pub2","ISSN":"1469-493X","note":"PMID: 23450585","journalAbbreviation":"Cochrane Database Syst Rev","language":"eng","author":[{"family":"Thomson","given":"Hilary"},{"family":"Thomas","given":"Sian"},{"family":"Sellstrom","given":"Eva"},{"family":"Petticrew","given":"Mark"}],"issued":{"date-parts":[["2013",2,28]]}}}],"schema":"https://github.com/citation-style-language/schema/raw/master/csl-citation.json"} </w:instrText>
      </w:r>
      <w:r w:rsidR="00D2702D" w:rsidRPr="00294D58">
        <w:rPr>
          <w:rFonts w:eastAsiaTheme="majorEastAsia"/>
        </w:rPr>
        <w:fldChar w:fldCharType="separate"/>
      </w:r>
      <w:r w:rsidR="00D2702D" w:rsidRPr="00294D58">
        <w:rPr>
          <w:rFonts w:ascii="Calibri" w:hAnsi="Calibri" w:cs="Calibri"/>
        </w:rPr>
        <w:t>[3]</w:t>
      </w:r>
      <w:r w:rsidR="00D2702D" w:rsidRPr="00294D58">
        <w:rPr>
          <w:rFonts w:eastAsiaTheme="majorEastAsia"/>
        </w:rPr>
        <w:fldChar w:fldCharType="end"/>
      </w:r>
      <w:r w:rsidR="00EF6713" w:rsidRPr="00294D58">
        <w:rPr>
          <w:rFonts w:eastAsiaTheme="majorEastAsia"/>
        </w:rPr>
        <w:t>. Moreover, similar health profiles were observed in the present manuscript in a population who has transitioned from homelessness</w:t>
      </w:r>
      <w:r w:rsidR="00A46662" w:rsidRPr="00294D58">
        <w:rPr>
          <w:rFonts w:eastAsiaTheme="majorEastAsia"/>
        </w:rPr>
        <w:t xml:space="preserve">. </w:t>
      </w:r>
      <w:r w:rsidRPr="00294D58">
        <w:rPr>
          <w:rFonts w:eastAsiaTheme="majorEastAsia"/>
        </w:rPr>
        <w:t>Literature suggests that levels of physical activity track across the life course</w:t>
      </w:r>
      <w:r w:rsidR="004E3C69" w:rsidRPr="00294D58">
        <w:rPr>
          <w:rFonts w:eastAsiaTheme="majorEastAsia"/>
        </w:rPr>
        <w:t xml:space="preserve"> </w:t>
      </w:r>
      <w:r w:rsidR="004E3C69" w:rsidRPr="00294D58">
        <w:rPr>
          <w:rFonts w:eastAsiaTheme="majorEastAsia"/>
        </w:rPr>
        <w:fldChar w:fldCharType="begin"/>
      </w:r>
      <w:r w:rsidR="00716C82" w:rsidRPr="00294D58">
        <w:rPr>
          <w:rFonts w:eastAsiaTheme="majorEastAsia"/>
        </w:rPr>
        <w:instrText xml:space="preserve"> ADDIN ZOTERO_ITEM CSL_CITATION {"citationID":"IbsNZuLr","properties":{"formattedCitation":"[30]","plainCitation":"[30]","noteIndex":0},"citationItems":[{"id":4806,"uris":["http://zotero.org/users/446899/items/JJV9L9RM"],"uri":["http://zotero.org/users/446899/items/JJV9L9RM"],"itemData":{"id":4806,"type":"article-journal","title":"Association between participation in outdoor play and sport at 10years old with physical activity in adulthood","container-title":"Preventive Medicine","page":"31-35","volume":"74","source":"ScienceDirect","abstract":"Objective\nThis study aimed to investigate whether active outdoor play and/or sports at age 10 is associated with sport/physical activity at 32year follow-up using a birth cohort study.\nMethods\nData were from the 1970 British Cohort Study, a longitudinal observational study. The present paper included data from the age 10years and age 42years surveys. At age 10 the participant's mother provided information regarding how often their child played sports, and played outside on streets, parks or playgrounds. At age 42 participants reported frequency of participation in physical activities and sports. Associations between participation in sport/active outdoor play at age 10years and adult sport/physical activity were investigated using adjusted (gender, fathers socio-occupational class, child's BMI, father's BMI, self-rated health at age 42, assessment of own weight at age 42, participant's education) Cox regression.\nResults\nFinal adjusted Cox regression models showed that participants (n=6458) who often participated in sports at age 10 were significantly more likely to participate in sport/physical activity at age 42 (RR 1.10; 95% CI 1.01 to 1.19). Active outdoor play at age 10 was not associated with participation in sport/physical activity at age 42 (RR 0.99; 95% CI 0.91 to 1.07).\nConclusion\nChildhood activity interventions might best achieve lasting change by promoting engagement in sport rather than active outdoor play.","DOI":"10.1016/j.ypmed.2015.02.004","ISSN":"0091-7435","journalAbbreviation":"Preventive Medicine","author":[{"family":"Smith","given":"Lee"},{"family":"Gardner","given":"Benjamin"},{"family":"Aggio","given":"Daniel"},{"family":"Hamer","given":"Mark"}],"issued":{"date-parts":[["2015",5,1]]}},"locator":"10"}],"schema":"https://github.com/citation-style-language/schema/raw/master/csl-citation.json"} </w:instrText>
      </w:r>
      <w:r w:rsidR="004E3C69" w:rsidRPr="00294D58">
        <w:rPr>
          <w:rFonts w:eastAsiaTheme="majorEastAsia"/>
        </w:rPr>
        <w:fldChar w:fldCharType="separate"/>
      </w:r>
      <w:r w:rsidR="00716C82" w:rsidRPr="00294D58">
        <w:rPr>
          <w:rFonts w:ascii="Calibri" w:hAnsi="Calibri" w:cs="Calibri"/>
        </w:rPr>
        <w:t>[30]</w:t>
      </w:r>
      <w:r w:rsidR="004E3C69" w:rsidRPr="00294D58">
        <w:rPr>
          <w:rFonts w:eastAsiaTheme="majorEastAsia"/>
        </w:rPr>
        <w:fldChar w:fldCharType="end"/>
      </w:r>
      <w:r w:rsidRPr="00294D58">
        <w:rPr>
          <w:rFonts w:eastAsiaTheme="majorEastAsia"/>
        </w:rPr>
        <w:t xml:space="preserve">. Importantly, those who are homeless have critically low levels of physical activity. For example, in a Danish study, approximately 70% of the homeless reported no participation in any form of exercise </w:t>
      </w:r>
      <w:r w:rsidR="004E3C69" w:rsidRPr="00294D58">
        <w:rPr>
          <w:rFonts w:eastAsiaTheme="majorEastAsia"/>
        </w:rPr>
        <w:fldChar w:fldCharType="begin"/>
      </w:r>
      <w:r w:rsidR="00716C82" w:rsidRPr="00294D58">
        <w:rPr>
          <w:rFonts w:eastAsiaTheme="majorEastAsia"/>
        </w:rPr>
        <w:instrText xml:space="preserve"> ADDIN ZOTERO_ITEM CSL_CITATION {"citationID":"TSRC1RK1","properties":{"formattedCitation":"[10]","plainCitation":"[10]","noteIndex":0},"citationItems":[{"id":5281,"uris":["http://zotero.org/users/446899/items/239WRMGL"],"uri":["http://zotero.org/users/446899/items/239WRMGL"],"itemData":{"id":5281,"type":"report","title":"Susydsat-sundhedsproil for social udsatte I Danmark 2007","publisher":"Radet for socialt udsatte","publisher-place":"Copenhagen","event-place":"Copenhagen","author":[{"family":"Pedersen","given":"P"},{"family":"Christensen","given":"A I"},{"family":"Hess","given":"U"},{"family":"Curf","given":"T"}],"issued":{"date-parts":[["2008"]]}}}],"schema":"https://github.com/citation-style-language/schema/raw/master/csl-citation.json"} </w:instrText>
      </w:r>
      <w:r w:rsidR="004E3C69" w:rsidRPr="00294D58">
        <w:rPr>
          <w:rFonts w:eastAsiaTheme="majorEastAsia"/>
        </w:rPr>
        <w:fldChar w:fldCharType="separate"/>
      </w:r>
      <w:r w:rsidR="00716C82" w:rsidRPr="00294D58">
        <w:rPr>
          <w:rFonts w:ascii="Calibri" w:hAnsi="Calibri" w:cs="Calibri"/>
        </w:rPr>
        <w:t>[10]</w:t>
      </w:r>
      <w:r w:rsidR="004E3C69" w:rsidRPr="00294D58">
        <w:rPr>
          <w:rFonts w:eastAsiaTheme="majorEastAsia"/>
        </w:rPr>
        <w:fldChar w:fldCharType="end"/>
      </w:r>
      <w:r w:rsidRPr="00294D58">
        <w:rPr>
          <w:rFonts w:eastAsiaTheme="majorEastAsia"/>
        </w:rPr>
        <w:t xml:space="preserve">. </w:t>
      </w:r>
      <w:r w:rsidR="00EF6713" w:rsidRPr="00294D58">
        <w:rPr>
          <w:rFonts w:eastAsiaTheme="majorEastAsia"/>
        </w:rPr>
        <w:t xml:space="preserve">This low level of physical activity is potentially tracking through the transition from homelessness. </w:t>
      </w:r>
    </w:p>
    <w:p w14:paraId="5EE2D189" w14:textId="4DFA3E7A" w:rsidR="009B49EF" w:rsidRPr="00294D58" w:rsidRDefault="009B49EF" w:rsidP="00C46306">
      <w:pPr>
        <w:rPr>
          <w:rFonts w:eastAsiaTheme="majorEastAsia"/>
        </w:rPr>
      </w:pPr>
      <w:r w:rsidRPr="00294D58">
        <w:rPr>
          <w:rFonts w:eastAsiaTheme="majorEastAsia"/>
        </w:rPr>
        <w:t xml:space="preserve">The </w:t>
      </w:r>
      <w:r w:rsidR="0052205A" w:rsidRPr="00294D58">
        <w:rPr>
          <w:rFonts w:eastAsiaTheme="majorEastAsia"/>
        </w:rPr>
        <w:t xml:space="preserve">novel </w:t>
      </w:r>
      <w:r w:rsidRPr="00294D58">
        <w:rPr>
          <w:rFonts w:eastAsiaTheme="majorEastAsia"/>
        </w:rPr>
        <w:t xml:space="preserve">finding that </w:t>
      </w:r>
      <w:r w:rsidR="00B51856" w:rsidRPr="00294D58">
        <w:rPr>
          <w:rFonts w:eastAsiaTheme="majorEastAsia"/>
        </w:rPr>
        <w:t>people who have ever been</w:t>
      </w:r>
      <w:r w:rsidRPr="00294D58">
        <w:rPr>
          <w:rFonts w:eastAsiaTheme="majorEastAsia"/>
        </w:rPr>
        <w:t xml:space="preserve"> homeless </w:t>
      </w:r>
      <w:r w:rsidR="00272684" w:rsidRPr="00294D58">
        <w:rPr>
          <w:rFonts w:eastAsiaTheme="majorEastAsia"/>
        </w:rPr>
        <w:t>are at increased</w:t>
      </w:r>
      <w:r w:rsidRPr="00294D58">
        <w:rPr>
          <w:rFonts w:eastAsiaTheme="majorEastAsia"/>
        </w:rPr>
        <w:t xml:space="preserve"> risk of </w:t>
      </w:r>
      <w:r w:rsidR="00272684" w:rsidRPr="00294D58">
        <w:rPr>
          <w:rFonts w:eastAsiaTheme="majorEastAsia"/>
        </w:rPr>
        <w:t xml:space="preserve">adverse </w:t>
      </w:r>
      <w:r w:rsidR="0052205A" w:rsidRPr="00294D58">
        <w:rPr>
          <w:rFonts w:eastAsiaTheme="majorEastAsia"/>
        </w:rPr>
        <w:t xml:space="preserve">physical and mental health </w:t>
      </w:r>
      <w:r w:rsidR="000048DD" w:rsidRPr="00294D58">
        <w:rPr>
          <w:rFonts w:eastAsiaTheme="majorEastAsia"/>
        </w:rPr>
        <w:t>outcomes is important</w:t>
      </w:r>
      <w:r w:rsidR="0052205A" w:rsidRPr="00294D58">
        <w:rPr>
          <w:rFonts w:eastAsiaTheme="majorEastAsia"/>
        </w:rPr>
        <w:t>. This suggests that the transition from homelessness is not enough to bring the health profile of this population in align</w:t>
      </w:r>
      <w:r w:rsidR="008F6C98" w:rsidRPr="00294D58">
        <w:rPr>
          <w:rFonts w:eastAsiaTheme="majorEastAsia"/>
        </w:rPr>
        <w:t>ment</w:t>
      </w:r>
      <w:r w:rsidR="0052205A" w:rsidRPr="00294D58">
        <w:rPr>
          <w:rFonts w:eastAsiaTheme="majorEastAsia"/>
        </w:rPr>
        <w:t xml:space="preserve"> with the general public. </w:t>
      </w:r>
      <w:r w:rsidR="005D2F9A" w:rsidRPr="00294D58">
        <w:rPr>
          <w:rFonts w:eastAsiaTheme="majorEastAsia"/>
        </w:rPr>
        <w:t>There are s</w:t>
      </w:r>
      <w:r w:rsidR="00EA6472" w:rsidRPr="00294D58">
        <w:rPr>
          <w:rFonts w:eastAsiaTheme="majorEastAsia"/>
        </w:rPr>
        <w:t xml:space="preserve">everal </w:t>
      </w:r>
      <w:r w:rsidR="009B78F6" w:rsidRPr="00294D58">
        <w:rPr>
          <w:rFonts w:eastAsiaTheme="majorEastAsia"/>
        </w:rPr>
        <w:t xml:space="preserve">factors </w:t>
      </w:r>
      <w:r w:rsidR="005D2F9A" w:rsidRPr="00294D58">
        <w:rPr>
          <w:rFonts w:eastAsiaTheme="majorEastAsia"/>
        </w:rPr>
        <w:t xml:space="preserve">that </w:t>
      </w:r>
      <w:r w:rsidR="009B78F6" w:rsidRPr="00294D58">
        <w:rPr>
          <w:rFonts w:eastAsiaTheme="majorEastAsia"/>
        </w:rPr>
        <w:t>may account for</w:t>
      </w:r>
      <w:r w:rsidR="00EA6472" w:rsidRPr="00294D58">
        <w:rPr>
          <w:rFonts w:eastAsiaTheme="majorEastAsia"/>
        </w:rPr>
        <w:t xml:space="preserve"> the</w:t>
      </w:r>
      <w:r w:rsidR="00275460" w:rsidRPr="00294D58">
        <w:rPr>
          <w:rFonts w:eastAsiaTheme="majorEastAsia"/>
        </w:rPr>
        <w:t xml:space="preserve"> observed</w:t>
      </w:r>
      <w:r w:rsidR="006B2681" w:rsidRPr="00294D58">
        <w:rPr>
          <w:rFonts w:eastAsiaTheme="majorEastAsia"/>
        </w:rPr>
        <w:t xml:space="preserve"> </w:t>
      </w:r>
      <w:r w:rsidR="00AD1EEE" w:rsidRPr="00294D58">
        <w:rPr>
          <w:rFonts w:eastAsiaTheme="majorEastAsia"/>
        </w:rPr>
        <w:t>disparity in</w:t>
      </w:r>
      <w:r w:rsidR="00EA6472" w:rsidRPr="00294D58">
        <w:rPr>
          <w:rFonts w:eastAsiaTheme="majorEastAsia"/>
        </w:rPr>
        <w:t xml:space="preserve"> health. First, depression is</w:t>
      </w:r>
      <w:r w:rsidR="000048DD" w:rsidRPr="00294D58">
        <w:rPr>
          <w:rFonts w:eastAsiaTheme="majorEastAsia"/>
        </w:rPr>
        <w:t xml:space="preserve"> prevalent among the homeless community </w:t>
      </w:r>
      <w:r w:rsidR="00AD7661" w:rsidRPr="00294D58">
        <w:rPr>
          <w:rFonts w:eastAsiaTheme="majorEastAsia"/>
        </w:rPr>
        <w:fldChar w:fldCharType="begin"/>
      </w:r>
      <w:r w:rsidR="00716C82" w:rsidRPr="00294D58">
        <w:rPr>
          <w:rFonts w:eastAsiaTheme="majorEastAsia"/>
        </w:rPr>
        <w:instrText xml:space="preserve"> ADDIN ZOTERO_ITEM CSL_CITATION {"citationID":"ig7Picjx","properties":{"formattedCitation":"[31]","plainCitation":"[31]","noteIndex":0},"citationItems":[{"id":5350,"uris":["http://zotero.org/users/446899/items/GUSQ2BT4"],"uri":["http://zotero.org/users/446899/items/GUSQ2BT4"],"itemData":{"id":5350,"type":"article-journal","title":"Depression in homeless mothers: Addressing an unrecognized public health issue","container-title":"American Journal of Orthopsychiatry","page":"73-81","volume":"84","issue":"1","source":"APA PsycNET","abstract":"Homeless mothers experience disproportionately high rates of major depressive disorder compared with the general population. Stressed by their circumstances, these women struggle to protect their families. Children living with a depressed parent have poorer medical, mental health, and educational outcomes. Despite the adverse impact on children, depression among mothers experiencing homelessness remains unacknowledged, unrecognized, and untreated. This article reviews the evidence supporting preventive and therapeutic interventions with low-income and homeless mothers and children, and finds that few services have been adapted and evaluated for use in the homelessness service system. Based on the robust evidence describing positive outcomes in programs for low-income parents with depression, the authors propose guidelines for adapting and implementing services directly by programs serving homeless families. Once families are housed and urgent issues addressed, they recommend assessing all family members, routinely providing culturally competent parenting supports, trauma-informed services, and treatment for major depressive disorders. They also emphasize the critical importance of creating child-centered spaces and developmental services for the children. To ensure quality care, training must be available for the staff. Given the increasing numbers of homeless families and high rates of maternal depression and its negative impact on children, support for these programs should become a high public health priority. (PsycINFO Database Record (c) 2016 APA, all rights reserved)","DOI":"10.1037/h0098949","ISSN":"1939-0025(Electronic),0002-9432(Print)","shortTitle":"Depression in homeless mothers","author":[{"family":"Bassuk","given":"Ellen L."},{"family":"Beardslee","given":"William R."}],"issued":{"date-parts":[["2014"]]}}}],"schema":"https://github.com/citation-style-language/schema/raw/master/csl-citation.json"} </w:instrText>
      </w:r>
      <w:r w:rsidR="00AD7661" w:rsidRPr="00294D58">
        <w:rPr>
          <w:rFonts w:eastAsiaTheme="majorEastAsia"/>
        </w:rPr>
        <w:fldChar w:fldCharType="separate"/>
      </w:r>
      <w:r w:rsidR="00716C82" w:rsidRPr="00294D58">
        <w:rPr>
          <w:rFonts w:ascii="Calibri" w:hAnsi="Calibri" w:cs="Calibri"/>
        </w:rPr>
        <w:t>[31]</w:t>
      </w:r>
      <w:r w:rsidR="00AD7661" w:rsidRPr="00294D58">
        <w:rPr>
          <w:rFonts w:eastAsiaTheme="majorEastAsia"/>
        </w:rPr>
        <w:fldChar w:fldCharType="end"/>
      </w:r>
      <w:r w:rsidR="00D62217" w:rsidRPr="00294D58">
        <w:rPr>
          <w:rFonts w:eastAsiaTheme="majorEastAsia"/>
        </w:rPr>
        <w:t xml:space="preserve"> </w:t>
      </w:r>
      <w:r w:rsidR="000048DD" w:rsidRPr="00294D58">
        <w:rPr>
          <w:rFonts w:eastAsiaTheme="majorEastAsia"/>
        </w:rPr>
        <w:t>and is</w:t>
      </w:r>
      <w:r w:rsidR="001D1642" w:rsidRPr="00294D58">
        <w:rPr>
          <w:rFonts w:eastAsiaTheme="majorEastAsia"/>
        </w:rPr>
        <w:t xml:space="preserve"> a highly recurrent disorder</w:t>
      </w:r>
      <w:r w:rsidR="00D62217" w:rsidRPr="00294D58">
        <w:rPr>
          <w:rFonts w:eastAsiaTheme="majorEastAsia"/>
        </w:rPr>
        <w:t>,</w:t>
      </w:r>
      <w:r w:rsidR="001D1642" w:rsidRPr="00294D58">
        <w:rPr>
          <w:rFonts w:eastAsiaTheme="majorEastAsia"/>
        </w:rPr>
        <w:t xml:space="preserve"> </w:t>
      </w:r>
      <w:r w:rsidR="00AD7661" w:rsidRPr="00294D58">
        <w:rPr>
          <w:rStyle w:val="Hyperlink"/>
          <w:rFonts w:eastAsiaTheme="majorEastAsia"/>
          <w:color w:val="auto"/>
        </w:rPr>
        <w:fldChar w:fldCharType="begin"/>
      </w:r>
      <w:r w:rsidR="00716C82" w:rsidRPr="00294D58">
        <w:rPr>
          <w:rStyle w:val="Hyperlink"/>
          <w:rFonts w:eastAsiaTheme="majorEastAsia"/>
          <w:color w:val="auto"/>
        </w:rPr>
        <w:instrText xml:space="preserve"> ADDIN ZOTERO_ITEM CSL_CITATION {"citationID":"MvI1jpW9","properties":{"formattedCitation":"[32]","plainCitation":"[32]","noteIndex":0},"citationItems":[{"id":5274,"uris":["http://zotero.org/users/446899/items/H9WP43ZH"],"uri":["http://zotero.org/users/446899/items/H9WP43ZH"],"itemData":{"id":5274,"type":"article-journal","title":"Risk for Recurrence in Depression","container-title":"Clinical psychology review","page":"959-985","volume":"27","issue":"8","source":"PubMed Central","abstract":"Depression is a highly recurrent disorder with significant personal and public health consequences. Prevention of recurrence would be extremely desirable, and thus researchers have begun to identify risk factors that are specific to recurrence, which may be different from risk factors for first-onset of depression. Methodological issues in this area of research are briefly reviewed (e.g., the various definitions of “recurrence” and “depression”), followed by a review of studies on specific risk factors, including demographic variables (gender, socio-economic status, marital status), clinical variables (age at first onset, number of prior episodes, severity of first/index episode, comorbid psychopathology), family history of psychopathology, and psychosocial and psychological variables (level of psychosocial functioning, cognitions, personality, social support, and stressful life events). In addition, scar theories are evaluated for their potential to explain how these variables and recurrent depression are linked. Our review suggests that recurrent depression reflects an underlying vulnerability that is largely genetic in nature and that may predispose those high in the vulnerability not only to recurrent depressive episodes, but also to the significant psychosocial risk factors that often accompany recurrent depression.","DOI":"10.1016/j.cpr.2007.02.005","ISSN":"0272-7358","note":"PMID: 17448579\nPMCID: PMC2169519","journalAbbreviation":"Clin Psychol Rev","author":[{"family":"Burcusa","given":"Stephanie L."},{"family":"Iacono","given":"William G."}],"issued":{"date-parts":[["2007",12]]}}}],"schema":"https://github.com/citation-style-language/schema/raw/master/csl-citation.json"} </w:instrText>
      </w:r>
      <w:r w:rsidR="00AD7661" w:rsidRPr="00294D58">
        <w:rPr>
          <w:rStyle w:val="Hyperlink"/>
          <w:rFonts w:eastAsiaTheme="majorEastAsia"/>
          <w:color w:val="auto"/>
        </w:rPr>
        <w:fldChar w:fldCharType="separate"/>
      </w:r>
      <w:r w:rsidR="00716C82" w:rsidRPr="00294D58">
        <w:rPr>
          <w:rFonts w:ascii="Calibri" w:hAnsi="Calibri" w:cs="Calibri"/>
        </w:rPr>
        <w:t>[32]</w:t>
      </w:r>
      <w:r w:rsidR="00AD7661" w:rsidRPr="00294D58">
        <w:rPr>
          <w:rStyle w:val="Hyperlink"/>
          <w:rFonts w:eastAsiaTheme="majorEastAsia"/>
          <w:color w:val="auto"/>
        </w:rPr>
        <w:fldChar w:fldCharType="end"/>
      </w:r>
      <w:r w:rsidR="000048DD" w:rsidRPr="00294D58">
        <w:rPr>
          <w:rFonts w:eastAsiaTheme="majorEastAsia"/>
        </w:rPr>
        <w:t xml:space="preserve"> thus is likely to reoccur after </w:t>
      </w:r>
      <w:r w:rsidR="00EF4AFC" w:rsidRPr="00294D58">
        <w:rPr>
          <w:rFonts w:eastAsiaTheme="majorEastAsia"/>
        </w:rPr>
        <w:t>the transition out of homelessness</w:t>
      </w:r>
      <w:r w:rsidR="000048DD" w:rsidRPr="00294D58">
        <w:rPr>
          <w:rFonts w:eastAsiaTheme="majorEastAsia"/>
        </w:rPr>
        <w:t xml:space="preserve">, </w:t>
      </w:r>
      <w:r w:rsidR="00EA6472" w:rsidRPr="00294D58">
        <w:rPr>
          <w:rFonts w:eastAsiaTheme="majorEastAsia"/>
        </w:rPr>
        <w:t>with significant personal consequences</w:t>
      </w:r>
      <w:r w:rsidR="00D62217" w:rsidRPr="00294D58">
        <w:rPr>
          <w:rFonts w:eastAsiaTheme="majorEastAsia"/>
        </w:rPr>
        <w:t>.</w:t>
      </w:r>
      <w:r w:rsidR="00AD7661" w:rsidRPr="00294D58">
        <w:rPr>
          <w:rStyle w:val="Hyperlink"/>
          <w:rFonts w:eastAsiaTheme="majorEastAsia"/>
          <w:color w:val="auto"/>
          <w:u w:val="none"/>
        </w:rPr>
        <w:fldChar w:fldCharType="begin"/>
      </w:r>
      <w:r w:rsidR="00716C82" w:rsidRPr="00294D58">
        <w:rPr>
          <w:rStyle w:val="Hyperlink"/>
          <w:rFonts w:eastAsiaTheme="majorEastAsia"/>
          <w:color w:val="auto"/>
          <w:u w:val="none"/>
        </w:rPr>
        <w:instrText xml:space="preserve"> ADDIN ZOTERO_ITEM CSL_CITATION {"citationID":"nrkyncAh","properties":{"formattedCitation":"[32]","plainCitation":"[32]","noteIndex":0},"citationItems":[{"id":5274,"uris":["http://zotero.org/users/446899/items/H9WP43ZH"],"uri":["http://zotero.org/users/446899/items/H9WP43ZH"],"itemData":{"id":5274,"type":"article-journal","title":"Risk for Recurrence in Depression","container-title":"Clinical psychology review","page":"959-985","volume":"27","issue":"8","source":"PubMed Central","abstract":"Depression is a highly recurrent disorder with significant personal and public health consequences. Prevention of recurrence would be extremely desirable, and thus researchers have begun to identify risk factors that are specific to recurrence, which may be different from risk factors for first-onset of depression. Methodological issues in this area of research are briefly reviewed (e.g., the various definitions of “recurrence” and “depression”), followed by a review of studies on specific risk factors, including demographic variables (gender, socio-economic status, marital status), clinical variables (age at first onset, number of prior episodes, severity of first/index episode, comorbid psychopathology), family history of psychopathology, and psychosocial and psychological variables (level of psychosocial functioning, cognitions, personality, social support, and stressful life events). In addition, scar theories are evaluated for their potential to explain how these variables and recurrent depression are linked. Our review suggests that recurrent depression reflects an underlying vulnerability that is largely genetic in nature and that may predispose those high in the vulnerability not only to recurrent depressive episodes, but also to the significant psychosocial risk factors that often accompany recurrent depression.","DOI":"10.1016/j.cpr.2007.02.005","ISSN":"0272-7358","note":"PMID: 17448579\nPMCID: PMC2169519","journalAbbreviation":"Clin Psychol Rev","author":[{"family":"Burcusa","given":"Stephanie L."},{"family":"Iacono","given":"William G."}],"issued":{"date-parts":[["2007",12]]}}}],"schema":"https://github.com/citation-style-language/schema/raw/master/csl-citation.json"} </w:instrText>
      </w:r>
      <w:r w:rsidR="00AD7661" w:rsidRPr="00294D58">
        <w:rPr>
          <w:rStyle w:val="Hyperlink"/>
          <w:rFonts w:eastAsiaTheme="majorEastAsia"/>
          <w:color w:val="auto"/>
          <w:u w:val="none"/>
        </w:rPr>
        <w:fldChar w:fldCharType="separate"/>
      </w:r>
      <w:r w:rsidR="00716C82" w:rsidRPr="00294D58">
        <w:rPr>
          <w:rFonts w:ascii="Calibri" w:hAnsi="Calibri" w:cs="Calibri"/>
        </w:rPr>
        <w:t>[32]</w:t>
      </w:r>
      <w:r w:rsidR="00AD7661" w:rsidRPr="00294D58">
        <w:rPr>
          <w:rStyle w:val="Hyperlink"/>
          <w:rFonts w:eastAsiaTheme="majorEastAsia"/>
          <w:color w:val="auto"/>
          <w:u w:val="none"/>
        </w:rPr>
        <w:fldChar w:fldCharType="end"/>
      </w:r>
      <w:r w:rsidR="00D62217" w:rsidRPr="00294D58">
        <w:rPr>
          <w:rStyle w:val="Hyperlink"/>
          <w:rFonts w:eastAsiaTheme="majorEastAsia"/>
          <w:color w:val="auto"/>
          <w:u w:val="none"/>
        </w:rPr>
        <w:t xml:space="preserve"> </w:t>
      </w:r>
      <w:r w:rsidR="00DB0FBC" w:rsidRPr="00294D58">
        <w:rPr>
          <w:rFonts w:eastAsiaTheme="majorEastAsia"/>
        </w:rPr>
        <w:t>Low mood</w:t>
      </w:r>
      <w:r w:rsidR="00EA6472" w:rsidRPr="00294D58">
        <w:rPr>
          <w:rFonts w:eastAsiaTheme="majorEastAsia"/>
        </w:rPr>
        <w:t xml:space="preserve"> may be partly driving the observed negative associat</w:t>
      </w:r>
      <w:r w:rsidR="004D7AAE" w:rsidRPr="00294D58">
        <w:rPr>
          <w:rFonts w:eastAsiaTheme="majorEastAsia"/>
        </w:rPr>
        <w:t xml:space="preserve">ions with life satisfaction, </w:t>
      </w:r>
      <w:r w:rsidR="00EA6472" w:rsidRPr="00294D58">
        <w:rPr>
          <w:rFonts w:eastAsiaTheme="majorEastAsia"/>
        </w:rPr>
        <w:t>quality of life</w:t>
      </w:r>
      <w:r w:rsidR="004D7AAE" w:rsidRPr="00294D58">
        <w:rPr>
          <w:rFonts w:eastAsiaTheme="majorEastAsia"/>
        </w:rPr>
        <w:t>, and limiting-long standing illness</w:t>
      </w:r>
      <w:r w:rsidR="00D62217" w:rsidRPr="00294D58">
        <w:rPr>
          <w:rFonts w:eastAsiaTheme="majorEastAsia"/>
        </w:rPr>
        <w:t xml:space="preserve">. </w:t>
      </w:r>
      <w:r w:rsidR="00AD7661" w:rsidRPr="00294D58">
        <w:rPr>
          <w:rFonts w:eastAsiaTheme="majorEastAsia"/>
        </w:rPr>
        <w:fldChar w:fldCharType="begin"/>
      </w:r>
      <w:r w:rsidR="00716C82" w:rsidRPr="00294D58">
        <w:rPr>
          <w:rFonts w:eastAsiaTheme="majorEastAsia"/>
        </w:rPr>
        <w:instrText xml:space="preserve"> ADDIN ZOTERO_ITEM CSL_CITATION {"citationID":"uKITfPWt","properties":{"formattedCitation":"[33]","plainCitation":"[33]","noteIndex":0},"citationItems":[{"id":5273,"uris":["http://zotero.org/users/446899/items/N9SZ9ENF"],"uri":["http://zotero.org/users/446899/items/N9SZ9ENF"],"itemData":{"id":5273,"type":"article-journal","title":"Depressive Symptoms and Health-Related Quality of Life: The Heart and Soul Study","container-title":"JAMA","page":"215-221","volume":"290","issue":"2","source":"jamanetwork.com","abstract":"ContextLittle is known regarding the extent to which patient-reported health status, including symptom burden, physical limitation, and quality of life, is determined by psychosocial vs physiological factors among patients with chronic disease.ObjectiveTo compare the contributions of depressive symptoms and measures of cardiac function to the health status of patients with coronary artery disease.Design, Setting, and ParticipantsCross-sectional study of 1024 adults with stable coronary artery disease recruited from outpatient clinics in the San Francisco Bay Area between September 2000 and December 2002.Main MeasuresMeasurement of depressive symptoms using the Patient Health Questionnaire (PHQ); assessment of cardiac function by measuring left ventricular ejection fraction on echocardiography, exercise capacity on treadmill testing, and ischemia on stress echocardiography; and measurement of a range of health status outcomes, including symptom burden, physical limitation, and quality of life, using the Seattle Angina Questionnaire. Participants were also asked to rate their overall health as excellent, very good, good, fair, or poor.ResultsOf the 1024 participants, 201 (20%) had depressive symptoms (PHQ score ≥10). Participants with depressive symptoms were more likely than those without depressive symptoms to report at least mild symptom burden (60% vs 33%; P&amp;lt;.001), mild physical limitation (73% vs 40%; P&amp;lt;.001), mildly diminished quality of life (67% vs 31%; P&amp;lt;.001), and fair or poor overall health (66% vs 30%; P&amp;lt;.001). In multivariate analyses adjusting for measures of cardiac function and other patient characteristics, depressive symptoms were strongly associated with greater symptom burden (odds ratio [OR], 1.8; 95% confidence interval [CI], 1.3-2.7; P = .002), greater physical limitation (OR, 3.1; 95% CI, 2.1-4.6; P&amp;lt;.001), worse quality of life (OR, 3.1; 95% CI, 2.2-4.6; P&amp;lt;.001), and worse overall health (OR, 2.0; 95% CI, 1.3-2.9; P&amp;lt;.001). Although decreased exercise capacity was associated with worse health status, left ventricular ejection fraction and ischemia were not.ConclusionsAmong patients with coronary disease, depressive symptoms are strongly associated with patient-reported health status, including symptom burden, physical limitation, quality of life, and overall health. Conversely, 2 traditional measures of cardiac function—ejection fraction and ischemia—are not. Efforts to improve health status should include assessment and treatment of depressive symptoms.","DOI":"10.1001/jama.290.2.215","ISSN":"0098-7484","shortTitle":"Depressive Symptoms and Health-Related Quality of Life","journalAbbreviation":"JAMA","language":"en","author":[{"family":"Ruo","given":"Bernice"},{"family":"Rumsfeld","given":"John S."},{"family":"Hlatky","given":"Mark A."},{"family":"Liu","given":"Haiying"},{"family":"Browner","given":"Warren S."},{"family":"Whooley","given":"Mary A."}],"issued":{"date-parts":[["2003",7,9]]}}}],"schema":"https://github.com/citation-style-language/schema/raw/master/csl-citation.json"} </w:instrText>
      </w:r>
      <w:r w:rsidR="00AD7661" w:rsidRPr="00294D58">
        <w:rPr>
          <w:rFonts w:eastAsiaTheme="majorEastAsia"/>
        </w:rPr>
        <w:fldChar w:fldCharType="separate"/>
      </w:r>
      <w:r w:rsidR="00716C82" w:rsidRPr="00294D58">
        <w:rPr>
          <w:rFonts w:ascii="Calibri" w:hAnsi="Calibri" w:cs="Calibri"/>
        </w:rPr>
        <w:t>[33]</w:t>
      </w:r>
      <w:r w:rsidR="00AD7661" w:rsidRPr="00294D58">
        <w:rPr>
          <w:rFonts w:eastAsiaTheme="majorEastAsia"/>
        </w:rPr>
        <w:fldChar w:fldCharType="end"/>
      </w:r>
      <w:r w:rsidR="00EA06BA" w:rsidRPr="00294D58">
        <w:rPr>
          <w:rFonts w:eastAsiaTheme="majorEastAsia"/>
        </w:rPr>
        <w:t xml:space="preserve"> </w:t>
      </w:r>
    </w:p>
    <w:p w14:paraId="48E75D5C" w14:textId="09D47CBA" w:rsidR="00876AB5" w:rsidRPr="00294D58" w:rsidRDefault="00FF273C" w:rsidP="00C46306">
      <w:pPr>
        <w:rPr>
          <w:rFonts w:eastAsiaTheme="majorEastAsia"/>
        </w:rPr>
      </w:pPr>
      <w:r w:rsidRPr="00294D58">
        <w:rPr>
          <w:rFonts w:eastAsiaTheme="majorEastAsia"/>
        </w:rPr>
        <w:t xml:space="preserve">Second, people </w:t>
      </w:r>
      <w:r w:rsidR="005F22CB" w:rsidRPr="00294D58">
        <w:rPr>
          <w:rFonts w:eastAsiaTheme="majorEastAsia"/>
        </w:rPr>
        <w:t>who are homeless are susceptible to multiple health complications. Chronic hepatitis C and co-infections are common among the homeless popula</w:t>
      </w:r>
      <w:r w:rsidR="00564CB7" w:rsidRPr="00294D58">
        <w:rPr>
          <w:rFonts w:eastAsiaTheme="majorEastAsia"/>
        </w:rPr>
        <w:t>tion</w:t>
      </w:r>
      <w:r w:rsidR="00D62217" w:rsidRPr="00294D58">
        <w:rPr>
          <w:rFonts w:eastAsiaTheme="majorEastAsia"/>
        </w:rPr>
        <w:t>.</w:t>
      </w:r>
      <w:r w:rsidR="00AD7661" w:rsidRPr="00294D58">
        <w:rPr>
          <w:rFonts w:eastAsiaTheme="majorEastAsia"/>
        </w:rPr>
        <w:fldChar w:fldCharType="begin"/>
      </w:r>
      <w:r w:rsidR="00716C82" w:rsidRPr="00294D58">
        <w:rPr>
          <w:rFonts w:eastAsiaTheme="majorEastAsia"/>
        </w:rPr>
        <w:instrText xml:space="preserve"> ADDIN ZOTERO_ITEM CSL_CITATION {"citationID":"7BuMiESv","properties":{"formattedCitation":"[34]","plainCitation":"[34]","noteIndex":0},"citationItems":[{"id":5269,"uris":["http://zotero.org/users/446899/items/LSI3ZNYK"],"uri":["http://zotero.org/users/446899/items/LSI3ZNYK"],"itemData":{"id":5269,"type":"article-journal","title":"Viral Hepatitis and Other Infectious Diseases in a Homeless Population","container-title":"Journal of Clinical Gastroenterology","page":"476","volume":"34","issue":"4","source":"journals.lww.com","abstract":"Goals To determine the prevalence of four common infectious diseases—hepatitis B, hepatitis C, human immunodeficiency virus (HIV), and tuberculosis—as well as co-infection rates and risk factors in a homeless population.\n        Background The prevalence of infectious diseases, especially viral hepatitis, among the homeless population is largely unknown.\n        Study This study consists of a retrospective analysis of the history and laboratory data collected from all homeless veterans admitted to a Veterans Administration (VA) domiciliary from May 1995 to March 2000.\n        Results Of the homeless veterans admitted to a VA domiciliary program, 597 of 829 were screened for markers of all four infectious diseases. The overall prevalence of anti–hepatitis C virus (HCV) antibody, and positive result for purified protein derivative (PPD), anti-HIV antibody, and hepatitis B surface antigen (HbsAg) were 41.7%, 20.6%, 1.84% and 1.17%, respectively. At least one of the four markers was positive in 52.6% and more than one in 12%. Co-infection with HCV occurred commonly in veterans who were positive for anti-HIV (72.7%) and HBsAg (57.1%). Four self-reported major risk factors (intravenous drug use, alcohol abuse, previous imprisonment, and prior stay in a shelter) were evaluated. Multivariate analysis indicates that intravenous drug use and anti-HBs reactivity are independent risk factors for HCV infection, HCV infection for anti–hepatitis B surface antibody reactivity, and older age for PPD positivity.\n        Conclusions Chronic hepatitis C and co-infections are common among the homeless population. Patients infected with HIV and hepatitis B virus frequently are co-infected with HCV. Infections frequently are associated with certain identifiable risk factors.","ISSN":"0192-0790","language":"en-US","author":[{"family":"Cheung","given":"Ramsey C."},{"family":"Hanson","given":"Aspasia K."},{"family":"Maganti","given":"Kalyani"},{"family":"Keeffe","given":"Emmet B."},{"family":"Matsui","given":"Suzanne M."}],"issued":{"date-parts":[["2002",4]]}}}],"schema":"https://github.com/citation-style-language/schema/raw/master/csl-citation.json"} </w:instrText>
      </w:r>
      <w:r w:rsidR="00AD7661" w:rsidRPr="00294D58">
        <w:rPr>
          <w:rFonts w:eastAsiaTheme="majorEastAsia"/>
        </w:rPr>
        <w:fldChar w:fldCharType="separate"/>
      </w:r>
      <w:r w:rsidR="00716C82" w:rsidRPr="00294D58">
        <w:rPr>
          <w:rFonts w:ascii="Calibri" w:hAnsi="Calibri" w:cs="Calibri"/>
        </w:rPr>
        <w:t>[34]</w:t>
      </w:r>
      <w:r w:rsidR="00AD7661" w:rsidRPr="00294D58">
        <w:rPr>
          <w:rFonts w:eastAsiaTheme="majorEastAsia"/>
        </w:rPr>
        <w:fldChar w:fldCharType="end"/>
      </w:r>
      <w:r w:rsidR="00B266E2" w:rsidRPr="00294D58">
        <w:rPr>
          <w:rFonts w:eastAsiaTheme="majorEastAsia"/>
        </w:rPr>
        <w:t xml:space="preserve"> </w:t>
      </w:r>
      <w:r w:rsidR="00902758" w:rsidRPr="00294D58">
        <w:rPr>
          <w:rFonts w:eastAsiaTheme="majorEastAsia"/>
        </w:rPr>
        <w:t>Other</w:t>
      </w:r>
      <w:r w:rsidR="00B266E2" w:rsidRPr="00294D58">
        <w:rPr>
          <w:rFonts w:eastAsiaTheme="majorEastAsia"/>
        </w:rPr>
        <w:t xml:space="preserve"> conditions that are prevalent among the homeless include tuberculosis, uncontrolled asthma,</w:t>
      </w:r>
      <w:r w:rsidR="00902758" w:rsidRPr="00294D58">
        <w:rPr>
          <w:rFonts w:eastAsiaTheme="majorEastAsia"/>
        </w:rPr>
        <w:t xml:space="preserve"> and</w:t>
      </w:r>
      <w:r w:rsidR="00B266E2" w:rsidRPr="00294D58">
        <w:rPr>
          <w:rFonts w:eastAsiaTheme="majorEastAsia"/>
        </w:rPr>
        <w:t xml:space="preserve"> dermatologic infestations</w:t>
      </w:r>
      <w:r w:rsidR="00642991" w:rsidRPr="00294D58">
        <w:rPr>
          <w:rFonts w:eastAsiaTheme="majorEastAsia"/>
        </w:rPr>
        <w:t>.</w:t>
      </w:r>
      <w:r w:rsidR="00AD7661" w:rsidRPr="00294D58">
        <w:rPr>
          <w:rFonts w:eastAsiaTheme="majorEastAsia"/>
        </w:rPr>
        <w:fldChar w:fldCharType="begin"/>
      </w:r>
      <w:r w:rsidR="00716C82" w:rsidRPr="00294D58">
        <w:rPr>
          <w:rFonts w:eastAsiaTheme="majorEastAsia"/>
        </w:rPr>
        <w:instrText xml:space="preserve"> ADDIN ZOTERO_ITEM CSL_CITATION {"citationID":"ZxAjj6XX","properties":{"formattedCitation":"[35]","plainCitation":"[35]","noteIndex":0},"citationItems":[{"id":5272,"uris":["http://zotero.org/users/446899/items/NML3I7LB"],"uri":["http://zotero.org/users/446899/items/NML3I7LB"],"itemData":{"id":5272,"type":"article-journal","title":"Homeless adolescents: Common clinical concerns","container-title":"Seminars in Pediatric Infectious Diseases","page":"6-11","volume":"14","issue":"1","source":"ScienceDirect","abstract":"Homeless youth are at alarmingly high risk for a myriad of physical and psychological problems as a result of both the circumstances that prededed their homelessness, and as a direct consequence of life on the streets. Sexually transmitted infections (STIs), pregnancy, trauma, tuberculosis, uncontrolled asthma, and dermatologic infestations are a few of the health problems with which these youth commonly present. These somatic problems are compounded by high rates of drug and alcohol abuse as well as depression and suicide. Despite the obvious need for medical services, homeless youth often do not receive appropriate medical care due to numerous individual and systems barriers impeding health care access by this population. In addition to the barriers experienced by the adult homeless population, homeless adolescents confront further hurdles stemming from their age and developmental stage. Some of these impediments include a lack of knowledge of clinic sites, fear of not being taken seriously, concerns about confidentiality, and fears of police or social services involvement. Improved access to appropriate health care is necessary if we are to better support and care for this population of young people. To effectively manage and treat homeless youth, individual providers must be aware of the diagnoses associated with homelessness, as well as the community resources available to these youth. Finally, providers need to be the voices advocating for improved services for this disadvantaged and silent population. © 2003 Elsevier Inc. All rights reserved.","DOI":"10.1053/spid.2003.127211","ISSN":"1045-1870","shortTitle":"Homeless adolescents","journalAbbreviation":"Seminars in Pediatric Infectious Diseases","author":[{"family":"Feldmann","given":"Jennifer"},{"family":"Middleman","given":"Amy B."}],"issued":{"date-parts":[["2003",1,1]]}}}],"schema":"https://github.com/citation-style-language/schema/raw/master/csl-citation.json"} </w:instrText>
      </w:r>
      <w:r w:rsidR="00AD7661" w:rsidRPr="00294D58">
        <w:rPr>
          <w:rFonts w:eastAsiaTheme="majorEastAsia"/>
        </w:rPr>
        <w:fldChar w:fldCharType="separate"/>
      </w:r>
      <w:r w:rsidR="00716C82" w:rsidRPr="00294D58">
        <w:rPr>
          <w:rFonts w:ascii="Calibri" w:hAnsi="Calibri" w:cs="Calibri"/>
        </w:rPr>
        <w:t>[35]</w:t>
      </w:r>
      <w:r w:rsidR="00AD7661" w:rsidRPr="00294D58">
        <w:rPr>
          <w:rFonts w:eastAsiaTheme="majorEastAsia"/>
        </w:rPr>
        <w:fldChar w:fldCharType="end"/>
      </w:r>
      <w:r w:rsidR="00642991" w:rsidRPr="00294D58">
        <w:rPr>
          <w:rFonts w:eastAsiaTheme="majorEastAsia"/>
        </w:rPr>
        <w:t xml:space="preserve"> </w:t>
      </w:r>
      <w:r w:rsidR="00C157F4" w:rsidRPr="00294D58">
        <w:rPr>
          <w:rFonts w:eastAsiaTheme="majorEastAsia"/>
        </w:rPr>
        <w:t>T</w:t>
      </w:r>
      <w:r w:rsidR="00B266E2" w:rsidRPr="00294D58">
        <w:rPr>
          <w:rFonts w:eastAsiaTheme="majorEastAsia"/>
        </w:rPr>
        <w:t xml:space="preserve">hese problems are compounded by high rates of drug and alcohol abuse and together likely </w:t>
      </w:r>
      <w:r w:rsidR="00C157F4" w:rsidRPr="00294D58">
        <w:rPr>
          <w:rFonts w:eastAsiaTheme="majorEastAsia"/>
        </w:rPr>
        <w:t xml:space="preserve">contribute </w:t>
      </w:r>
      <w:r w:rsidR="00B266E2" w:rsidRPr="00294D58">
        <w:rPr>
          <w:rFonts w:eastAsiaTheme="majorEastAsia"/>
        </w:rPr>
        <w:t xml:space="preserve">to </w:t>
      </w:r>
      <w:r w:rsidR="00EA06BA" w:rsidRPr="00294D58">
        <w:rPr>
          <w:rFonts w:eastAsiaTheme="majorEastAsia"/>
        </w:rPr>
        <w:t xml:space="preserve">poorer self-rated health, </w:t>
      </w:r>
      <w:r w:rsidR="00B266E2" w:rsidRPr="00294D58">
        <w:rPr>
          <w:rFonts w:eastAsiaTheme="majorEastAsia"/>
        </w:rPr>
        <w:t>limiting-long standing illne</w:t>
      </w:r>
      <w:r w:rsidR="00902758" w:rsidRPr="00294D58">
        <w:rPr>
          <w:rFonts w:eastAsiaTheme="majorEastAsia"/>
        </w:rPr>
        <w:t>ss and lower quality of life across the lifespan</w:t>
      </w:r>
      <w:r w:rsidR="00642991" w:rsidRPr="00294D58">
        <w:rPr>
          <w:rFonts w:eastAsiaTheme="majorEastAsia"/>
        </w:rPr>
        <w:t>.</w:t>
      </w:r>
      <w:r w:rsidR="00AD7661" w:rsidRPr="00294D58">
        <w:rPr>
          <w:rFonts w:eastAsiaTheme="majorEastAsia"/>
        </w:rPr>
        <w:fldChar w:fldCharType="begin"/>
      </w:r>
      <w:r w:rsidR="00716C82" w:rsidRPr="00294D58">
        <w:rPr>
          <w:rFonts w:eastAsiaTheme="majorEastAsia"/>
        </w:rPr>
        <w:instrText xml:space="preserve"> ADDIN ZOTERO_ITEM CSL_CITATION {"citationID":"t0y6Oscj","properties":{"formattedCitation":"[36,37]","plainCitation":"[36,37]","noteIndex":0},"citationItems":[{"id":5271,"uris":["http://zotero.org/users/446899/items/NZZLE5GH"],"uri":["http://zotero.org/users/446899/items/NZZLE5GH"],"itemData":{"id":5271,"type":"article-journal","title":"Factors associated with substance use in older homeless adults: Results from the HOPE HOME study","container-title":"Substance Abuse","page":"88-94","volume":"38","issue":"1","source":"Taylor and Francis+NEJM","abstract":"Background: The median age of the single adult homeless population is 50 and rising. Although the prevalence of substance use decreases as individuals age, older adults now have a higher prevalence of substance use than older adults did 10 years ago. Homeless individuals have a higher prevalence of substance use disorders than the general population. However, little is known about substance use in older homeless adults. Methods: The objective of the study was to examine prevalence of and factors associated with substance use in a population-based sample (N = 350) of homeless individuals aged 50 and older in Oakland, California. Dependent variables included moderate or greater severity illicit drug symptoms (Alcohol, Smoking, and Substance Involvement Screening Test (ASSIST) score &gt;3) and moderate or greater alcohol symptoms (Alcohol Use Disorders Identification Test (AUDIT) score &gt;7). Independent variables included demographics, mental health problems, and negative life course events such as physical and sexual abuse, school expulsion, and onset of homelessness. Results: Almost two thirds of participants, 64.6%, had moderate or greater severity symptoms for at least 1 illicit drug; 25.8% had moderate or greater severity alcohol symptoms. History of psychiatric hospitalization was associated with moderate or greater illicit drug symptoms (adjusted odds ratio [AOR] = 1.9, 1.0–3.6). The presence of major depressive symptoms was associated with moderate or greater severity alcohol symptoms (AOR = 1.8, 1.1–3.0). Conclusions: In this sample of older homeless adults, substance use is common. There is a need for substance use treatment programs, integrated with mental health services, which are targeted towards the needs of older homeless adults.","DOI":"10.1080/08897077.2016.1264534","ISSN":"0889-7077","note":"PMID: 27897965","shortTitle":"Factors associated with substance use in older homeless adults","author":[{"family":"Spinelli","given":"Matthew A."},{"family":"Ponath","given":"Claudia"},{"family":"Tieu","given":"Lina"},{"family":"Hurstak","given":"Emily E."},{"family":"Guzman","given":"David"},{"family":"Kushel","given":"Margot"}],"issued":{"date-parts":[["2017",1,2]]}}},{"id":5270,"uris":["http://zotero.org/users/446899/items/RRHNX9WM"],"uri":["http://zotero.org/users/446899/items/RRHNX9WM"],"itemData":{"id":5270,"type":"article-journal","title":"Prevalence and predictors of substance use disorders among homeless women seeking primary care: An 11 site survey","container-title":"The American Journal on Addictions","page":"680-688","volume":"26","issue":"7","source":"Wiley Online Library","abstract":"Background and Objectives Homeless women have shown high rates of substance use disorders (SUD), but many studies are more than a decade old, limited in geographic location, or focus only on women living outdoors or in shelters. The purpose of this study was to obtain a more current and representative sample of homeless women and the prevalence and predictors of substance use disorders among women seeking primary care at Health Care for the Homeless clinics across the US. Methods Eleven Health Care for the Homeless (HCH) clinics in nine states contributed proportionally to a sample of n = 780 female patients who completed a self-administered survey including demographics, housing history, health, mental health, and drug and alcohol use. Results Compared to the general population of women, rates were four times higher for an alcohol use disorder, and 12 times higher for a drug use disorder. Discussion and Conclusions The findings indicate a significant need for SUD services, with an equally high need for mental health services. In addition, high rates of victimization and use of tobacco, and overall poor health status, indicate overall health disparities. Scientific Significance Addressing barriers to full integration of substance use and mental health services, such as improving screening, reimbursement, clinician training, and addressing biases about motivation of this population to engage in treatment, are necessary to improve the health of women seeking care in HCH settings. (Am J Addict 2017;26:680–688)","DOI":"10.1111/ajad.12582","ISSN":"1521-0391","shortTitle":"Prevalence and predictors of substance use disorders among homeless women seeking primary care","language":"en","author":[{"family":"Upshur","given":"Carole Christofk"},{"family":"Jenkins","given":"Darlene"},{"family":"Weinreb","given":"Linda"},{"family":"Gelberg","given":"Lillian"},{"family":"Orvek","given":"Elizabeth Aaker"}],"issued":{"date-parts":[["2017",10,1]]}}}],"schema":"https://github.com/citation-style-language/schema/raw/master/csl-citation.json"} </w:instrText>
      </w:r>
      <w:r w:rsidR="00AD7661" w:rsidRPr="00294D58">
        <w:rPr>
          <w:rFonts w:eastAsiaTheme="majorEastAsia"/>
        </w:rPr>
        <w:fldChar w:fldCharType="separate"/>
      </w:r>
      <w:r w:rsidR="00716C82" w:rsidRPr="00294D58">
        <w:rPr>
          <w:rFonts w:ascii="Calibri" w:hAnsi="Calibri" w:cs="Calibri"/>
        </w:rPr>
        <w:t>[36,37]</w:t>
      </w:r>
      <w:r w:rsidR="00AD7661" w:rsidRPr="00294D58">
        <w:rPr>
          <w:rFonts w:eastAsiaTheme="majorEastAsia"/>
        </w:rPr>
        <w:fldChar w:fldCharType="end"/>
      </w:r>
    </w:p>
    <w:p w14:paraId="7A8245C9" w14:textId="74EE3A7B" w:rsidR="00876AB5" w:rsidRPr="00294D58" w:rsidRDefault="00E246B9" w:rsidP="00C46306">
      <w:pPr>
        <w:rPr>
          <w:rFonts w:eastAsiaTheme="majorEastAsia"/>
        </w:rPr>
      </w:pPr>
      <w:r w:rsidRPr="00294D58">
        <w:rPr>
          <w:rFonts w:eastAsiaTheme="majorEastAsia"/>
        </w:rPr>
        <w:t>Interestingly</w:t>
      </w:r>
      <w:r w:rsidR="00057C25" w:rsidRPr="00294D58">
        <w:rPr>
          <w:rFonts w:eastAsiaTheme="majorEastAsia"/>
        </w:rPr>
        <w:t>,</w:t>
      </w:r>
      <w:r w:rsidRPr="00294D58">
        <w:rPr>
          <w:rFonts w:eastAsiaTheme="majorEastAsia"/>
        </w:rPr>
        <w:t xml:space="preserve"> </w:t>
      </w:r>
      <w:r w:rsidR="00057C25" w:rsidRPr="00294D58">
        <w:rPr>
          <w:rFonts w:eastAsiaTheme="majorEastAsia"/>
        </w:rPr>
        <w:t>while differences</w:t>
      </w:r>
      <w:r w:rsidRPr="00294D58">
        <w:rPr>
          <w:rFonts w:eastAsiaTheme="majorEastAsia"/>
        </w:rPr>
        <w:t xml:space="preserve"> in health outcomes (self-rated health, limiting long-standing illness, depressive symptoms, life satisfaction and QOL) between the present sample (</w:t>
      </w:r>
      <w:proofErr w:type="spellStart"/>
      <w:r w:rsidRPr="00294D58">
        <w:rPr>
          <w:rFonts w:eastAsiaTheme="majorEastAsia"/>
        </w:rPr>
        <w:t>ex homeless</w:t>
      </w:r>
      <w:proofErr w:type="spellEnd"/>
      <w:r w:rsidRPr="00294D58">
        <w:rPr>
          <w:rFonts w:eastAsiaTheme="majorEastAsia"/>
        </w:rPr>
        <w:t xml:space="preserve">) and those who have not been homeless </w:t>
      </w:r>
      <w:r w:rsidR="00057C25" w:rsidRPr="00294D58">
        <w:rPr>
          <w:rFonts w:eastAsiaTheme="majorEastAsia"/>
        </w:rPr>
        <w:t xml:space="preserve">were significant, </w:t>
      </w:r>
      <w:r w:rsidRPr="00294D58">
        <w:rPr>
          <w:rFonts w:eastAsiaTheme="majorEastAsia"/>
        </w:rPr>
        <w:t xml:space="preserve">the magnitude of the </w:t>
      </w:r>
      <w:r w:rsidR="00057C25" w:rsidRPr="00294D58">
        <w:rPr>
          <w:rFonts w:eastAsiaTheme="majorEastAsia"/>
        </w:rPr>
        <w:t>associations was</w:t>
      </w:r>
      <w:r w:rsidRPr="00294D58">
        <w:rPr>
          <w:rFonts w:eastAsiaTheme="majorEastAsia"/>
        </w:rPr>
        <w:t xml:space="preserve"> smaller than has </w:t>
      </w:r>
      <w:r w:rsidR="00057C25" w:rsidRPr="00294D58">
        <w:rPr>
          <w:rFonts w:eastAsiaTheme="majorEastAsia"/>
        </w:rPr>
        <w:t>been documented in previous studies</w:t>
      </w:r>
      <w:r w:rsidR="00716C82" w:rsidRPr="00294D58">
        <w:rPr>
          <w:rFonts w:eastAsiaTheme="majorEastAsia"/>
        </w:rPr>
        <w:t xml:space="preserve"> </w:t>
      </w:r>
      <w:r w:rsidR="00716C82" w:rsidRPr="00294D58">
        <w:rPr>
          <w:rFonts w:eastAsiaTheme="majorEastAsia"/>
        </w:rPr>
        <w:fldChar w:fldCharType="begin"/>
      </w:r>
      <w:r w:rsidR="00716C82" w:rsidRPr="00294D58">
        <w:rPr>
          <w:rFonts w:eastAsiaTheme="majorEastAsia"/>
        </w:rPr>
        <w:instrText xml:space="preserve"> ADDIN ZOTERO_ITEM CSL_CITATION {"citationID":"JBpXz14v","properties":{"formattedCitation":"[38]","plainCitation":"[38]","noteIndex":0},"citationItems":[{"id":7539,"uris":["http://zotero.org/users/446899/items/PM4EVRCZ"],"uri":["http://zotero.org/users/446899/items/PM4EVRCZ"],"itemData":{"id":7539,"type":"article-journal","title":"Life Satisfaction, Hope, and Positive Emotions as Antecedents of Health Related Quality of Life Among Homeless Individuals","container-title":"International Journal of Applied Positive Psychology","page":"69-89","volume":"1","issue":"1","source":"Springer Link","abstract":"Among a sample of individuals identifying as homeless (N′ = 275), this study modeled the relationship between the psychological well-being variables of hope, life satisfaction, positive emotions, and health related quality of life (HRQoL). Specifically, covariance based structural equation modeling (CB-SEM) was used to test a prior theory that life satisfaction serves as an antecedent of HRQoL with hope and positive emotions as mediators. Results indicated that the theorized CB-SEM model closely fit the observed data, with the model also serving as a robust predictor of hope, positive emotions, and HRQoL. The data suggests that life satisfaction and hope are important cognitive sets influencing positive emotional well-being with all 3 variables collectively contributing to increased perceptions of HRQoL. The study concludes with a discussion of the implications of the results on future research, particularly surrounding potential quality of life interventions for individuals facing homelessness and associated health challenges.","DOI":"10.1007/s41042-017-0005-z","ISSN":"2364-5059","journalAbbreviation":"Int J Appl Posit Psychol","language":"en","author":[{"family":"Munoz","given":"Ricky T."},{"family":"Hellman","given":"Chan M."},{"family":"Buster","given":"Bryan"},{"family":"Robbins","given":"Andrew"},{"family":"Carroll","given":"Colin"},{"family":"Kabbani","given":"Majd"},{"family":"Cassody","given":"Laura"},{"family":"Brahm","given":"Nancy"},{"family":"Fox","given":"Mark D."}],"issued":{"date-parts":[["2016",12,1]]}}}],"schema":"https://github.com/citation-style-language/schema/raw/master/csl-citation.json"} </w:instrText>
      </w:r>
      <w:r w:rsidR="00716C82" w:rsidRPr="00294D58">
        <w:rPr>
          <w:rFonts w:eastAsiaTheme="majorEastAsia"/>
        </w:rPr>
        <w:fldChar w:fldCharType="separate"/>
      </w:r>
      <w:r w:rsidR="00716C82" w:rsidRPr="00294D58">
        <w:rPr>
          <w:rFonts w:ascii="Calibri" w:hAnsi="Calibri" w:cs="Calibri"/>
        </w:rPr>
        <w:t>[38]</w:t>
      </w:r>
      <w:r w:rsidR="00716C82" w:rsidRPr="00294D58">
        <w:rPr>
          <w:rFonts w:eastAsiaTheme="majorEastAsia"/>
        </w:rPr>
        <w:fldChar w:fldCharType="end"/>
      </w:r>
      <w:r w:rsidRPr="00294D58">
        <w:rPr>
          <w:rFonts w:eastAsiaTheme="majorEastAsia"/>
        </w:rPr>
        <w:t>. This may be owing to a degree of ‘recovery’ from homelessness. It may also be an artefact of the type of homelessness. The majority of the present sample who had experienced homelessness may ha</w:t>
      </w:r>
      <w:r w:rsidR="00057C25" w:rsidRPr="00294D58">
        <w:rPr>
          <w:rFonts w:eastAsiaTheme="majorEastAsia"/>
        </w:rPr>
        <w:t>ve</w:t>
      </w:r>
      <w:r w:rsidRPr="00294D58">
        <w:rPr>
          <w:rFonts w:eastAsiaTheme="majorEastAsia"/>
        </w:rPr>
        <w:t xml:space="preserve"> been “statutory homeless” where health outcomes are likely better than rough sleeping.</w:t>
      </w:r>
    </w:p>
    <w:p w14:paraId="51606210" w14:textId="04438B5F" w:rsidR="00C1393F" w:rsidRPr="00294D58" w:rsidRDefault="00C63F80" w:rsidP="00CB5AA3">
      <w:pPr>
        <w:rPr>
          <w:rFonts w:eastAsiaTheme="majorEastAsia"/>
        </w:rPr>
      </w:pPr>
      <w:r w:rsidRPr="00294D58">
        <w:rPr>
          <w:rFonts w:eastAsiaTheme="majorEastAsia"/>
        </w:rPr>
        <w:t>To our knowledge</w:t>
      </w:r>
      <w:r w:rsidR="00B61C0A" w:rsidRPr="00294D58">
        <w:rPr>
          <w:rFonts w:eastAsiaTheme="majorEastAsia"/>
        </w:rPr>
        <w:t>,</w:t>
      </w:r>
      <w:r w:rsidRPr="00294D58">
        <w:rPr>
          <w:rFonts w:eastAsiaTheme="majorEastAsia"/>
        </w:rPr>
        <w:t xml:space="preserve"> this is the first study to examine health outcomes in those who have transitioned </w:t>
      </w:r>
      <w:r w:rsidR="00B61C0A" w:rsidRPr="00294D58">
        <w:rPr>
          <w:rFonts w:eastAsiaTheme="majorEastAsia"/>
        </w:rPr>
        <w:t xml:space="preserve">out of </w:t>
      </w:r>
      <w:r w:rsidRPr="00294D58">
        <w:rPr>
          <w:rFonts w:eastAsiaTheme="majorEastAsia"/>
        </w:rPr>
        <w:t xml:space="preserve">homelessness. </w:t>
      </w:r>
      <w:r w:rsidR="00237321" w:rsidRPr="00294D58">
        <w:rPr>
          <w:rFonts w:eastAsiaTheme="majorEastAsia"/>
        </w:rPr>
        <w:t>While these findings are important for advancing the evidence base in this area, they</w:t>
      </w:r>
      <w:r w:rsidR="00E8502C" w:rsidRPr="00294D58">
        <w:rPr>
          <w:rFonts w:eastAsiaTheme="majorEastAsia"/>
        </w:rPr>
        <w:t xml:space="preserve"> should be considered in light of a couple of limitations. </w:t>
      </w:r>
      <w:r w:rsidR="0095205A" w:rsidRPr="00294D58">
        <w:rPr>
          <w:rFonts w:eastAsiaTheme="majorEastAsia"/>
        </w:rPr>
        <w:t xml:space="preserve">The very </w:t>
      </w:r>
      <w:r w:rsidR="00D80F19" w:rsidRPr="00294D58">
        <w:rPr>
          <w:rFonts w:eastAsiaTheme="majorEastAsia"/>
        </w:rPr>
        <w:t xml:space="preserve">small </w:t>
      </w:r>
      <w:r w:rsidR="0095205A" w:rsidRPr="00294D58">
        <w:rPr>
          <w:rFonts w:eastAsiaTheme="majorEastAsia"/>
        </w:rPr>
        <w:t>number</w:t>
      </w:r>
      <w:r w:rsidR="00D80F19" w:rsidRPr="00294D58">
        <w:rPr>
          <w:rFonts w:eastAsiaTheme="majorEastAsia"/>
        </w:rPr>
        <w:t xml:space="preserve"> of participants with a history of </w:t>
      </w:r>
      <w:r w:rsidR="00D80F19" w:rsidRPr="00294D58">
        <w:rPr>
          <w:rFonts w:eastAsiaTheme="majorEastAsia"/>
        </w:rPr>
        <w:lastRenderedPageBreak/>
        <w:t xml:space="preserve">homelessness </w:t>
      </w:r>
      <w:r w:rsidR="0095205A" w:rsidRPr="00294D58">
        <w:rPr>
          <w:rFonts w:eastAsiaTheme="majorEastAsia"/>
        </w:rPr>
        <w:t xml:space="preserve">in our sample </w:t>
      </w:r>
      <w:r w:rsidR="00D80F19" w:rsidRPr="00294D58">
        <w:rPr>
          <w:rFonts w:eastAsiaTheme="majorEastAsia"/>
        </w:rPr>
        <w:t xml:space="preserve">meant </w:t>
      </w:r>
      <w:r w:rsidR="00E427B3" w:rsidRPr="00294D58">
        <w:rPr>
          <w:rFonts w:eastAsiaTheme="majorEastAsia"/>
        </w:rPr>
        <w:t xml:space="preserve">that </w:t>
      </w:r>
      <w:r w:rsidR="00D80F19" w:rsidRPr="00294D58">
        <w:rPr>
          <w:rFonts w:eastAsiaTheme="majorEastAsia"/>
        </w:rPr>
        <w:t>analyses were underpowered to detect modest differences between groups. However, the fact that we observed significant differences in the majority of the outcomes we analysed attests to the strength of these associations.</w:t>
      </w:r>
      <w:r w:rsidR="00C1393F" w:rsidRPr="00294D58">
        <w:rPr>
          <w:rFonts w:eastAsiaTheme="majorEastAsia"/>
        </w:rPr>
        <w:t xml:space="preserve"> Nevertheless, future research using larger samples is required to confirm or refute our findings</w:t>
      </w:r>
      <w:r w:rsidR="00B675EC" w:rsidRPr="00294D58">
        <w:rPr>
          <w:rFonts w:eastAsiaTheme="majorEastAsia"/>
        </w:rPr>
        <w:t xml:space="preserve">. While we adjusted for a wide range of sociodemographic and behavioural covariates, it is possible that the results could be explained by residual confounding by unmeasured variables – i.e. the group reporting a history of homelessness were deprived in ways that were not reflected in the existing variables. </w:t>
      </w:r>
      <w:r w:rsidR="00F12601" w:rsidRPr="00294D58">
        <w:rPr>
          <w:rFonts w:eastAsiaTheme="majorEastAsia"/>
        </w:rPr>
        <w:t>Information on time since the period(s) of homelessness was not available so we were unable to evaluate the extent to which recency of homelessness is related to our outcomes of interest.</w:t>
      </w:r>
      <w:r w:rsidR="00BC6D5B" w:rsidRPr="00294D58">
        <w:rPr>
          <w:rFonts w:eastAsiaTheme="majorEastAsia"/>
        </w:rPr>
        <w:t xml:space="preserve"> </w:t>
      </w:r>
      <w:r w:rsidR="00876AB5" w:rsidRPr="00294D58">
        <w:rPr>
          <w:rFonts w:eastAsiaTheme="majorEastAsia"/>
        </w:rPr>
        <w:t xml:space="preserve">It is possible that participants who reported a history of homelessness had transitioned out of homelessness many years or even decades prior. </w:t>
      </w:r>
      <w:bookmarkStart w:id="2" w:name="_Hlk2882541"/>
      <w:r w:rsidR="00876AB5" w:rsidRPr="00294D58">
        <w:rPr>
          <w:rFonts w:eastAsiaTheme="majorEastAsia"/>
        </w:rPr>
        <w:t>In addition, information on type of homelessness was not available. It is therefore unknown whether those who reported once being homeless were “statutory homeless”, lived on the streets, stayed in a shelter, abandoned building or vehicle</w:t>
      </w:r>
      <w:r w:rsidR="00057C25" w:rsidRPr="00294D58">
        <w:rPr>
          <w:rFonts w:eastAsiaTheme="majorEastAsia"/>
        </w:rPr>
        <w:t>,</w:t>
      </w:r>
      <w:r w:rsidR="00876AB5" w:rsidRPr="00294D58">
        <w:rPr>
          <w:rFonts w:eastAsiaTheme="majorEastAsia"/>
        </w:rPr>
        <w:t xml:space="preserve"> </w:t>
      </w:r>
      <w:r w:rsidR="00057C25" w:rsidRPr="00294D58">
        <w:rPr>
          <w:rFonts w:eastAsiaTheme="majorEastAsia"/>
        </w:rPr>
        <w:t>etc</w:t>
      </w:r>
      <w:r w:rsidR="00876AB5" w:rsidRPr="00294D58">
        <w:rPr>
          <w:rFonts w:eastAsiaTheme="majorEastAsia"/>
        </w:rPr>
        <w:t>. Type of homelessness may hav</w:t>
      </w:r>
      <w:r w:rsidR="00057C25" w:rsidRPr="00294D58">
        <w:rPr>
          <w:rFonts w:eastAsiaTheme="majorEastAsia"/>
        </w:rPr>
        <w:t xml:space="preserve">e varying influences on health and </w:t>
      </w:r>
      <w:r w:rsidR="00876AB5" w:rsidRPr="00294D58">
        <w:rPr>
          <w:rFonts w:eastAsiaTheme="majorEastAsia"/>
        </w:rPr>
        <w:t xml:space="preserve">behaviour. It is plausible to assume that those who are rough sleepers (living on streets, abandoned buildings or vehicles) are at a higher risk of poor health, for example, owing to exposure to cold weather and wet conditions or lack of access to essential facilities such as bathrooms. However, those who are rough sleepers are much more likely to be male (86% male) </w:t>
      </w:r>
      <w:r w:rsidR="00716C82" w:rsidRPr="00294D58">
        <w:rPr>
          <w:rFonts w:eastAsiaTheme="majorEastAsia"/>
        </w:rPr>
        <w:fldChar w:fldCharType="begin"/>
      </w:r>
      <w:r w:rsidR="00716C82" w:rsidRPr="00294D58">
        <w:rPr>
          <w:rFonts w:eastAsiaTheme="majorEastAsia"/>
        </w:rPr>
        <w:instrText xml:space="preserve"> ADDIN ZOTERO_ITEM CSL_CITATION {"citationID":"Q1ezFN3C","properties":{"formattedCitation":"[1]","plainCitation":"[1]","noteIndex":0},"citationItems":[{"id":5280,"uris":["http://zotero.org/users/446899/items/5LKJE5NY"],"uri":["http://zotero.org/users/446899/items/5LKJE5NY"],"itemData":{"id":5280,"type":"report","title":"The homelessness monitor: England 2017","publisher":"Institute for Social Policy, Environment and Real Estate (I-SPHERE), Heriot-Watt University; City Futures Research Centre, University of New South Wales","author":[{"family":"Fitzpatrick","given":"S"},{"family":"Pawson","given":"H"},{"family":"Bramley","given":"G"},{"family":"Wilcox","given":"S"},{"family":"Watts","given":"B"}],"issued":{"date-parts":[["2017",3]]}}}],"schema":"https://github.com/citation-style-language/schema/raw/master/csl-citation.json"} </w:instrText>
      </w:r>
      <w:r w:rsidR="00716C82" w:rsidRPr="00294D58">
        <w:rPr>
          <w:rFonts w:eastAsiaTheme="majorEastAsia"/>
        </w:rPr>
        <w:fldChar w:fldCharType="separate"/>
      </w:r>
      <w:r w:rsidR="00716C82" w:rsidRPr="00294D58">
        <w:rPr>
          <w:rFonts w:ascii="Calibri" w:hAnsi="Calibri" w:cs="Calibri"/>
        </w:rPr>
        <w:t>[1]</w:t>
      </w:r>
      <w:r w:rsidR="00716C82" w:rsidRPr="00294D58">
        <w:rPr>
          <w:rFonts w:eastAsiaTheme="majorEastAsia"/>
        </w:rPr>
        <w:fldChar w:fldCharType="end"/>
      </w:r>
      <w:r w:rsidR="00716C82" w:rsidRPr="00294D58">
        <w:rPr>
          <w:rFonts w:eastAsiaTheme="majorEastAsia"/>
        </w:rPr>
        <w:t xml:space="preserve"> </w:t>
      </w:r>
      <w:r w:rsidR="00876AB5" w:rsidRPr="00294D58">
        <w:rPr>
          <w:rFonts w:eastAsiaTheme="majorEastAsia"/>
        </w:rPr>
        <w:t>and a relatively large proportion of our sample who were once homeless were female (46.7%). It may be that the present sample are not representative of the wider homeless population</w:t>
      </w:r>
      <w:r w:rsidR="00E246B9" w:rsidRPr="00294D58">
        <w:rPr>
          <w:rFonts w:eastAsiaTheme="majorEastAsia"/>
        </w:rPr>
        <w:t xml:space="preserve"> (or at least rough sleepers)</w:t>
      </w:r>
      <w:r w:rsidR="00876AB5" w:rsidRPr="00294D58">
        <w:rPr>
          <w:rFonts w:eastAsiaTheme="majorEastAsia"/>
        </w:rPr>
        <w:t xml:space="preserve"> in the UK. Future research to tease out the influence of type of previous homelessness on health/ behaviour outcomes is required.</w:t>
      </w:r>
      <w:bookmarkEnd w:id="2"/>
      <w:r w:rsidR="00876AB5" w:rsidRPr="00294D58">
        <w:rPr>
          <w:rFonts w:eastAsiaTheme="majorEastAsia"/>
        </w:rPr>
        <w:t xml:space="preserve"> </w:t>
      </w:r>
      <w:r w:rsidR="006A15B1" w:rsidRPr="00294D58">
        <w:rPr>
          <w:rFonts w:eastAsiaTheme="majorEastAsia"/>
        </w:rPr>
        <w:t xml:space="preserve">Finally, ELSA does not collect data on those currently homeless and thus it was not possible to have a </w:t>
      </w:r>
      <w:r w:rsidR="005F4B50" w:rsidRPr="00294D58">
        <w:rPr>
          <w:rFonts w:eastAsiaTheme="majorEastAsia"/>
        </w:rPr>
        <w:t xml:space="preserve">“currently </w:t>
      </w:r>
      <w:r w:rsidR="006A15B1" w:rsidRPr="00294D58">
        <w:rPr>
          <w:rFonts w:eastAsiaTheme="majorEastAsia"/>
        </w:rPr>
        <w:t>homeless</w:t>
      </w:r>
      <w:r w:rsidR="005F4B50" w:rsidRPr="00294D58">
        <w:rPr>
          <w:rFonts w:eastAsiaTheme="majorEastAsia"/>
        </w:rPr>
        <w:t>”</w:t>
      </w:r>
      <w:r w:rsidR="006A15B1" w:rsidRPr="00294D58">
        <w:rPr>
          <w:rFonts w:eastAsiaTheme="majorEastAsia"/>
        </w:rPr>
        <w:t xml:space="preserve"> category in the present analyses. </w:t>
      </w:r>
      <w:r w:rsidR="00495A20" w:rsidRPr="00294D58">
        <w:rPr>
          <w:rFonts w:eastAsiaTheme="majorEastAsia"/>
        </w:rPr>
        <w:t xml:space="preserve">Given that we did not observe significant differences in some outcomes previously demonstrated to differ between currently homeless and housed populations (e.g. smoking), it might be the case that those who manage to transition out of homelessness are able to offset some of the increased risk associated with having been homeless. </w:t>
      </w:r>
      <w:r w:rsidR="006A15B1" w:rsidRPr="00294D58">
        <w:rPr>
          <w:rFonts w:eastAsiaTheme="majorEastAsia"/>
        </w:rPr>
        <w:t xml:space="preserve">Future research may wish to compare those never homeless, those currently homeless, and those previously homeless to gain a deeper insight. </w:t>
      </w:r>
      <w:r w:rsidR="007A2C0E" w:rsidRPr="00294D58">
        <w:rPr>
          <w:rFonts w:eastAsiaTheme="majorEastAsia"/>
        </w:rPr>
        <w:t xml:space="preserve">  </w:t>
      </w:r>
    </w:p>
    <w:p w14:paraId="799EE0FE" w14:textId="77777777" w:rsidR="00543902" w:rsidRPr="00294D58" w:rsidRDefault="00375BE3" w:rsidP="00CB5AA3">
      <w:pPr>
        <w:rPr>
          <w:rFonts w:eastAsiaTheme="majorEastAsia" w:cstheme="minorHAnsi"/>
          <w:sz w:val="26"/>
          <w:szCs w:val="26"/>
        </w:rPr>
      </w:pPr>
      <w:r w:rsidRPr="00294D58">
        <w:rPr>
          <w:rFonts w:eastAsiaTheme="majorEastAsia" w:cstheme="minorHAnsi"/>
          <w:sz w:val="26"/>
          <w:szCs w:val="26"/>
        </w:rPr>
        <w:t xml:space="preserve">CONCLUSION </w:t>
      </w:r>
    </w:p>
    <w:p w14:paraId="5F2A60AA" w14:textId="7206ADED" w:rsidR="00C1393F" w:rsidRPr="00294D58" w:rsidRDefault="00C1393F" w:rsidP="00C1393F">
      <w:pPr>
        <w:rPr>
          <w:rFonts w:eastAsiaTheme="majorEastAsia"/>
        </w:rPr>
      </w:pPr>
      <w:r w:rsidRPr="00294D58">
        <w:rPr>
          <w:rFonts w:eastAsiaTheme="majorEastAsia"/>
        </w:rPr>
        <w:t xml:space="preserve">In conclusion, the present results indicate that older adults in England who have previously been homeless are more likely to </w:t>
      </w:r>
      <w:r w:rsidR="008448BC" w:rsidRPr="00294D58">
        <w:rPr>
          <w:rFonts w:eastAsiaTheme="majorEastAsia"/>
        </w:rPr>
        <w:t>be physically inactive</w:t>
      </w:r>
      <w:r w:rsidRPr="00294D58">
        <w:rPr>
          <w:rFonts w:eastAsiaTheme="majorEastAsia"/>
        </w:rPr>
        <w:t xml:space="preserve"> and have poorer mental and physical health outcomes than those who have never been homeless.</w:t>
      </w:r>
    </w:p>
    <w:p w14:paraId="77CB4547" w14:textId="622EAE49" w:rsidR="00C1393F" w:rsidRPr="00294D58" w:rsidRDefault="00C1393F" w:rsidP="00C1393F">
      <w:pPr>
        <w:rPr>
          <w:rFonts w:eastAsiaTheme="majorEastAsia"/>
        </w:rPr>
      </w:pPr>
      <w:r w:rsidRPr="00294D58">
        <w:rPr>
          <w:rFonts w:eastAsiaTheme="majorEastAsia"/>
        </w:rPr>
        <w:lastRenderedPageBreak/>
        <w:t>Continued initiatives to tackle homelessness itself is important</w:t>
      </w:r>
      <w:r w:rsidR="00DF64F6" w:rsidRPr="00294D58">
        <w:rPr>
          <w:rFonts w:eastAsiaTheme="majorEastAsia"/>
        </w:rPr>
        <w:t>.</w:t>
      </w:r>
      <w:r w:rsidRPr="00294D58">
        <w:rPr>
          <w:rFonts w:eastAsiaTheme="majorEastAsia"/>
        </w:rPr>
        <w:t xml:space="preserve"> </w:t>
      </w:r>
      <w:r w:rsidR="00DF64F6" w:rsidRPr="00294D58">
        <w:rPr>
          <w:rFonts w:eastAsiaTheme="majorEastAsia"/>
        </w:rPr>
        <w:t>I</w:t>
      </w:r>
      <w:r w:rsidRPr="00294D58">
        <w:rPr>
          <w:rFonts w:eastAsiaTheme="majorEastAsia"/>
        </w:rPr>
        <w:t xml:space="preserve">t is also crucial to consider that even those who have transitioned from homelessness continue to be at much higher risk of </w:t>
      </w:r>
      <w:r w:rsidR="008448BC" w:rsidRPr="00294D58">
        <w:rPr>
          <w:rFonts w:eastAsiaTheme="majorEastAsia"/>
        </w:rPr>
        <w:t>poor health and</w:t>
      </w:r>
      <w:r w:rsidRPr="00294D58">
        <w:rPr>
          <w:rFonts w:eastAsiaTheme="majorEastAsia"/>
        </w:rPr>
        <w:t xml:space="preserve"> wellbeing. Therefore, </w:t>
      </w:r>
      <w:r w:rsidR="00DF64F6" w:rsidRPr="00294D58">
        <w:rPr>
          <w:rFonts w:eastAsiaTheme="majorEastAsia"/>
        </w:rPr>
        <w:t xml:space="preserve">continued monitoring and </w:t>
      </w:r>
      <w:r w:rsidRPr="00294D58">
        <w:rPr>
          <w:rFonts w:eastAsiaTheme="majorEastAsia"/>
        </w:rPr>
        <w:t xml:space="preserve">targeted interventions are required to improve health outcomes and quality of life in this population. </w:t>
      </w:r>
      <w:bookmarkStart w:id="3" w:name="_Hlk2882442"/>
      <w:r w:rsidRPr="00294D58">
        <w:rPr>
          <w:rFonts w:eastAsiaTheme="majorEastAsia"/>
        </w:rPr>
        <w:t>Such interventions may wish to consider lifestyle risk behaviours to improve mental and physical health status.</w:t>
      </w:r>
      <w:bookmarkEnd w:id="3"/>
    </w:p>
    <w:p w14:paraId="4C2DA7BC" w14:textId="77777777" w:rsidR="00F81B7D" w:rsidRPr="00294D58" w:rsidRDefault="00F81B7D" w:rsidP="00CB5AA3">
      <w:pPr>
        <w:rPr>
          <w:rFonts w:eastAsiaTheme="majorEastAsia"/>
          <w:b/>
        </w:rPr>
      </w:pPr>
    </w:p>
    <w:p w14:paraId="0E88A35A" w14:textId="5BAFB83D" w:rsidR="00DE5F32" w:rsidRPr="00294D58" w:rsidRDefault="00DE5F32" w:rsidP="00DE5F32">
      <w:pPr>
        <w:spacing w:line="480" w:lineRule="auto"/>
        <w:jc w:val="both"/>
      </w:pPr>
      <w:r w:rsidRPr="00294D58">
        <w:rPr>
          <w:b/>
        </w:rPr>
        <w:t xml:space="preserve">Authors Contributions: </w:t>
      </w:r>
      <w:r w:rsidRPr="00294D58">
        <w:t xml:space="preserve">Study concept and design: LS and SEJ. Analysis and interpretation of data: LS and SEJ. Drafting of the manuscript: </w:t>
      </w:r>
      <w:r w:rsidR="00471A3F" w:rsidRPr="00294D58">
        <w:t>LS, NV, GFLS, EM, JJ, JF, IG, LY, PS, SEJ</w:t>
      </w:r>
      <w:r w:rsidRPr="00294D58">
        <w:t xml:space="preserve">. Critical revision of the manuscript for important intellectual content: </w:t>
      </w:r>
      <w:r w:rsidR="00471A3F" w:rsidRPr="00294D58">
        <w:t xml:space="preserve">LS, NV, GFLS, EM, JJ, JF, IG, LY, PS, SEJ. </w:t>
      </w:r>
    </w:p>
    <w:p w14:paraId="2AEF752F" w14:textId="77777777" w:rsidR="0083370B" w:rsidRPr="00294D58" w:rsidRDefault="00F5663F" w:rsidP="00CB5AA3">
      <w:pPr>
        <w:rPr>
          <w:rFonts w:eastAsiaTheme="majorEastAsia"/>
        </w:rPr>
      </w:pPr>
      <w:r w:rsidRPr="00294D58">
        <w:rPr>
          <w:rFonts w:eastAsiaTheme="majorEastAsia"/>
          <w:b/>
        </w:rPr>
        <w:t xml:space="preserve">Conflicts of Interest: </w:t>
      </w:r>
      <w:r w:rsidRPr="00294D58">
        <w:rPr>
          <w:rFonts w:eastAsiaTheme="majorEastAsia"/>
        </w:rPr>
        <w:t>None declared.</w:t>
      </w:r>
      <w:r w:rsidR="0083370B" w:rsidRPr="00294D58">
        <w:rPr>
          <w:rFonts w:eastAsiaTheme="majorEastAsia"/>
        </w:rPr>
        <w:t xml:space="preserve"> </w:t>
      </w:r>
    </w:p>
    <w:p w14:paraId="3F6F5C79" w14:textId="77777777" w:rsidR="007C457B" w:rsidRPr="00294D58" w:rsidRDefault="0083370B" w:rsidP="00CB5AA3">
      <w:pPr>
        <w:rPr>
          <w:rFonts w:eastAsiaTheme="majorEastAsia"/>
        </w:rPr>
      </w:pPr>
      <w:r w:rsidRPr="00294D58">
        <w:rPr>
          <w:rFonts w:eastAsiaTheme="majorEastAsia"/>
          <w:b/>
        </w:rPr>
        <w:t xml:space="preserve">Funding: </w:t>
      </w:r>
      <w:r w:rsidR="00075E4B" w:rsidRPr="00294D58">
        <w:rPr>
          <w:rFonts w:eastAsiaTheme="majorEastAsia"/>
        </w:rPr>
        <w:t xml:space="preserve">This research did not receive any funding from agencies in the public, commercial, or not-for-profit sectors. </w:t>
      </w:r>
    </w:p>
    <w:p w14:paraId="2E3B63FA" w14:textId="77777777" w:rsidR="00126F7F" w:rsidRPr="00294D58" w:rsidRDefault="00126F7F" w:rsidP="00CB5AA3">
      <w:r w:rsidRPr="00294D58">
        <w:rPr>
          <w:b/>
        </w:rPr>
        <w:t>Ethics</w:t>
      </w:r>
      <w:r w:rsidRPr="00294D58">
        <w:t>: Ethical approval was obtained from the National Research Ethics Service and all participants gave full informed consent.</w:t>
      </w:r>
    </w:p>
    <w:p w14:paraId="37773561" w14:textId="77777777" w:rsidR="00126F7F" w:rsidRPr="00294D58" w:rsidRDefault="00126F7F" w:rsidP="00CB5AA3">
      <w:pPr>
        <w:rPr>
          <w:rFonts w:eastAsiaTheme="majorEastAsia"/>
        </w:rPr>
      </w:pPr>
      <w:r w:rsidRPr="00294D58">
        <w:rPr>
          <w:rFonts w:eastAsiaTheme="majorEastAsia"/>
          <w:b/>
        </w:rPr>
        <w:t>Data sharing</w:t>
      </w:r>
      <w:r w:rsidRPr="00294D58">
        <w:rPr>
          <w:rFonts w:eastAsiaTheme="majorEastAsia"/>
        </w:rPr>
        <w:t xml:space="preserve">: No additional data available. </w:t>
      </w:r>
    </w:p>
    <w:p w14:paraId="73478F9E" w14:textId="77777777" w:rsidR="007C457B" w:rsidRPr="00294D58" w:rsidRDefault="00375BE3" w:rsidP="007C457B">
      <w:pPr>
        <w:pStyle w:val="Heading2"/>
        <w:spacing w:line="360" w:lineRule="auto"/>
      </w:pPr>
      <w:r w:rsidRPr="00294D58">
        <w:t>REFERENCES</w:t>
      </w:r>
    </w:p>
    <w:p w14:paraId="05FE90A9" w14:textId="77777777" w:rsidR="00716C82" w:rsidRPr="00294D58" w:rsidRDefault="00AD7661" w:rsidP="00716C82">
      <w:pPr>
        <w:pStyle w:val="Bibliography"/>
        <w:rPr>
          <w:rFonts w:ascii="Calibri" w:hAnsi="Calibri" w:cs="Calibri"/>
        </w:rPr>
      </w:pPr>
      <w:r w:rsidRPr="00294D58">
        <w:fldChar w:fldCharType="begin"/>
      </w:r>
      <w:r w:rsidR="00FE75A0" w:rsidRPr="00294D58">
        <w:instrText xml:space="preserve"> ADDIN ZOTERO_BIBL {"uncited":[],"omitted":[],"custom":[]} CSL_BIBLIOGRAPHY </w:instrText>
      </w:r>
      <w:r w:rsidRPr="00294D58">
        <w:fldChar w:fldCharType="separate"/>
      </w:r>
      <w:r w:rsidR="00716C82" w:rsidRPr="00294D58">
        <w:rPr>
          <w:rFonts w:ascii="Calibri" w:hAnsi="Calibri" w:cs="Calibri"/>
        </w:rPr>
        <w:t xml:space="preserve">1 </w:t>
      </w:r>
      <w:r w:rsidR="00716C82" w:rsidRPr="00294D58">
        <w:rPr>
          <w:rFonts w:ascii="Calibri" w:hAnsi="Calibri" w:cs="Calibri"/>
        </w:rPr>
        <w:tab/>
        <w:t xml:space="preserve">Fitzpatrick S, Pawson H, Bramley G, </w:t>
      </w:r>
      <w:r w:rsidR="00716C82" w:rsidRPr="00294D58">
        <w:rPr>
          <w:rFonts w:ascii="Calibri" w:hAnsi="Calibri" w:cs="Calibri"/>
          <w:i/>
          <w:iCs/>
        </w:rPr>
        <w:t>et al.</w:t>
      </w:r>
      <w:r w:rsidR="00716C82" w:rsidRPr="00294D58">
        <w:rPr>
          <w:rFonts w:ascii="Calibri" w:hAnsi="Calibri" w:cs="Calibri"/>
        </w:rPr>
        <w:t xml:space="preserve"> The homelessness monitor: England 2017. Institute for Social Policy, Environment and Real Estate (I-SPHERE), Heriot-Watt University; City Futures Research Centre, University of New South Wales 2017. </w:t>
      </w:r>
    </w:p>
    <w:p w14:paraId="12004E42" w14:textId="77777777" w:rsidR="00716C82" w:rsidRPr="00294D58" w:rsidRDefault="00716C82" w:rsidP="00716C82">
      <w:pPr>
        <w:pStyle w:val="Bibliography"/>
        <w:rPr>
          <w:rFonts w:ascii="Calibri" w:hAnsi="Calibri" w:cs="Calibri"/>
        </w:rPr>
      </w:pPr>
      <w:r w:rsidRPr="00294D58">
        <w:rPr>
          <w:rFonts w:ascii="Calibri" w:hAnsi="Calibri" w:cs="Calibri"/>
        </w:rPr>
        <w:t xml:space="preserve">2 </w:t>
      </w:r>
      <w:r w:rsidRPr="00294D58">
        <w:rPr>
          <w:rFonts w:ascii="Calibri" w:hAnsi="Calibri" w:cs="Calibri"/>
        </w:rPr>
        <w:tab/>
        <w:t xml:space="preserve">Adebowale V. There is no excuse for homelessness in Britain in 2018. </w:t>
      </w:r>
      <w:r w:rsidRPr="00294D58">
        <w:rPr>
          <w:rFonts w:ascii="Calibri" w:hAnsi="Calibri" w:cs="Calibri"/>
          <w:i/>
          <w:iCs/>
        </w:rPr>
        <w:t>BMJ</w:t>
      </w:r>
      <w:r w:rsidRPr="00294D58">
        <w:rPr>
          <w:rFonts w:ascii="Calibri" w:hAnsi="Calibri" w:cs="Calibri"/>
        </w:rPr>
        <w:t xml:space="preserve"> 2018;</w:t>
      </w:r>
      <w:r w:rsidRPr="00294D58">
        <w:rPr>
          <w:rFonts w:ascii="Calibri" w:hAnsi="Calibri" w:cs="Calibri"/>
          <w:b/>
          <w:bCs/>
        </w:rPr>
        <w:t>360</w:t>
      </w:r>
      <w:r w:rsidRPr="00294D58">
        <w:rPr>
          <w:rFonts w:ascii="Calibri" w:hAnsi="Calibri" w:cs="Calibri"/>
        </w:rPr>
        <w:t>:k902. doi:10.1136/bmj.k902</w:t>
      </w:r>
    </w:p>
    <w:p w14:paraId="30C6E98F" w14:textId="77777777" w:rsidR="00716C82" w:rsidRPr="00294D58" w:rsidRDefault="00716C82" w:rsidP="00716C82">
      <w:pPr>
        <w:pStyle w:val="Bibliography"/>
        <w:rPr>
          <w:rFonts w:ascii="Calibri" w:hAnsi="Calibri" w:cs="Calibri"/>
        </w:rPr>
      </w:pPr>
      <w:r w:rsidRPr="00294D58">
        <w:rPr>
          <w:rFonts w:ascii="Calibri" w:hAnsi="Calibri" w:cs="Calibri"/>
        </w:rPr>
        <w:t xml:space="preserve">3 </w:t>
      </w:r>
      <w:r w:rsidRPr="00294D58">
        <w:rPr>
          <w:rFonts w:ascii="Calibri" w:hAnsi="Calibri" w:cs="Calibri"/>
        </w:rPr>
        <w:tab/>
        <w:t xml:space="preserve">Thomson H, Thomas S, Sellstrom E, </w:t>
      </w:r>
      <w:r w:rsidRPr="00294D58">
        <w:rPr>
          <w:rFonts w:ascii="Calibri" w:hAnsi="Calibri" w:cs="Calibri"/>
          <w:i/>
          <w:iCs/>
        </w:rPr>
        <w:t>et al.</w:t>
      </w:r>
      <w:r w:rsidRPr="00294D58">
        <w:rPr>
          <w:rFonts w:ascii="Calibri" w:hAnsi="Calibri" w:cs="Calibri"/>
        </w:rPr>
        <w:t xml:space="preserve"> Housing improvements for health and associated socio-economic outcomes. </w:t>
      </w:r>
      <w:r w:rsidRPr="00294D58">
        <w:rPr>
          <w:rFonts w:ascii="Calibri" w:hAnsi="Calibri" w:cs="Calibri"/>
          <w:i/>
          <w:iCs/>
        </w:rPr>
        <w:t>Cochrane Database Syst Rev</w:t>
      </w:r>
      <w:r w:rsidRPr="00294D58">
        <w:rPr>
          <w:rFonts w:ascii="Calibri" w:hAnsi="Calibri" w:cs="Calibri"/>
        </w:rPr>
        <w:t xml:space="preserve"> 2013;:CD008657. doi:10.1002/14651858.CD008657.pub2</w:t>
      </w:r>
    </w:p>
    <w:p w14:paraId="59FAD389" w14:textId="77777777" w:rsidR="00716C82" w:rsidRPr="00294D58" w:rsidRDefault="00716C82" w:rsidP="00716C82">
      <w:pPr>
        <w:pStyle w:val="Bibliography"/>
        <w:rPr>
          <w:rFonts w:ascii="Calibri" w:hAnsi="Calibri" w:cs="Calibri"/>
        </w:rPr>
      </w:pPr>
      <w:r w:rsidRPr="00294D58">
        <w:rPr>
          <w:rFonts w:ascii="Calibri" w:hAnsi="Calibri" w:cs="Calibri"/>
        </w:rPr>
        <w:t xml:space="preserve">4 </w:t>
      </w:r>
      <w:r w:rsidRPr="00294D58">
        <w:rPr>
          <w:rFonts w:ascii="Calibri" w:hAnsi="Calibri" w:cs="Calibri"/>
        </w:rPr>
        <w:tab/>
        <w:t>Homelessness: A Silent Killer (2011). Crisis. https://www.crisis.org.uk/ending-homelessness/homelessness-knowledge-hub/health-and-wellbeing/homelessness-a-silent-killer-2011/ (accessed 11 Oct 2018).</w:t>
      </w:r>
    </w:p>
    <w:p w14:paraId="06921EA4" w14:textId="77777777" w:rsidR="00716C82" w:rsidRPr="00294D58" w:rsidRDefault="00716C82" w:rsidP="00716C82">
      <w:pPr>
        <w:pStyle w:val="Bibliography"/>
        <w:rPr>
          <w:rFonts w:ascii="Calibri" w:hAnsi="Calibri" w:cs="Calibri"/>
        </w:rPr>
      </w:pPr>
      <w:r w:rsidRPr="00294D58">
        <w:rPr>
          <w:rFonts w:ascii="Calibri" w:hAnsi="Calibri" w:cs="Calibri"/>
        </w:rPr>
        <w:lastRenderedPageBreak/>
        <w:t xml:space="preserve">5 </w:t>
      </w:r>
      <w:r w:rsidRPr="00294D58">
        <w:rPr>
          <w:rFonts w:ascii="Calibri" w:hAnsi="Calibri" w:cs="Calibri"/>
        </w:rPr>
        <w:tab/>
        <w:t xml:space="preserve">Fazel S, Geddes JR, Kushel M. The health of homeless people in high-income countries: descriptive epidemiology, health consequences, and clinical and policy recommendations. </w:t>
      </w:r>
      <w:r w:rsidRPr="00294D58">
        <w:rPr>
          <w:rFonts w:ascii="Calibri" w:hAnsi="Calibri" w:cs="Calibri"/>
          <w:i/>
          <w:iCs/>
        </w:rPr>
        <w:t>The Lancet</w:t>
      </w:r>
      <w:r w:rsidRPr="00294D58">
        <w:rPr>
          <w:rFonts w:ascii="Calibri" w:hAnsi="Calibri" w:cs="Calibri"/>
        </w:rPr>
        <w:t xml:space="preserve"> 2014;</w:t>
      </w:r>
      <w:r w:rsidRPr="00294D58">
        <w:rPr>
          <w:rFonts w:ascii="Calibri" w:hAnsi="Calibri" w:cs="Calibri"/>
          <w:b/>
          <w:bCs/>
        </w:rPr>
        <w:t>384</w:t>
      </w:r>
      <w:r w:rsidRPr="00294D58">
        <w:rPr>
          <w:rFonts w:ascii="Calibri" w:hAnsi="Calibri" w:cs="Calibri"/>
        </w:rPr>
        <w:t>:1529–40. doi:10.1016/S0140-6736(14)61132-6</w:t>
      </w:r>
    </w:p>
    <w:p w14:paraId="2EAE3453" w14:textId="77777777" w:rsidR="00716C82" w:rsidRPr="00294D58" w:rsidRDefault="00716C82" w:rsidP="00716C82">
      <w:pPr>
        <w:pStyle w:val="Bibliography"/>
        <w:rPr>
          <w:rFonts w:ascii="Calibri" w:hAnsi="Calibri" w:cs="Calibri"/>
        </w:rPr>
      </w:pPr>
      <w:r w:rsidRPr="00294D58">
        <w:rPr>
          <w:rFonts w:ascii="Calibri" w:hAnsi="Calibri" w:cs="Calibri"/>
        </w:rPr>
        <w:t xml:space="preserve">6 </w:t>
      </w:r>
      <w:r w:rsidRPr="00294D58">
        <w:rPr>
          <w:rFonts w:ascii="Calibri" w:hAnsi="Calibri" w:cs="Calibri"/>
        </w:rPr>
        <w:tab/>
        <w:t xml:space="preserve">Kermode M, Crofts N, Miller P, </w:t>
      </w:r>
      <w:r w:rsidRPr="00294D58">
        <w:rPr>
          <w:rFonts w:ascii="Calibri" w:hAnsi="Calibri" w:cs="Calibri"/>
          <w:i/>
          <w:iCs/>
        </w:rPr>
        <w:t>et al.</w:t>
      </w:r>
      <w:r w:rsidRPr="00294D58">
        <w:rPr>
          <w:rFonts w:ascii="Calibri" w:hAnsi="Calibri" w:cs="Calibri"/>
        </w:rPr>
        <w:t xml:space="preserve"> Health indicators and risks among people experiencing homelessness in Melbourne, 1995-1996. </w:t>
      </w:r>
      <w:r w:rsidRPr="00294D58">
        <w:rPr>
          <w:rFonts w:ascii="Calibri" w:hAnsi="Calibri" w:cs="Calibri"/>
          <w:i/>
          <w:iCs/>
        </w:rPr>
        <w:t>Aust N Z J Public Health</w:t>
      </w:r>
      <w:r w:rsidRPr="00294D58">
        <w:rPr>
          <w:rFonts w:ascii="Calibri" w:hAnsi="Calibri" w:cs="Calibri"/>
        </w:rPr>
        <w:t xml:space="preserve"> 1998;</w:t>
      </w:r>
      <w:r w:rsidRPr="00294D58">
        <w:rPr>
          <w:rFonts w:ascii="Calibri" w:hAnsi="Calibri" w:cs="Calibri"/>
          <w:b/>
          <w:bCs/>
        </w:rPr>
        <w:t>22</w:t>
      </w:r>
      <w:r w:rsidRPr="00294D58">
        <w:rPr>
          <w:rFonts w:ascii="Calibri" w:hAnsi="Calibri" w:cs="Calibri"/>
        </w:rPr>
        <w:t>:464–70.</w:t>
      </w:r>
    </w:p>
    <w:p w14:paraId="6C1A1736" w14:textId="77777777" w:rsidR="00716C82" w:rsidRPr="00294D58" w:rsidRDefault="00716C82" w:rsidP="00716C82">
      <w:pPr>
        <w:pStyle w:val="Bibliography"/>
        <w:rPr>
          <w:rFonts w:ascii="Calibri" w:hAnsi="Calibri" w:cs="Calibri"/>
        </w:rPr>
      </w:pPr>
      <w:r w:rsidRPr="00294D58">
        <w:rPr>
          <w:rFonts w:ascii="Calibri" w:hAnsi="Calibri" w:cs="Calibri"/>
        </w:rPr>
        <w:t xml:space="preserve">7 </w:t>
      </w:r>
      <w:r w:rsidRPr="00294D58">
        <w:rPr>
          <w:rFonts w:ascii="Calibri" w:hAnsi="Calibri" w:cs="Calibri"/>
        </w:rPr>
        <w:tab/>
        <w:t xml:space="preserve">Fischer PJ, Breakey WR. The epidemiology of alcohol, drug, and mental disorders among homeless persons. </w:t>
      </w:r>
      <w:r w:rsidRPr="00294D58">
        <w:rPr>
          <w:rFonts w:ascii="Calibri" w:hAnsi="Calibri" w:cs="Calibri"/>
          <w:i/>
          <w:iCs/>
        </w:rPr>
        <w:t>Am Psychol</w:t>
      </w:r>
      <w:r w:rsidRPr="00294D58">
        <w:rPr>
          <w:rFonts w:ascii="Calibri" w:hAnsi="Calibri" w:cs="Calibri"/>
        </w:rPr>
        <w:t xml:space="preserve"> 1991;</w:t>
      </w:r>
      <w:r w:rsidRPr="00294D58">
        <w:rPr>
          <w:rFonts w:ascii="Calibri" w:hAnsi="Calibri" w:cs="Calibri"/>
          <w:b/>
          <w:bCs/>
        </w:rPr>
        <w:t>46</w:t>
      </w:r>
      <w:r w:rsidRPr="00294D58">
        <w:rPr>
          <w:rFonts w:ascii="Calibri" w:hAnsi="Calibri" w:cs="Calibri"/>
        </w:rPr>
        <w:t>:1115–28.</w:t>
      </w:r>
    </w:p>
    <w:p w14:paraId="3FF96243" w14:textId="77777777" w:rsidR="00716C82" w:rsidRPr="00294D58" w:rsidRDefault="00716C82" w:rsidP="00716C82">
      <w:pPr>
        <w:pStyle w:val="Bibliography"/>
        <w:rPr>
          <w:rFonts w:ascii="Calibri" w:hAnsi="Calibri" w:cs="Calibri"/>
        </w:rPr>
      </w:pPr>
      <w:r w:rsidRPr="00294D58">
        <w:rPr>
          <w:rFonts w:ascii="Calibri" w:hAnsi="Calibri" w:cs="Calibri"/>
        </w:rPr>
        <w:t xml:space="preserve">8 </w:t>
      </w:r>
      <w:r w:rsidRPr="00294D58">
        <w:rPr>
          <w:rFonts w:ascii="Calibri" w:hAnsi="Calibri" w:cs="Calibri"/>
        </w:rPr>
        <w:tab/>
        <w:t xml:space="preserve">Connor SE, Cook RL, Herbert MI, </w:t>
      </w:r>
      <w:r w:rsidRPr="00294D58">
        <w:rPr>
          <w:rFonts w:ascii="Calibri" w:hAnsi="Calibri" w:cs="Calibri"/>
          <w:i/>
          <w:iCs/>
        </w:rPr>
        <w:t>et al.</w:t>
      </w:r>
      <w:r w:rsidRPr="00294D58">
        <w:rPr>
          <w:rFonts w:ascii="Calibri" w:hAnsi="Calibri" w:cs="Calibri"/>
        </w:rPr>
        <w:t xml:space="preserve"> Smoking cessation in a homeless population: there is a will, but is there a way? </w:t>
      </w:r>
      <w:r w:rsidRPr="00294D58">
        <w:rPr>
          <w:rFonts w:ascii="Calibri" w:hAnsi="Calibri" w:cs="Calibri"/>
          <w:i/>
          <w:iCs/>
        </w:rPr>
        <w:t>J Gen Intern Med</w:t>
      </w:r>
      <w:r w:rsidRPr="00294D58">
        <w:rPr>
          <w:rFonts w:ascii="Calibri" w:hAnsi="Calibri" w:cs="Calibri"/>
        </w:rPr>
        <w:t xml:space="preserve"> 2002;</w:t>
      </w:r>
      <w:r w:rsidRPr="00294D58">
        <w:rPr>
          <w:rFonts w:ascii="Calibri" w:hAnsi="Calibri" w:cs="Calibri"/>
          <w:b/>
          <w:bCs/>
        </w:rPr>
        <w:t>17</w:t>
      </w:r>
      <w:r w:rsidRPr="00294D58">
        <w:rPr>
          <w:rFonts w:ascii="Calibri" w:hAnsi="Calibri" w:cs="Calibri"/>
        </w:rPr>
        <w:t>:369–72.</w:t>
      </w:r>
    </w:p>
    <w:p w14:paraId="5D3B70B1" w14:textId="77777777" w:rsidR="00716C82" w:rsidRPr="00294D58" w:rsidRDefault="00716C82" w:rsidP="00716C82">
      <w:pPr>
        <w:pStyle w:val="Bibliography"/>
        <w:rPr>
          <w:rFonts w:ascii="Calibri" w:hAnsi="Calibri" w:cs="Calibri"/>
        </w:rPr>
      </w:pPr>
      <w:r w:rsidRPr="00294D58">
        <w:rPr>
          <w:rFonts w:ascii="Calibri" w:hAnsi="Calibri" w:cs="Calibri"/>
        </w:rPr>
        <w:t xml:space="preserve">9 </w:t>
      </w:r>
      <w:r w:rsidRPr="00294D58">
        <w:rPr>
          <w:rFonts w:ascii="Calibri" w:hAnsi="Calibri" w:cs="Calibri"/>
        </w:rPr>
        <w:tab/>
        <w:t xml:space="preserve">Centers for Disease Control and Prevention (CDC). Cigarette smoking among adults--United States, 2007. </w:t>
      </w:r>
      <w:r w:rsidRPr="00294D58">
        <w:rPr>
          <w:rFonts w:ascii="Calibri" w:hAnsi="Calibri" w:cs="Calibri"/>
          <w:i/>
          <w:iCs/>
        </w:rPr>
        <w:t>MMWR Morb Mortal Wkly Rep</w:t>
      </w:r>
      <w:r w:rsidRPr="00294D58">
        <w:rPr>
          <w:rFonts w:ascii="Calibri" w:hAnsi="Calibri" w:cs="Calibri"/>
        </w:rPr>
        <w:t xml:space="preserve"> 2008;</w:t>
      </w:r>
      <w:r w:rsidRPr="00294D58">
        <w:rPr>
          <w:rFonts w:ascii="Calibri" w:hAnsi="Calibri" w:cs="Calibri"/>
          <w:b/>
          <w:bCs/>
        </w:rPr>
        <w:t>57</w:t>
      </w:r>
      <w:r w:rsidRPr="00294D58">
        <w:rPr>
          <w:rFonts w:ascii="Calibri" w:hAnsi="Calibri" w:cs="Calibri"/>
        </w:rPr>
        <w:t>:1221–6.</w:t>
      </w:r>
    </w:p>
    <w:p w14:paraId="4C5F13A9" w14:textId="77777777" w:rsidR="00716C82" w:rsidRPr="00294D58" w:rsidRDefault="00716C82" w:rsidP="00716C82">
      <w:pPr>
        <w:pStyle w:val="Bibliography"/>
        <w:rPr>
          <w:rFonts w:ascii="Calibri" w:hAnsi="Calibri" w:cs="Calibri"/>
        </w:rPr>
      </w:pPr>
      <w:r w:rsidRPr="00294D58">
        <w:rPr>
          <w:rFonts w:ascii="Calibri" w:hAnsi="Calibri" w:cs="Calibri"/>
        </w:rPr>
        <w:t xml:space="preserve">10 </w:t>
      </w:r>
      <w:r w:rsidRPr="00294D58">
        <w:rPr>
          <w:rFonts w:ascii="Calibri" w:hAnsi="Calibri" w:cs="Calibri"/>
        </w:rPr>
        <w:tab/>
        <w:t xml:space="preserve">Pedersen P, Christensen AI, Hess U, </w:t>
      </w:r>
      <w:r w:rsidRPr="00294D58">
        <w:rPr>
          <w:rFonts w:ascii="Calibri" w:hAnsi="Calibri" w:cs="Calibri"/>
          <w:i/>
          <w:iCs/>
        </w:rPr>
        <w:t>et al.</w:t>
      </w:r>
      <w:r w:rsidRPr="00294D58">
        <w:rPr>
          <w:rFonts w:ascii="Calibri" w:hAnsi="Calibri" w:cs="Calibri"/>
        </w:rPr>
        <w:t xml:space="preserve"> Susydsat-sundhedsproil for social udsatte I Danmark 2007. Copenhagen: : Radet for socialt udsatte 2008. </w:t>
      </w:r>
    </w:p>
    <w:p w14:paraId="768220AB" w14:textId="77777777" w:rsidR="00716C82" w:rsidRPr="00294D58" w:rsidRDefault="00716C82" w:rsidP="00716C82">
      <w:pPr>
        <w:pStyle w:val="Bibliography"/>
        <w:rPr>
          <w:rFonts w:ascii="Calibri" w:hAnsi="Calibri" w:cs="Calibri"/>
        </w:rPr>
      </w:pPr>
      <w:r w:rsidRPr="00294D58">
        <w:rPr>
          <w:rFonts w:ascii="Calibri" w:hAnsi="Calibri" w:cs="Calibri"/>
        </w:rPr>
        <w:t xml:space="preserve">11 </w:t>
      </w:r>
      <w:r w:rsidRPr="00294D58">
        <w:rPr>
          <w:rFonts w:ascii="Calibri" w:hAnsi="Calibri" w:cs="Calibri"/>
        </w:rPr>
        <w:tab/>
        <w:t xml:space="preserve">O’Toole TP, Gibbon JL, Hanusa BH, </w:t>
      </w:r>
      <w:r w:rsidRPr="00294D58">
        <w:rPr>
          <w:rFonts w:ascii="Calibri" w:hAnsi="Calibri" w:cs="Calibri"/>
          <w:i/>
          <w:iCs/>
        </w:rPr>
        <w:t>et al.</w:t>
      </w:r>
      <w:r w:rsidRPr="00294D58">
        <w:rPr>
          <w:rFonts w:ascii="Calibri" w:hAnsi="Calibri" w:cs="Calibri"/>
        </w:rPr>
        <w:t xml:space="preserve"> Self-Reported Changes in Drug and Alcohol Use After Becoming Homeless. </w:t>
      </w:r>
      <w:r w:rsidRPr="00294D58">
        <w:rPr>
          <w:rFonts w:ascii="Calibri" w:hAnsi="Calibri" w:cs="Calibri"/>
          <w:i/>
          <w:iCs/>
        </w:rPr>
        <w:t>Am J Public Health</w:t>
      </w:r>
      <w:r w:rsidRPr="00294D58">
        <w:rPr>
          <w:rFonts w:ascii="Calibri" w:hAnsi="Calibri" w:cs="Calibri"/>
        </w:rPr>
        <w:t xml:space="preserve"> 2004;</w:t>
      </w:r>
      <w:r w:rsidRPr="00294D58">
        <w:rPr>
          <w:rFonts w:ascii="Calibri" w:hAnsi="Calibri" w:cs="Calibri"/>
          <w:b/>
          <w:bCs/>
        </w:rPr>
        <w:t>94</w:t>
      </w:r>
      <w:r w:rsidRPr="00294D58">
        <w:rPr>
          <w:rFonts w:ascii="Calibri" w:hAnsi="Calibri" w:cs="Calibri"/>
        </w:rPr>
        <w:t>:830–5. doi:10.2105/AJPH.94.5.830</w:t>
      </w:r>
    </w:p>
    <w:p w14:paraId="792C3DFF" w14:textId="77777777" w:rsidR="00716C82" w:rsidRPr="00294D58" w:rsidRDefault="00716C82" w:rsidP="00716C82">
      <w:pPr>
        <w:pStyle w:val="Bibliography"/>
        <w:rPr>
          <w:rFonts w:ascii="Calibri" w:hAnsi="Calibri" w:cs="Calibri"/>
        </w:rPr>
      </w:pPr>
      <w:r w:rsidRPr="00294D58">
        <w:rPr>
          <w:rFonts w:ascii="Calibri" w:hAnsi="Calibri" w:cs="Calibri"/>
        </w:rPr>
        <w:t xml:space="preserve">12 </w:t>
      </w:r>
      <w:r w:rsidRPr="00294D58">
        <w:rPr>
          <w:rFonts w:ascii="Calibri" w:hAnsi="Calibri" w:cs="Calibri"/>
        </w:rPr>
        <w:tab/>
        <w:t>Office of the Deputy Prime Minister. Select Committee on Office of the Deputy Prime Minister: Housing, Planning, Local Government and the Regions Written Evidence: Memorandum by the Office of the Deputy Prime Minister (HOM 53). 2004.https://publications.parliament.uk/pa/cm200304/cmselect/cmodpm/1116/1116we56.htm (accessed 11 Oct 2018).</w:t>
      </w:r>
    </w:p>
    <w:p w14:paraId="315365D6" w14:textId="77777777" w:rsidR="00716C82" w:rsidRPr="00294D58" w:rsidRDefault="00716C82" w:rsidP="00716C82">
      <w:pPr>
        <w:pStyle w:val="Bibliography"/>
        <w:rPr>
          <w:rFonts w:ascii="Calibri" w:hAnsi="Calibri" w:cs="Calibri"/>
        </w:rPr>
      </w:pPr>
      <w:r w:rsidRPr="00294D58">
        <w:rPr>
          <w:rFonts w:ascii="Calibri" w:hAnsi="Calibri" w:cs="Calibri"/>
        </w:rPr>
        <w:t xml:space="preserve">13 </w:t>
      </w:r>
      <w:r w:rsidRPr="00294D58">
        <w:rPr>
          <w:rFonts w:ascii="Calibri" w:hAnsi="Calibri" w:cs="Calibri"/>
        </w:rPr>
        <w:tab/>
        <w:t>Jones A, Pleace N. Review of single homelessness in the uk 2000-2010. Br. Libr. 2010.http://www.bl.uk/collection-items/review-of-single-homelessness-in-the-uk-20002010 (accessed 11 Oct 2018).</w:t>
      </w:r>
    </w:p>
    <w:p w14:paraId="67768281" w14:textId="77777777" w:rsidR="00716C82" w:rsidRPr="00294D58" w:rsidRDefault="00716C82" w:rsidP="00716C82">
      <w:pPr>
        <w:pStyle w:val="Bibliography"/>
        <w:rPr>
          <w:rFonts w:ascii="Calibri" w:hAnsi="Calibri" w:cs="Calibri"/>
        </w:rPr>
      </w:pPr>
      <w:r w:rsidRPr="00294D58">
        <w:rPr>
          <w:rFonts w:ascii="Calibri" w:hAnsi="Calibri" w:cs="Calibri"/>
        </w:rPr>
        <w:t xml:space="preserve">14 </w:t>
      </w:r>
      <w:r w:rsidRPr="00294D58">
        <w:rPr>
          <w:rFonts w:ascii="Calibri" w:hAnsi="Calibri" w:cs="Calibri"/>
        </w:rPr>
        <w:tab/>
        <w:t xml:space="preserve">Malina RM. Tracking of physical activity and physical fitness across the lifespan. </w:t>
      </w:r>
      <w:r w:rsidRPr="00294D58">
        <w:rPr>
          <w:rFonts w:ascii="Calibri" w:hAnsi="Calibri" w:cs="Calibri"/>
          <w:i/>
          <w:iCs/>
        </w:rPr>
        <w:t>Res Q Exerc Sport</w:t>
      </w:r>
      <w:r w:rsidRPr="00294D58">
        <w:rPr>
          <w:rFonts w:ascii="Calibri" w:hAnsi="Calibri" w:cs="Calibri"/>
        </w:rPr>
        <w:t xml:space="preserve"> 1996;</w:t>
      </w:r>
      <w:r w:rsidRPr="00294D58">
        <w:rPr>
          <w:rFonts w:ascii="Calibri" w:hAnsi="Calibri" w:cs="Calibri"/>
          <w:b/>
          <w:bCs/>
        </w:rPr>
        <w:t>67</w:t>
      </w:r>
      <w:r w:rsidRPr="00294D58">
        <w:rPr>
          <w:rFonts w:ascii="Calibri" w:hAnsi="Calibri" w:cs="Calibri"/>
        </w:rPr>
        <w:t>:S48-57.</w:t>
      </w:r>
    </w:p>
    <w:p w14:paraId="48797ECE" w14:textId="77777777" w:rsidR="00716C82" w:rsidRPr="00294D58" w:rsidRDefault="00716C82" w:rsidP="00716C82">
      <w:pPr>
        <w:pStyle w:val="Bibliography"/>
        <w:rPr>
          <w:rFonts w:ascii="Calibri" w:hAnsi="Calibri" w:cs="Calibri"/>
        </w:rPr>
      </w:pPr>
      <w:r w:rsidRPr="00294D58">
        <w:rPr>
          <w:rFonts w:ascii="Calibri" w:hAnsi="Calibri" w:cs="Calibri"/>
        </w:rPr>
        <w:t xml:space="preserve">15 </w:t>
      </w:r>
      <w:r w:rsidRPr="00294D58">
        <w:rPr>
          <w:rFonts w:ascii="Calibri" w:hAnsi="Calibri" w:cs="Calibri"/>
        </w:rPr>
        <w:tab/>
        <w:t xml:space="preserve">Ben-Shlomo Y, Mishra G, Kuh D. Life Course Epidemiology. In: Ahrens W, Pigeot I, eds. </w:t>
      </w:r>
      <w:r w:rsidRPr="00294D58">
        <w:rPr>
          <w:rFonts w:ascii="Calibri" w:hAnsi="Calibri" w:cs="Calibri"/>
          <w:i/>
          <w:iCs/>
        </w:rPr>
        <w:t>Handbook of Epidemiology</w:t>
      </w:r>
      <w:r w:rsidRPr="00294D58">
        <w:rPr>
          <w:rFonts w:ascii="Calibri" w:hAnsi="Calibri" w:cs="Calibri"/>
        </w:rPr>
        <w:t>. New York, NY: : Springer New York 2014. 1521–49. doi:10.1007/978-0-387-09834-0_56</w:t>
      </w:r>
    </w:p>
    <w:p w14:paraId="78028CE9" w14:textId="77777777" w:rsidR="00716C82" w:rsidRPr="00294D58" w:rsidRDefault="00716C82" w:rsidP="00716C82">
      <w:pPr>
        <w:pStyle w:val="Bibliography"/>
        <w:rPr>
          <w:rFonts w:ascii="Calibri" w:hAnsi="Calibri" w:cs="Calibri"/>
        </w:rPr>
      </w:pPr>
      <w:r w:rsidRPr="00294D58">
        <w:rPr>
          <w:rFonts w:ascii="Calibri" w:hAnsi="Calibri" w:cs="Calibri"/>
        </w:rPr>
        <w:t xml:space="preserve">16 </w:t>
      </w:r>
      <w:r w:rsidRPr="00294D58">
        <w:rPr>
          <w:rFonts w:ascii="Calibri" w:hAnsi="Calibri" w:cs="Calibri"/>
        </w:rPr>
        <w:tab/>
        <w:t xml:space="preserve">Steptoe A, Breeze E, Banks J, </w:t>
      </w:r>
      <w:r w:rsidRPr="00294D58">
        <w:rPr>
          <w:rFonts w:ascii="Calibri" w:hAnsi="Calibri" w:cs="Calibri"/>
          <w:i/>
          <w:iCs/>
        </w:rPr>
        <w:t>et al.</w:t>
      </w:r>
      <w:r w:rsidRPr="00294D58">
        <w:rPr>
          <w:rFonts w:ascii="Calibri" w:hAnsi="Calibri" w:cs="Calibri"/>
        </w:rPr>
        <w:t xml:space="preserve"> Cohort profile: the English Longitudinal Study of Ageing. </w:t>
      </w:r>
      <w:r w:rsidRPr="00294D58">
        <w:rPr>
          <w:rFonts w:ascii="Calibri" w:hAnsi="Calibri" w:cs="Calibri"/>
          <w:i/>
          <w:iCs/>
        </w:rPr>
        <w:t>Int J Epidemiol</w:t>
      </w:r>
      <w:r w:rsidRPr="00294D58">
        <w:rPr>
          <w:rFonts w:ascii="Calibri" w:hAnsi="Calibri" w:cs="Calibri"/>
        </w:rPr>
        <w:t xml:space="preserve"> 2013;</w:t>
      </w:r>
      <w:r w:rsidRPr="00294D58">
        <w:rPr>
          <w:rFonts w:ascii="Calibri" w:hAnsi="Calibri" w:cs="Calibri"/>
          <w:b/>
          <w:bCs/>
        </w:rPr>
        <w:t>42</w:t>
      </w:r>
      <w:r w:rsidRPr="00294D58">
        <w:rPr>
          <w:rFonts w:ascii="Calibri" w:hAnsi="Calibri" w:cs="Calibri"/>
        </w:rPr>
        <w:t>:1640–8. doi:10.1093/ije/dys168</w:t>
      </w:r>
    </w:p>
    <w:p w14:paraId="14E4ABF3" w14:textId="77777777" w:rsidR="00716C82" w:rsidRPr="00294D58" w:rsidRDefault="00716C82" w:rsidP="00716C82">
      <w:pPr>
        <w:pStyle w:val="Bibliography"/>
        <w:rPr>
          <w:rFonts w:ascii="Calibri" w:hAnsi="Calibri" w:cs="Calibri"/>
        </w:rPr>
      </w:pPr>
      <w:r w:rsidRPr="00294D58">
        <w:rPr>
          <w:rFonts w:ascii="Calibri" w:hAnsi="Calibri" w:cs="Calibri"/>
        </w:rPr>
        <w:t xml:space="preserve">17 </w:t>
      </w:r>
      <w:r w:rsidRPr="00294D58">
        <w:rPr>
          <w:rFonts w:ascii="Calibri" w:hAnsi="Calibri" w:cs="Calibri"/>
        </w:rPr>
        <w:tab/>
        <w:t xml:space="preserve">Demakakos P, Hamer M, Stamatakis E, </w:t>
      </w:r>
      <w:r w:rsidRPr="00294D58">
        <w:rPr>
          <w:rFonts w:ascii="Calibri" w:hAnsi="Calibri" w:cs="Calibri"/>
          <w:i/>
          <w:iCs/>
        </w:rPr>
        <w:t>et al.</w:t>
      </w:r>
      <w:r w:rsidRPr="00294D58">
        <w:rPr>
          <w:rFonts w:ascii="Calibri" w:hAnsi="Calibri" w:cs="Calibri"/>
        </w:rPr>
        <w:t xml:space="preserve"> Low-intensity physical activity is associated with reduced risk of incident type 2 diabetes in older adults: evidence from the English Longitudinal Study of Ageing. </w:t>
      </w:r>
      <w:r w:rsidRPr="00294D58">
        <w:rPr>
          <w:rFonts w:ascii="Calibri" w:hAnsi="Calibri" w:cs="Calibri"/>
          <w:i/>
          <w:iCs/>
        </w:rPr>
        <w:t>Diabetologia</w:t>
      </w:r>
      <w:r w:rsidRPr="00294D58">
        <w:rPr>
          <w:rFonts w:ascii="Calibri" w:hAnsi="Calibri" w:cs="Calibri"/>
        </w:rPr>
        <w:t xml:space="preserve"> 2010;</w:t>
      </w:r>
      <w:r w:rsidRPr="00294D58">
        <w:rPr>
          <w:rFonts w:ascii="Calibri" w:hAnsi="Calibri" w:cs="Calibri"/>
          <w:b/>
          <w:bCs/>
        </w:rPr>
        <w:t>53</w:t>
      </w:r>
      <w:r w:rsidRPr="00294D58">
        <w:rPr>
          <w:rFonts w:ascii="Calibri" w:hAnsi="Calibri" w:cs="Calibri"/>
        </w:rPr>
        <w:t>:1877–85. doi:10.1007/s00125-010-1785-x</w:t>
      </w:r>
    </w:p>
    <w:p w14:paraId="23A552EF" w14:textId="77777777" w:rsidR="00716C82" w:rsidRPr="00294D58" w:rsidRDefault="00716C82" w:rsidP="00716C82">
      <w:pPr>
        <w:pStyle w:val="Bibliography"/>
        <w:rPr>
          <w:rFonts w:ascii="Calibri" w:hAnsi="Calibri" w:cs="Calibri"/>
        </w:rPr>
      </w:pPr>
      <w:r w:rsidRPr="00294D58">
        <w:rPr>
          <w:rFonts w:ascii="Calibri" w:hAnsi="Calibri" w:cs="Calibri"/>
        </w:rPr>
        <w:t xml:space="preserve">18 </w:t>
      </w:r>
      <w:r w:rsidRPr="00294D58">
        <w:rPr>
          <w:rFonts w:ascii="Calibri" w:hAnsi="Calibri" w:cs="Calibri"/>
        </w:rPr>
        <w:tab/>
        <w:t xml:space="preserve">Steptoe A, Jackson SE. The Life Skills of Older Americans: Association with Economic, Psychological, Social, and Health Outcomes. </w:t>
      </w:r>
      <w:r w:rsidRPr="00294D58">
        <w:rPr>
          <w:rFonts w:ascii="Calibri" w:hAnsi="Calibri" w:cs="Calibri"/>
          <w:i/>
          <w:iCs/>
        </w:rPr>
        <w:t>Sci Rep</w:t>
      </w:r>
      <w:r w:rsidRPr="00294D58">
        <w:rPr>
          <w:rFonts w:ascii="Calibri" w:hAnsi="Calibri" w:cs="Calibri"/>
        </w:rPr>
        <w:t xml:space="preserve"> 2018;</w:t>
      </w:r>
      <w:r w:rsidRPr="00294D58">
        <w:rPr>
          <w:rFonts w:ascii="Calibri" w:hAnsi="Calibri" w:cs="Calibri"/>
          <w:b/>
          <w:bCs/>
        </w:rPr>
        <w:t>8</w:t>
      </w:r>
      <w:r w:rsidRPr="00294D58">
        <w:rPr>
          <w:rFonts w:ascii="Calibri" w:hAnsi="Calibri" w:cs="Calibri"/>
        </w:rPr>
        <w:t>:9669. doi:10.1038/s41598-018-27909-w</w:t>
      </w:r>
    </w:p>
    <w:p w14:paraId="186B6382" w14:textId="77777777" w:rsidR="00716C82" w:rsidRPr="00294D58" w:rsidRDefault="00716C82" w:rsidP="00716C82">
      <w:pPr>
        <w:pStyle w:val="Bibliography"/>
        <w:rPr>
          <w:rFonts w:ascii="Calibri" w:hAnsi="Calibri" w:cs="Calibri"/>
        </w:rPr>
      </w:pPr>
      <w:r w:rsidRPr="00294D58">
        <w:rPr>
          <w:rFonts w:ascii="Calibri" w:hAnsi="Calibri" w:cs="Calibri"/>
        </w:rPr>
        <w:lastRenderedPageBreak/>
        <w:t xml:space="preserve">19 </w:t>
      </w:r>
      <w:r w:rsidRPr="00294D58">
        <w:rPr>
          <w:rFonts w:ascii="Calibri" w:hAnsi="Calibri" w:cs="Calibri"/>
        </w:rPr>
        <w:tab/>
        <w:t xml:space="preserve">DeSalvo KB, Bloser N, Reynolds K, </w:t>
      </w:r>
      <w:r w:rsidRPr="00294D58">
        <w:rPr>
          <w:rFonts w:ascii="Calibri" w:hAnsi="Calibri" w:cs="Calibri"/>
          <w:i/>
          <w:iCs/>
        </w:rPr>
        <w:t>et al.</w:t>
      </w:r>
      <w:r w:rsidRPr="00294D58">
        <w:rPr>
          <w:rFonts w:ascii="Calibri" w:hAnsi="Calibri" w:cs="Calibri"/>
        </w:rPr>
        <w:t xml:space="preserve"> Mortality prediction with a single general self-rated health question. A meta-analysis. </w:t>
      </w:r>
      <w:r w:rsidRPr="00294D58">
        <w:rPr>
          <w:rFonts w:ascii="Calibri" w:hAnsi="Calibri" w:cs="Calibri"/>
          <w:i/>
          <w:iCs/>
        </w:rPr>
        <w:t>J Gen Intern Med</w:t>
      </w:r>
      <w:r w:rsidRPr="00294D58">
        <w:rPr>
          <w:rFonts w:ascii="Calibri" w:hAnsi="Calibri" w:cs="Calibri"/>
        </w:rPr>
        <w:t xml:space="preserve"> 2006;</w:t>
      </w:r>
      <w:r w:rsidRPr="00294D58">
        <w:rPr>
          <w:rFonts w:ascii="Calibri" w:hAnsi="Calibri" w:cs="Calibri"/>
          <w:b/>
          <w:bCs/>
        </w:rPr>
        <w:t>21</w:t>
      </w:r>
      <w:r w:rsidRPr="00294D58">
        <w:rPr>
          <w:rFonts w:ascii="Calibri" w:hAnsi="Calibri" w:cs="Calibri"/>
        </w:rPr>
        <w:t>:267–75. doi:10.1111/j.1525-1497.2005.00291.x</w:t>
      </w:r>
    </w:p>
    <w:p w14:paraId="6AD52D0B" w14:textId="77777777" w:rsidR="00716C82" w:rsidRPr="00294D58" w:rsidRDefault="00716C82" w:rsidP="00716C82">
      <w:pPr>
        <w:pStyle w:val="Bibliography"/>
        <w:rPr>
          <w:rFonts w:ascii="Calibri" w:hAnsi="Calibri" w:cs="Calibri"/>
        </w:rPr>
      </w:pPr>
      <w:r w:rsidRPr="00294D58">
        <w:rPr>
          <w:rFonts w:ascii="Calibri" w:hAnsi="Calibri" w:cs="Calibri"/>
        </w:rPr>
        <w:t xml:space="preserve">20 </w:t>
      </w:r>
      <w:r w:rsidRPr="00294D58">
        <w:rPr>
          <w:rFonts w:ascii="Calibri" w:hAnsi="Calibri" w:cs="Calibri"/>
        </w:rPr>
        <w:tab/>
        <w:t xml:space="preserve">Radloff LS. The CES-D scale. </w:t>
      </w:r>
      <w:r w:rsidRPr="00294D58">
        <w:rPr>
          <w:rFonts w:ascii="Calibri" w:hAnsi="Calibri" w:cs="Calibri"/>
          <w:i/>
          <w:iCs/>
        </w:rPr>
        <w:t>Appl Psychol Meas</w:t>
      </w:r>
      <w:r w:rsidRPr="00294D58">
        <w:rPr>
          <w:rFonts w:ascii="Calibri" w:hAnsi="Calibri" w:cs="Calibri"/>
        </w:rPr>
        <w:t xml:space="preserve"> 1977;</w:t>
      </w:r>
      <w:r w:rsidRPr="00294D58">
        <w:rPr>
          <w:rFonts w:ascii="Calibri" w:hAnsi="Calibri" w:cs="Calibri"/>
          <w:b/>
          <w:bCs/>
        </w:rPr>
        <w:t>1</w:t>
      </w:r>
      <w:r w:rsidRPr="00294D58">
        <w:rPr>
          <w:rFonts w:ascii="Calibri" w:hAnsi="Calibri" w:cs="Calibri"/>
        </w:rPr>
        <w:t>:385–401.</w:t>
      </w:r>
    </w:p>
    <w:p w14:paraId="0F2DEF64" w14:textId="77777777" w:rsidR="00716C82" w:rsidRPr="00294D58" w:rsidRDefault="00716C82" w:rsidP="00716C82">
      <w:pPr>
        <w:pStyle w:val="Bibliography"/>
        <w:rPr>
          <w:rFonts w:ascii="Calibri" w:hAnsi="Calibri" w:cs="Calibri"/>
        </w:rPr>
      </w:pPr>
      <w:r w:rsidRPr="00294D58">
        <w:rPr>
          <w:rFonts w:ascii="Calibri" w:hAnsi="Calibri" w:cs="Calibri"/>
        </w:rPr>
        <w:t xml:space="preserve">21 </w:t>
      </w:r>
      <w:r w:rsidRPr="00294D58">
        <w:rPr>
          <w:rFonts w:ascii="Calibri" w:hAnsi="Calibri" w:cs="Calibri"/>
        </w:rPr>
        <w:tab/>
        <w:t>Steffick DE. Documentation of affective functioning measures in the Health and Retirement Study. 2000.</w:t>
      </w:r>
    </w:p>
    <w:p w14:paraId="7045947C" w14:textId="77777777" w:rsidR="00716C82" w:rsidRPr="00294D58" w:rsidRDefault="00716C82" w:rsidP="00716C82">
      <w:pPr>
        <w:pStyle w:val="Bibliography"/>
        <w:rPr>
          <w:rFonts w:ascii="Calibri" w:hAnsi="Calibri" w:cs="Calibri"/>
        </w:rPr>
      </w:pPr>
      <w:r w:rsidRPr="00294D58">
        <w:rPr>
          <w:rFonts w:ascii="Calibri" w:hAnsi="Calibri" w:cs="Calibri"/>
        </w:rPr>
        <w:t xml:space="preserve">22 </w:t>
      </w:r>
      <w:r w:rsidRPr="00294D58">
        <w:rPr>
          <w:rFonts w:ascii="Calibri" w:hAnsi="Calibri" w:cs="Calibri"/>
        </w:rPr>
        <w:tab/>
        <w:t xml:space="preserve">Diener E, Emmons RA, Larsen RJ, </w:t>
      </w:r>
      <w:r w:rsidRPr="00294D58">
        <w:rPr>
          <w:rFonts w:ascii="Calibri" w:hAnsi="Calibri" w:cs="Calibri"/>
          <w:i/>
          <w:iCs/>
        </w:rPr>
        <w:t>et al.</w:t>
      </w:r>
      <w:r w:rsidRPr="00294D58">
        <w:rPr>
          <w:rFonts w:ascii="Calibri" w:hAnsi="Calibri" w:cs="Calibri"/>
        </w:rPr>
        <w:t xml:space="preserve"> The satisfaction with life scale. </w:t>
      </w:r>
      <w:r w:rsidRPr="00294D58">
        <w:rPr>
          <w:rFonts w:ascii="Calibri" w:hAnsi="Calibri" w:cs="Calibri"/>
          <w:i/>
          <w:iCs/>
        </w:rPr>
        <w:t>J Assess</w:t>
      </w:r>
      <w:r w:rsidRPr="00294D58">
        <w:rPr>
          <w:rFonts w:ascii="Calibri" w:hAnsi="Calibri" w:cs="Calibri"/>
        </w:rPr>
        <w:t xml:space="preserve"> 1985;</w:t>
      </w:r>
      <w:r w:rsidRPr="00294D58">
        <w:rPr>
          <w:rFonts w:ascii="Calibri" w:hAnsi="Calibri" w:cs="Calibri"/>
          <w:b/>
          <w:bCs/>
        </w:rPr>
        <w:t>49</w:t>
      </w:r>
      <w:r w:rsidRPr="00294D58">
        <w:rPr>
          <w:rFonts w:ascii="Calibri" w:hAnsi="Calibri" w:cs="Calibri"/>
        </w:rPr>
        <w:t>:71–75.</w:t>
      </w:r>
    </w:p>
    <w:p w14:paraId="385E4BFD" w14:textId="77777777" w:rsidR="00716C82" w:rsidRPr="00294D58" w:rsidRDefault="00716C82" w:rsidP="00716C82">
      <w:pPr>
        <w:pStyle w:val="Bibliography"/>
        <w:rPr>
          <w:rFonts w:ascii="Calibri" w:hAnsi="Calibri" w:cs="Calibri"/>
        </w:rPr>
      </w:pPr>
      <w:r w:rsidRPr="00294D58">
        <w:rPr>
          <w:rFonts w:ascii="Calibri" w:hAnsi="Calibri" w:cs="Calibri"/>
        </w:rPr>
        <w:t xml:space="preserve">23 </w:t>
      </w:r>
      <w:r w:rsidRPr="00294D58">
        <w:rPr>
          <w:rFonts w:ascii="Calibri" w:hAnsi="Calibri" w:cs="Calibri"/>
        </w:rPr>
        <w:tab/>
        <w:t xml:space="preserve">Hyde M, Wiggins RD, Higgs P, </w:t>
      </w:r>
      <w:r w:rsidRPr="00294D58">
        <w:rPr>
          <w:rFonts w:ascii="Calibri" w:hAnsi="Calibri" w:cs="Calibri"/>
          <w:i/>
          <w:iCs/>
        </w:rPr>
        <w:t>et al.</w:t>
      </w:r>
      <w:r w:rsidRPr="00294D58">
        <w:rPr>
          <w:rFonts w:ascii="Calibri" w:hAnsi="Calibri" w:cs="Calibri"/>
        </w:rPr>
        <w:t xml:space="preserve"> A measure of quality of life in early old age: the theory, development and properties of a needs satisfaction model (CASP-19). </w:t>
      </w:r>
      <w:r w:rsidRPr="00294D58">
        <w:rPr>
          <w:rFonts w:ascii="Calibri" w:hAnsi="Calibri" w:cs="Calibri"/>
          <w:i/>
          <w:iCs/>
        </w:rPr>
        <w:t>Aging Ment Health</w:t>
      </w:r>
      <w:r w:rsidRPr="00294D58">
        <w:rPr>
          <w:rFonts w:ascii="Calibri" w:hAnsi="Calibri" w:cs="Calibri"/>
        </w:rPr>
        <w:t xml:space="preserve"> 2003;</w:t>
      </w:r>
      <w:r w:rsidRPr="00294D58">
        <w:rPr>
          <w:rFonts w:ascii="Calibri" w:hAnsi="Calibri" w:cs="Calibri"/>
          <w:b/>
          <w:bCs/>
        </w:rPr>
        <w:t>7</w:t>
      </w:r>
      <w:r w:rsidRPr="00294D58">
        <w:rPr>
          <w:rFonts w:ascii="Calibri" w:hAnsi="Calibri" w:cs="Calibri"/>
        </w:rPr>
        <w:t>:186–194.</w:t>
      </w:r>
    </w:p>
    <w:p w14:paraId="1495F4F7" w14:textId="77777777" w:rsidR="00716C82" w:rsidRPr="00294D58" w:rsidRDefault="00716C82" w:rsidP="00716C82">
      <w:pPr>
        <w:pStyle w:val="Bibliography"/>
        <w:rPr>
          <w:rFonts w:ascii="Calibri" w:hAnsi="Calibri" w:cs="Calibri"/>
        </w:rPr>
      </w:pPr>
      <w:r w:rsidRPr="00294D58">
        <w:rPr>
          <w:rFonts w:ascii="Calibri" w:hAnsi="Calibri" w:cs="Calibri"/>
        </w:rPr>
        <w:t xml:space="preserve">24 </w:t>
      </w:r>
      <w:r w:rsidRPr="00294D58">
        <w:rPr>
          <w:rFonts w:ascii="Calibri" w:hAnsi="Calibri" w:cs="Calibri"/>
        </w:rPr>
        <w:tab/>
        <w:t xml:space="preserve">Russell DW. UCLA Loneliness Scale (Version 3): reliability, validity, and factor structure. </w:t>
      </w:r>
      <w:r w:rsidRPr="00294D58">
        <w:rPr>
          <w:rFonts w:ascii="Calibri" w:hAnsi="Calibri" w:cs="Calibri"/>
          <w:i/>
          <w:iCs/>
        </w:rPr>
        <w:t>J Pers Assess</w:t>
      </w:r>
      <w:r w:rsidRPr="00294D58">
        <w:rPr>
          <w:rFonts w:ascii="Calibri" w:hAnsi="Calibri" w:cs="Calibri"/>
        </w:rPr>
        <w:t xml:space="preserve"> 1996;</w:t>
      </w:r>
      <w:r w:rsidRPr="00294D58">
        <w:rPr>
          <w:rFonts w:ascii="Calibri" w:hAnsi="Calibri" w:cs="Calibri"/>
          <w:b/>
          <w:bCs/>
        </w:rPr>
        <w:t>66</w:t>
      </w:r>
      <w:r w:rsidRPr="00294D58">
        <w:rPr>
          <w:rFonts w:ascii="Calibri" w:hAnsi="Calibri" w:cs="Calibri"/>
        </w:rPr>
        <w:t>:20–40. doi:10.1207/s15327752jpa6601_2</w:t>
      </w:r>
    </w:p>
    <w:p w14:paraId="57E36937" w14:textId="77777777" w:rsidR="00716C82" w:rsidRPr="00294D58" w:rsidRDefault="00716C82" w:rsidP="00716C82">
      <w:pPr>
        <w:pStyle w:val="Bibliography"/>
        <w:rPr>
          <w:rFonts w:ascii="Calibri" w:hAnsi="Calibri" w:cs="Calibri"/>
        </w:rPr>
      </w:pPr>
      <w:r w:rsidRPr="00294D58">
        <w:rPr>
          <w:rFonts w:ascii="Calibri" w:hAnsi="Calibri" w:cs="Calibri"/>
        </w:rPr>
        <w:t xml:space="preserve">25 </w:t>
      </w:r>
      <w:r w:rsidRPr="00294D58">
        <w:rPr>
          <w:rFonts w:ascii="Calibri" w:hAnsi="Calibri" w:cs="Calibri"/>
        </w:rPr>
        <w:tab/>
        <w:t xml:space="preserve">Steptoe A, Shankar A, Demakakos P, </w:t>
      </w:r>
      <w:r w:rsidRPr="00294D58">
        <w:rPr>
          <w:rFonts w:ascii="Calibri" w:hAnsi="Calibri" w:cs="Calibri"/>
          <w:i/>
          <w:iCs/>
        </w:rPr>
        <w:t>et al.</w:t>
      </w:r>
      <w:r w:rsidRPr="00294D58">
        <w:rPr>
          <w:rFonts w:ascii="Calibri" w:hAnsi="Calibri" w:cs="Calibri"/>
        </w:rPr>
        <w:t xml:space="preserve"> Social isolation, loneliness, and all-cause mortality in older men and women. </w:t>
      </w:r>
      <w:r w:rsidRPr="00294D58">
        <w:rPr>
          <w:rFonts w:ascii="Calibri" w:hAnsi="Calibri" w:cs="Calibri"/>
          <w:i/>
          <w:iCs/>
        </w:rPr>
        <w:t>Proc Natl Acad Sci U S A</w:t>
      </w:r>
      <w:r w:rsidRPr="00294D58">
        <w:rPr>
          <w:rFonts w:ascii="Calibri" w:hAnsi="Calibri" w:cs="Calibri"/>
        </w:rPr>
        <w:t xml:space="preserve"> 2013;</w:t>
      </w:r>
      <w:r w:rsidRPr="00294D58">
        <w:rPr>
          <w:rFonts w:ascii="Calibri" w:hAnsi="Calibri" w:cs="Calibri"/>
          <w:b/>
          <w:bCs/>
        </w:rPr>
        <w:t>110</w:t>
      </w:r>
      <w:r w:rsidRPr="00294D58">
        <w:rPr>
          <w:rFonts w:ascii="Calibri" w:hAnsi="Calibri" w:cs="Calibri"/>
        </w:rPr>
        <w:t>:5797–801. doi:10.1073/pnas.1219686110</w:t>
      </w:r>
    </w:p>
    <w:p w14:paraId="4A4859BE" w14:textId="77777777" w:rsidR="00716C82" w:rsidRPr="00294D58" w:rsidRDefault="00716C82" w:rsidP="00716C82">
      <w:pPr>
        <w:pStyle w:val="Bibliography"/>
        <w:rPr>
          <w:rFonts w:ascii="Calibri" w:hAnsi="Calibri" w:cs="Calibri"/>
        </w:rPr>
      </w:pPr>
      <w:r w:rsidRPr="00294D58">
        <w:rPr>
          <w:rFonts w:ascii="Calibri" w:hAnsi="Calibri" w:cs="Calibri"/>
        </w:rPr>
        <w:t xml:space="preserve">26 </w:t>
      </w:r>
      <w:r w:rsidRPr="00294D58">
        <w:rPr>
          <w:rFonts w:ascii="Calibri" w:hAnsi="Calibri" w:cs="Calibri"/>
        </w:rPr>
        <w:tab/>
        <w:t>Banks J, Karlsen S, Oldfield Z. Socio-economic position. Published Online First: 2003.http://discovery.ucl.ac.uk/15366/1/15366.pdf (accessed 4 Mar 2014).</w:t>
      </w:r>
    </w:p>
    <w:p w14:paraId="54A7A40A" w14:textId="77777777" w:rsidR="00716C82" w:rsidRPr="00294D58" w:rsidRDefault="00716C82" w:rsidP="00716C82">
      <w:pPr>
        <w:pStyle w:val="Bibliography"/>
        <w:rPr>
          <w:rFonts w:ascii="Calibri" w:hAnsi="Calibri" w:cs="Calibri"/>
        </w:rPr>
      </w:pPr>
      <w:r w:rsidRPr="00294D58">
        <w:rPr>
          <w:rFonts w:ascii="Calibri" w:hAnsi="Calibri" w:cs="Calibri"/>
        </w:rPr>
        <w:t xml:space="preserve">27 </w:t>
      </w:r>
      <w:r w:rsidRPr="00294D58">
        <w:rPr>
          <w:rFonts w:ascii="Calibri" w:hAnsi="Calibri" w:cs="Calibri"/>
        </w:rPr>
        <w:tab/>
        <w:t xml:space="preserve">Li J, Siegrist J. Physical activity and risk of cardiovascular disease--a meta-analysis of prospective cohort studies. </w:t>
      </w:r>
      <w:r w:rsidRPr="00294D58">
        <w:rPr>
          <w:rFonts w:ascii="Calibri" w:hAnsi="Calibri" w:cs="Calibri"/>
          <w:i/>
          <w:iCs/>
        </w:rPr>
        <w:t>Int J Environ Res Public Health</w:t>
      </w:r>
      <w:r w:rsidRPr="00294D58">
        <w:rPr>
          <w:rFonts w:ascii="Calibri" w:hAnsi="Calibri" w:cs="Calibri"/>
        </w:rPr>
        <w:t xml:space="preserve"> 2012;</w:t>
      </w:r>
      <w:r w:rsidRPr="00294D58">
        <w:rPr>
          <w:rFonts w:ascii="Calibri" w:hAnsi="Calibri" w:cs="Calibri"/>
          <w:b/>
          <w:bCs/>
        </w:rPr>
        <w:t>9</w:t>
      </w:r>
      <w:r w:rsidRPr="00294D58">
        <w:rPr>
          <w:rFonts w:ascii="Calibri" w:hAnsi="Calibri" w:cs="Calibri"/>
        </w:rPr>
        <w:t>:391–407. doi:10.3390/ijerph9020391</w:t>
      </w:r>
    </w:p>
    <w:p w14:paraId="3E4D018E" w14:textId="77777777" w:rsidR="00716C82" w:rsidRPr="00294D58" w:rsidRDefault="00716C82" w:rsidP="00716C82">
      <w:pPr>
        <w:pStyle w:val="Bibliography"/>
        <w:rPr>
          <w:rFonts w:ascii="Calibri" w:hAnsi="Calibri" w:cs="Calibri"/>
        </w:rPr>
      </w:pPr>
      <w:r w:rsidRPr="00294D58">
        <w:rPr>
          <w:rFonts w:ascii="Calibri" w:hAnsi="Calibri" w:cs="Calibri"/>
        </w:rPr>
        <w:t xml:space="preserve">28 </w:t>
      </w:r>
      <w:r w:rsidRPr="00294D58">
        <w:rPr>
          <w:rFonts w:ascii="Calibri" w:hAnsi="Calibri" w:cs="Calibri"/>
        </w:rPr>
        <w:tab/>
        <w:t xml:space="preserve">Schuch FB, Vancampfort D, Richards J, </w:t>
      </w:r>
      <w:r w:rsidRPr="00294D58">
        <w:rPr>
          <w:rFonts w:ascii="Calibri" w:hAnsi="Calibri" w:cs="Calibri"/>
          <w:i/>
          <w:iCs/>
        </w:rPr>
        <w:t>et al.</w:t>
      </w:r>
      <w:r w:rsidRPr="00294D58">
        <w:rPr>
          <w:rFonts w:ascii="Calibri" w:hAnsi="Calibri" w:cs="Calibri"/>
        </w:rPr>
        <w:t xml:space="preserve"> Exercise as a treatment for depression: A meta-analysis adjusting for publication bias. </w:t>
      </w:r>
      <w:r w:rsidRPr="00294D58">
        <w:rPr>
          <w:rFonts w:ascii="Calibri" w:hAnsi="Calibri" w:cs="Calibri"/>
          <w:i/>
          <w:iCs/>
        </w:rPr>
        <w:t>J Psychiatr Res</w:t>
      </w:r>
      <w:r w:rsidRPr="00294D58">
        <w:rPr>
          <w:rFonts w:ascii="Calibri" w:hAnsi="Calibri" w:cs="Calibri"/>
        </w:rPr>
        <w:t xml:space="preserve"> 2016;</w:t>
      </w:r>
      <w:r w:rsidRPr="00294D58">
        <w:rPr>
          <w:rFonts w:ascii="Calibri" w:hAnsi="Calibri" w:cs="Calibri"/>
          <w:b/>
          <w:bCs/>
        </w:rPr>
        <w:t>77</w:t>
      </w:r>
      <w:r w:rsidRPr="00294D58">
        <w:rPr>
          <w:rFonts w:ascii="Calibri" w:hAnsi="Calibri" w:cs="Calibri"/>
        </w:rPr>
        <w:t>:42–51. doi:10.1016/j.jpsychires.2016.02.023</w:t>
      </w:r>
    </w:p>
    <w:p w14:paraId="2B4169F9" w14:textId="77777777" w:rsidR="00716C82" w:rsidRPr="00294D58" w:rsidRDefault="00716C82" w:rsidP="00716C82">
      <w:pPr>
        <w:pStyle w:val="Bibliography"/>
        <w:rPr>
          <w:rFonts w:ascii="Calibri" w:hAnsi="Calibri" w:cs="Calibri"/>
        </w:rPr>
      </w:pPr>
      <w:r w:rsidRPr="00294D58">
        <w:rPr>
          <w:rFonts w:ascii="Calibri" w:hAnsi="Calibri" w:cs="Calibri"/>
        </w:rPr>
        <w:t xml:space="preserve">29 </w:t>
      </w:r>
      <w:r w:rsidRPr="00294D58">
        <w:rPr>
          <w:rFonts w:ascii="Calibri" w:hAnsi="Calibri" w:cs="Calibri"/>
        </w:rPr>
        <w:tab/>
        <w:t xml:space="preserve">Stonerock GL, Hoffman BM, Smith PJ, </w:t>
      </w:r>
      <w:r w:rsidRPr="00294D58">
        <w:rPr>
          <w:rFonts w:ascii="Calibri" w:hAnsi="Calibri" w:cs="Calibri"/>
          <w:i/>
          <w:iCs/>
        </w:rPr>
        <w:t>et al.</w:t>
      </w:r>
      <w:r w:rsidRPr="00294D58">
        <w:rPr>
          <w:rFonts w:ascii="Calibri" w:hAnsi="Calibri" w:cs="Calibri"/>
        </w:rPr>
        <w:t xml:space="preserve"> Exercise as Treatment for Anxiety: Systematic Review and Analysis. </w:t>
      </w:r>
      <w:r w:rsidRPr="00294D58">
        <w:rPr>
          <w:rFonts w:ascii="Calibri" w:hAnsi="Calibri" w:cs="Calibri"/>
          <w:i/>
          <w:iCs/>
        </w:rPr>
        <w:t>Ann Behav Med Publ Soc Behav Med</w:t>
      </w:r>
      <w:r w:rsidRPr="00294D58">
        <w:rPr>
          <w:rFonts w:ascii="Calibri" w:hAnsi="Calibri" w:cs="Calibri"/>
        </w:rPr>
        <w:t xml:space="preserve"> 2015;</w:t>
      </w:r>
      <w:r w:rsidRPr="00294D58">
        <w:rPr>
          <w:rFonts w:ascii="Calibri" w:hAnsi="Calibri" w:cs="Calibri"/>
          <w:b/>
          <w:bCs/>
        </w:rPr>
        <w:t>49</w:t>
      </w:r>
      <w:r w:rsidRPr="00294D58">
        <w:rPr>
          <w:rFonts w:ascii="Calibri" w:hAnsi="Calibri" w:cs="Calibri"/>
        </w:rPr>
        <w:t>:542–56. doi:10.1007/s12160-014-9685-9</w:t>
      </w:r>
    </w:p>
    <w:p w14:paraId="078B3094" w14:textId="77777777" w:rsidR="00716C82" w:rsidRPr="00294D58" w:rsidRDefault="00716C82" w:rsidP="00716C82">
      <w:pPr>
        <w:pStyle w:val="Bibliography"/>
        <w:rPr>
          <w:rFonts w:ascii="Calibri" w:hAnsi="Calibri" w:cs="Calibri"/>
        </w:rPr>
      </w:pPr>
      <w:r w:rsidRPr="00294D58">
        <w:rPr>
          <w:rFonts w:ascii="Calibri" w:hAnsi="Calibri" w:cs="Calibri"/>
        </w:rPr>
        <w:t xml:space="preserve">30 </w:t>
      </w:r>
      <w:r w:rsidRPr="00294D58">
        <w:rPr>
          <w:rFonts w:ascii="Calibri" w:hAnsi="Calibri" w:cs="Calibri"/>
        </w:rPr>
        <w:tab/>
        <w:t xml:space="preserve">Smith L, Gardner B, Aggio D, </w:t>
      </w:r>
      <w:r w:rsidRPr="00294D58">
        <w:rPr>
          <w:rFonts w:ascii="Calibri" w:hAnsi="Calibri" w:cs="Calibri"/>
          <w:i/>
          <w:iCs/>
        </w:rPr>
        <w:t>et al.</w:t>
      </w:r>
      <w:r w:rsidRPr="00294D58">
        <w:rPr>
          <w:rFonts w:ascii="Calibri" w:hAnsi="Calibri" w:cs="Calibri"/>
        </w:rPr>
        <w:t xml:space="preserve"> Association between participation in outdoor play and sport at 10years old with physical activity in adulthood. </w:t>
      </w:r>
      <w:r w:rsidRPr="00294D58">
        <w:rPr>
          <w:rFonts w:ascii="Calibri" w:hAnsi="Calibri" w:cs="Calibri"/>
          <w:i/>
          <w:iCs/>
        </w:rPr>
        <w:t>Prev Med</w:t>
      </w:r>
      <w:r w:rsidRPr="00294D58">
        <w:rPr>
          <w:rFonts w:ascii="Calibri" w:hAnsi="Calibri" w:cs="Calibri"/>
        </w:rPr>
        <w:t xml:space="preserve"> 2015;</w:t>
      </w:r>
      <w:r w:rsidRPr="00294D58">
        <w:rPr>
          <w:rFonts w:ascii="Calibri" w:hAnsi="Calibri" w:cs="Calibri"/>
          <w:b/>
          <w:bCs/>
        </w:rPr>
        <w:t>74</w:t>
      </w:r>
      <w:r w:rsidRPr="00294D58">
        <w:rPr>
          <w:rFonts w:ascii="Calibri" w:hAnsi="Calibri" w:cs="Calibri"/>
        </w:rPr>
        <w:t>:31–5. doi:10.1016/j.ypmed.2015.02.004</w:t>
      </w:r>
    </w:p>
    <w:p w14:paraId="01D35D4F" w14:textId="77777777" w:rsidR="00716C82" w:rsidRPr="00294D58" w:rsidRDefault="00716C82" w:rsidP="00716C82">
      <w:pPr>
        <w:pStyle w:val="Bibliography"/>
        <w:rPr>
          <w:rFonts w:ascii="Calibri" w:hAnsi="Calibri" w:cs="Calibri"/>
        </w:rPr>
      </w:pPr>
      <w:r w:rsidRPr="00294D58">
        <w:rPr>
          <w:rFonts w:ascii="Calibri" w:hAnsi="Calibri" w:cs="Calibri"/>
        </w:rPr>
        <w:t xml:space="preserve">31 </w:t>
      </w:r>
      <w:r w:rsidRPr="00294D58">
        <w:rPr>
          <w:rFonts w:ascii="Calibri" w:hAnsi="Calibri" w:cs="Calibri"/>
        </w:rPr>
        <w:tab/>
        <w:t xml:space="preserve">Bassuk EL, Beardslee WR. Depression in homeless mothers: Addressing an unrecognized public health issue. </w:t>
      </w:r>
      <w:r w:rsidRPr="00294D58">
        <w:rPr>
          <w:rFonts w:ascii="Calibri" w:hAnsi="Calibri" w:cs="Calibri"/>
          <w:i/>
          <w:iCs/>
        </w:rPr>
        <w:t>Am J Orthopsychiatry</w:t>
      </w:r>
      <w:r w:rsidRPr="00294D58">
        <w:rPr>
          <w:rFonts w:ascii="Calibri" w:hAnsi="Calibri" w:cs="Calibri"/>
        </w:rPr>
        <w:t xml:space="preserve"> 2014;</w:t>
      </w:r>
      <w:r w:rsidRPr="00294D58">
        <w:rPr>
          <w:rFonts w:ascii="Calibri" w:hAnsi="Calibri" w:cs="Calibri"/>
          <w:b/>
          <w:bCs/>
        </w:rPr>
        <w:t>84</w:t>
      </w:r>
      <w:r w:rsidRPr="00294D58">
        <w:rPr>
          <w:rFonts w:ascii="Calibri" w:hAnsi="Calibri" w:cs="Calibri"/>
        </w:rPr>
        <w:t>:73–81. doi:10.1037/h0098949</w:t>
      </w:r>
    </w:p>
    <w:p w14:paraId="24AF5460" w14:textId="77777777" w:rsidR="00716C82" w:rsidRPr="00294D58" w:rsidRDefault="00716C82" w:rsidP="00716C82">
      <w:pPr>
        <w:pStyle w:val="Bibliography"/>
        <w:rPr>
          <w:rFonts w:ascii="Calibri" w:hAnsi="Calibri" w:cs="Calibri"/>
        </w:rPr>
      </w:pPr>
      <w:r w:rsidRPr="00294D58">
        <w:rPr>
          <w:rFonts w:ascii="Calibri" w:hAnsi="Calibri" w:cs="Calibri"/>
        </w:rPr>
        <w:t xml:space="preserve">32 </w:t>
      </w:r>
      <w:r w:rsidRPr="00294D58">
        <w:rPr>
          <w:rFonts w:ascii="Calibri" w:hAnsi="Calibri" w:cs="Calibri"/>
        </w:rPr>
        <w:tab/>
        <w:t xml:space="preserve">Burcusa SL, Iacono WG. Risk for Recurrence in Depression. </w:t>
      </w:r>
      <w:r w:rsidRPr="00294D58">
        <w:rPr>
          <w:rFonts w:ascii="Calibri" w:hAnsi="Calibri" w:cs="Calibri"/>
          <w:i/>
          <w:iCs/>
        </w:rPr>
        <w:t>Clin Psychol Rev</w:t>
      </w:r>
      <w:r w:rsidRPr="00294D58">
        <w:rPr>
          <w:rFonts w:ascii="Calibri" w:hAnsi="Calibri" w:cs="Calibri"/>
        </w:rPr>
        <w:t xml:space="preserve"> 2007;</w:t>
      </w:r>
      <w:r w:rsidRPr="00294D58">
        <w:rPr>
          <w:rFonts w:ascii="Calibri" w:hAnsi="Calibri" w:cs="Calibri"/>
          <w:b/>
          <w:bCs/>
        </w:rPr>
        <w:t>27</w:t>
      </w:r>
      <w:r w:rsidRPr="00294D58">
        <w:rPr>
          <w:rFonts w:ascii="Calibri" w:hAnsi="Calibri" w:cs="Calibri"/>
        </w:rPr>
        <w:t>:959–85. doi:10.1016/j.cpr.2007.02.005</w:t>
      </w:r>
    </w:p>
    <w:p w14:paraId="7544B4F3" w14:textId="77777777" w:rsidR="00716C82" w:rsidRPr="00294D58" w:rsidRDefault="00716C82" w:rsidP="00716C82">
      <w:pPr>
        <w:pStyle w:val="Bibliography"/>
        <w:rPr>
          <w:rFonts w:ascii="Calibri" w:hAnsi="Calibri" w:cs="Calibri"/>
        </w:rPr>
      </w:pPr>
      <w:r w:rsidRPr="00294D58">
        <w:rPr>
          <w:rFonts w:ascii="Calibri" w:hAnsi="Calibri" w:cs="Calibri"/>
        </w:rPr>
        <w:t xml:space="preserve">33 </w:t>
      </w:r>
      <w:r w:rsidRPr="00294D58">
        <w:rPr>
          <w:rFonts w:ascii="Calibri" w:hAnsi="Calibri" w:cs="Calibri"/>
        </w:rPr>
        <w:tab/>
        <w:t xml:space="preserve">Ruo B, Rumsfeld JS, Hlatky MA, </w:t>
      </w:r>
      <w:r w:rsidRPr="00294D58">
        <w:rPr>
          <w:rFonts w:ascii="Calibri" w:hAnsi="Calibri" w:cs="Calibri"/>
          <w:i/>
          <w:iCs/>
        </w:rPr>
        <w:t>et al.</w:t>
      </w:r>
      <w:r w:rsidRPr="00294D58">
        <w:rPr>
          <w:rFonts w:ascii="Calibri" w:hAnsi="Calibri" w:cs="Calibri"/>
        </w:rPr>
        <w:t xml:space="preserve"> Depressive Symptoms and Health-Related Quality of Life: The Heart and Soul Study. </w:t>
      </w:r>
      <w:r w:rsidRPr="00294D58">
        <w:rPr>
          <w:rFonts w:ascii="Calibri" w:hAnsi="Calibri" w:cs="Calibri"/>
          <w:i/>
          <w:iCs/>
        </w:rPr>
        <w:t>JAMA</w:t>
      </w:r>
      <w:r w:rsidRPr="00294D58">
        <w:rPr>
          <w:rFonts w:ascii="Calibri" w:hAnsi="Calibri" w:cs="Calibri"/>
        </w:rPr>
        <w:t xml:space="preserve"> 2003;</w:t>
      </w:r>
      <w:r w:rsidRPr="00294D58">
        <w:rPr>
          <w:rFonts w:ascii="Calibri" w:hAnsi="Calibri" w:cs="Calibri"/>
          <w:b/>
          <w:bCs/>
        </w:rPr>
        <w:t>290</w:t>
      </w:r>
      <w:r w:rsidRPr="00294D58">
        <w:rPr>
          <w:rFonts w:ascii="Calibri" w:hAnsi="Calibri" w:cs="Calibri"/>
        </w:rPr>
        <w:t>:215–21. doi:10.1001/jama.290.2.215</w:t>
      </w:r>
    </w:p>
    <w:p w14:paraId="67DEC975" w14:textId="77777777" w:rsidR="00716C82" w:rsidRPr="00294D58" w:rsidRDefault="00716C82" w:rsidP="00716C82">
      <w:pPr>
        <w:pStyle w:val="Bibliography"/>
        <w:rPr>
          <w:rFonts w:ascii="Calibri" w:hAnsi="Calibri" w:cs="Calibri"/>
        </w:rPr>
      </w:pPr>
      <w:r w:rsidRPr="00294D58">
        <w:rPr>
          <w:rFonts w:ascii="Calibri" w:hAnsi="Calibri" w:cs="Calibri"/>
        </w:rPr>
        <w:t xml:space="preserve">34 </w:t>
      </w:r>
      <w:r w:rsidRPr="00294D58">
        <w:rPr>
          <w:rFonts w:ascii="Calibri" w:hAnsi="Calibri" w:cs="Calibri"/>
        </w:rPr>
        <w:tab/>
        <w:t xml:space="preserve">Cheung RC, Hanson AK, Maganti K, </w:t>
      </w:r>
      <w:r w:rsidRPr="00294D58">
        <w:rPr>
          <w:rFonts w:ascii="Calibri" w:hAnsi="Calibri" w:cs="Calibri"/>
          <w:i/>
          <w:iCs/>
        </w:rPr>
        <w:t>et al.</w:t>
      </w:r>
      <w:r w:rsidRPr="00294D58">
        <w:rPr>
          <w:rFonts w:ascii="Calibri" w:hAnsi="Calibri" w:cs="Calibri"/>
        </w:rPr>
        <w:t xml:space="preserve"> Viral Hepatitis and Other Infectious Diseases in a Homeless Population. </w:t>
      </w:r>
      <w:r w:rsidRPr="00294D58">
        <w:rPr>
          <w:rFonts w:ascii="Calibri" w:hAnsi="Calibri" w:cs="Calibri"/>
          <w:i/>
          <w:iCs/>
        </w:rPr>
        <w:t>J Clin Gastroenterol</w:t>
      </w:r>
      <w:r w:rsidRPr="00294D58">
        <w:rPr>
          <w:rFonts w:ascii="Calibri" w:hAnsi="Calibri" w:cs="Calibri"/>
        </w:rPr>
        <w:t xml:space="preserve"> 2002;</w:t>
      </w:r>
      <w:r w:rsidRPr="00294D58">
        <w:rPr>
          <w:rFonts w:ascii="Calibri" w:hAnsi="Calibri" w:cs="Calibri"/>
          <w:b/>
          <w:bCs/>
        </w:rPr>
        <w:t>34</w:t>
      </w:r>
      <w:r w:rsidRPr="00294D58">
        <w:rPr>
          <w:rFonts w:ascii="Calibri" w:hAnsi="Calibri" w:cs="Calibri"/>
        </w:rPr>
        <w:t>:476.</w:t>
      </w:r>
    </w:p>
    <w:p w14:paraId="68E37F05" w14:textId="77777777" w:rsidR="00716C82" w:rsidRPr="00294D58" w:rsidRDefault="00716C82" w:rsidP="00716C82">
      <w:pPr>
        <w:pStyle w:val="Bibliography"/>
        <w:rPr>
          <w:rFonts w:ascii="Calibri" w:hAnsi="Calibri" w:cs="Calibri"/>
        </w:rPr>
      </w:pPr>
      <w:r w:rsidRPr="00294D58">
        <w:rPr>
          <w:rFonts w:ascii="Calibri" w:hAnsi="Calibri" w:cs="Calibri"/>
        </w:rPr>
        <w:lastRenderedPageBreak/>
        <w:t xml:space="preserve">35 </w:t>
      </w:r>
      <w:r w:rsidRPr="00294D58">
        <w:rPr>
          <w:rFonts w:ascii="Calibri" w:hAnsi="Calibri" w:cs="Calibri"/>
        </w:rPr>
        <w:tab/>
        <w:t xml:space="preserve">Feldmann J, Middleman AB. Homeless adolescents: Common clinical concerns. </w:t>
      </w:r>
      <w:r w:rsidRPr="00294D58">
        <w:rPr>
          <w:rFonts w:ascii="Calibri" w:hAnsi="Calibri" w:cs="Calibri"/>
          <w:i/>
          <w:iCs/>
        </w:rPr>
        <w:t>Semin Pediatr Infect Dis</w:t>
      </w:r>
      <w:r w:rsidRPr="00294D58">
        <w:rPr>
          <w:rFonts w:ascii="Calibri" w:hAnsi="Calibri" w:cs="Calibri"/>
        </w:rPr>
        <w:t xml:space="preserve"> 2003;</w:t>
      </w:r>
      <w:r w:rsidRPr="00294D58">
        <w:rPr>
          <w:rFonts w:ascii="Calibri" w:hAnsi="Calibri" w:cs="Calibri"/>
          <w:b/>
          <w:bCs/>
        </w:rPr>
        <w:t>14</w:t>
      </w:r>
      <w:r w:rsidRPr="00294D58">
        <w:rPr>
          <w:rFonts w:ascii="Calibri" w:hAnsi="Calibri" w:cs="Calibri"/>
        </w:rPr>
        <w:t>:6–11. doi:10.1053/spid.2003.127211</w:t>
      </w:r>
    </w:p>
    <w:p w14:paraId="7A8CC3C5" w14:textId="77777777" w:rsidR="00716C82" w:rsidRPr="00294D58" w:rsidRDefault="00716C82" w:rsidP="00716C82">
      <w:pPr>
        <w:pStyle w:val="Bibliography"/>
        <w:rPr>
          <w:rFonts w:ascii="Calibri" w:hAnsi="Calibri" w:cs="Calibri"/>
        </w:rPr>
      </w:pPr>
      <w:r w:rsidRPr="00294D58">
        <w:rPr>
          <w:rFonts w:ascii="Calibri" w:hAnsi="Calibri" w:cs="Calibri"/>
        </w:rPr>
        <w:t xml:space="preserve">36 </w:t>
      </w:r>
      <w:r w:rsidRPr="00294D58">
        <w:rPr>
          <w:rFonts w:ascii="Calibri" w:hAnsi="Calibri" w:cs="Calibri"/>
        </w:rPr>
        <w:tab/>
        <w:t xml:space="preserve">Spinelli MA, Ponath C, Tieu L, </w:t>
      </w:r>
      <w:r w:rsidRPr="00294D58">
        <w:rPr>
          <w:rFonts w:ascii="Calibri" w:hAnsi="Calibri" w:cs="Calibri"/>
          <w:i/>
          <w:iCs/>
        </w:rPr>
        <w:t>et al.</w:t>
      </w:r>
      <w:r w:rsidRPr="00294D58">
        <w:rPr>
          <w:rFonts w:ascii="Calibri" w:hAnsi="Calibri" w:cs="Calibri"/>
        </w:rPr>
        <w:t xml:space="preserve"> Factors associated with substance use in older homeless adults: Results from the HOPE HOME study. </w:t>
      </w:r>
      <w:r w:rsidRPr="00294D58">
        <w:rPr>
          <w:rFonts w:ascii="Calibri" w:hAnsi="Calibri" w:cs="Calibri"/>
          <w:i/>
          <w:iCs/>
        </w:rPr>
        <w:t>Subst Abuse</w:t>
      </w:r>
      <w:r w:rsidRPr="00294D58">
        <w:rPr>
          <w:rFonts w:ascii="Calibri" w:hAnsi="Calibri" w:cs="Calibri"/>
        </w:rPr>
        <w:t xml:space="preserve"> 2017;</w:t>
      </w:r>
      <w:r w:rsidRPr="00294D58">
        <w:rPr>
          <w:rFonts w:ascii="Calibri" w:hAnsi="Calibri" w:cs="Calibri"/>
          <w:b/>
          <w:bCs/>
        </w:rPr>
        <w:t>38</w:t>
      </w:r>
      <w:r w:rsidRPr="00294D58">
        <w:rPr>
          <w:rFonts w:ascii="Calibri" w:hAnsi="Calibri" w:cs="Calibri"/>
        </w:rPr>
        <w:t>:88–94. doi:10.1080/08897077.2016.1264534</w:t>
      </w:r>
    </w:p>
    <w:p w14:paraId="053F5E6C" w14:textId="77777777" w:rsidR="00716C82" w:rsidRPr="00294D58" w:rsidRDefault="00716C82" w:rsidP="00716C82">
      <w:pPr>
        <w:pStyle w:val="Bibliography"/>
        <w:rPr>
          <w:rFonts w:ascii="Calibri" w:hAnsi="Calibri" w:cs="Calibri"/>
        </w:rPr>
      </w:pPr>
      <w:r w:rsidRPr="00294D58">
        <w:rPr>
          <w:rFonts w:ascii="Calibri" w:hAnsi="Calibri" w:cs="Calibri"/>
        </w:rPr>
        <w:t xml:space="preserve">37 </w:t>
      </w:r>
      <w:r w:rsidRPr="00294D58">
        <w:rPr>
          <w:rFonts w:ascii="Calibri" w:hAnsi="Calibri" w:cs="Calibri"/>
        </w:rPr>
        <w:tab/>
        <w:t xml:space="preserve">Upshur CC, Jenkins D, Weinreb L, </w:t>
      </w:r>
      <w:r w:rsidRPr="00294D58">
        <w:rPr>
          <w:rFonts w:ascii="Calibri" w:hAnsi="Calibri" w:cs="Calibri"/>
          <w:i/>
          <w:iCs/>
        </w:rPr>
        <w:t>et al.</w:t>
      </w:r>
      <w:r w:rsidRPr="00294D58">
        <w:rPr>
          <w:rFonts w:ascii="Calibri" w:hAnsi="Calibri" w:cs="Calibri"/>
        </w:rPr>
        <w:t xml:space="preserve"> Prevalence and predictors of substance use disorders among homeless women seeking primary care: An 11 site survey. </w:t>
      </w:r>
      <w:r w:rsidRPr="00294D58">
        <w:rPr>
          <w:rFonts w:ascii="Calibri" w:hAnsi="Calibri" w:cs="Calibri"/>
          <w:i/>
          <w:iCs/>
        </w:rPr>
        <w:t>Am J Addict</w:t>
      </w:r>
      <w:r w:rsidRPr="00294D58">
        <w:rPr>
          <w:rFonts w:ascii="Calibri" w:hAnsi="Calibri" w:cs="Calibri"/>
        </w:rPr>
        <w:t xml:space="preserve"> 2017;</w:t>
      </w:r>
      <w:r w:rsidRPr="00294D58">
        <w:rPr>
          <w:rFonts w:ascii="Calibri" w:hAnsi="Calibri" w:cs="Calibri"/>
          <w:b/>
          <w:bCs/>
        </w:rPr>
        <w:t>26</w:t>
      </w:r>
      <w:r w:rsidRPr="00294D58">
        <w:rPr>
          <w:rFonts w:ascii="Calibri" w:hAnsi="Calibri" w:cs="Calibri"/>
        </w:rPr>
        <w:t>:680–8. doi:10.1111/ajad.12582</w:t>
      </w:r>
    </w:p>
    <w:p w14:paraId="6B160077" w14:textId="77777777" w:rsidR="00716C82" w:rsidRPr="00294D58" w:rsidRDefault="00716C82" w:rsidP="00716C82">
      <w:pPr>
        <w:pStyle w:val="Bibliography"/>
        <w:rPr>
          <w:rFonts w:ascii="Calibri" w:hAnsi="Calibri" w:cs="Calibri"/>
        </w:rPr>
      </w:pPr>
      <w:r w:rsidRPr="00294D58">
        <w:rPr>
          <w:rFonts w:ascii="Calibri" w:hAnsi="Calibri" w:cs="Calibri"/>
        </w:rPr>
        <w:t xml:space="preserve">38 </w:t>
      </w:r>
      <w:r w:rsidRPr="00294D58">
        <w:rPr>
          <w:rFonts w:ascii="Calibri" w:hAnsi="Calibri" w:cs="Calibri"/>
        </w:rPr>
        <w:tab/>
        <w:t xml:space="preserve">Munoz RT, Hellman CM, Buster B, </w:t>
      </w:r>
      <w:r w:rsidRPr="00294D58">
        <w:rPr>
          <w:rFonts w:ascii="Calibri" w:hAnsi="Calibri" w:cs="Calibri"/>
          <w:i/>
          <w:iCs/>
        </w:rPr>
        <w:t>et al.</w:t>
      </w:r>
      <w:r w:rsidRPr="00294D58">
        <w:rPr>
          <w:rFonts w:ascii="Calibri" w:hAnsi="Calibri" w:cs="Calibri"/>
        </w:rPr>
        <w:t xml:space="preserve"> Life Satisfaction, Hope, and Positive Emotions as Antecedents of Health Related Quality of Life Among Homeless Individuals. </w:t>
      </w:r>
      <w:r w:rsidRPr="00294D58">
        <w:rPr>
          <w:rFonts w:ascii="Calibri" w:hAnsi="Calibri" w:cs="Calibri"/>
          <w:i/>
          <w:iCs/>
        </w:rPr>
        <w:t>Int J Appl Posit Psychol</w:t>
      </w:r>
      <w:r w:rsidRPr="00294D58">
        <w:rPr>
          <w:rFonts w:ascii="Calibri" w:hAnsi="Calibri" w:cs="Calibri"/>
        </w:rPr>
        <w:t xml:space="preserve"> 2016;</w:t>
      </w:r>
      <w:r w:rsidRPr="00294D58">
        <w:rPr>
          <w:rFonts w:ascii="Calibri" w:hAnsi="Calibri" w:cs="Calibri"/>
          <w:b/>
          <w:bCs/>
        </w:rPr>
        <w:t>1</w:t>
      </w:r>
      <w:r w:rsidRPr="00294D58">
        <w:rPr>
          <w:rFonts w:ascii="Calibri" w:hAnsi="Calibri" w:cs="Calibri"/>
        </w:rPr>
        <w:t>:69–89. doi:10.1007/s41042-017-0005-z</w:t>
      </w:r>
    </w:p>
    <w:p w14:paraId="17483031" w14:textId="461CCE04" w:rsidR="007C457B" w:rsidRPr="00294D58" w:rsidRDefault="00AD7661" w:rsidP="007C457B">
      <w:r w:rsidRPr="00294D58">
        <w:fldChar w:fldCharType="end"/>
      </w:r>
    </w:p>
    <w:p w14:paraId="476D9607" w14:textId="77777777" w:rsidR="00706AA4" w:rsidRPr="00294D58" w:rsidRDefault="00706AA4" w:rsidP="007C457B"/>
    <w:sectPr w:rsidR="00706AA4" w:rsidRPr="00294D58" w:rsidSect="000C63AD">
      <w:footerReference w:type="default" r:id="rId21"/>
      <w:pgSz w:w="12240" w:h="15840" w:code="1"/>
      <w:pgMar w:top="1440" w:right="1247" w:bottom="1440" w:left="130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37532" w14:textId="77777777" w:rsidR="00A0253F" w:rsidRDefault="00A0253F" w:rsidP="007C0309">
      <w:pPr>
        <w:spacing w:after="0" w:line="240" w:lineRule="auto"/>
      </w:pPr>
      <w:r>
        <w:separator/>
      </w:r>
    </w:p>
  </w:endnote>
  <w:endnote w:type="continuationSeparator" w:id="0">
    <w:p w14:paraId="7EA4EA00" w14:textId="77777777" w:rsidR="00A0253F" w:rsidRDefault="00A0253F" w:rsidP="007C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04CBF" w14:textId="666EEE51" w:rsidR="00E3247D" w:rsidRDefault="00E3247D">
    <w:pPr>
      <w:pStyle w:val="Footer"/>
      <w:jc w:val="right"/>
    </w:pPr>
    <w:r>
      <w:fldChar w:fldCharType="begin"/>
    </w:r>
    <w:r>
      <w:instrText xml:space="preserve"> PAGE   \* MERGEFORMAT </w:instrText>
    </w:r>
    <w:r>
      <w:fldChar w:fldCharType="separate"/>
    </w:r>
    <w:r w:rsidR="00294D58">
      <w:rPr>
        <w:noProof/>
      </w:rPr>
      <w:t>17</w:t>
    </w:r>
    <w:r>
      <w:rPr>
        <w:noProof/>
      </w:rPr>
      <w:fldChar w:fldCharType="end"/>
    </w:r>
  </w:p>
  <w:p w14:paraId="528CEBB7" w14:textId="77777777" w:rsidR="00E3247D" w:rsidRDefault="00E32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D4AF8" w14:textId="77777777" w:rsidR="00A0253F" w:rsidRDefault="00A0253F" w:rsidP="007C0309">
      <w:pPr>
        <w:spacing w:after="0" w:line="240" w:lineRule="auto"/>
      </w:pPr>
      <w:r>
        <w:separator/>
      </w:r>
    </w:p>
  </w:footnote>
  <w:footnote w:type="continuationSeparator" w:id="0">
    <w:p w14:paraId="0402B86E" w14:textId="77777777" w:rsidR="00A0253F" w:rsidRDefault="00A0253F" w:rsidP="007C0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74E51"/>
    <w:multiLevelType w:val="hybridMultilevel"/>
    <w:tmpl w:val="735C28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5521612"/>
    <w:multiLevelType w:val="hybridMultilevel"/>
    <w:tmpl w:val="AD3A37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AF0A5F"/>
    <w:multiLevelType w:val="hybridMultilevel"/>
    <w:tmpl w:val="15EED3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4B0D93"/>
    <w:multiLevelType w:val="hybridMultilevel"/>
    <w:tmpl w:val="CB761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DE7B10"/>
    <w:multiLevelType w:val="hybridMultilevel"/>
    <w:tmpl w:val="D3FE79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236047"/>
    <w:multiLevelType w:val="hybridMultilevel"/>
    <w:tmpl w:val="8370E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43037A"/>
    <w:multiLevelType w:val="multilevel"/>
    <w:tmpl w:val="310E5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C00F62"/>
    <w:multiLevelType w:val="hybridMultilevel"/>
    <w:tmpl w:val="CFD4B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FF7D0A"/>
    <w:multiLevelType w:val="hybridMultilevel"/>
    <w:tmpl w:val="8A5EB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CB2071A"/>
    <w:multiLevelType w:val="hybridMultilevel"/>
    <w:tmpl w:val="3DFAF8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F245B82"/>
    <w:multiLevelType w:val="hybridMultilevel"/>
    <w:tmpl w:val="B92A20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4201F1"/>
    <w:multiLevelType w:val="hybridMultilevel"/>
    <w:tmpl w:val="2E54926E"/>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2" w15:restartNumberingAfterBreak="0">
    <w:nsid w:val="6DB741BF"/>
    <w:multiLevelType w:val="hybridMultilevel"/>
    <w:tmpl w:val="E38C0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71B1C9A"/>
    <w:multiLevelType w:val="hybridMultilevel"/>
    <w:tmpl w:val="E8C0A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121B4A"/>
    <w:multiLevelType w:val="hybridMultilevel"/>
    <w:tmpl w:val="24FAF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F162C4"/>
    <w:multiLevelType w:val="hybridMultilevel"/>
    <w:tmpl w:val="720A6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EEA241C"/>
    <w:multiLevelType w:val="hybridMultilevel"/>
    <w:tmpl w:val="FBB603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16"/>
  </w:num>
  <w:num w:numId="5">
    <w:abstractNumId w:val="14"/>
  </w:num>
  <w:num w:numId="6">
    <w:abstractNumId w:val="2"/>
  </w:num>
  <w:num w:numId="7">
    <w:abstractNumId w:val="5"/>
  </w:num>
  <w:num w:numId="8">
    <w:abstractNumId w:val="13"/>
  </w:num>
  <w:num w:numId="9">
    <w:abstractNumId w:val="7"/>
  </w:num>
  <w:num w:numId="10">
    <w:abstractNumId w:val="12"/>
  </w:num>
  <w:num w:numId="11">
    <w:abstractNumId w:val="11"/>
  </w:num>
  <w:num w:numId="12">
    <w:abstractNumId w:val="15"/>
  </w:num>
  <w:num w:numId="13">
    <w:abstractNumId w:val="6"/>
  </w:num>
  <w:num w:numId="14">
    <w:abstractNumId w:val="0"/>
  </w:num>
  <w:num w:numId="15">
    <w:abstractNumId w:val="9"/>
  </w:num>
  <w:num w:numId="16">
    <w:abstractNumId w:val="4"/>
  </w:num>
  <w:num w:numId="1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BM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3600EB"/>
    <w:rsid w:val="00000047"/>
    <w:rsid w:val="000001B3"/>
    <w:rsid w:val="000001D2"/>
    <w:rsid w:val="000001D8"/>
    <w:rsid w:val="00000314"/>
    <w:rsid w:val="000003B5"/>
    <w:rsid w:val="00000721"/>
    <w:rsid w:val="00000DE8"/>
    <w:rsid w:val="00000FDA"/>
    <w:rsid w:val="0000106F"/>
    <w:rsid w:val="00001074"/>
    <w:rsid w:val="00001532"/>
    <w:rsid w:val="00001893"/>
    <w:rsid w:val="0000203B"/>
    <w:rsid w:val="00002634"/>
    <w:rsid w:val="00002751"/>
    <w:rsid w:val="00002880"/>
    <w:rsid w:val="00002936"/>
    <w:rsid w:val="00002A03"/>
    <w:rsid w:val="00002F94"/>
    <w:rsid w:val="00003430"/>
    <w:rsid w:val="000036A3"/>
    <w:rsid w:val="0000379E"/>
    <w:rsid w:val="00003AD7"/>
    <w:rsid w:val="00004186"/>
    <w:rsid w:val="00004623"/>
    <w:rsid w:val="000048DD"/>
    <w:rsid w:val="00004A61"/>
    <w:rsid w:val="00004A8E"/>
    <w:rsid w:val="00004CB7"/>
    <w:rsid w:val="00004DE0"/>
    <w:rsid w:val="000050CD"/>
    <w:rsid w:val="000052B3"/>
    <w:rsid w:val="0000580C"/>
    <w:rsid w:val="000059A3"/>
    <w:rsid w:val="00005CA0"/>
    <w:rsid w:val="00005D83"/>
    <w:rsid w:val="0000647A"/>
    <w:rsid w:val="00006612"/>
    <w:rsid w:val="00006A82"/>
    <w:rsid w:val="00006AB6"/>
    <w:rsid w:val="00006FCA"/>
    <w:rsid w:val="00007083"/>
    <w:rsid w:val="00007352"/>
    <w:rsid w:val="000075CE"/>
    <w:rsid w:val="000077E6"/>
    <w:rsid w:val="000078CC"/>
    <w:rsid w:val="000079FC"/>
    <w:rsid w:val="00007C56"/>
    <w:rsid w:val="00010049"/>
    <w:rsid w:val="00010313"/>
    <w:rsid w:val="00010410"/>
    <w:rsid w:val="000108D8"/>
    <w:rsid w:val="00010A6D"/>
    <w:rsid w:val="00010B03"/>
    <w:rsid w:val="00010F4A"/>
    <w:rsid w:val="0001105D"/>
    <w:rsid w:val="0001138F"/>
    <w:rsid w:val="000115DA"/>
    <w:rsid w:val="00011A3D"/>
    <w:rsid w:val="00012083"/>
    <w:rsid w:val="000124D2"/>
    <w:rsid w:val="000125E0"/>
    <w:rsid w:val="00012885"/>
    <w:rsid w:val="00012B3F"/>
    <w:rsid w:val="00012B68"/>
    <w:rsid w:val="00012BC0"/>
    <w:rsid w:val="00012D5D"/>
    <w:rsid w:val="00012DFF"/>
    <w:rsid w:val="00013115"/>
    <w:rsid w:val="0001324E"/>
    <w:rsid w:val="000133B5"/>
    <w:rsid w:val="00013589"/>
    <w:rsid w:val="000138F9"/>
    <w:rsid w:val="00013A10"/>
    <w:rsid w:val="000145B7"/>
    <w:rsid w:val="0001464B"/>
    <w:rsid w:val="00014661"/>
    <w:rsid w:val="00014AB7"/>
    <w:rsid w:val="00014B5C"/>
    <w:rsid w:val="00015235"/>
    <w:rsid w:val="00015658"/>
    <w:rsid w:val="000156D6"/>
    <w:rsid w:val="00015736"/>
    <w:rsid w:val="000157A3"/>
    <w:rsid w:val="00015965"/>
    <w:rsid w:val="00015C6F"/>
    <w:rsid w:val="00015CB9"/>
    <w:rsid w:val="00015E26"/>
    <w:rsid w:val="00015EF9"/>
    <w:rsid w:val="00016021"/>
    <w:rsid w:val="0001616A"/>
    <w:rsid w:val="0001619D"/>
    <w:rsid w:val="0001680B"/>
    <w:rsid w:val="00016867"/>
    <w:rsid w:val="00016927"/>
    <w:rsid w:val="000169E2"/>
    <w:rsid w:val="00016AB6"/>
    <w:rsid w:val="00016CDB"/>
    <w:rsid w:val="00016F05"/>
    <w:rsid w:val="000174CF"/>
    <w:rsid w:val="00017930"/>
    <w:rsid w:val="00017C3D"/>
    <w:rsid w:val="00017D43"/>
    <w:rsid w:val="00017DFF"/>
    <w:rsid w:val="00017E71"/>
    <w:rsid w:val="00017E88"/>
    <w:rsid w:val="00017EF0"/>
    <w:rsid w:val="00017F18"/>
    <w:rsid w:val="00017F43"/>
    <w:rsid w:val="000202A6"/>
    <w:rsid w:val="000204B4"/>
    <w:rsid w:val="000204DC"/>
    <w:rsid w:val="00020569"/>
    <w:rsid w:val="000207AB"/>
    <w:rsid w:val="000207B4"/>
    <w:rsid w:val="000207C9"/>
    <w:rsid w:val="00020FA7"/>
    <w:rsid w:val="00021074"/>
    <w:rsid w:val="0002111A"/>
    <w:rsid w:val="0002124F"/>
    <w:rsid w:val="00021312"/>
    <w:rsid w:val="00021419"/>
    <w:rsid w:val="000215D8"/>
    <w:rsid w:val="00021780"/>
    <w:rsid w:val="000217EF"/>
    <w:rsid w:val="000219B0"/>
    <w:rsid w:val="00021F0D"/>
    <w:rsid w:val="000223B6"/>
    <w:rsid w:val="000227B1"/>
    <w:rsid w:val="00022BDB"/>
    <w:rsid w:val="00022D00"/>
    <w:rsid w:val="00022D1C"/>
    <w:rsid w:val="00022D42"/>
    <w:rsid w:val="000233BB"/>
    <w:rsid w:val="000233F1"/>
    <w:rsid w:val="000234F8"/>
    <w:rsid w:val="000237F7"/>
    <w:rsid w:val="000238F6"/>
    <w:rsid w:val="0002390A"/>
    <w:rsid w:val="00023B76"/>
    <w:rsid w:val="000240AD"/>
    <w:rsid w:val="000244E4"/>
    <w:rsid w:val="000247C8"/>
    <w:rsid w:val="000247FC"/>
    <w:rsid w:val="00024850"/>
    <w:rsid w:val="00024916"/>
    <w:rsid w:val="00024967"/>
    <w:rsid w:val="00024E05"/>
    <w:rsid w:val="00025098"/>
    <w:rsid w:val="00025440"/>
    <w:rsid w:val="000256FF"/>
    <w:rsid w:val="000257D6"/>
    <w:rsid w:val="00025872"/>
    <w:rsid w:val="000258E3"/>
    <w:rsid w:val="00025AB4"/>
    <w:rsid w:val="00025E14"/>
    <w:rsid w:val="00025E27"/>
    <w:rsid w:val="00026047"/>
    <w:rsid w:val="0002605F"/>
    <w:rsid w:val="00026104"/>
    <w:rsid w:val="0002611A"/>
    <w:rsid w:val="000265A5"/>
    <w:rsid w:val="00026757"/>
    <w:rsid w:val="000268E7"/>
    <w:rsid w:val="0002694B"/>
    <w:rsid w:val="00026D21"/>
    <w:rsid w:val="00026D73"/>
    <w:rsid w:val="000270A6"/>
    <w:rsid w:val="00027453"/>
    <w:rsid w:val="00027635"/>
    <w:rsid w:val="00027985"/>
    <w:rsid w:val="00027987"/>
    <w:rsid w:val="00027AF7"/>
    <w:rsid w:val="00027C1B"/>
    <w:rsid w:val="00027D34"/>
    <w:rsid w:val="00027E35"/>
    <w:rsid w:val="00030132"/>
    <w:rsid w:val="0003016A"/>
    <w:rsid w:val="00030218"/>
    <w:rsid w:val="000306B0"/>
    <w:rsid w:val="0003080D"/>
    <w:rsid w:val="00030A8B"/>
    <w:rsid w:val="00031153"/>
    <w:rsid w:val="00031173"/>
    <w:rsid w:val="000313A4"/>
    <w:rsid w:val="0003141B"/>
    <w:rsid w:val="000314B1"/>
    <w:rsid w:val="000315DE"/>
    <w:rsid w:val="00031A7B"/>
    <w:rsid w:val="00031D26"/>
    <w:rsid w:val="00031F88"/>
    <w:rsid w:val="000325BC"/>
    <w:rsid w:val="00032AE6"/>
    <w:rsid w:val="00032FCF"/>
    <w:rsid w:val="000331B5"/>
    <w:rsid w:val="00033373"/>
    <w:rsid w:val="000334C1"/>
    <w:rsid w:val="0003371D"/>
    <w:rsid w:val="000338FD"/>
    <w:rsid w:val="00033A7F"/>
    <w:rsid w:val="00034636"/>
    <w:rsid w:val="00034908"/>
    <w:rsid w:val="00034C72"/>
    <w:rsid w:val="00034E9C"/>
    <w:rsid w:val="00034EE3"/>
    <w:rsid w:val="00034F5E"/>
    <w:rsid w:val="000353A6"/>
    <w:rsid w:val="00035656"/>
    <w:rsid w:val="000358A1"/>
    <w:rsid w:val="00035BFA"/>
    <w:rsid w:val="00035C4B"/>
    <w:rsid w:val="00035CA6"/>
    <w:rsid w:val="0003660E"/>
    <w:rsid w:val="0003668D"/>
    <w:rsid w:val="000366D4"/>
    <w:rsid w:val="00036B8D"/>
    <w:rsid w:val="00036BBD"/>
    <w:rsid w:val="00037201"/>
    <w:rsid w:val="00037241"/>
    <w:rsid w:val="00037394"/>
    <w:rsid w:val="000377A4"/>
    <w:rsid w:val="00037918"/>
    <w:rsid w:val="00037AF4"/>
    <w:rsid w:val="00037C5A"/>
    <w:rsid w:val="00037FBF"/>
    <w:rsid w:val="00040675"/>
    <w:rsid w:val="00040954"/>
    <w:rsid w:val="00040990"/>
    <w:rsid w:val="00040AE5"/>
    <w:rsid w:val="00040AEC"/>
    <w:rsid w:val="00040D8E"/>
    <w:rsid w:val="00041113"/>
    <w:rsid w:val="00041352"/>
    <w:rsid w:val="000414F2"/>
    <w:rsid w:val="0004172D"/>
    <w:rsid w:val="0004178B"/>
    <w:rsid w:val="00042013"/>
    <w:rsid w:val="000422FA"/>
    <w:rsid w:val="00042918"/>
    <w:rsid w:val="0004296A"/>
    <w:rsid w:val="00042F05"/>
    <w:rsid w:val="00043073"/>
    <w:rsid w:val="00043206"/>
    <w:rsid w:val="0004342F"/>
    <w:rsid w:val="000435F3"/>
    <w:rsid w:val="000438EB"/>
    <w:rsid w:val="00043E40"/>
    <w:rsid w:val="00043E44"/>
    <w:rsid w:val="00044314"/>
    <w:rsid w:val="00044608"/>
    <w:rsid w:val="000447EE"/>
    <w:rsid w:val="00044BCB"/>
    <w:rsid w:val="00044C34"/>
    <w:rsid w:val="00044F6F"/>
    <w:rsid w:val="00045451"/>
    <w:rsid w:val="000454DD"/>
    <w:rsid w:val="00045586"/>
    <w:rsid w:val="0004574E"/>
    <w:rsid w:val="00045814"/>
    <w:rsid w:val="00045D8B"/>
    <w:rsid w:val="00046473"/>
    <w:rsid w:val="0004661C"/>
    <w:rsid w:val="0004675A"/>
    <w:rsid w:val="000469FB"/>
    <w:rsid w:val="00046A8D"/>
    <w:rsid w:val="00046CE4"/>
    <w:rsid w:val="00046DBC"/>
    <w:rsid w:val="00046F7B"/>
    <w:rsid w:val="00046F7E"/>
    <w:rsid w:val="000478CB"/>
    <w:rsid w:val="00047F29"/>
    <w:rsid w:val="00050192"/>
    <w:rsid w:val="0005019E"/>
    <w:rsid w:val="000501C8"/>
    <w:rsid w:val="000502F6"/>
    <w:rsid w:val="000503D1"/>
    <w:rsid w:val="00050E86"/>
    <w:rsid w:val="00050FCD"/>
    <w:rsid w:val="000512B7"/>
    <w:rsid w:val="000516F9"/>
    <w:rsid w:val="00051701"/>
    <w:rsid w:val="000517A9"/>
    <w:rsid w:val="00052120"/>
    <w:rsid w:val="00052276"/>
    <w:rsid w:val="000522CF"/>
    <w:rsid w:val="0005236C"/>
    <w:rsid w:val="000524B1"/>
    <w:rsid w:val="000526D4"/>
    <w:rsid w:val="000528C9"/>
    <w:rsid w:val="00052D53"/>
    <w:rsid w:val="000532A0"/>
    <w:rsid w:val="000533DA"/>
    <w:rsid w:val="00053427"/>
    <w:rsid w:val="00053446"/>
    <w:rsid w:val="00053668"/>
    <w:rsid w:val="00053C17"/>
    <w:rsid w:val="00053CCC"/>
    <w:rsid w:val="00053D21"/>
    <w:rsid w:val="00053E44"/>
    <w:rsid w:val="00053FA3"/>
    <w:rsid w:val="000541FB"/>
    <w:rsid w:val="0005430A"/>
    <w:rsid w:val="000546A2"/>
    <w:rsid w:val="00054793"/>
    <w:rsid w:val="00054A1B"/>
    <w:rsid w:val="00054E09"/>
    <w:rsid w:val="00054EA9"/>
    <w:rsid w:val="00054FBC"/>
    <w:rsid w:val="0005514C"/>
    <w:rsid w:val="00055797"/>
    <w:rsid w:val="00055DC1"/>
    <w:rsid w:val="000562E6"/>
    <w:rsid w:val="000566DD"/>
    <w:rsid w:val="00056708"/>
    <w:rsid w:val="0005685B"/>
    <w:rsid w:val="00056A7E"/>
    <w:rsid w:val="00056B73"/>
    <w:rsid w:val="00056D10"/>
    <w:rsid w:val="000570C6"/>
    <w:rsid w:val="00057208"/>
    <w:rsid w:val="000572AB"/>
    <w:rsid w:val="0005748C"/>
    <w:rsid w:val="0005757A"/>
    <w:rsid w:val="00057642"/>
    <w:rsid w:val="00057763"/>
    <w:rsid w:val="000579EF"/>
    <w:rsid w:val="00057C25"/>
    <w:rsid w:val="000600EB"/>
    <w:rsid w:val="0006046B"/>
    <w:rsid w:val="00060541"/>
    <w:rsid w:val="00060DD1"/>
    <w:rsid w:val="00060DD9"/>
    <w:rsid w:val="00060EA2"/>
    <w:rsid w:val="00061056"/>
    <w:rsid w:val="000616B5"/>
    <w:rsid w:val="000619F3"/>
    <w:rsid w:val="00061BB4"/>
    <w:rsid w:val="00061BF3"/>
    <w:rsid w:val="00061E02"/>
    <w:rsid w:val="00061E88"/>
    <w:rsid w:val="00061EFD"/>
    <w:rsid w:val="000620EE"/>
    <w:rsid w:val="000622C5"/>
    <w:rsid w:val="0006250E"/>
    <w:rsid w:val="00062821"/>
    <w:rsid w:val="00062858"/>
    <w:rsid w:val="0006293B"/>
    <w:rsid w:val="00062994"/>
    <w:rsid w:val="00062C11"/>
    <w:rsid w:val="00062D97"/>
    <w:rsid w:val="00062DB0"/>
    <w:rsid w:val="00062E1A"/>
    <w:rsid w:val="00062F7C"/>
    <w:rsid w:val="00063092"/>
    <w:rsid w:val="00063188"/>
    <w:rsid w:val="000632F4"/>
    <w:rsid w:val="00063356"/>
    <w:rsid w:val="000633E5"/>
    <w:rsid w:val="000636E7"/>
    <w:rsid w:val="00063C0D"/>
    <w:rsid w:val="00063CAC"/>
    <w:rsid w:val="000641F4"/>
    <w:rsid w:val="0006453D"/>
    <w:rsid w:val="000646AE"/>
    <w:rsid w:val="00064A38"/>
    <w:rsid w:val="00064ACA"/>
    <w:rsid w:val="00064D25"/>
    <w:rsid w:val="00064F77"/>
    <w:rsid w:val="000650AA"/>
    <w:rsid w:val="0006529F"/>
    <w:rsid w:val="00065315"/>
    <w:rsid w:val="0006537F"/>
    <w:rsid w:val="00065431"/>
    <w:rsid w:val="000654AE"/>
    <w:rsid w:val="00065E1D"/>
    <w:rsid w:val="00065E31"/>
    <w:rsid w:val="0006671C"/>
    <w:rsid w:val="0006687E"/>
    <w:rsid w:val="00066B53"/>
    <w:rsid w:val="00066F72"/>
    <w:rsid w:val="00066F8B"/>
    <w:rsid w:val="000671A0"/>
    <w:rsid w:val="0006743F"/>
    <w:rsid w:val="00067C2F"/>
    <w:rsid w:val="00067C34"/>
    <w:rsid w:val="00067CE7"/>
    <w:rsid w:val="00067E4D"/>
    <w:rsid w:val="00067FFC"/>
    <w:rsid w:val="0007061A"/>
    <w:rsid w:val="000707C3"/>
    <w:rsid w:val="000708E1"/>
    <w:rsid w:val="00071001"/>
    <w:rsid w:val="000710E1"/>
    <w:rsid w:val="000713EA"/>
    <w:rsid w:val="0007164E"/>
    <w:rsid w:val="00071653"/>
    <w:rsid w:val="00071925"/>
    <w:rsid w:val="00071A18"/>
    <w:rsid w:val="00071E6E"/>
    <w:rsid w:val="0007213A"/>
    <w:rsid w:val="000723B1"/>
    <w:rsid w:val="0007249E"/>
    <w:rsid w:val="000728FE"/>
    <w:rsid w:val="00072990"/>
    <w:rsid w:val="00072DE2"/>
    <w:rsid w:val="000734C3"/>
    <w:rsid w:val="000735D1"/>
    <w:rsid w:val="00073A06"/>
    <w:rsid w:val="00073C5B"/>
    <w:rsid w:val="00073D03"/>
    <w:rsid w:val="00073D11"/>
    <w:rsid w:val="00073F26"/>
    <w:rsid w:val="00074055"/>
    <w:rsid w:val="000741DE"/>
    <w:rsid w:val="00074375"/>
    <w:rsid w:val="000744A9"/>
    <w:rsid w:val="00074961"/>
    <w:rsid w:val="00074B84"/>
    <w:rsid w:val="00074BA4"/>
    <w:rsid w:val="0007542F"/>
    <w:rsid w:val="000759DB"/>
    <w:rsid w:val="00075BB2"/>
    <w:rsid w:val="00075C71"/>
    <w:rsid w:val="00075DA9"/>
    <w:rsid w:val="00075DE9"/>
    <w:rsid w:val="00075E4B"/>
    <w:rsid w:val="00075F9E"/>
    <w:rsid w:val="00076345"/>
    <w:rsid w:val="000764A6"/>
    <w:rsid w:val="000769D1"/>
    <w:rsid w:val="00076A60"/>
    <w:rsid w:val="00076CA2"/>
    <w:rsid w:val="00076CD5"/>
    <w:rsid w:val="00077BB1"/>
    <w:rsid w:val="00077BB6"/>
    <w:rsid w:val="00077EC5"/>
    <w:rsid w:val="00077F12"/>
    <w:rsid w:val="000800BF"/>
    <w:rsid w:val="00080199"/>
    <w:rsid w:val="000807FA"/>
    <w:rsid w:val="00080939"/>
    <w:rsid w:val="00080DAA"/>
    <w:rsid w:val="000810CB"/>
    <w:rsid w:val="0008115C"/>
    <w:rsid w:val="000815D6"/>
    <w:rsid w:val="00081A10"/>
    <w:rsid w:val="00082416"/>
    <w:rsid w:val="000827C4"/>
    <w:rsid w:val="00082930"/>
    <w:rsid w:val="00082AB5"/>
    <w:rsid w:val="00082C6D"/>
    <w:rsid w:val="00082D8E"/>
    <w:rsid w:val="00082EE0"/>
    <w:rsid w:val="00082F7C"/>
    <w:rsid w:val="0008332D"/>
    <w:rsid w:val="000837EE"/>
    <w:rsid w:val="00083812"/>
    <w:rsid w:val="00083A14"/>
    <w:rsid w:val="00083D82"/>
    <w:rsid w:val="00083E79"/>
    <w:rsid w:val="00083F3D"/>
    <w:rsid w:val="00084468"/>
    <w:rsid w:val="000845C7"/>
    <w:rsid w:val="000845E4"/>
    <w:rsid w:val="00084CBD"/>
    <w:rsid w:val="00084DDF"/>
    <w:rsid w:val="000850ED"/>
    <w:rsid w:val="00085292"/>
    <w:rsid w:val="00085601"/>
    <w:rsid w:val="0008560A"/>
    <w:rsid w:val="0008577F"/>
    <w:rsid w:val="0008605E"/>
    <w:rsid w:val="000862D3"/>
    <w:rsid w:val="00086795"/>
    <w:rsid w:val="000867E7"/>
    <w:rsid w:val="00086D0A"/>
    <w:rsid w:val="00086DDB"/>
    <w:rsid w:val="0008709D"/>
    <w:rsid w:val="000870BA"/>
    <w:rsid w:val="0008765A"/>
    <w:rsid w:val="00087B94"/>
    <w:rsid w:val="00087EE1"/>
    <w:rsid w:val="000900D1"/>
    <w:rsid w:val="00090363"/>
    <w:rsid w:val="000903B3"/>
    <w:rsid w:val="00090B67"/>
    <w:rsid w:val="00090BF9"/>
    <w:rsid w:val="00091221"/>
    <w:rsid w:val="000918FF"/>
    <w:rsid w:val="00091FC6"/>
    <w:rsid w:val="000926DC"/>
    <w:rsid w:val="0009278A"/>
    <w:rsid w:val="000928DC"/>
    <w:rsid w:val="000929BC"/>
    <w:rsid w:val="00092A97"/>
    <w:rsid w:val="00092B49"/>
    <w:rsid w:val="00092B61"/>
    <w:rsid w:val="00092F27"/>
    <w:rsid w:val="00092F5F"/>
    <w:rsid w:val="000932F2"/>
    <w:rsid w:val="0009370C"/>
    <w:rsid w:val="000937B7"/>
    <w:rsid w:val="000939F8"/>
    <w:rsid w:val="00093A36"/>
    <w:rsid w:val="00093D79"/>
    <w:rsid w:val="00093EC0"/>
    <w:rsid w:val="00093F24"/>
    <w:rsid w:val="000940E0"/>
    <w:rsid w:val="000944FE"/>
    <w:rsid w:val="000945F3"/>
    <w:rsid w:val="00094712"/>
    <w:rsid w:val="00094BE4"/>
    <w:rsid w:val="00094C24"/>
    <w:rsid w:val="00094EBE"/>
    <w:rsid w:val="00095238"/>
    <w:rsid w:val="0009567D"/>
    <w:rsid w:val="000957D3"/>
    <w:rsid w:val="000958D5"/>
    <w:rsid w:val="000959C3"/>
    <w:rsid w:val="00095D77"/>
    <w:rsid w:val="00095FFB"/>
    <w:rsid w:val="00096075"/>
    <w:rsid w:val="00096087"/>
    <w:rsid w:val="000960AF"/>
    <w:rsid w:val="0009611C"/>
    <w:rsid w:val="000961A5"/>
    <w:rsid w:val="000965BE"/>
    <w:rsid w:val="000966AB"/>
    <w:rsid w:val="00096870"/>
    <w:rsid w:val="00096A15"/>
    <w:rsid w:val="00096A7B"/>
    <w:rsid w:val="00096ABB"/>
    <w:rsid w:val="00096F8A"/>
    <w:rsid w:val="00097447"/>
    <w:rsid w:val="000974D3"/>
    <w:rsid w:val="00097696"/>
    <w:rsid w:val="00097778"/>
    <w:rsid w:val="00097B19"/>
    <w:rsid w:val="00097C49"/>
    <w:rsid w:val="00097E53"/>
    <w:rsid w:val="000A025B"/>
    <w:rsid w:val="000A04E6"/>
    <w:rsid w:val="000A064F"/>
    <w:rsid w:val="000A0B32"/>
    <w:rsid w:val="000A0F1F"/>
    <w:rsid w:val="000A10B6"/>
    <w:rsid w:val="000A1349"/>
    <w:rsid w:val="000A1CD0"/>
    <w:rsid w:val="000A2513"/>
    <w:rsid w:val="000A2A39"/>
    <w:rsid w:val="000A2E6B"/>
    <w:rsid w:val="000A327C"/>
    <w:rsid w:val="000A3365"/>
    <w:rsid w:val="000A356C"/>
    <w:rsid w:val="000A37A3"/>
    <w:rsid w:val="000A39E2"/>
    <w:rsid w:val="000A3C43"/>
    <w:rsid w:val="000A3E7E"/>
    <w:rsid w:val="000A3EAB"/>
    <w:rsid w:val="000A3FEC"/>
    <w:rsid w:val="000A4048"/>
    <w:rsid w:val="000A4998"/>
    <w:rsid w:val="000A4A2A"/>
    <w:rsid w:val="000A4AF1"/>
    <w:rsid w:val="000A4EAB"/>
    <w:rsid w:val="000A4F19"/>
    <w:rsid w:val="000A4F43"/>
    <w:rsid w:val="000A51BC"/>
    <w:rsid w:val="000A576B"/>
    <w:rsid w:val="000A57AD"/>
    <w:rsid w:val="000A59AF"/>
    <w:rsid w:val="000A5A47"/>
    <w:rsid w:val="000A5A5F"/>
    <w:rsid w:val="000A5B13"/>
    <w:rsid w:val="000A5BF5"/>
    <w:rsid w:val="000A5CA2"/>
    <w:rsid w:val="000A5D6F"/>
    <w:rsid w:val="000A5EEE"/>
    <w:rsid w:val="000A5F41"/>
    <w:rsid w:val="000A5FBD"/>
    <w:rsid w:val="000A6C07"/>
    <w:rsid w:val="000A6CD1"/>
    <w:rsid w:val="000A70CA"/>
    <w:rsid w:val="000A71F9"/>
    <w:rsid w:val="000A7245"/>
    <w:rsid w:val="000A731F"/>
    <w:rsid w:val="000A7712"/>
    <w:rsid w:val="000A7ACA"/>
    <w:rsid w:val="000A7D46"/>
    <w:rsid w:val="000A7DED"/>
    <w:rsid w:val="000A7FF4"/>
    <w:rsid w:val="000B0374"/>
    <w:rsid w:val="000B03D8"/>
    <w:rsid w:val="000B0634"/>
    <w:rsid w:val="000B07D3"/>
    <w:rsid w:val="000B0F12"/>
    <w:rsid w:val="000B1048"/>
    <w:rsid w:val="000B10D3"/>
    <w:rsid w:val="000B1112"/>
    <w:rsid w:val="000B14F4"/>
    <w:rsid w:val="000B1503"/>
    <w:rsid w:val="000B1689"/>
    <w:rsid w:val="000B1AC1"/>
    <w:rsid w:val="000B1C9D"/>
    <w:rsid w:val="000B1E1C"/>
    <w:rsid w:val="000B24B8"/>
    <w:rsid w:val="000B24F9"/>
    <w:rsid w:val="000B2AA7"/>
    <w:rsid w:val="000B2ABB"/>
    <w:rsid w:val="000B2C84"/>
    <w:rsid w:val="000B2DC1"/>
    <w:rsid w:val="000B2FD0"/>
    <w:rsid w:val="000B349A"/>
    <w:rsid w:val="000B349F"/>
    <w:rsid w:val="000B3CD3"/>
    <w:rsid w:val="000B3D19"/>
    <w:rsid w:val="000B3DAF"/>
    <w:rsid w:val="000B3DE6"/>
    <w:rsid w:val="000B3E54"/>
    <w:rsid w:val="000B3F7D"/>
    <w:rsid w:val="000B4008"/>
    <w:rsid w:val="000B402A"/>
    <w:rsid w:val="000B40D8"/>
    <w:rsid w:val="000B4194"/>
    <w:rsid w:val="000B43A0"/>
    <w:rsid w:val="000B449F"/>
    <w:rsid w:val="000B45F0"/>
    <w:rsid w:val="000B46F3"/>
    <w:rsid w:val="000B475E"/>
    <w:rsid w:val="000B4B73"/>
    <w:rsid w:val="000B4D68"/>
    <w:rsid w:val="000B4DC8"/>
    <w:rsid w:val="000B4E55"/>
    <w:rsid w:val="000B529D"/>
    <w:rsid w:val="000B5476"/>
    <w:rsid w:val="000B55F7"/>
    <w:rsid w:val="000B587A"/>
    <w:rsid w:val="000B598C"/>
    <w:rsid w:val="000B5F7F"/>
    <w:rsid w:val="000B6052"/>
    <w:rsid w:val="000B6298"/>
    <w:rsid w:val="000B694B"/>
    <w:rsid w:val="000B6CBE"/>
    <w:rsid w:val="000B719F"/>
    <w:rsid w:val="000B7707"/>
    <w:rsid w:val="000B7892"/>
    <w:rsid w:val="000B796F"/>
    <w:rsid w:val="000B7A58"/>
    <w:rsid w:val="000B7E24"/>
    <w:rsid w:val="000B7E4C"/>
    <w:rsid w:val="000B7F2F"/>
    <w:rsid w:val="000C012C"/>
    <w:rsid w:val="000C03A6"/>
    <w:rsid w:val="000C093C"/>
    <w:rsid w:val="000C0F70"/>
    <w:rsid w:val="000C1629"/>
    <w:rsid w:val="000C19A8"/>
    <w:rsid w:val="000C1F7E"/>
    <w:rsid w:val="000C20CE"/>
    <w:rsid w:val="000C21E6"/>
    <w:rsid w:val="000C24AC"/>
    <w:rsid w:val="000C26C0"/>
    <w:rsid w:val="000C2B5E"/>
    <w:rsid w:val="000C2C3A"/>
    <w:rsid w:val="000C2D95"/>
    <w:rsid w:val="000C322B"/>
    <w:rsid w:val="000C386E"/>
    <w:rsid w:val="000C3B8C"/>
    <w:rsid w:val="000C4273"/>
    <w:rsid w:val="000C439F"/>
    <w:rsid w:val="000C4B12"/>
    <w:rsid w:val="000C4C5A"/>
    <w:rsid w:val="000C4C6C"/>
    <w:rsid w:val="000C4E26"/>
    <w:rsid w:val="000C4F12"/>
    <w:rsid w:val="000C507F"/>
    <w:rsid w:val="000C52FF"/>
    <w:rsid w:val="000C5389"/>
    <w:rsid w:val="000C56B2"/>
    <w:rsid w:val="000C5A23"/>
    <w:rsid w:val="000C5F1E"/>
    <w:rsid w:val="000C63AD"/>
    <w:rsid w:val="000C668E"/>
    <w:rsid w:val="000C6C70"/>
    <w:rsid w:val="000C6CB0"/>
    <w:rsid w:val="000C6EBE"/>
    <w:rsid w:val="000C6F5C"/>
    <w:rsid w:val="000C71E8"/>
    <w:rsid w:val="000C72BD"/>
    <w:rsid w:val="000C7593"/>
    <w:rsid w:val="000C7636"/>
    <w:rsid w:val="000C773A"/>
    <w:rsid w:val="000C7BAC"/>
    <w:rsid w:val="000C7CE1"/>
    <w:rsid w:val="000C7E6D"/>
    <w:rsid w:val="000C7FDA"/>
    <w:rsid w:val="000D069C"/>
    <w:rsid w:val="000D08AA"/>
    <w:rsid w:val="000D11A5"/>
    <w:rsid w:val="000D1685"/>
    <w:rsid w:val="000D1874"/>
    <w:rsid w:val="000D1C00"/>
    <w:rsid w:val="000D21B1"/>
    <w:rsid w:val="000D232F"/>
    <w:rsid w:val="000D24A6"/>
    <w:rsid w:val="000D25E8"/>
    <w:rsid w:val="000D27DD"/>
    <w:rsid w:val="000D2EC9"/>
    <w:rsid w:val="000D30D3"/>
    <w:rsid w:val="000D3239"/>
    <w:rsid w:val="000D3414"/>
    <w:rsid w:val="000D367C"/>
    <w:rsid w:val="000D36C4"/>
    <w:rsid w:val="000D3731"/>
    <w:rsid w:val="000D39A3"/>
    <w:rsid w:val="000D3C38"/>
    <w:rsid w:val="000D3D2A"/>
    <w:rsid w:val="000D3F21"/>
    <w:rsid w:val="000D4011"/>
    <w:rsid w:val="000D42C5"/>
    <w:rsid w:val="000D4374"/>
    <w:rsid w:val="000D4B14"/>
    <w:rsid w:val="000D4D8A"/>
    <w:rsid w:val="000D4D8E"/>
    <w:rsid w:val="000D4F97"/>
    <w:rsid w:val="000D5130"/>
    <w:rsid w:val="000D5329"/>
    <w:rsid w:val="000D554C"/>
    <w:rsid w:val="000D58A8"/>
    <w:rsid w:val="000D5D04"/>
    <w:rsid w:val="000D5D76"/>
    <w:rsid w:val="000D5EE6"/>
    <w:rsid w:val="000D62FE"/>
    <w:rsid w:val="000D64EC"/>
    <w:rsid w:val="000D67EE"/>
    <w:rsid w:val="000D69DB"/>
    <w:rsid w:val="000D6E82"/>
    <w:rsid w:val="000D70A1"/>
    <w:rsid w:val="000D739B"/>
    <w:rsid w:val="000D7748"/>
    <w:rsid w:val="000D7B4E"/>
    <w:rsid w:val="000D7E0C"/>
    <w:rsid w:val="000D7F5A"/>
    <w:rsid w:val="000E0262"/>
    <w:rsid w:val="000E03C9"/>
    <w:rsid w:val="000E0444"/>
    <w:rsid w:val="000E05FE"/>
    <w:rsid w:val="000E0628"/>
    <w:rsid w:val="000E06F6"/>
    <w:rsid w:val="000E0D0A"/>
    <w:rsid w:val="000E1252"/>
    <w:rsid w:val="000E1950"/>
    <w:rsid w:val="000E1CFA"/>
    <w:rsid w:val="000E1E81"/>
    <w:rsid w:val="000E20B8"/>
    <w:rsid w:val="000E2388"/>
    <w:rsid w:val="000E238D"/>
    <w:rsid w:val="000E248A"/>
    <w:rsid w:val="000E322B"/>
    <w:rsid w:val="000E332B"/>
    <w:rsid w:val="000E361F"/>
    <w:rsid w:val="000E39DD"/>
    <w:rsid w:val="000E421F"/>
    <w:rsid w:val="000E424C"/>
    <w:rsid w:val="000E45B5"/>
    <w:rsid w:val="000E4744"/>
    <w:rsid w:val="000E478A"/>
    <w:rsid w:val="000E4ABC"/>
    <w:rsid w:val="000E4CE1"/>
    <w:rsid w:val="000E4D83"/>
    <w:rsid w:val="000E4DE6"/>
    <w:rsid w:val="000E50A0"/>
    <w:rsid w:val="000E54D6"/>
    <w:rsid w:val="000E56A9"/>
    <w:rsid w:val="000E589F"/>
    <w:rsid w:val="000E59A5"/>
    <w:rsid w:val="000E5CFB"/>
    <w:rsid w:val="000E5D53"/>
    <w:rsid w:val="000E5D81"/>
    <w:rsid w:val="000E5D86"/>
    <w:rsid w:val="000E6252"/>
    <w:rsid w:val="000E6A24"/>
    <w:rsid w:val="000E6F1D"/>
    <w:rsid w:val="000E720E"/>
    <w:rsid w:val="000E7871"/>
    <w:rsid w:val="000E7C15"/>
    <w:rsid w:val="000E7D60"/>
    <w:rsid w:val="000E7F6A"/>
    <w:rsid w:val="000F004F"/>
    <w:rsid w:val="000F0180"/>
    <w:rsid w:val="000F027B"/>
    <w:rsid w:val="000F0354"/>
    <w:rsid w:val="000F03D4"/>
    <w:rsid w:val="000F0722"/>
    <w:rsid w:val="000F08C1"/>
    <w:rsid w:val="000F0A2D"/>
    <w:rsid w:val="000F0A73"/>
    <w:rsid w:val="000F0BE4"/>
    <w:rsid w:val="000F1512"/>
    <w:rsid w:val="000F166E"/>
    <w:rsid w:val="000F16B8"/>
    <w:rsid w:val="000F18FD"/>
    <w:rsid w:val="000F2103"/>
    <w:rsid w:val="000F25F8"/>
    <w:rsid w:val="000F2A46"/>
    <w:rsid w:val="000F2A4A"/>
    <w:rsid w:val="000F345A"/>
    <w:rsid w:val="000F34FF"/>
    <w:rsid w:val="000F4077"/>
    <w:rsid w:val="000F475F"/>
    <w:rsid w:val="000F4824"/>
    <w:rsid w:val="000F4918"/>
    <w:rsid w:val="000F4C0B"/>
    <w:rsid w:val="000F4FAD"/>
    <w:rsid w:val="000F5206"/>
    <w:rsid w:val="000F54EB"/>
    <w:rsid w:val="000F561B"/>
    <w:rsid w:val="000F5A29"/>
    <w:rsid w:val="000F5AA9"/>
    <w:rsid w:val="000F5CD5"/>
    <w:rsid w:val="000F5FAF"/>
    <w:rsid w:val="000F649D"/>
    <w:rsid w:val="000F65E2"/>
    <w:rsid w:val="000F6984"/>
    <w:rsid w:val="000F6BCB"/>
    <w:rsid w:val="000F6C21"/>
    <w:rsid w:val="000F6DBC"/>
    <w:rsid w:val="000F7020"/>
    <w:rsid w:val="000F706E"/>
    <w:rsid w:val="000F75B1"/>
    <w:rsid w:val="000F7752"/>
    <w:rsid w:val="000F7B6F"/>
    <w:rsid w:val="000F7C4B"/>
    <w:rsid w:val="000F7D25"/>
    <w:rsid w:val="000F7DB0"/>
    <w:rsid w:val="000F7EC0"/>
    <w:rsid w:val="00100061"/>
    <w:rsid w:val="001000B0"/>
    <w:rsid w:val="00100222"/>
    <w:rsid w:val="00100340"/>
    <w:rsid w:val="001004A1"/>
    <w:rsid w:val="001005AD"/>
    <w:rsid w:val="00100719"/>
    <w:rsid w:val="00100806"/>
    <w:rsid w:val="001008F3"/>
    <w:rsid w:val="00100907"/>
    <w:rsid w:val="00100A62"/>
    <w:rsid w:val="00100ABE"/>
    <w:rsid w:val="00101025"/>
    <w:rsid w:val="00101041"/>
    <w:rsid w:val="00101195"/>
    <w:rsid w:val="00101472"/>
    <w:rsid w:val="00101619"/>
    <w:rsid w:val="001016B8"/>
    <w:rsid w:val="0010175F"/>
    <w:rsid w:val="00101873"/>
    <w:rsid w:val="00101AFC"/>
    <w:rsid w:val="00101FF3"/>
    <w:rsid w:val="0010208D"/>
    <w:rsid w:val="0010278E"/>
    <w:rsid w:val="00102AB1"/>
    <w:rsid w:val="00102D9E"/>
    <w:rsid w:val="00102FA7"/>
    <w:rsid w:val="00103018"/>
    <w:rsid w:val="00103829"/>
    <w:rsid w:val="0010392B"/>
    <w:rsid w:val="00104084"/>
    <w:rsid w:val="001042CC"/>
    <w:rsid w:val="00104731"/>
    <w:rsid w:val="0010474C"/>
    <w:rsid w:val="001049F9"/>
    <w:rsid w:val="00104C9D"/>
    <w:rsid w:val="00104F5E"/>
    <w:rsid w:val="0010504E"/>
    <w:rsid w:val="001051E4"/>
    <w:rsid w:val="00105795"/>
    <w:rsid w:val="00105A10"/>
    <w:rsid w:val="00105B1D"/>
    <w:rsid w:val="00105C8A"/>
    <w:rsid w:val="00105CA6"/>
    <w:rsid w:val="00106179"/>
    <w:rsid w:val="00106343"/>
    <w:rsid w:val="001067F1"/>
    <w:rsid w:val="00106846"/>
    <w:rsid w:val="00106961"/>
    <w:rsid w:val="001069E6"/>
    <w:rsid w:val="00106A07"/>
    <w:rsid w:val="00106C47"/>
    <w:rsid w:val="00106EE7"/>
    <w:rsid w:val="001071E7"/>
    <w:rsid w:val="0010742B"/>
    <w:rsid w:val="001078EF"/>
    <w:rsid w:val="00107C40"/>
    <w:rsid w:val="001104AA"/>
    <w:rsid w:val="001104C7"/>
    <w:rsid w:val="00110630"/>
    <w:rsid w:val="0011086E"/>
    <w:rsid w:val="0011095B"/>
    <w:rsid w:val="0011112A"/>
    <w:rsid w:val="001111DA"/>
    <w:rsid w:val="00111A44"/>
    <w:rsid w:val="0011201B"/>
    <w:rsid w:val="00112610"/>
    <w:rsid w:val="001127F0"/>
    <w:rsid w:val="00112834"/>
    <w:rsid w:val="00112B3E"/>
    <w:rsid w:val="00112C46"/>
    <w:rsid w:val="00112C7E"/>
    <w:rsid w:val="0011310E"/>
    <w:rsid w:val="001131B9"/>
    <w:rsid w:val="001133FD"/>
    <w:rsid w:val="00113516"/>
    <w:rsid w:val="00113570"/>
    <w:rsid w:val="001136C1"/>
    <w:rsid w:val="001136C6"/>
    <w:rsid w:val="00113A4B"/>
    <w:rsid w:val="00113D4A"/>
    <w:rsid w:val="0011443B"/>
    <w:rsid w:val="00114845"/>
    <w:rsid w:val="00114BC0"/>
    <w:rsid w:val="00114C68"/>
    <w:rsid w:val="00114E8A"/>
    <w:rsid w:val="00114FD0"/>
    <w:rsid w:val="001152EA"/>
    <w:rsid w:val="001153E2"/>
    <w:rsid w:val="0011584F"/>
    <w:rsid w:val="00115B63"/>
    <w:rsid w:val="00115BA7"/>
    <w:rsid w:val="00115BDF"/>
    <w:rsid w:val="00115D47"/>
    <w:rsid w:val="00115F53"/>
    <w:rsid w:val="00116358"/>
    <w:rsid w:val="001163E2"/>
    <w:rsid w:val="001165C4"/>
    <w:rsid w:val="001165F6"/>
    <w:rsid w:val="001166EE"/>
    <w:rsid w:val="00116B65"/>
    <w:rsid w:val="00116D2E"/>
    <w:rsid w:val="00116E43"/>
    <w:rsid w:val="00117008"/>
    <w:rsid w:val="001173B4"/>
    <w:rsid w:val="00117756"/>
    <w:rsid w:val="00117946"/>
    <w:rsid w:val="001179B6"/>
    <w:rsid w:val="00117BA3"/>
    <w:rsid w:val="00117D9B"/>
    <w:rsid w:val="00117F80"/>
    <w:rsid w:val="00120040"/>
    <w:rsid w:val="00120091"/>
    <w:rsid w:val="0012034E"/>
    <w:rsid w:val="001204E3"/>
    <w:rsid w:val="0012066C"/>
    <w:rsid w:val="00120796"/>
    <w:rsid w:val="00120ABA"/>
    <w:rsid w:val="00120B89"/>
    <w:rsid w:val="00120BCC"/>
    <w:rsid w:val="00120DB4"/>
    <w:rsid w:val="00120FAA"/>
    <w:rsid w:val="001214C3"/>
    <w:rsid w:val="0012177D"/>
    <w:rsid w:val="001218D8"/>
    <w:rsid w:val="00121976"/>
    <w:rsid w:val="00121C10"/>
    <w:rsid w:val="00121D9F"/>
    <w:rsid w:val="0012218C"/>
    <w:rsid w:val="00122249"/>
    <w:rsid w:val="00122269"/>
    <w:rsid w:val="001222D5"/>
    <w:rsid w:val="0012240B"/>
    <w:rsid w:val="00122510"/>
    <w:rsid w:val="00122983"/>
    <w:rsid w:val="00122C89"/>
    <w:rsid w:val="00123522"/>
    <w:rsid w:val="00123F45"/>
    <w:rsid w:val="00123F81"/>
    <w:rsid w:val="0012421E"/>
    <w:rsid w:val="00124388"/>
    <w:rsid w:val="0012448D"/>
    <w:rsid w:val="0012461F"/>
    <w:rsid w:val="0012491E"/>
    <w:rsid w:val="00124A14"/>
    <w:rsid w:val="00125023"/>
    <w:rsid w:val="00125105"/>
    <w:rsid w:val="00125376"/>
    <w:rsid w:val="00125471"/>
    <w:rsid w:val="0012599E"/>
    <w:rsid w:val="00125ACE"/>
    <w:rsid w:val="00125B5C"/>
    <w:rsid w:val="00125C36"/>
    <w:rsid w:val="00125D48"/>
    <w:rsid w:val="00125E2F"/>
    <w:rsid w:val="00126184"/>
    <w:rsid w:val="001264E8"/>
    <w:rsid w:val="001266E2"/>
    <w:rsid w:val="0012686B"/>
    <w:rsid w:val="00126E43"/>
    <w:rsid w:val="00126F7F"/>
    <w:rsid w:val="00127077"/>
    <w:rsid w:val="001270C9"/>
    <w:rsid w:val="001270EB"/>
    <w:rsid w:val="001271CF"/>
    <w:rsid w:val="00127320"/>
    <w:rsid w:val="00127393"/>
    <w:rsid w:val="0012752A"/>
    <w:rsid w:val="00127534"/>
    <w:rsid w:val="0012760F"/>
    <w:rsid w:val="00127BAA"/>
    <w:rsid w:val="00127E5A"/>
    <w:rsid w:val="0013005F"/>
    <w:rsid w:val="001301FD"/>
    <w:rsid w:val="00130B3A"/>
    <w:rsid w:val="00131014"/>
    <w:rsid w:val="00131152"/>
    <w:rsid w:val="001311FA"/>
    <w:rsid w:val="00131276"/>
    <w:rsid w:val="00131537"/>
    <w:rsid w:val="00131600"/>
    <w:rsid w:val="00131784"/>
    <w:rsid w:val="00131993"/>
    <w:rsid w:val="001319A5"/>
    <w:rsid w:val="00131CAC"/>
    <w:rsid w:val="00131CAF"/>
    <w:rsid w:val="00131F02"/>
    <w:rsid w:val="00132002"/>
    <w:rsid w:val="00132030"/>
    <w:rsid w:val="00132279"/>
    <w:rsid w:val="001322D5"/>
    <w:rsid w:val="00132310"/>
    <w:rsid w:val="0013251D"/>
    <w:rsid w:val="00132698"/>
    <w:rsid w:val="001326FB"/>
    <w:rsid w:val="00132879"/>
    <w:rsid w:val="00132DE3"/>
    <w:rsid w:val="00132EFA"/>
    <w:rsid w:val="00133089"/>
    <w:rsid w:val="00133211"/>
    <w:rsid w:val="00133227"/>
    <w:rsid w:val="00133AAB"/>
    <w:rsid w:val="00133CED"/>
    <w:rsid w:val="00133E26"/>
    <w:rsid w:val="00133FD6"/>
    <w:rsid w:val="00134375"/>
    <w:rsid w:val="00134755"/>
    <w:rsid w:val="0013477F"/>
    <w:rsid w:val="00134845"/>
    <w:rsid w:val="001349E9"/>
    <w:rsid w:val="00134A03"/>
    <w:rsid w:val="00135624"/>
    <w:rsid w:val="001356B2"/>
    <w:rsid w:val="0013573C"/>
    <w:rsid w:val="00135ADC"/>
    <w:rsid w:val="00135C95"/>
    <w:rsid w:val="00135DB0"/>
    <w:rsid w:val="00135F4A"/>
    <w:rsid w:val="001360FA"/>
    <w:rsid w:val="0013614F"/>
    <w:rsid w:val="00136360"/>
    <w:rsid w:val="00136466"/>
    <w:rsid w:val="001364E4"/>
    <w:rsid w:val="00136671"/>
    <w:rsid w:val="0013671E"/>
    <w:rsid w:val="00136814"/>
    <w:rsid w:val="00136917"/>
    <w:rsid w:val="00136BEF"/>
    <w:rsid w:val="00137588"/>
    <w:rsid w:val="001376E1"/>
    <w:rsid w:val="00137B98"/>
    <w:rsid w:val="00137E29"/>
    <w:rsid w:val="00137E95"/>
    <w:rsid w:val="00137ED6"/>
    <w:rsid w:val="00137F03"/>
    <w:rsid w:val="001401ED"/>
    <w:rsid w:val="0014036C"/>
    <w:rsid w:val="001404A9"/>
    <w:rsid w:val="00140566"/>
    <w:rsid w:val="00140B1A"/>
    <w:rsid w:val="00140C7D"/>
    <w:rsid w:val="00140C8E"/>
    <w:rsid w:val="00141038"/>
    <w:rsid w:val="00141265"/>
    <w:rsid w:val="001413FA"/>
    <w:rsid w:val="00141ABE"/>
    <w:rsid w:val="00141B87"/>
    <w:rsid w:val="0014288C"/>
    <w:rsid w:val="0014295E"/>
    <w:rsid w:val="00142BDB"/>
    <w:rsid w:val="00142D90"/>
    <w:rsid w:val="00142FF6"/>
    <w:rsid w:val="001432A0"/>
    <w:rsid w:val="001432D6"/>
    <w:rsid w:val="0014355D"/>
    <w:rsid w:val="0014361F"/>
    <w:rsid w:val="001438EB"/>
    <w:rsid w:val="001439AB"/>
    <w:rsid w:val="00143C61"/>
    <w:rsid w:val="00143D26"/>
    <w:rsid w:val="00143D50"/>
    <w:rsid w:val="00143F6A"/>
    <w:rsid w:val="00143FCE"/>
    <w:rsid w:val="0014417C"/>
    <w:rsid w:val="001442F0"/>
    <w:rsid w:val="0014440C"/>
    <w:rsid w:val="00144509"/>
    <w:rsid w:val="00144624"/>
    <w:rsid w:val="0014467B"/>
    <w:rsid w:val="00145010"/>
    <w:rsid w:val="001455C6"/>
    <w:rsid w:val="00145732"/>
    <w:rsid w:val="00145942"/>
    <w:rsid w:val="00145F39"/>
    <w:rsid w:val="00145F58"/>
    <w:rsid w:val="0014669F"/>
    <w:rsid w:val="00146730"/>
    <w:rsid w:val="00146878"/>
    <w:rsid w:val="001469E8"/>
    <w:rsid w:val="00146BD3"/>
    <w:rsid w:val="00146D3F"/>
    <w:rsid w:val="00146F7E"/>
    <w:rsid w:val="00147164"/>
    <w:rsid w:val="0014728B"/>
    <w:rsid w:val="00147429"/>
    <w:rsid w:val="0014748C"/>
    <w:rsid w:val="00147832"/>
    <w:rsid w:val="0014786E"/>
    <w:rsid w:val="00147F93"/>
    <w:rsid w:val="0015014E"/>
    <w:rsid w:val="001502D0"/>
    <w:rsid w:val="001505A7"/>
    <w:rsid w:val="001505B2"/>
    <w:rsid w:val="00150735"/>
    <w:rsid w:val="001507F9"/>
    <w:rsid w:val="00150B3C"/>
    <w:rsid w:val="00151282"/>
    <w:rsid w:val="00151322"/>
    <w:rsid w:val="001515EF"/>
    <w:rsid w:val="00151726"/>
    <w:rsid w:val="0015198B"/>
    <w:rsid w:val="00151CBA"/>
    <w:rsid w:val="001520A8"/>
    <w:rsid w:val="00152513"/>
    <w:rsid w:val="00152627"/>
    <w:rsid w:val="00152876"/>
    <w:rsid w:val="00152880"/>
    <w:rsid w:val="00152A67"/>
    <w:rsid w:val="00152B24"/>
    <w:rsid w:val="00153440"/>
    <w:rsid w:val="001535F0"/>
    <w:rsid w:val="00153612"/>
    <w:rsid w:val="001538FF"/>
    <w:rsid w:val="001539E4"/>
    <w:rsid w:val="00153ABB"/>
    <w:rsid w:val="00153C9E"/>
    <w:rsid w:val="00153CD7"/>
    <w:rsid w:val="00153EB7"/>
    <w:rsid w:val="0015411E"/>
    <w:rsid w:val="00154480"/>
    <w:rsid w:val="00154A38"/>
    <w:rsid w:val="00154FFF"/>
    <w:rsid w:val="001550A2"/>
    <w:rsid w:val="001553E1"/>
    <w:rsid w:val="001553E6"/>
    <w:rsid w:val="00155A7F"/>
    <w:rsid w:val="00155D0D"/>
    <w:rsid w:val="00155DDF"/>
    <w:rsid w:val="00156066"/>
    <w:rsid w:val="001561B3"/>
    <w:rsid w:val="0015653E"/>
    <w:rsid w:val="00156711"/>
    <w:rsid w:val="00156B16"/>
    <w:rsid w:val="00156B5B"/>
    <w:rsid w:val="00156C7C"/>
    <w:rsid w:val="00156E13"/>
    <w:rsid w:val="00156F2E"/>
    <w:rsid w:val="001574E7"/>
    <w:rsid w:val="0015756C"/>
    <w:rsid w:val="001575F1"/>
    <w:rsid w:val="00157991"/>
    <w:rsid w:val="00157B52"/>
    <w:rsid w:val="00157C7A"/>
    <w:rsid w:val="00157E3E"/>
    <w:rsid w:val="00157E6D"/>
    <w:rsid w:val="001603B4"/>
    <w:rsid w:val="001607DD"/>
    <w:rsid w:val="00160CEF"/>
    <w:rsid w:val="00161029"/>
    <w:rsid w:val="00161128"/>
    <w:rsid w:val="001611B0"/>
    <w:rsid w:val="001612BA"/>
    <w:rsid w:val="001614B2"/>
    <w:rsid w:val="00161865"/>
    <w:rsid w:val="00161B90"/>
    <w:rsid w:val="00161C0E"/>
    <w:rsid w:val="00162530"/>
    <w:rsid w:val="00162559"/>
    <w:rsid w:val="0016269D"/>
    <w:rsid w:val="00162809"/>
    <w:rsid w:val="001633F3"/>
    <w:rsid w:val="001635BA"/>
    <w:rsid w:val="00163777"/>
    <w:rsid w:val="00163E17"/>
    <w:rsid w:val="00163EFB"/>
    <w:rsid w:val="00163F2B"/>
    <w:rsid w:val="0016403A"/>
    <w:rsid w:val="001640D6"/>
    <w:rsid w:val="00164277"/>
    <w:rsid w:val="001648FE"/>
    <w:rsid w:val="001649C2"/>
    <w:rsid w:val="00164B24"/>
    <w:rsid w:val="00164B32"/>
    <w:rsid w:val="00164C00"/>
    <w:rsid w:val="00164D50"/>
    <w:rsid w:val="00165384"/>
    <w:rsid w:val="00165459"/>
    <w:rsid w:val="0016549D"/>
    <w:rsid w:val="0016583A"/>
    <w:rsid w:val="001659E3"/>
    <w:rsid w:val="00165A04"/>
    <w:rsid w:val="00165F10"/>
    <w:rsid w:val="001661B4"/>
    <w:rsid w:val="0016625F"/>
    <w:rsid w:val="0016626C"/>
    <w:rsid w:val="00166508"/>
    <w:rsid w:val="00166511"/>
    <w:rsid w:val="00166525"/>
    <w:rsid w:val="001668CC"/>
    <w:rsid w:val="00166941"/>
    <w:rsid w:val="001669FF"/>
    <w:rsid w:val="00166BAD"/>
    <w:rsid w:val="00166CB1"/>
    <w:rsid w:val="001670A7"/>
    <w:rsid w:val="001671B5"/>
    <w:rsid w:val="00167686"/>
    <w:rsid w:val="00167700"/>
    <w:rsid w:val="00167AA2"/>
    <w:rsid w:val="001700FA"/>
    <w:rsid w:val="00170203"/>
    <w:rsid w:val="001704F8"/>
    <w:rsid w:val="0017058D"/>
    <w:rsid w:val="001705D9"/>
    <w:rsid w:val="0017096D"/>
    <w:rsid w:val="00170B62"/>
    <w:rsid w:val="00170C50"/>
    <w:rsid w:val="00170FAC"/>
    <w:rsid w:val="00171146"/>
    <w:rsid w:val="001713E1"/>
    <w:rsid w:val="00171827"/>
    <w:rsid w:val="001718AF"/>
    <w:rsid w:val="001718FF"/>
    <w:rsid w:val="00171C42"/>
    <w:rsid w:val="0017206E"/>
    <w:rsid w:val="001720BD"/>
    <w:rsid w:val="001720C7"/>
    <w:rsid w:val="001723A4"/>
    <w:rsid w:val="001723EE"/>
    <w:rsid w:val="0017268E"/>
    <w:rsid w:val="001726C3"/>
    <w:rsid w:val="001728AB"/>
    <w:rsid w:val="00172998"/>
    <w:rsid w:val="00172F3A"/>
    <w:rsid w:val="001732E9"/>
    <w:rsid w:val="0017348E"/>
    <w:rsid w:val="00173507"/>
    <w:rsid w:val="0017382C"/>
    <w:rsid w:val="00173921"/>
    <w:rsid w:val="00173B46"/>
    <w:rsid w:val="00173C4D"/>
    <w:rsid w:val="00173C53"/>
    <w:rsid w:val="00173CCD"/>
    <w:rsid w:val="00173F1D"/>
    <w:rsid w:val="001743AD"/>
    <w:rsid w:val="0017447C"/>
    <w:rsid w:val="00174639"/>
    <w:rsid w:val="00174D14"/>
    <w:rsid w:val="001750D5"/>
    <w:rsid w:val="00175247"/>
    <w:rsid w:val="001752D6"/>
    <w:rsid w:val="00175565"/>
    <w:rsid w:val="0017562F"/>
    <w:rsid w:val="001756A4"/>
    <w:rsid w:val="00175A27"/>
    <w:rsid w:val="00175BA6"/>
    <w:rsid w:val="00175E8F"/>
    <w:rsid w:val="0017626A"/>
    <w:rsid w:val="001763CE"/>
    <w:rsid w:val="00176520"/>
    <w:rsid w:val="00176577"/>
    <w:rsid w:val="001765DD"/>
    <w:rsid w:val="00176627"/>
    <w:rsid w:val="00176AD5"/>
    <w:rsid w:val="00176B62"/>
    <w:rsid w:val="00176D1B"/>
    <w:rsid w:val="00176FDE"/>
    <w:rsid w:val="00177016"/>
    <w:rsid w:val="001770BF"/>
    <w:rsid w:val="00177164"/>
    <w:rsid w:val="00177362"/>
    <w:rsid w:val="001776D6"/>
    <w:rsid w:val="00177745"/>
    <w:rsid w:val="001779AC"/>
    <w:rsid w:val="001779EE"/>
    <w:rsid w:val="00177BA9"/>
    <w:rsid w:val="00177E80"/>
    <w:rsid w:val="00177EED"/>
    <w:rsid w:val="0018013F"/>
    <w:rsid w:val="00180366"/>
    <w:rsid w:val="00180489"/>
    <w:rsid w:val="001804EE"/>
    <w:rsid w:val="00180B52"/>
    <w:rsid w:val="001811F7"/>
    <w:rsid w:val="001812AC"/>
    <w:rsid w:val="00181447"/>
    <w:rsid w:val="0018153C"/>
    <w:rsid w:val="00181839"/>
    <w:rsid w:val="00181B47"/>
    <w:rsid w:val="00182A2B"/>
    <w:rsid w:val="00182BC4"/>
    <w:rsid w:val="00182D83"/>
    <w:rsid w:val="00182E7E"/>
    <w:rsid w:val="00183058"/>
    <w:rsid w:val="001830C7"/>
    <w:rsid w:val="0018341E"/>
    <w:rsid w:val="00183555"/>
    <w:rsid w:val="00183AE7"/>
    <w:rsid w:val="00183D06"/>
    <w:rsid w:val="00183FEA"/>
    <w:rsid w:val="001846E5"/>
    <w:rsid w:val="001847EF"/>
    <w:rsid w:val="00184AAD"/>
    <w:rsid w:val="00184B14"/>
    <w:rsid w:val="00185090"/>
    <w:rsid w:val="001850AE"/>
    <w:rsid w:val="001850F9"/>
    <w:rsid w:val="00185458"/>
    <w:rsid w:val="001854F9"/>
    <w:rsid w:val="00185947"/>
    <w:rsid w:val="00185C12"/>
    <w:rsid w:val="00185C8A"/>
    <w:rsid w:val="0018624E"/>
    <w:rsid w:val="00186769"/>
    <w:rsid w:val="0018676B"/>
    <w:rsid w:val="001868A4"/>
    <w:rsid w:val="00186A32"/>
    <w:rsid w:val="00186A91"/>
    <w:rsid w:val="00186C75"/>
    <w:rsid w:val="00186D17"/>
    <w:rsid w:val="00186F89"/>
    <w:rsid w:val="0018702D"/>
    <w:rsid w:val="00187A44"/>
    <w:rsid w:val="00187CD1"/>
    <w:rsid w:val="00187E3C"/>
    <w:rsid w:val="00191016"/>
    <w:rsid w:val="0019113F"/>
    <w:rsid w:val="00191241"/>
    <w:rsid w:val="001913A8"/>
    <w:rsid w:val="00191493"/>
    <w:rsid w:val="001916B8"/>
    <w:rsid w:val="00191752"/>
    <w:rsid w:val="001917FE"/>
    <w:rsid w:val="00191BC1"/>
    <w:rsid w:val="00191FD1"/>
    <w:rsid w:val="001921AA"/>
    <w:rsid w:val="00192587"/>
    <w:rsid w:val="0019362A"/>
    <w:rsid w:val="00193E18"/>
    <w:rsid w:val="00193E92"/>
    <w:rsid w:val="001940F3"/>
    <w:rsid w:val="0019410F"/>
    <w:rsid w:val="00194398"/>
    <w:rsid w:val="0019444A"/>
    <w:rsid w:val="0019466F"/>
    <w:rsid w:val="00194812"/>
    <w:rsid w:val="001948D8"/>
    <w:rsid w:val="00194906"/>
    <w:rsid w:val="0019494E"/>
    <w:rsid w:val="00194D71"/>
    <w:rsid w:val="00194E52"/>
    <w:rsid w:val="00195226"/>
    <w:rsid w:val="001952B3"/>
    <w:rsid w:val="001955A1"/>
    <w:rsid w:val="001955A7"/>
    <w:rsid w:val="0019579C"/>
    <w:rsid w:val="001957FA"/>
    <w:rsid w:val="0019582D"/>
    <w:rsid w:val="00195B32"/>
    <w:rsid w:val="00195BF9"/>
    <w:rsid w:val="00195CA3"/>
    <w:rsid w:val="00195E50"/>
    <w:rsid w:val="0019611E"/>
    <w:rsid w:val="0019665C"/>
    <w:rsid w:val="001967CA"/>
    <w:rsid w:val="001967E9"/>
    <w:rsid w:val="00196CDB"/>
    <w:rsid w:val="00196F59"/>
    <w:rsid w:val="00197010"/>
    <w:rsid w:val="0019709F"/>
    <w:rsid w:val="0019723D"/>
    <w:rsid w:val="00197327"/>
    <w:rsid w:val="001974B5"/>
    <w:rsid w:val="001977B3"/>
    <w:rsid w:val="001977BD"/>
    <w:rsid w:val="00197BF6"/>
    <w:rsid w:val="00197E4C"/>
    <w:rsid w:val="00197EA6"/>
    <w:rsid w:val="00197EB9"/>
    <w:rsid w:val="001A0284"/>
    <w:rsid w:val="001A04F2"/>
    <w:rsid w:val="001A0508"/>
    <w:rsid w:val="001A05B8"/>
    <w:rsid w:val="001A0619"/>
    <w:rsid w:val="001A0859"/>
    <w:rsid w:val="001A085C"/>
    <w:rsid w:val="001A08D5"/>
    <w:rsid w:val="001A0998"/>
    <w:rsid w:val="001A0B8B"/>
    <w:rsid w:val="001A0EF8"/>
    <w:rsid w:val="001A1317"/>
    <w:rsid w:val="001A142A"/>
    <w:rsid w:val="001A1802"/>
    <w:rsid w:val="001A181B"/>
    <w:rsid w:val="001A1900"/>
    <w:rsid w:val="001A1A26"/>
    <w:rsid w:val="001A20AC"/>
    <w:rsid w:val="001A20F8"/>
    <w:rsid w:val="001A2138"/>
    <w:rsid w:val="001A2AF5"/>
    <w:rsid w:val="001A2E6C"/>
    <w:rsid w:val="001A2E8F"/>
    <w:rsid w:val="001A34E4"/>
    <w:rsid w:val="001A3970"/>
    <w:rsid w:val="001A3B90"/>
    <w:rsid w:val="001A3C9B"/>
    <w:rsid w:val="001A3D66"/>
    <w:rsid w:val="001A403A"/>
    <w:rsid w:val="001A42A0"/>
    <w:rsid w:val="001A4395"/>
    <w:rsid w:val="001A4745"/>
    <w:rsid w:val="001A474B"/>
    <w:rsid w:val="001A4E6E"/>
    <w:rsid w:val="001A4FAA"/>
    <w:rsid w:val="001A5B16"/>
    <w:rsid w:val="001A5B6F"/>
    <w:rsid w:val="001A5B87"/>
    <w:rsid w:val="001A610F"/>
    <w:rsid w:val="001A61AC"/>
    <w:rsid w:val="001A6FCF"/>
    <w:rsid w:val="001A70F6"/>
    <w:rsid w:val="001A73D6"/>
    <w:rsid w:val="001A746B"/>
    <w:rsid w:val="001A79C6"/>
    <w:rsid w:val="001A7A33"/>
    <w:rsid w:val="001A7C4F"/>
    <w:rsid w:val="001A7F24"/>
    <w:rsid w:val="001B049C"/>
    <w:rsid w:val="001B0528"/>
    <w:rsid w:val="001B0601"/>
    <w:rsid w:val="001B0E9D"/>
    <w:rsid w:val="001B0EEF"/>
    <w:rsid w:val="001B0FD5"/>
    <w:rsid w:val="001B1545"/>
    <w:rsid w:val="001B17C3"/>
    <w:rsid w:val="001B1DD7"/>
    <w:rsid w:val="001B1F37"/>
    <w:rsid w:val="001B22CA"/>
    <w:rsid w:val="001B2319"/>
    <w:rsid w:val="001B23BC"/>
    <w:rsid w:val="001B2482"/>
    <w:rsid w:val="001B24D4"/>
    <w:rsid w:val="001B2AD5"/>
    <w:rsid w:val="001B2B9A"/>
    <w:rsid w:val="001B2C28"/>
    <w:rsid w:val="001B2CE7"/>
    <w:rsid w:val="001B2DFC"/>
    <w:rsid w:val="001B3151"/>
    <w:rsid w:val="001B331C"/>
    <w:rsid w:val="001B37C1"/>
    <w:rsid w:val="001B3910"/>
    <w:rsid w:val="001B3CBF"/>
    <w:rsid w:val="001B3F04"/>
    <w:rsid w:val="001B464A"/>
    <w:rsid w:val="001B4AEF"/>
    <w:rsid w:val="001B4B16"/>
    <w:rsid w:val="001B4E11"/>
    <w:rsid w:val="001B4E25"/>
    <w:rsid w:val="001B57DC"/>
    <w:rsid w:val="001B5843"/>
    <w:rsid w:val="001B5F5D"/>
    <w:rsid w:val="001B63CA"/>
    <w:rsid w:val="001B67A5"/>
    <w:rsid w:val="001B6861"/>
    <w:rsid w:val="001B6A4B"/>
    <w:rsid w:val="001B6D2C"/>
    <w:rsid w:val="001B7364"/>
    <w:rsid w:val="001B7498"/>
    <w:rsid w:val="001B776C"/>
    <w:rsid w:val="001B7A0B"/>
    <w:rsid w:val="001B7D34"/>
    <w:rsid w:val="001B7FC7"/>
    <w:rsid w:val="001C015E"/>
    <w:rsid w:val="001C02FB"/>
    <w:rsid w:val="001C03BA"/>
    <w:rsid w:val="001C0A5D"/>
    <w:rsid w:val="001C0CFE"/>
    <w:rsid w:val="001C0F4E"/>
    <w:rsid w:val="001C1235"/>
    <w:rsid w:val="001C14EF"/>
    <w:rsid w:val="001C1576"/>
    <w:rsid w:val="001C159A"/>
    <w:rsid w:val="001C1772"/>
    <w:rsid w:val="001C181D"/>
    <w:rsid w:val="001C191D"/>
    <w:rsid w:val="001C1D3C"/>
    <w:rsid w:val="001C1F46"/>
    <w:rsid w:val="001C20EA"/>
    <w:rsid w:val="001C21FF"/>
    <w:rsid w:val="001C22D4"/>
    <w:rsid w:val="001C25FC"/>
    <w:rsid w:val="001C26EA"/>
    <w:rsid w:val="001C2F29"/>
    <w:rsid w:val="001C31BC"/>
    <w:rsid w:val="001C37F5"/>
    <w:rsid w:val="001C3949"/>
    <w:rsid w:val="001C39DC"/>
    <w:rsid w:val="001C3A4D"/>
    <w:rsid w:val="001C3D5D"/>
    <w:rsid w:val="001C427A"/>
    <w:rsid w:val="001C455B"/>
    <w:rsid w:val="001C456E"/>
    <w:rsid w:val="001C467F"/>
    <w:rsid w:val="001C4959"/>
    <w:rsid w:val="001C4BD8"/>
    <w:rsid w:val="001C51B2"/>
    <w:rsid w:val="001C6018"/>
    <w:rsid w:val="001C6060"/>
    <w:rsid w:val="001C6948"/>
    <w:rsid w:val="001C6A93"/>
    <w:rsid w:val="001C6CD9"/>
    <w:rsid w:val="001C6F3B"/>
    <w:rsid w:val="001C7022"/>
    <w:rsid w:val="001C7031"/>
    <w:rsid w:val="001C7336"/>
    <w:rsid w:val="001C7585"/>
    <w:rsid w:val="001C75AC"/>
    <w:rsid w:val="001C79C7"/>
    <w:rsid w:val="001C7A06"/>
    <w:rsid w:val="001C7F15"/>
    <w:rsid w:val="001C7F30"/>
    <w:rsid w:val="001D0815"/>
    <w:rsid w:val="001D0BF0"/>
    <w:rsid w:val="001D0D02"/>
    <w:rsid w:val="001D0DC2"/>
    <w:rsid w:val="001D0E7C"/>
    <w:rsid w:val="001D0F82"/>
    <w:rsid w:val="001D118E"/>
    <w:rsid w:val="001D11A5"/>
    <w:rsid w:val="001D142D"/>
    <w:rsid w:val="001D1642"/>
    <w:rsid w:val="001D17EC"/>
    <w:rsid w:val="001D1C94"/>
    <w:rsid w:val="001D1F95"/>
    <w:rsid w:val="001D21BC"/>
    <w:rsid w:val="001D2271"/>
    <w:rsid w:val="001D2364"/>
    <w:rsid w:val="001D243F"/>
    <w:rsid w:val="001D2AD6"/>
    <w:rsid w:val="001D2DCC"/>
    <w:rsid w:val="001D3055"/>
    <w:rsid w:val="001D328D"/>
    <w:rsid w:val="001D37FC"/>
    <w:rsid w:val="001D38FC"/>
    <w:rsid w:val="001D393E"/>
    <w:rsid w:val="001D3B89"/>
    <w:rsid w:val="001D3FCD"/>
    <w:rsid w:val="001D42BB"/>
    <w:rsid w:val="001D43D7"/>
    <w:rsid w:val="001D4466"/>
    <w:rsid w:val="001D4611"/>
    <w:rsid w:val="001D48C9"/>
    <w:rsid w:val="001D5081"/>
    <w:rsid w:val="001D544C"/>
    <w:rsid w:val="001D595B"/>
    <w:rsid w:val="001D59BB"/>
    <w:rsid w:val="001D5A42"/>
    <w:rsid w:val="001D601B"/>
    <w:rsid w:val="001D611D"/>
    <w:rsid w:val="001D6B86"/>
    <w:rsid w:val="001D75DA"/>
    <w:rsid w:val="001D7685"/>
    <w:rsid w:val="001D76BE"/>
    <w:rsid w:val="001D76CC"/>
    <w:rsid w:val="001D76FF"/>
    <w:rsid w:val="001D796B"/>
    <w:rsid w:val="001D7B6B"/>
    <w:rsid w:val="001D7BA2"/>
    <w:rsid w:val="001E01D8"/>
    <w:rsid w:val="001E0533"/>
    <w:rsid w:val="001E0921"/>
    <w:rsid w:val="001E0AE6"/>
    <w:rsid w:val="001E0D93"/>
    <w:rsid w:val="001E0F07"/>
    <w:rsid w:val="001E0F31"/>
    <w:rsid w:val="001E11A2"/>
    <w:rsid w:val="001E1434"/>
    <w:rsid w:val="001E161A"/>
    <w:rsid w:val="001E1789"/>
    <w:rsid w:val="001E28B5"/>
    <w:rsid w:val="001E2922"/>
    <w:rsid w:val="001E2CF0"/>
    <w:rsid w:val="001E3491"/>
    <w:rsid w:val="001E37BA"/>
    <w:rsid w:val="001E3C9E"/>
    <w:rsid w:val="001E443A"/>
    <w:rsid w:val="001E46CE"/>
    <w:rsid w:val="001E4D8E"/>
    <w:rsid w:val="001E4FAB"/>
    <w:rsid w:val="001E523C"/>
    <w:rsid w:val="001E5375"/>
    <w:rsid w:val="001E5AF8"/>
    <w:rsid w:val="001E5D15"/>
    <w:rsid w:val="001E5D17"/>
    <w:rsid w:val="001E5D18"/>
    <w:rsid w:val="001E5E31"/>
    <w:rsid w:val="001E5EE1"/>
    <w:rsid w:val="001E60C3"/>
    <w:rsid w:val="001E61F4"/>
    <w:rsid w:val="001E6632"/>
    <w:rsid w:val="001E6D21"/>
    <w:rsid w:val="001E6D8F"/>
    <w:rsid w:val="001E7107"/>
    <w:rsid w:val="001E72BB"/>
    <w:rsid w:val="001E7580"/>
    <w:rsid w:val="001E7916"/>
    <w:rsid w:val="001E7E84"/>
    <w:rsid w:val="001F004A"/>
    <w:rsid w:val="001F01D1"/>
    <w:rsid w:val="001F041F"/>
    <w:rsid w:val="001F056B"/>
    <w:rsid w:val="001F0584"/>
    <w:rsid w:val="001F077D"/>
    <w:rsid w:val="001F08A4"/>
    <w:rsid w:val="001F0A8A"/>
    <w:rsid w:val="001F1B23"/>
    <w:rsid w:val="001F1B2B"/>
    <w:rsid w:val="001F1BA3"/>
    <w:rsid w:val="001F1DEE"/>
    <w:rsid w:val="001F21E7"/>
    <w:rsid w:val="001F2583"/>
    <w:rsid w:val="001F263E"/>
    <w:rsid w:val="001F28A9"/>
    <w:rsid w:val="001F3130"/>
    <w:rsid w:val="001F3546"/>
    <w:rsid w:val="001F367E"/>
    <w:rsid w:val="001F3921"/>
    <w:rsid w:val="001F3AEB"/>
    <w:rsid w:val="001F3CB1"/>
    <w:rsid w:val="001F3FFE"/>
    <w:rsid w:val="001F45F3"/>
    <w:rsid w:val="001F4646"/>
    <w:rsid w:val="001F479D"/>
    <w:rsid w:val="001F480E"/>
    <w:rsid w:val="001F4AC0"/>
    <w:rsid w:val="001F4DEC"/>
    <w:rsid w:val="001F5139"/>
    <w:rsid w:val="001F55C2"/>
    <w:rsid w:val="001F55FF"/>
    <w:rsid w:val="001F56BE"/>
    <w:rsid w:val="001F58F9"/>
    <w:rsid w:val="001F5977"/>
    <w:rsid w:val="001F59FE"/>
    <w:rsid w:val="001F5B47"/>
    <w:rsid w:val="001F5BE5"/>
    <w:rsid w:val="001F5BFE"/>
    <w:rsid w:val="001F5E6E"/>
    <w:rsid w:val="001F6001"/>
    <w:rsid w:val="001F638B"/>
    <w:rsid w:val="001F68EB"/>
    <w:rsid w:val="001F6A36"/>
    <w:rsid w:val="001F6A41"/>
    <w:rsid w:val="001F7036"/>
    <w:rsid w:val="001F719C"/>
    <w:rsid w:val="001F721E"/>
    <w:rsid w:val="001F788F"/>
    <w:rsid w:val="001F78D0"/>
    <w:rsid w:val="001F7908"/>
    <w:rsid w:val="001F7CA9"/>
    <w:rsid w:val="001F7D11"/>
    <w:rsid w:val="002007F7"/>
    <w:rsid w:val="00200886"/>
    <w:rsid w:val="002008E6"/>
    <w:rsid w:val="00200BC6"/>
    <w:rsid w:val="00200D37"/>
    <w:rsid w:val="00200D3D"/>
    <w:rsid w:val="0020117E"/>
    <w:rsid w:val="002012F7"/>
    <w:rsid w:val="00201405"/>
    <w:rsid w:val="002019E8"/>
    <w:rsid w:val="00201A34"/>
    <w:rsid w:val="00201BA6"/>
    <w:rsid w:val="00201CED"/>
    <w:rsid w:val="00201D29"/>
    <w:rsid w:val="00201D78"/>
    <w:rsid w:val="00201DDA"/>
    <w:rsid w:val="00202146"/>
    <w:rsid w:val="0020219C"/>
    <w:rsid w:val="002021B7"/>
    <w:rsid w:val="002022AE"/>
    <w:rsid w:val="00202531"/>
    <w:rsid w:val="0020263B"/>
    <w:rsid w:val="00202899"/>
    <w:rsid w:val="00202972"/>
    <w:rsid w:val="00202A18"/>
    <w:rsid w:val="00202B0C"/>
    <w:rsid w:val="00202C8D"/>
    <w:rsid w:val="00202CEF"/>
    <w:rsid w:val="00202E7D"/>
    <w:rsid w:val="00202F08"/>
    <w:rsid w:val="00202F0B"/>
    <w:rsid w:val="0020335D"/>
    <w:rsid w:val="002033AE"/>
    <w:rsid w:val="0020385C"/>
    <w:rsid w:val="00203BFF"/>
    <w:rsid w:val="00203D7E"/>
    <w:rsid w:val="00203E61"/>
    <w:rsid w:val="00203F04"/>
    <w:rsid w:val="00204215"/>
    <w:rsid w:val="0020449B"/>
    <w:rsid w:val="00204512"/>
    <w:rsid w:val="0020453D"/>
    <w:rsid w:val="00204818"/>
    <w:rsid w:val="00204B7A"/>
    <w:rsid w:val="00204E1C"/>
    <w:rsid w:val="002055A3"/>
    <w:rsid w:val="00205647"/>
    <w:rsid w:val="002065E2"/>
    <w:rsid w:val="002066A9"/>
    <w:rsid w:val="0020683A"/>
    <w:rsid w:val="002069FA"/>
    <w:rsid w:val="002076F7"/>
    <w:rsid w:val="0020795F"/>
    <w:rsid w:val="00207B23"/>
    <w:rsid w:val="00207BF6"/>
    <w:rsid w:val="00207BF7"/>
    <w:rsid w:val="00207C51"/>
    <w:rsid w:val="00207FDF"/>
    <w:rsid w:val="00210283"/>
    <w:rsid w:val="002103C8"/>
    <w:rsid w:val="0021051B"/>
    <w:rsid w:val="0021063C"/>
    <w:rsid w:val="00210A2C"/>
    <w:rsid w:val="00210AF1"/>
    <w:rsid w:val="00210F2F"/>
    <w:rsid w:val="0021109F"/>
    <w:rsid w:val="002110E1"/>
    <w:rsid w:val="00211135"/>
    <w:rsid w:val="0021144C"/>
    <w:rsid w:val="0021151B"/>
    <w:rsid w:val="00211554"/>
    <w:rsid w:val="002117C2"/>
    <w:rsid w:val="0021207F"/>
    <w:rsid w:val="002120ED"/>
    <w:rsid w:val="00212382"/>
    <w:rsid w:val="0021240B"/>
    <w:rsid w:val="0021290F"/>
    <w:rsid w:val="00212EE7"/>
    <w:rsid w:val="002136A4"/>
    <w:rsid w:val="002138DF"/>
    <w:rsid w:val="0021397E"/>
    <w:rsid w:val="00213A08"/>
    <w:rsid w:val="00213B2A"/>
    <w:rsid w:val="00213EE5"/>
    <w:rsid w:val="0021408B"/>
    <w:rsid w:val="00214729"/>
    <w:rsid w:val="00214999"/>
    <w:rsid w:val="00214D5A"/>
    <w:rsid w:val="00215120"/>
    <w:rsid w:val="0021525C"/>
    <w:rsid w:val="00215285"/>
    <w:rsid w:val="00215394"/>
    <w:rsid w:val="002154F5"/>
    <w:rsid w:val="00215733"/>
    <w:rsid w:val="00215BB5"/>
    <w:rsid w:val="00215C75"/>
    <w:rsid w:val="00215F66"/>
    <w:rsid w:val="00216575"/>
    <w:rsid w:val="00216A10"/>
    <w:rsid w:val="002170E9"/>
    <w:rsid w:val="002173B4"/>
    <w:rsid w:val="00217499"/>
    <w:rsid w:val="0022001D"/>
    <w:rsid w:val="00220104"/>
    <w:rsid w:val="0022024E"/>
    <w:rsid w:val="0022057F"/>
    <w:rsid w:val="002205E2"/>
    <w:rsid w:val="002207E3"/>
    <w:rsid w:val="00220A9D"/>
    <w:rsid w:val="00220FBB"/>
    <w:rsid w:val="0022193B"/>
    <w:rsid w:val="00221A7A"/>
    <w:rsid w:val="00222135"/>
    <w:rsid w:val="002221BD"/>
    <w:rsid w:val="00222217"/>
    <w:rsid w:val="0022222A"/>
    <w:rsid w:val="0022247A"/>
    <w:rsid w:val="00222693"/>
    <w:rsid w:val="0022271C"/>
    <w:rsid w:val="00222773"/>
    <w:rsid w:val="00222C1B"/>
    <w:rsid w:val="00222DBB"/>
    <w:rsid w:val="00222EA3"/>
    <w:rsid w:val="002231A1"/>
    <w:rsid w:val="002231A7"/>
    <w:rsid w:val="002231B4"/>
    <w:rsid w:val="002233EA"/>
    <w:rsid w:val="00223686"/>
    <w:rsid w:val="002236B0"/>
    <w:rsid w:val="002236D2"/>
    <w:rsid w:val="002238CF"/>
    <w:rsid w:val="002239D1"/>
    <w:rsid w:val="00223A8C"/>
    <w:rsid w:val="00223B10"/>
    <w:rsid w:val="002240FB"/>
    <w:rsid w:val="00224117"/>
    <w:rsid w:val="0022483C"/>
    <w:rsid w:val="00224843"/>
    <w:rsid w:val="002249E7"/>
    <w:rsid w:val="00224DF5"/>
    <w:rsid w:val="0022513A"/>
    <w:rsid w:val="002252F6"/>
    <w:rsid w:val="002253EA"/>
    <w:rsid w:val="00225528"/>
    <w:rsid w:val="0022560A"/>
    <w:rsid w:val="002256C8"/>
    <w:rsid w:val="0022576C"/>
    <w:rsid w:val="00225808"/>
    <w:rsid w:val="0022589D"/>
    <w:rsid w:val="00225992"/>
    <w:rsid w:val="00225DC6"/>
    <w:rsid w:val="00225DE7"/>
    <w:rsid w:val="00226332"/>
    <w:rsid w:val="002264C9"/>
    <w:rsid w:val="002267A8"/>
    <w:rsid w:val="00226D1F"/>
    <w:rsid w:val="00226E9E"/>
    <w:rsid w:val="00226F05"/>
    <w:rsid w:val="00226FFE"/>
    <w:rsid w:val="0022712E"/>
    <w:rsid w:val="002276DF"/>
    <w:rsid w:val="00227818"/>
    <w:rsid w:val="00227819"/>
    <w:rsid w:val="0022799E"/>
    <w:rsid w:val="00227A8B"/>
    <w:rsid w:val="00227F61"/>
    <w:rsid w:val="00227F8C"/>
    <w:rsid w:val="0023034A"/>
    <w:rsid w:val="002303C9"/>
    <w:rsid w:val="00230664"/>
    <w:rsid w:val="00230D14"/>
    <w:rsid w:val="00231182"/>
    <w:rsid w:val="002312DD"/>
    <w:rsid w:val="00231302"/>
    <w:rsid w:val="002314DB"/>
    <w:rsid w:val="002314EC"/>
    <w:rsid w:val="00231786"/>
    <w:rsid w:val="00232373"/>
    <w:rsid w:val="00232517"/>
    <w:rsid w:val="00232A61"/>
    <w:rsid w:val="00232EAB"/>
    <w:rsid w:val="00232EF1"/>
    <w:rsid w:val="00232F20"/>
    <w:rsid w:val="00233029"/>
    <w:rsid w:val="0023325A"/>
    <w:rsid w:val="00233489"/>
    <w:rsid w:val="0023352C"/>
    <w:rsid w:val="00233544"/>
    <w:rsid w:val="00233773"/>
    <w:rsid w:val="0023385A"/>
    <w:rsid w:val="0023398B"/>
    <w:rsid w:val="00233C64"/>
    <w:rsid w:val="00233CBC"/>
    <w:rsid w:val="00233D95"/>
    <w:rsid w:val="00233DA1"/>
    <w:rsid w:val="00233F7B"/>
    <w:rsid w:val="00234249"/>
    <w:rsid w:val="002348F5"/>
    <w:rsid w:val="00234ABC"/>
    <w:rsid w:val="00235289"/>
    <w:rsid w:val="0023538C"/>
    <w:rsid w:val="00235656"/>
    <w:rsid w:val="0023589F"/>
    <w:rsid w:val="00235D26"/>
    <w:rsid w:val="00235E4F"/>
    <w:rsid w:val="00235E53"/>
    <w:rsid w:val="00235E91"/>
    <w:rsid w:val="0023628C"/>
    <w:rsid w:val="002363D4"/>
    <w:rsid w:val="002365A5"/>
    <w:rsid w:val="00236A09"/>
    <w:rsid w:val="00236A96"/>
    <w:rsid w:val="00237316"/>
    <w:rsid w:val="00237321"/>
    <w:rsid w:val="00237593"/>
    <w:rsid w:val="00237699"/>
    <w:rsid w:val="00237741"/>
    <w:rsid w:val="00237836"/>
    <w:rsid w:val="00237934"/>
    <w:rsid w:val="00237A1C"/>
    <w:rsid w:val="00237BD4"/>
    <w:rsid w:val="00237C2C"/>
    <w:rsid w:val="00237C95"/>
    <w:rsid w:val="00237CA0"/>
    <w:rsid w:val="0024052F"/>
    <w:rsid w:val="002405CD"/>
    <w:rsid w:val="0024072C"/>
    <w:rsid w:val="002407F6"/>
    <w:rsid w:val="00240A12"/>
    <w:rsid w:val="00240B12"/>
    <w:rsid w:val="00240C10"/>
    <w:rsid w:val="00240CAB"/>
    <w:rsid w:val="0024104D"/>
    <w:rsid w:val="002415D7"/>
    <w:rsid w:val="00241D01"/>
    <w:rsid w:val="00241DD2"/>
    <w:rsid w:val="00241E74"/>
    <w:rsid w:val="00241F1C"/>
    <w:rsid w:val="00241F5A"/>
    <w:rsid w:val="00241FA5"/>
    <w:rsid w:val="00241FD1"/>
    <w:rsid w:val="002421B5"/>
    <w:rsid w:val="00242313"/>
    <w:rsid w:val="0024240C"/>
    <w:rsid w:val="00242484"/>
    <w:rsid w:val="002425C4"/>
    <w:rsid w:val="00242E5D"/>
    <w:rsid w:val="00242F81"/>
    <w:rsid w:val="00243476"/>
    <w:rsid w:val="0024347F"/>
    <w:rsid w:val="002435BF"/>
    <w:rsid w:val="002439EF"/>
    <w:rsid w:val="00243F7D"/>
    <w:rsid w:val="00243FC8"/>
    <w:rsid w:val="00243FE0"/>
    <w:rsid w:val="00244013"/>
    <w:rsid w:val="00244126"/>
    <w:rsid w:val="002441F7"/>
    <w:rsid w:val="0024477A"/>
    <w:rsid w:val="0024495F"/>
    <w:rsid w:val="0024498C"/>
    <w:rsid w:val="00244D22"/>
    <w:rsid w:val="00244FFB"/>
    <w:rsid w:val="00245002"/>
    <w:rsid w:val="00245296"/>
    <w:rsid w:val="00245558"/>
    <w:rsid w:val="00245B2B"/>
    <w:rsid w:val="00245F52"/>
    <w:rsid w:val="002460BD"/>
    <w:rsid w:val="0024619B"/>
    <w:rsid w:val="00246444"/>
    <w:rsid w:val="00246505"/>
    <w:rsid w:val="00246AE5"/>
    <w:rsid w:val="00246BE6"/>
    <w:rsid w:val="00247288"/>
    <w:rsid w:val="00247690"/>
    <w:rsid w:val="002507F3"/>
    <w:rsid w:val="00250890"/>
    <w:rsid w:val="002509B4"/>
    <w:rsid w:val="00250B3C"/>
    <w:rsid w:val="00250B98"/>
    <w:rsid w:val="00250CA3"/>
    <w:rsid w:val="00251011"/>
    <w:rsid w:val="0025116D"/>
    <w:rsid w:val="00251B82"/>
    <w:rsid w:val="00251F71"/>
    <w:rsid w:val="00252760"/>
    <w:rsid w:val="0025296B"/>
    <w:rsid w:val="00252FE7"/>
    <w:rsid w:val="00253569"/>
    <w:rsid w:val="002538EA"/>
    <w:rsid w:val="0025395F"/>
    <w:rsid w:val="00253D3F"/>
    <w:rsid w:val="00253F0E"/>
    <w:rsid w:val="00254078"/>
    <w:rsid w:val="00254511"/>
    <w:rsid w:val="0025483D"/>
    <w:rsid w:val="0025489A"/>
    <w:rsid w:val="00254A44"/>
    <w:rsid w:val="00254B35"/>
    <w:rsid w:val="00254D0A"/>
    <w:rsid w:val="00255290"/>
    <w:rsid w:val="00255389"/>
    <w:rsid w:val="00255450"/>
    <w:rsid w:val="00255501"/>
    <w:rsid w:val="002555F2"/>
    <w:rsid w:val="00255987"/>
    <w:rsid w:val="00255B14"/>
    <w:rsid w:val="00255E19"/>
    <w:rsid w:val="00256881"/>
    <w:rsid w:val="00256A50"/>
    <w:rsid w:val="00256DAB"/>
    <w:rsid w:val="002571F6"/>
    <w:rsid w:val="00257462"/>
    <w:rsid w:val="00257888"/>
    <w:rsid w:val="00257B54"/>
    <w:rsid w:val="00260267"/>
    <w:rsid w:val="002602CA"/>
    <w:rsid w:val="002603C2"/>
    <w:rsid w:val="00260674"/>
    <w:rsid w:val="0026074C"/>
    <w:rsid w:val="0026097A"/>
    <w:rsid w:val="002612B4"/>
    <w:rsid w:val="0026144C"/>
    <w:rsid w:val="002623DF"/>
    <w:rsid w:val="0026281D"/>
    <w:rsid w:val="002628E6"/>
    <w:rsid w:val="00262900"/>
    <w:rsid w:val="002629A7"/>
    <w:rsid w:val="002634FB"/>
    <w:rsid w:val="00263B5A"/>
    <w:rsid w:val="00263BFD"/>
    <w:rsid w:val="00263C15"/>
    <w:rsid w:val="00263CB2"/>
    <w:rsid w:val="002643AF"/>
    <w:rsid w:val="002644B8"/>
    <w:rsid w:val="00264A21"/>
    <w:rsid w:val="00264A81"/>
    <w:rsid w:val="00264BE1"/>
    <w:rsid w:val="00265046"/>
    <w:rsid w:val="00265D46"/>
    <w:rsid w:val="00265F72"/>
    <w:rsid w:val="0026616B"/>
    <w:rsid w:val="00266541"/>
    <w:rsid w:val="0026690D"/>
    <w:rsid w:val="00266923"/>
    <w:rsid w:val="00266A2F"/>
    <w:rsid w:val="00266F3A"/>
    <w:rsid w:val="00266FDC"/>
    <w:rsid w:val="002670E1"/>
    <w:rsid w:val="0026721D"/>
    <w:rsid w:val="00267335"/>
    <w:rsid w:val="00267408"/>
    <w:rsid w:val="00267534"/>
    <w:rsid w:val="00267641"/>
    <w:rsid w:val="0026776A"/>
    <w:rsid w:val="0026793B"/>
    <w:rsid w:val="00267DDE"/>
    <w:rsid w:val="0027037D"/>
    <w:rsid w:val="002704FB"/>
    <w:rsid w:val="00270525"/>
    <w:rsid w:val="002707FA"/>
    <w:rsid w:val="00270918"/>
    <w:rsid w:val="00270A3B"/>
    <w:rsid w:val="00270C3D"/>
    <w:rsid w:val="00270E9F"/>
    <w:rsid w:val="0027116E"/>
    <w:rsid w:val="002715C9"/>
    <w:rsid w:val="002717AD"/>
    <w:rsid w:val="002717EB"/>
    <w:rsid w:val="00271A6F"/>
    <w:rsid w:val="00271C5F"/>
    <w:rsid w:val="00272018"/>
    <w:rsid w:val="002724A4"/>
    <w:rsid w:val="002724E2"/>
    <w:rsid w:val="00272560"/>
    <w:rsid w:val="00272684"/>
    <w:rsid w:val="00272698"/>
    <w:rsid w:val="00272810"/>
    <w:rsid w:val="00272A0D"/>
    <w:rsid w:val="00272A70"/>
    <w:rsid w:val="00272ED0"/>
    <w:rsid w:val="00272F3B"/>
    <w:rsid w:val="00272FA9"/>
    <w:rsid w:val="00273023"/>
    <w:rsid w:val="0027307F"/>
    <w:rsid w:val="002730B6"/>
    <w:rsid w:val="0027336C"/>
    <w:rsid w:val="002733B1"/>
    <w:rsid w:val="002735F1"/>
    <w:rsid w:val="00273A8B"/>
    <w:rsid w:val="00273CA3"/>
    <w:rsid w:val="00273D61"/>
    <w:rsid w:val="00273E40"/>
    <w:rsid w:val="0027459A"/>
    <w:rsid w:val="00274A43"/>
    <w:rsid w:val="00274E4A"/>
    <w:rsid w:val="00275460"/>
    <w:rsid w:val="00275826"/>
    <w:rsid w:val="002761F0"/>
    <w:rsid w:val="002763F4"/>
    <w:rsid w:val="002764EE"/>
    <w:rsid w:val="002769B5"/>
    <w:rsid w:val="00276C84"/>
    <w:rsid w:val="00277268"/>
    <w:rsid w:val="002774B2"/>
    <w:rsid w:val="002774D1"/>
    <w:rsid w:val="0028031D"/>
    <w:rsid w:val="00280798"/>
    <w:rsid w:val="00280F0E"/>
    <w:rsid w:val="00281019"/>
    <w:rsid w:val="0028122F"/>
    <w:rsid w:val="00281526"/>
    <w:rsid w:val="00281628"/>
    <w:rsid w:val="002818BE"/>
    <w:rsid w:val="00281AD2"/>
    <w:rsid w:val="00281C8A"/>
    <w:rsid w:val="002820E5"/>
    <w:rsid w:val="002821E3"/>
    <w:rsid w:val="002823AD"/>
    <w:rsid w:val="00282CF2"/>
    <w:rsid w:val="00282DDC"/>
    <w:rsid w:val="00283305"/>
    <w:rsid w:val="00283495"/>
    <w:rsid w:val="002835A7"/>
    <w:rsid w:val="00283B14"/>
    <w:rsid w:val="00283DFF"/>
    <w:rsid w:val="002840DC"/>
    <w:rsid w:val="0028461A"/>
    <w:rsid w:val="00284A6C"/>
    <w:rsid w:val="00284D3B"/>
    <w:rsid w:val="0028534A"/>
    <w:rsid w:val="00285473"/>
    <w:rsid w:val="0028556C"/>
    <w:rsid w:val="00285AB7"/>
    <w:rsid w:val="00285C45"/>
    <w:rsid w:val="00286463"/>
    <w:rsid w:val="00286489"/>
    <w:rsid w:val="002864A7"/>
    <w:rsid w:val="002865AA"/>
    <w:rsid w:val="002865F0"/>
    <w:rsid w:val="002866B2"/>
    <w:rsid w:val="0028675C"/>
    <w:rsid w:val="00286773"/>
    <w:rsid w:val="00286954"/>
    <w:rsid w:val="00286AD1"/>
    <w:rsid w:val="00286C01"/>
    <w:rsid w:val="00286CAC"/>
    <w:rsid w:val="00287224"/>
    <w:rsid w:val="00287ABA"/>
    <w:rsid w:val="00287E47"/>
    <w:rsid w:val="00287FE6"/>
    <w:rsid w:val="00290133"/>
    <w:rsid w:val="0029068A"/>
    <w:rsid w:val="0029068D"/>
    <w:rsid w:val="0029094F"/>
    <w:rsid w:val="002909AF"/>
    <w:rsid w:val="00290B13"/>
    <w:rsid w:val="00290C81"/>
    <w:rsid w:val="00290D64"/>
    <w:rsid w:val="00290E7D"/>
    <w:rsid w:val="00290F02"/>
    <w:rsid w:val="0029115E"/>
    <w:rsid w:val="0029140F"/>
    <w:rsid w:val="002916B8"/>
    <w:rsid w:val="00291855"/>
    <w:rsid w:val="00291C11"/>
    <w:rsid w:val="00291C3B"/>
    <w:rsid w:val="00291E16"/>
    <w:rsid w:val="002920D3"/>
    <w:rsid w:val="002923B1"/>
    <w:rsid w:val="002923DF"/>
    <w:rsid w:val="00292A87"/>
    <w:rsid w:val="00292C9D"/>
    <w:rsid w:val="00292DD7"/>
    <w:rsid w:val="00292E21"/>
    <w:rsid w:val="00293272"/>
    <w:rsid w:val="002934A9"/>
    <w:rsid w:val="00293D0C"/>
    <w:rsid w:val="00293D74"/>
    <w:rsid w:val="0029408A"/>
    <w:rsid w:val="002943C0"/>
    <w:rsid w:val="00294460"/>
    <w:rsid w:val="00294B11"/>
    <w:rsid w:val="00294D58"/>
    <w:rsid w:val="00294F0C"/>
    <w:rsid w:val="00294F64"/>
    <w:rsid w:val="0029536B"/>
    <w:rsid w:val="0029547F"/>
    <w:rsid w:val="0029557F"/>
    <w:rsid w:val="002955FB"/>
    <w:rsid w:val="0029589D"/>
    <w:rsid w:val="00295E23"/>
    <w:rsid w:val="00295F49"/>
    <w:rsid w:val="002961BE"/>
    <w:rsid w:val="002963BE"/>
    <w:rsid w:val="00296428"/>
    <w:rsid w:val="00296494"/>
    <w:rsid w:val="002966FE"/>
    <w:rsid w:val="002968D7"/>
    <w:rsid w:val="00296A18"/>
    <w:rsid w:val="00296B93"/>
    <w:rsid w:val="00296D66"/>
    <w:rsid w:val="002977BA"/>
    <w:rsid w:val="0029783B"/>
    <w:rsid w:val="0029792D"/>
    <w:rsid w:val="002979A5"/>
    <w:rsid w:val="00297C3F"/>
    <w:rsid w:val="00297CB8"/>
    <w:rsid w:val="00297E10"/>
    <w:rsid w:val="00297E9D"/>
    <w:rsid w:val="002A04CD"/>
    <w:rsid w:val="002A0992"/>
    <w:rsid w:val="002A0D60"/>
    <w:rsid w:val="002A12FB"/>
    <w:rsid w:val="002A1542"/>
    <w:rsid w:val="002A167F"/>
    <w:rsid w:val="002A1920"/>
    <w:rsid w:val="002A1987"/>
    <w:rsid w:val="002A1C34"/>
    <w:rsid w:val="002A1D0A"/>
    <w:rsid w:val="002A1DDC"/>
    <w:rsid w:val="002A1F67"/>
    <w:rsid w:val="002A2012"/>
    <w:rsid w:val="002A21E3"/>
    <w:rsid w:val="002A2464"/>
    <w:rsid w:val="002A2483"/>
    <w:rsid w:val="002A285C"/>
    <w:rsid w:val="002A2A5A"/>
    <w:rsid w:val="002A2BB5"/>
    <w:rsid w:val="002A2D00"/>
    <w:rsid w:val="002A2F17"/>
    <w:rsid w:val="002A307F"/>
    <w:rsid w:val="002A32B5"/>
    <w:rsid w:val="002A330E"/>
    <w:rsid w:val="002A3762"/>
    <w:rsid w:val="002A3A17"/>
    <w:rsid w:val="002A3D2A"/>
    <w:rsid w:val="002A3ECC"/>
    <w:rsid w:val="002A4315"/>
    <w:rsid w:val="002A45B2"/>
    <w:rsid w:val="002A46C1"/>
    <w:rsid w:val="002A49E4"/>
    <w:rsid w:val="002A49FA"/>
    <w:rsid w:val="002A4AAD"/>
    <w:rsid w:val="002A4EEA"/>
    <w:rsid w:val="002A6369"/>
    <w:rsid w:val="002A683E"/>
    <w:rsid w:val="002A6875"/>
    <w:rsid w:val="002A69BA"/>
    <w:rsid w:val="002A6DF4"/>
    <w:rsid w:val="002A761F"/>
    <w:rsid w:val="002A7748"/>
    <w:rsid w:val="002A7A03"/>
    <w:rsid w:val="002A7A4C"/>
    <w:rsid w:val="002A7A90"/>
    <w:rsid w:val="002A7BBF"/>
    <w:rsid w:val="002A7CB3"/>
    <w:rsid w:val="002B0093"/>
    <w:rsid w:val="002B0133"/>
    <w:rsid w:val="002B089C"/>
    <w:rsid w:val="002B0B67"/>
    <w:rsid w:val="002B0E09"/>
    <w:rsid w:val="002B115E"/>
    <w:rsid w:val="002B1396"/>
    <w:rsid w:val="002B148D"/>
    <w:rsid w:val="002B1604"/>
    <w:rsid w:val="002B1DDD"/>
    <w:rsid w:val="002B208B"/>
    <w:rsid w:val="002B21E7"/>
    <w:rsid w:val="002B21FA"/>
    <w:rsid w:val="002B2452"/>
    <w:rsid w:val="002B2466"/>
    <w:rsid w:val="002B29BE"/>
    <w:rsid w:val="002B2C8C"/>
    <w:rsid w:val="002B2E8B"/>
    <w:rsid w:val="002B3139"/>
    <w:rsid w:val="002B32F9"/>
    <w:rsid w:val="002B421D"/>
    <w:rsid w:val="002B4AC9"/>
    <w:rsid w:val="002B4AEC"/>
    <w:rsid w:val="002B4EB5"/>
    <w:rsid w:val="002B5306"/>
    <w:rsid w:val="002B553A"/>
    <w:rsid w:val="002B58C8"/>
    <w:rsid w:val="002B5D85"/>
    <w:rsid w:val="002B5F6C"/>
    <w:rsid w:val="002B6019"/>
    <w:rsid w:val="002B6210"/>
    <w:rsid w:val="002B635A"/>
    <w:rsid w:val="002B636E"/>
    <w:rsid w:val="002B642D"/>
    <w:rsid w:val="002B646F"/>
    <w:rsid w:val="002B6B92"/>
    <w:rsid w:val="002B6FC6"/>
    <w:rsid w:val="002B6FDD"/>
    <w:rsid w:val="002B7024"/>
    <w:rsid w:val="002B75D2"/>
    <w:rsid w:val="002B7630"/>
    <w:rsid w:val="002B7885"/>
    <w:rsid w:val="002B7AFD"/>
    <w:rsid w:val="002B7D4C"/>
    <w:rsid w:val="002B7E03"/>
    <w:rsid w:val="002B7E62"/>
    <w:rsid w:val="002B7EAC"/>
    <w:rsid w:val="002B7F9C"/>
    <w:rsid w:val="002C03E6"/>
    <w:rsid w:val="002C06F3"/>
    <w:rsid w:val="002C09DA"/>
    <w:rsid w:val="002C0A70"/>
    <w:rsid w:val="002C0B65"/>
    <w:rsid w:val="002C0B8D"/>
    <w:rsid w:val="002C0D01"/>
    <w:rsid w:val="002C0D2E"/>
    <w:rsid w:val="002C0D80"/>
    <w:rsid w:val="002C10F4"/>
    <w:rsid w:val="002C135E"/>
    <w:rsid w:val="002C142B"/>
    <w:rsid w:val="002C169D"/>
    <w:rsid w:val="002C16A2"/>
    <w:rsid w:val="002C16C7"/>
    <w:rsid w:val="002C18C2"/>
    <w:rsid w:val="002C1AC9"/>
    <w:rsid w:val="002C1D33"/>
    <w:rsid w:val="002C2101"/>
    <w:rsid w:val="002C21A6"/>
    <w:rsid w:val="002C2255"/>
    <w:rsid w:val="002C2307"/>
    <w:rsid w:val="002C238C"/>
    <w:rsid w:val="002C25FC"/>
    <w:rsid w:val="002C260E"/>
    <w:rsid w:val="002C2D25"/>
    <w:rsid w:val="002C2D4B"/>
    <w:rsid w:val="002C320B"/>
    <w:rsid w:val="002C3681"/>
    <w:rsid w:val="002C372E"/>
    <w:rsid w:val="002C384C"/>
    <w:rsid w:val="002C39F9"/>
    <w:rsid w:val="002C3AD5"/>
    <w:rsid w:val="002C3BF4"/>
    <w:rsid w:val="002C4370"/>
    <w:rsid w:val="002C481C"/>
    <w:rsid w:val="002C49C4"/>
    <w:rsid w:val="002C49CC"/>
    <w:rsid w:val="002C4D0D"/>
    <w:rsid w:val="002C4FCD"/>
    <w:rsid w:val="002C5046"/>
    <w:rsid w:val="002C524C"/>
    <w:rsid w:val="002C5279"/>
    <w:rsid w:val="002C5623"/>
    <w:rsid w:val="002C56CC"/>
    <w:rsid w:val="002C6082"/>
    <w:rsid w:val="002C643B"/>
    <w:rsid w:val="002C6D39"/>
    <w:rsid w:val="002C6D9E"/>
    <w:rsid w:val="002C6FEC"/>
    <w:rsid w:val="002C7011"/>
    <w:rsid w:val="002C74B1"/>
    <w:rsid w:val="002C7B45"/>
    <w:rsid w:val="002D00EA"/>
    <w:rsid w:val="002D0221"/>
    <w:rsid w:val="002D0371"/>
    <w:rsid w:val="002D0783"/>
    <w:rsid w:val="002D1382"/>
    <w:rsid w:val="002D17C6"/>
    <w:rsid w:val="002D19F1"/>
    <w:rsid w:val="002D1A6B"/>
    <w:rsid w:val="002D1A9E"/>
    <w:rsid w:val="002D1B4F"/>
    <w:rsid w:val="002D1B6A"/>
    <w:rsid w:val="002D1C0C"/>
    <w:rsid w:val="002D1D3D"/>
    <w:rsid w:val="002D23C6"/>
    <w:rsid w:val="002D2488"/>
    <w:rsid w:val="002D2662"/>
    <w:rsid w:val="002D2849"/>
    <w:rsid w:val="002D2ADD"/>
    <w:rsid w:val="002D2CD9"/>
    <w:rsid w:val="002D309D"/>
    <w:rsid w:val="002D3205"/>
    <w:rsid w:val="002D32D4"/>
    <w:rsid w:val="002D3450"/>
    <w:rsid w:val="002D359C"/>
    <w:rsid w:val="002D3609"/>
    <w:rsid w:val="002D38FA"/>
    <w:rsid w:val="002D4026"/>
    <w:rsid w:val="002D4030"/>
    <w:rsid w:val="002D4453"/>
    <w:rsid w:val="002D46F2"/>
    <w:rsid w:val="002D4DC1"/>
    <w:rsid w:val="002D4ECD"/>
    <w:rsid w:val="002D4F3B"/>
    <w:rsid w:val="002D50AE"/>
    <w:rsid w:val="002D5242"/>
    <w:rsid w:val="002D5502"/>
    <w:rsid w:val="002D5D7C"/>
    <w:rsid w:val="002D5F58"/>
    <w:rsid w:val="002D6008"/>
    <w:rsid w:val="002D615A"/>
    <w:rsid w:val="002D6328"/>
    <w:rsid w:val="002D6360"/>
    <w:rsid w:val="002D64D1"/>
    <w:rsid w:val="002D65AB"/>
    <w:rsid w:val="002D65EE"/>
    <w:rsid w:val="002D680C"/>
    <w:rsid w:val="002D6867"/>
    <w:rsid w:val="002D690E"/>
    <w:rsid w:val="002D6BA4"/>
    <w:rsid w:val="002D6BDB"/>
    <w:rsid w:val="002D6C3F"/>
    <w:rsid w:val="002D6DA1"/>
    <w:rsid w:val="002D6E2F"/>
    <w:rsid w:val="002D745F"/>
    <w:rsid w:val="002D74A6"/>
    <w:rsid w:val="002D75DE"/>
    <w:rsid w:val="002D791B"/>
    <w:rsid w:val="002D7AE8"/>
    <w:rsid w:val="002D7B9A"/>
    <w:rsid w:val="002E02B6"/>
    <w:rsid w:val="002E0734"/>
    <w:rsid w:val="002E098C"/>
    <w:rsid w:val="002E0AB1"/>
    <w:rsid w:val="002E0BBD"/>
    <w:rsid w:val="002E0D1D"/>
    <w:rsid w:val="002E11CA"/>
    <w:rsid w:val="002E11E2"/>
    <w:rsid w:val="002E13C2"/>
    <w:rsid w:val="002E187C"/>
    <w:rsid w:val="002E191A"/>
    <w:rsid w:val="002E195C"/>
    <w:rsid w:val="002E1AD6"/>
    <w:rsid w:val="002E1C89"/>
    <w:rsid w:val="002E1F71"/>
    <w:rsid w:val="002E2109"/>
    <w:rsid w:val="002E26C9"/>
    <w:rsid w:val="002E285A"/>
    <w:rsid w:val="002E287E"/>
    <w:rsid w:val="002E2A79"/>
    <w:rsid w:val="002E2B20"/>
    <w:rsid w:val="002E2E68"/>
    <w:rsid w:val="002E2E9D"/>
    <w:rsid w:val="002E30D6"/>
    <w:rsid w:val="002E3123"/>
    <w:rsid w:val="002E3470"/>
    <w:rsid w:val="002E3490"/>
    <w:rsid w:val="002E3509"/>
    <w:rsid w:val="002E3CAC"/>
    <w:rsid w:val="002E3CB8"/>
    <w:rsid w:val="002E3F9E"/>
    <w:rsid w:val="002E404B"/>
    <w:rsid w:val="002E41A6"/>
    <w:rsid w:val="002E49C3"/>
    <w:rsid w:val="002E4B0A"/>
    <w:rsid w:val="002E4CD8"/>
    <w:rsid w:val="002E4E8F"/>
    <w:rsid w:val="002E4F36"/>
    <w:rsid w:val="002E562F"/>
    <w:rsid w:val="002E5822"/>
    <w:rsid w:val="002E586E"/>
    <w:rsid w:val="002E5AA9"/>
    <w:rsid w:val="002E5E00"/>
    <w:rsid w:val="002E5E44"/>
    <w:rsid w:val="002E613E"/>
    <w:rsid w:val="002E63FA"/>
    <w:rsid w:val="002E651C"/>
    <w:rsid w:val="002E68F0"/>
    <w:rsid w:val="002E694F"/>
    <w:rsid w:val="002E6AF5"/>
    <w:rsid w:val="002E6F0F"/>
    <w:rsid w:val="002E6FF1"/>
    <w:rsid w:val="002E72D3"/>
    <w:rsid w:val="002E73B3"/>
    <w:rsid w:val="002F0201"/>
    <w:rsid w:val="002F02D0"/>
    <w:rsid w:val="002F0883"/>
    <w:rsid w:val="002F09A5"/>
    <w:rsid w:val="002F0D91"/>
    <w:rsid w:val="002F104E"/>
    <w:rsid w:val="002F10A9"/>
    <w:rsid w:val="002F1185"/>
    <w:rsid w:val="002F11C2"/>
    <w:rsid w:val="002F1574"/>
    <w:rsid w:val="002F181B"/>
    <w:rsid w:val="002F19E7"/>
    <w:rsid w:val="002F25DF"/>
    <w:rsid w:val="002F2659"/>
    <w:rsid w:val="002F26FF"/>
    <w:rsid w:val="002F274F"/>
    <w:rsid w:val="002F277D"/>
    <w:rsid w:val="002F323E"/>
    <w:rsid w:val="002F3719"/>
    <w:rsid w:val="002F3888"/>
    <w:rsid w:val="002F38AD"/>
    <w:rsid w:val="002F38EA"/>
    <w:rsid w:val="002F3B80"/>
    <w:rsid w:val="002F3EA1"/>
    <w:rsid w:val="002F4263"/>
    <w:rsid w:val="002F49AD"/>
    <w:rsid w:val="002F5540"/>
    <w:rsid w:val="002F5A4B"/>
    <w:rsid w:val="002F5E1F"/>
    <w:rsid w:val="002F6120"/>
    <w:rsid w:val="002F70B1"/>
    <w:rsid w:val="002F74B3"/>
    <w:rsid w:val="002F7673"/>
    <w:rsid w:val="002F7761"/>
    <w:rsid w:val="002F77E0"/>
    <w:rsid w:val="002F7AFA"/>
    <w:rsid w:val="002F7C3E"/>
    <w:rsid w:val="002F7EA2"/>
    <w:rsid w:val="0030007E"/>
    <w:rsid w:val="00300557"/>
    <w:rsid w:val="0030094B"/>
    <w:rsid w:val="00300A0D"/>
    <w:rsid w:val="00300A86"/>
    <w:rsid w:val="00300CF9"/>
    <w:rsid w:val="0030107A"/>
    <w:rsid w:val="00301241"/>
    <w:rsid w:val="0030157A"/>
    <w:rsid w:val="003016D4"/>
    <w:rsid w:val="00301B0B"/>
    <w:rsid w:val="00301F5A"/>
    <w:rsid w:val="00301FBD"/>
    <w:rsid w:val="003024E1"/>
    <w:rsid w:val="003025ED"/>
    <w:rsid w:val="003026A8"/>
    <w:rsid w:val="00302774"/>
    <w:rsid w:val="0030297A"/>
    <w:rsid w:val="00302B87"/>
    <w:rsid w:val="00302E84"/>
    <w:rsid w:val="00302E8C"/>
    <w:rsid w:val="00302F31"/>
    <w:rsid w:val="00302FF7"/>
    <w:rsid w:val="003033DD"/>
    <w:rsid w:val="0030351A"/>
    <w:rsid w:val="0030358B"/>
    <w:rsid w:val="00303633"/>
    <w:rsid w:val="0030365F"/>
    <w:rsid w:val="0030395E"/>
    <w:rsid w:val="00303C8F"/>
    <w:rsid w:val="00303CF4"/>
    <w:rsid w:val="00303DD1"/>
    <w:rsid w:val="0030486F"/>
    <w:rsid w:val="003048F2"/>
    <w:rsid w:val="00304945"/>
    <w:rsid w:val="00304DD7"/>
    <w:rsid w:val="00304FB0"/>
    <w:rsid w:val="003051A7"/>
    <w:rsid w:val="003052EC"/>
    <w:rsid w:val="00305324"/>
    <w:rsid w:val="00305444"/>
    <w:rsid w:val="00305579"/>
    <w:rsid w:val="00305816"/>
    <w:rsid w:val="00305872"/>
    <w:rsid w:val="00305C67"/>
    <w:rsid w:val="00305CD1"/>
    <w:rsid w:val="00305DBD"/>
    <w:rsid w:val="00305E84"/>
    <w:rsid w:val="00305FA6"/>
    <w:rsid w:val="00306141"/>
    <w:rsid w:val="003061FF"/>
    <w:rsid w:val="0030647A"/>
    <w:rsid w:val="00306C0F"/>
    <w:rsid w:val="00306D99"/>
    <w:rsid w:val="003070DF"/>
    <w:rsid w:val="00307376"/>
    <w:rsid w:val="00307672"/>
    <w:rsid w:val="003077EC"/>
    <w:rsid w:val="00307809"/>
    <w:rsid w:val="003078DB"/>
    <w:rsid w:val="00307A3A"/>
    <w:rsid w:val="00307BED"/>
    <w:rsid w:val="00307D45"/>
    <w:rsid w:val="00307D98"/>
    <w:rsid w:val="003102D6"/>
    <w:rsid w:val="0031066A"/>
    <w:rsid w:val="003108DB"/>
    <w:rsid w:val="00310AF3"/>
    <w:rsid w:val="00310E51"/>
    <w:rsid w:val="003110EA"/>
    <w:rsid w:val="00311106"/>
    <w:rsid w:val="003111F4"/>
    <w:rsid w:val="0031165C"/>
    <w:rsid w:val="0031177E"/>
    <w:rsid w:val="00311CFD"/>
    <w:rsid w:val="00311FFD"/>
    <w:rsid w:val="0031208B"/>
    <w:rsid w:val="00312140"/>
    <w:rsid w:val="003124D9"/>
    <w:rsid w:val="003125E3"/>
    <w:rsid w:val="00312609"/>
    <w:rsid w:val="003128BA"/>
    <w:rsid w:val="003134A5"/>
    <w:rsid w:val="003135AF"/>
    <w:rsid w:val="0031361E"/>
    <w:rsid w:val="00313A3A"/>
    <w:rsid w:val="00313BB3"/>
    <w:rsid w:val="00313E28"/>
    <w:rsid w:val="0031433D"/>
    <w:rsid w:val="0031446F"/>
    <w:rsid w:val="00314627"/>
    <w:rsid w:val="003148D8"/>
    <w:rsid w:val="0031492C"/>
    <w:rsid w:val="00314B5C"/>
    <w:rsid w:val="00314CF8"/>
    <w:rsid w:val="00314E99"/>
    <w:rsid w:val="003157DF"/>
    <w:rsid w:val="00315D6D"/>
    <w:rsid w:val="00315FDC"/>
    <w:rsid w:val="003167DA"/>
    <w:rsid w:val="00316929"/>
    <w:rsid w:val="00316942"/>
    <w:rsid w:val="00316A69"/>
    <w:rsid w:val="00316AB3"/>
    <w:rsid w:val="00316CB4"/>
    <w:rsid w:val="00316F50"/>
    <w:rsid w:val="00317055"/>
    <w:rsid w:val="0031708E"/>
    <w:rsid w:val="003170B0"/>
    <w:rsid w:val="0031733A"/>
    <w:rsid w:val="0031740F"/>
    <w:rsid w:val="0031764C"/>
    <w:rsid w:val="00317911"/>
    <w:rsid w:val="00317A7A"/>
    <w:rsid w:val="00317ED7"/>
    <w:rsid w:val="00320130"/>
    <w:rsid w:val="003202FA"/>
    <w:rsid w:val="00320334"/>
    <w:rsid w:val="0032067E"/>
    <w:rsid w:val="003206F5"/>
    <w:rsid w:val="00320702"/>
    <w:rsid w:val="00320784"/>
    <w:rsid w:val="00320B9E"/>
    <w:rsid w:val="00320BC8"/>
    <w:rsid w:val="00321022"/>
    <w:rsid w:val="003211AA"/>
    <w:rsid w:val="0032120B"/>
    <w:rsid w:val="00321718"/>
    <w:rsid w:val="003219FD"/>
    <w:rsid w:val="00321C91"/>
    <w:rsid w:val="00322141"/>
    <w:rsid w:val="003221D1"/>
    <w:rsid w:val="0032224E"/>
    <w:rsid w:val="003222A6"/>
    <w:rsid w:val="003222DD"/>
    <w:rsid w:val="0032247A"/>
    <w:rsid w:val="003229C4"/>
    <w:rsid w:val="00322ABB"/>
    <w:rsid w:val="00322C19"/>
    <w:rsid w:val="00322C76"/>
    <w:rsid w:val="00322D53"/>
    <w:rsid w:val="003237EF"/>
    <w:rsid w:val="00323933"/>
    <w:rsid w:val="00324169"/>
    <w:rsid w:val="00324204"/>
    <w:rsid w:val="0032449A"/>
    <w:rsid w:val="00324813"/>
    <w:rsid w:val="003248E8"/>
    <w:rsid w:val="00324997"/>
    <w:rsid w:val="00324B12"/>
    <w:rsid w:val="00324BF4"/>
    <w:rsid w:val="00324E16"/>
    <w:rsid w:val="0032533A"/>
    <w:rsid w:val="0032578C"/>
    <w:rsid w:val="00325836"/>
    <w:rsid w:val="0032584F"/>
    <w:rsid w:val="003259A7"/>
    <w:rsid w:val="00325CA0"/>
    <w:rsid w:val="00325CE8"/>
    <w:rsid w:val="003262B7"/>
    <w:rsid w:val="003262BA"/>
    <w:rsid w:val="003263C0"/>
    <w:rsid w:val="003263DC"/>
    <w:rsid w:val="003264A3"/>
    <w:rsid w:val="00326AB5"/>
    <w:rsid w:val="00326D14"/>
    <w:rsid w:val="00326F70"/>
    <w:rsid w:val="003271EA"/>
    <w:rsid w:val="00327262"/>
    <w:rsid w:val="003276A4"/>
    <w:rsid w:val="00327AA7"/>
    <w:rsid w:val="00327BBA"/>
    <w:rsid w:val="00330087"/>
    <w:rsid w:val="003303B8"/>
    <w:rsid w:val="00330426"/>
    <w:rsid w:val="00330931"/>
    <w:rsid w:val="0033093D"/>
    <w:rsid w:val="0033093E"/>
    <w:rsid w:val="00330F91"/>
    <w:rsid w:val="003311CF"/>
    <w:rsid w:val="00331384"/>
    <w:rsid w:val="003313BC"/>
    <w:rsid w:val="003317DC"/>
    <w:rsid w:val="00331F96"/>
    <w:rsid w:val="00331FFD"/>
    <w:rsid w:val="003320BD"/>
    <w:rsid w:val="0033278F"/>
    <w:rsid w:val="00332B63"/>
    <w:rsid w:val="00332F24"/>
    <w:rsid w:val="003330D1"/>
    <w:rsid w:val="0033315A"/>
    <w:rsid w:val="003331D6"/>
    <w:rsid w:val="00333392"/>
    <w:rsid w:val="00333650"/>
    <w:rsid w:val="00333A17"/>
    <w:rsid w:val="00333B95"/>
    <w:rsid w:val="00333C72"/>
    <w:rsid w:val="00333CD8"/>
    <w:rsid w:val="0033418A"/>
    <w:rsid w:val="00334255"/>
    <w:rsid w:val="00334257"/>
    <w:rsid w:val="00334312"/>
    <w:rsid w:val="00334333"/>
    <w:rsid w:val="003347E2"/>
    <w:rsid w:val="003349DC"/>
    <w:rsid w:val="00334C55"/>
    <w:rsid w:val="00334D69"/>
    <w:rsid w:val="0033503F"/>
    <w:rsid w:val="00335237"/>
    <w:rsid w:val="00335371"/>
    <w:rsid w:val="0033560B"/>
    <w:rsid w:val="003359ED"/>
    <w:rsid w:val="00335A43"/>
    <w:rsid w:val="00335B32"/>
    <w:rsid w:val="00335BA6"/>
    <w:rsid w:val="00336057"/>
    <w:rsid w:val="0033620C"/>
    <w:rsid w:val="00336435"/>
    <w:rsid w:val="00336474"/>
    <w:rsid w:val="003364FE"/>
    <w:rsid w:val="00336510"/>
    <w:rsid w:val="003367A0"/>
    <w:rsid w:val="003367F3"/>
    <w:rsid w:val="0033689D"/>
    <w:rsid w:val="00336A43"/>
    <w:rsid w:val="00336A46"/>
    <w:rsid w:val="00336AE7"/>
    <w:rsid w:val="00336AEE"/>
    <w:rsid w:val="00336BBB"/>
    <w:rsid w:val="00336DD6"/>
    <w:rsid w:val="003371D1"/>
    <w:rsid w:val="00337243"/>
    <w:rsid w:val="00337414"/>
    <w:rsid w:val="00337699"/>
    <w:rsid w:val="00337914"/>
    <w:rsid w:val="00337D45"/>
    <w:rsid w:val="00337F1E"/>
    <w:rsid w:val="003402BB"/>
    <w:rsid w:val="00340481"/>
    <w:rsid w:val="00340E49"/>
    <w:rsid w:val="00340F3F"/>
    <w:rsid w:val="00341030"/>
    <w:rsid w:val="00341270"/>
    <w:rsid w:val="00341475"/>
    <w:rsid w:val="00341742"/>
    <w:rsid w:val="00341DFB"/>
    <w:rsid w:val="003421A2"/>
    <w:rsid w:val="00342208"/>
    <w:rsid w:val="003422F5"/>
    <w:rsid w:val="00342F39"/>
    <w:rsid w:val="00342FE1"/>
    <w:rsid w:val="003431BB"/>
    <w:rsid w:val="00343334"/>
    <w:rsid w:val="0034335B"/>
    <w:rsid w:val="003435BA"/>
    <w:rsid w:val="003436F2"/>
    <w:rsid w:val="00343F85"/>
    <w:rsid w:val="00343FFB"/>
    <w:rsid w:val="0034419E"/>
    <w:rsid w:val="003442A4"/>
    <w:rsid w:val="0034455A"/>
    <w:rsid w:val="003446D6"/>
    <w:rsid w:val="00344CC3"/>
    <w:rsid w:val="00344D86"/>
    <w:rsid w:val="00344F6B"/>
    <w:rsid w:val="0034526B"/>
    <w:rsid w:val="0034528B"/>
    <w:rsid w:val="0034547A"/>
    <w:rsid w:val="00345751"/>
    <w:rsid w:val="00345CC4"/>
    <w:rsid w:val="00345E74"/>
    <w:rsid w:val="00345F9E"/>
    <w:rsid w:val="00346008"/>
    <w:rsid w:val="00346067"/>
    <w:rsid w:val="0034620E"/>
    <w:rsid w:val="003462C8"/>
    <w:rsid w:val="00346917"/>
    <w:rsid w:val="003469F5"/>
    <w:rsid w:val="00346A38"/>
    <w:rsid w:val="00346DE3"/>
    <w:rsid w:val="00346E3A"/>
    <w:rsid w:val="00346E50"/>
    <w:rsid w:val="003473A9"/>
    <w:rsid w:val="003473E7"/>
    <w:rsid w:val="003479C5"/>
    <w:rsid w:val="00347F18"/>
    <w:rsid w:val="00347FD9"/>
    <w:rsid w:val="00350069"/>
    <w:rsid w:val="0035017A"/>
    <w:rsid w:val="003501C5"/>
    <w:rsid w:val="003504A5"/>
    <w:rsid w:val="00350669"/>
    <w:rsid w:val="00350B2B"/>
    <w:rsid w:val="00350BD2"/>
    <w:rsid w:val="00351197"/>
    <w:rsid w:val="00351734"/>
    <w:rsid w:val="00351A8B"/>
    <w:rsid w:val="00351E1E"/>
    <w:rsid w:val="00351FA6"/>
    <w:rsid w:val="00352156"/>
    <w:rsid w:val="0035256A"/>
    <w:rsid w:val="003525B0"/>
    <w:rsid w:val="0035275B"/>
    <w:rsid w:val="00352770"/>
    <w:rsid w:val="003529EF"/>
    <w:rsid w:val="00352DC1"/>
    <w:rsid w:val="003530B4"/>
    <w:rsid w:val="003533D4"/>
    <w:rsid w:val="003535B9"/>
    <w:rsid w:val="003535D8"/>
    <w:rsid w:val="00353A13"/>
    <w:rsid w:val="00353B21"/>
    <w:rsid w:val="00354089"/>
    <w:rsid w:val="003543CF"/>
    <w:rsid w:val="003544BD"/>
    <w:rsid w:val="00354826"/>
    <w:rsid w:val="00354CD1"/>
    <w:rsid w:val="003557EB"/>
    <w:rsid w:val="003558DE"/>
    <w:rsid w:val="00355FF4"/>
    <w:rsid w:val="00356038"/>
    <w:rsid w:val="00356103"/>
    <w:rsid w:val="00356333"/>
    <w:rsid w:val="003563ED"/>
    <w:rsid w:val="003569B6"/>
    <w:rsid w:val="00356B94"/>
    <w:rsid w:val="00356CE1"/>
    <w:rsid w:val="00357179"/>
    <w:rsid w:val="003574CC"/>
    <w:rsid w:val="00357829"/>
    <w:rsid w:val="00357FAB"/>
    <w:rsid w:val="00360077"/>
    <w:rsid w:val="003600BD"/>
    <w:rsid w:val="003600EB"/>
    <w:rsid w:val="003602AA"/>
    <w:rsid w:val="0036042E"/>
    <w:rsid w:val="00360785"/>
    <w:rsid w:val="0036099C"/>
    <w:rsid w:val="00360B95"/>
    <w:rsid w:val="00360C1B"/>
    <w:rsid w:val="00360D41"/>
    <w:rsid w:val="00360D49"/>
    <w:rsid w:val="00360EA5"/>
    <w:rsid w:val="00361575"/>
    <w:rsid w:val="00361667"/>
    <w:rsid w:val="0036170A"/>
    <w:rsid w:val="00361898"/>
    <w:rsid w:val="00361AF7"/>
    <w:rsid w:val="00361C43"/>
    <w:rsid w:val="00362075"/>
    <w:rsid w:val="003620B5"/>
    <w:rsid w:val="003624F8"/>
    <w:rsid w:val="0036268B"/>
    <w:rsid w:val="00362A69"/>
    <w:rsid w:val="00362BF8"/>
    <w:rsid w:val="00362C13"/>
    <w:rsid w:val="003632EF"/>
    <w:rsid w:val="003634AF"/>
    <w:rsid w:val="0036377E"/>
    <w:rsid w:val="003638E3"/>
    <w:rsid w:val="00363968"/>
    <w:rsid w:val="00363C5F"/>
    <w:rsid w:val="00363DD0"/>
    <w:rsid w:val="00363EE2"/>
    <w:rsid w:val="00363F6A"/>
    <w:rsid w:val="0036409D"/>
    <w:rsid w:val="00364141"/>
    <w:rsid w:val="003641E1"/>
    <w:rsid w:val="003646E8"/>
    <w:rsid w:val="003646F7"/>
    <w:rsid w:val="00364853"/>
    <w:rsid w:val="0036485F"/>
    <w:rsid w:val="003649EA"/>
    <w:rsid w:val="00364BEA"/>
    <w:rsid w:val="00364DAC"/>
    <w:rsid w:val="00364EC6"/>
    <w:rsid w:val="00364EED"/>
    <w:rsid w:val="00364F5B"/>
    <w:rsid w:val="00364FA7"/>
    <w:rsid w:val="00365137"/>
    <w:rsid w:val="00365189"/>
    <w:rsid w:val="003652F1"/>
    <w:rsid w:val="0036534D"/>
    <w:rsid w:val="00365557"/>
    <w:rsid w:val="00365709"/>
    <w:rsid w:val="003659CF"/>
    <w:rsid w:val="00365CA8"/>
    <w:rsid w:val="00365D2B"/>
    <w:rsid w:val="00365D7A"/>
    <w:rsid w:val="00365DF5"/>
    <w:rsid w:val="00365F14"/>
    <w:rsid w:val="00365F23"/>
    <w:rsid w:val="003660DF"/>
    <w:rsid w:val="00366352"/>
    <w:rsid w:val="003664BA"/>
    <w:rsid w:val="003666E7"/>
    <w:rsid w:val="00366B5D"/>
    <w:rsid w:val="00366EA8"/>
    <w:rsid w:val="00366F4F"/>
    <w:rsid w:val="00367248"/>
    <w:rsid w:val="00367437"/>
    <w:rsid w:val="0036749D"/>
    <w:rsid w:val="003676C7"/>
    <w:rsid w:val="0036773F"/>
    <w:rsid w:val="003677E8"/>
    <w:rsid w:val="0036786A"/>
    <w:rsid w:val="003678C5"/>
    <w:rsid w:val="00367932"/>
    <w:rsid w:val="00367AC4"/>
    <w:rsid w:val="00367C9C"/>
    <w:rsid w:val="00367D46"/>
    <w:rsid w:val="00367DFE"/>
    <w:rsid w:val="00367E8F"/>
    <w:rsid w:val="0037004D"/>
    <w:rsid w:val="0037013B"/>
    <w:rsid w:val="0037057A"/>
    <w:rsid w:val="00370741"/>
    <w:rsid w:val="003708F6"/>
    <w:rsid w:val="00370C78"/>
    <w:rsid w:val="00370D23"/>
    <w:rsid w:val="0037104C"/>
    <w:rsid w:val="00371074"/>
    <w:rsid w:val="0037117C"/>
    <w:rsid w:val="00371231"/>
    <w:rsid w:val="00371559"/>
    <w:rsid w:val="00371719"/>
    <w:rsid w:val="0037177A"/>
    <w:rsid w:val="00371D52"/>
    <w:rsid w:val="00371D6F"/>
    <w:rsid w:val="00371DD3"/>
    <w:rsid w:val="00372131"/>
    <w:rsid w:val="00372175"/>
    <w:rsid w:val="003721E0"/>
    <w:rsid w:val="003722B3"/>
    <w:rsid w:val="003728BF"/>
    <w:rsid w:val="00372A7F"/>
    <w:rsid w:val="00372E66"/>
    <w:rsid w:val="00373054"/>
    <w:rsid w:val="00373116"/>
    <w:rsid w:val="003732CE"/>
    <w:rsid w:val="00373345"/>
    <w:rsid w:val="0037340F"/>
    <w:rsid w:val="003738A9"/>
    <w:rsid w:val="00373ABC"/>
    <w:rsid w:val="00373D2C"/>
    <w:rsid w:val="00373F21"/>
    <w:rsid w:val="0037406F"/>
    <w:rsid w:val="0037420C"/>
    <w:rsid w:val="003742E0"/>
    <w:rsid w:val="00374579"/>
    <w:rsid w:val="003745EC"/>
    <w:rsid w:val="00374722"/>
    <w:rsid w:val="00374C7D"/>
    <w:rsid w:val="00374D54"/>
    <w:rsid w:val="00374E7C"/>
    <w:rsid w:val="00375032"/>
    <w:rsid w:val="00375162"/>
    <w:rsid w:val="00375164"/>
    <w:rsid w:val="003751E7"/>
    <w:rsid w:val="003753C3"/>
    <w:rsid w:val="003754B9"/>
    <w:rsid w:val="003754BB"/>
    <w:rsid w:val="00375BE3"/>
    <w:rsid w:val="00375D72"/>
    <w:rsid w:val="00375F15"/>
    <w:rsid w:val="003760A1"/>
    <w:rsid w:val="003760A4"/>
    <w:rsid w:val="00376346"/>
    <w:rsid w:val="003768D3"/>
    <w:rsid w:val="00376EB0"/>
    <w:rsid w:val="00377218"/>
    <w:rsid w:val="0037773E"/>
    <w:rsid w:val="0037790A"/>
    <w:rsid w:val="003779E7"/>
    <w:rsid w:val="00377CB0"/>
    <w:rsid w:val="00377D5B"/>
    <w:rsid w:val="00377EE7"/>
    <w:rsid w:val="00380081"/>
    <w:rsid w:val="00380375"/>
    <w:rsid w:val="003805E0"/>
    <w:rsid w:val="00380964"/>
    <w:rsid w:val="00380CBA"/>
    <w:rsid w:val="00380D0C"/>
    <w:rsid w:val="00380E45"/>
    <w:rsid w:val="00380FB1"/>
    <w:rsid w:val="00381801"/>
    <w:rsid w:val="00381C54"/>
    <w:rsid w:val="00381D4C"/>
    <w:rsid w:val="00381FC7"/>
    <w:rsid w:val="00382054"/>
    <w:rsid w:val="00382293"/>
    <w:rsid w:val="0038233F"/>
    <w:rsid w:val="00382768"/>
    <w:rsid w:val="0038291E"/>
    <w:rsid w:val="003829B0"/>
    <w:rsid w:val="00382AEE"/>
    <w:rsid w:val="00382C2B"/>
    <w:rsid w:val="0038300A"/>
    <w:rsid w:val="003830B0"/>
    <w:rsid w:val="003832AF"/>
    <w:rsid w:val="0038387E"/>
    <w:rsid w:val="00383994"/>
    <w:rsid w:val="00383C88"/>
    <w:rsid w:val="00383FC3"/>
    <w:rsid w:val="003844E5"/>
    <w:rsid w:val="003849A1"/>
    <w:rsid w:val="00384A4A"/>
    <w:rsid w:val="00384B70"/>
    <w:rsid w:val="00384F3C"/>
    <w:rsid w:val="00384F47"/>
    <w:rsid w:val="00385275"/>
    <w:rsid w:val="003853CD"/>
    <w:rsid w:val="003853FE"/>
    <w:rsid w:val="00385AE5"/>
    <w:rsid w:val="00385B3A"/>
    <w:rsid w:val="00385F6E"/>
    <w:rsid w:val="0038661C"/>
    <w:rsid w:val="003867E3"/>
    <w:rsid w:val="00386856"/>
    <w:rsid w:val="00386F3C"/>
    <w:rsid w:val="003870B9"/>
    <w:rsid w:val="00387255"/>
    <w:rsid w:val="0038731A"/>
    <w:rsid w:val="00387787"/>
    <w:rsid w:val="003878A9"/>
    <w:rsid w:val="00387C5A"/>
    <w:rsid w:val="00387F5C"/>
    <w:rsid w:val="00387FFD"/>
    <w:rsid w:val="00390137"/>
    <w:rsid w:val="003901B4"/>
    <w:rsid w:val="00390330"/>
    <w:rsid w:val="00390395"/>
    <w:rsid w:val="003903D6"/>
    <w:rsid w:val="003905CB"/>
    <w:rsid w:val="00390936"/>
    <w:rsid w:val="003909CB"/>
    <w:rsid w:val="00390A16"/>
    <w:rsid w:val="00390C34"/>
    <w:rsid w:val="00390D87"/>
    <w:rsid w:val="00391079"/>
    <w:rsid w:val="00391242"/>
    <w:rsid w:val="0039151A"/>
    <w:rsid w:val="00391BE3"/>
    <w:rsid w:val="00391C45"/>
    <w:rsid w:val="00391CD7"/>
    <w:rsid w:val="00391CE1"/>
    <w:rsid w:val="00391EBD"/>
    <w:rsid w:val="00391F3E"/>
    <w:rsid w:val="00391FFC"/>
    <w:rsid w:val="0039236F"/>
    <w:rsid w:val="00392CD9"/>
    <w:rsid w:val="0039326E"/>
    <w:rsid w:val="003932D5"/>
    <w:rsid w:val="0039339E"/>
    <w:rsid w:val="003936E9"/>
    <w:rsid w:val="003939FB"/>
    <w:rsid w:val="00393B16"/>
    <w:rsid w:val="0039403B"/>
    <w:rsid w:val="003943B6"/>
    <w:rsid w:val="00394780"/>
    <w:rsid w:val="0039484F"/>
    <w:rsid w:val="00394AD5"/>
    <w:rsid w:val="00394AEF"/>
    <w:rsid w:val="00394B2C"/>
    <w:rsid w:val="00394D5A"/>
    <w:rsid w:val="00394DB4"/>
    <w:rsid w:val="0039511E"/>
    <w:rsid w:val="00395157"/>
    <w:rsid w:val="003952A6"/>
    <w:rsid w:val="0039537B"/>
    <w:rsid w:val="003956C1"/>
    <w:rsid w:val="0039572B"/>
    <w:rsid w:val="0039580D"/>
    <w:rsid w:val="0039582F"/>
    <w:rsid w:val="0039593A"/>
    <w:rsid w:val="00395C78"/>
    <w:rsid w:val="00395D8B"/>
    <w:rsid w:val="003960F0"/>
    <w:rsid w:val="00396130"/>
    <w:rsid w:val="003961A0"/>
    <w:rsid w:val="00396364"/>
    <w:rsid w:val="00396698"/>
    <w:rsid w:val="00396892"/>
    <w:rsid w:val="0039696D"/>
    <w:rsid w:val="00396A74"/>
    <w:rsid w:val="00396C00"/>
    <w:rsid w:val="00396F6F"/>
    <w:rsid w:val="003970FA"/>
    <w:rsid w:val="003973DC"/>
    <w:rsid w:val="00397452"/>
    <w:rsid w:val="00397594"/>
    <w:rsid w:val="003975CE"/>
    <w:rsid w:val="00397A71"/>
    <w:rsid w:val="00397DDA"/>
    <w:rsid w:val="003A0163"/>
    <w:rsid w:val="003A0595"/>
    <w:rsid w:val="003A05B0"/>
    <w:rsid w:val="003A0858"/>
    <w:rsid w:val="003A0C3A"/>
    <w:rsid w:val="003A130D"/>
    <w:rsid w:val="003A1599"/>
    <w:rsid w:val="003A1633"/>
    <w:rsid w:val="003A166F"/>
    <w:rsid w:val="003A1701"/>
    <w:rsid w:val="003A18C6"/>
    <w:rsid w:val="003A18DB"/>
    <w:rsid w:val="003A195E"/>
    <w:rsid w:val="003A19CB"/>
    <w:rsid w:val="003A1A4F"/>
    <w:rsid w:val="003A1CB9"/>
    <w:rsid w:val="003A1EEB"/>
    <w:rsid w:val="003A1F9C"/>
    <w:rsid w:val="003A227D"/>
    <w:rsid w:val="003A2550"/>
    <w:rsid w:val="003A263D"/>
    <w:rsid w:val="003A26C8"/>
    <w:rsid w:val="003A2999"/>
    <w:rsid w:val="003A29DD"/>
    <w:rsid w:val="003A2ECB"/>
    <w:rsid w:val="003A34A2"/>
    <w:rsid w:val="003A3579"/>
    <w:rsid w:val="003A35C2"/>
    <w:rsid w:val="003A397E"/>
    <w:rsid w:val="003A39E2"/>
    <w:rsid w:val="003A3B91"/>
    <w:rsid w:val="003A3B99"/>
    <w:rsid w:val="003A3E3D"/>
    <w:rsid w:val="003A3F8F"/>
    <w:rsid w:val="003A4336"/>
    <w:rsid w:val="003A4774"/>
    <w:rsid w:val="003A47F8"/>
    <w:rsid w:val="003A4DB7"/>
    <w:rsid w:val="003A5047"/>
    <w:rsid w:val="003A508B"/>
    <w:rsid w:val="003A5299"/>
    <w:rsid w:val="003A535C"/>
    <w:rsid w:val="003A55CC"/>
    <w:rsid w:val="003A56A3"/>
    <w:rsid w:val="003A5D25"/>
    <w:rsid w:val="003A618C"/>
    <w:rsid w:val="003A61FF"/>
    <w:rsid w:val="003A62E8"/>
    <w:rsid w:val="003A6453"/>
    <w:rsid w:val="003A64B7"/>
    <w:rsid w:val="003A6549"/>
    <w:rsid w:val="003A65BC"/>
    <w:rsid w:val="003A6BB6"/>
    <w:rsid w:val="003A6DE3"/>
    <w:rsid w:val="003A6E56"/>
    <w:rsid w:val="003A71AF"/>
    <w:rsid w:val="003A766E"/>
    <w:rsid w:val="003A77C3"/>
    <w:rsid w:val="003A7A09"/>
    <w:rsid w:val="003A7B5C"/>
    <w:rsid w:val="003A7BB8"/>
    <w:rsid w:val="003A7BE6"/>
    <w:rsid w:val="003A7DA1"/>
    <w:rsid w:val="003A7EAA"/>
    <w:rsid w:val="003A7F1D"/>
    <w:rsid w:val="003B017F"/>
    <w:rsid w:val="003B025A"/>
    <w:rsid w:val="003B0366"/>
    <w:rsid w:val="003B0676"/>
    <w:rsid w:val="003B0732"/>
    <w:rsid w:val="003B07A6"/>
    <w:rsid w:val="003B0940"/>
    <w:rsid w:val="003B0F6C"/>
    <w:rsid w:val="003B1028"/>
    <w:rsid w:val="003B1220"/>
    <w:rsid w:val="003B140C"/>
    <w:rsid w:val="003B1478"/>
    <w:rsid w:val="003B18D9"/>
    <w:rsid w:val="003B1EEA"/>
    <w:rsid w:val="003B1F4C"/>
    <w:rsid w:val="003B2834"/>
    <w:rsid w:val="003B2A77"/>
    <w:rsid w:val="003B3164"/>
    <w:rsid w:val="003B34D4"/>
    <w:rsid w:val="003B3A9F"/>
    <w:rsid w:val="003B3AC6"/>
    <w:rsid w:val="003B3BE5"/>
    <w:rsid w:val="003B3DC2"/>
    <w:rsid w:val="003B3EFE"/>
    <w:rsid w:val="003B40DC"/>
    <w:rsid w:val="003B4549"/>
    <w:rsid w:val="003B474C"/>
    <w:rsid w:val="003B49C1"/>
    <w:rsid w:val="003B4A1D"/>
    <w:rsid w:val="003B4B0F"/>
    <w:rsid w:val="003B4BEB"/>
    <w:rsid w:val="003B4D5A"/>
    <w:rsid w:val="003B508D"/>
    <w:rsid w:val="003B50B0"/>
    <w:rsid w:val="003B5319"/>
    <w:rsid w:val="003B54B0"/>
    <w:rsid w:val="003B5669"/>
    <w:rsid w:val="003B5B15"/>
    <w:rsid w:val="003B5CEF"/>
    <w:rsid w:val="003B5DFC"/>
    <w:rsid w:val="003B6225"/>
    <w:rsid w:val="003B6420"/>
    <w:rsid w:val="003B6674"/>
    <w:rsid w:val="003B69E9"/>
    <w:rsid w:val="003B6A86"/>
    <w:rsid w:val="003B6BC1"/>
    <w:rsid w:val="003B6CC7"/>
    <w:rsid w:val="003B70D1"/>
    <w:rsid w:val="003B72F2"/>
    <w:rsid w:val="003B73B6"/>
    <w:rsid w:val="003B73E6"/>
    <w:rsid w:val="003B7892"/>
    <w:rsid w:val="003B7910"/>
    <w:rsid w:val="003B7F2C"/>
    <w:rsid w:val="003C0946"/>
    <w:rsid w:val="003C0B8F"/>
    <w:rsid w:val="003C0DF7"/>
    <w:rsid w:val="003C0E25"/>
    <w:rsid w:val="003C1243"/>
    <w:rsid w:val="003C15CD"/>
    <w:rsid w:val="003C1726"/>
    <w:rsid w:val="003C1D7C"/>
    <w:rsid w:val="003C26F2"/>
    <w:rsid w:val="003C2A8D"/>
    <w:rsid w:val="003C2B2F"/>
    <w:rsid w:val="003C2C5E"/>
    <w:rsid w:val="003C2E77"/>
    <w:rsid w:val="003C309B"/>
    <w:rsid w:val="003C31F4"/>
    <w:rsid w:val="003C33B7"/>
    <w:rsid w:val="003C347F"/>
    <w:rsid w:val="003C34CA"/>
    <w:rsid w:val="003C3792"/>
    <w:rsid w:val="003C3803"/>
    <w:rsid w:val="003C3B14"/>
    <w:rsid w:val="003C463F"/>
    <w:rsid w:val="003C4678"/>
    <w:rsid w:val="003C46C4"/>
    <w:rsid w:val="003C47C4"/>
    <w:rsid w:val="003C4A6C"/>
    <w:rsid w:val="003C4B41"/>
    <w:rsid w:val="003C4F52"/>
    <w:rsid w:val="003C5124"/>
    <w:rsid w:val="003C54B7"/>
    <w:rsid w:val="003C55B4"/>
    <w:rsid w:val="003C57C1"/>
    <w:rsid w:val="003C5D45"/>
    <w:rsid w:val="003C5F2A"/>
    <w:rsid w:val="003C6000"/>
    <w:rsid w:val="003C6109"/>
    <w:rsid w:val="003C62BB"/>
    <w:rsid w:val="003C63B8"/>
    <w:rsid w:val="003C6707"/>
    <w:rsid w:val="003C69D7"/>
    <w:rsid w:val="003C6A02"/>
    <w:rsid w:val="003C6A63"/>
    <w:rsid w:val="003C7211"/>
    <w:rsid w:val="003C7639"/>
    <w:rsid w:val="003C779F"/>
    <w:rsid w:val="003C781A"/>
    <w:rsid w:val="003C78D0"/>
    <w:rsid w:val="003C7ADF"/>
    <w:rsid w:val="003C7BAA"/>
    <w:rsid w:val="003C7C3C"/>
    <w:rsid w:val="003C7DA8"/>
    <w:rsid w:val="003C7E70"/>
    <w:rsid w:val="003C7F96"/>
    <w:rsid w:val="003D01B9"/>
    <w:rsid w:val="003D035D"/>
    <w:rsid w:val="003D0817"/>
    <w:rsid w:val="003D11E3"/>
    <w:rsid w:val="003D1453"/>
    <w:rsid w:val="003D1530"/>
    <w:rsid w:val="003D167C"/>
    <w:rsid w:val="003D17BD"/>
    <w:rsid w:val="003D1908"/>
    <w:rsid w:val="003D1AAE"/>
    <w:rsid w:val="003D1E95"/>
    <w:rsid w:val="003D1F5F"/>
    <w:rsid w:val="003D2451"/>
    <w:rsid w:val="003D246A"/>
    <w:rsid w:val="003D2EA9"/>
    <w:rsid w:val="003D3072"/>
    <w:rsid w:val="003D3239"/>
    <w:rsid w:val="003D3591"/>
    <w:rsid w:val="003D3641"/>
    <w:rsid w:val="003D3802"/>
    <w:rsid w:val="003D380E"/>
    <w:rsid w:val="003D39BC"/>
    <w:rsid w:val="003D3A67"/>
    <w:rsid w:val="003D3EFA"/>
    <w:rsid w:val="003D3F8E"/>
    <w:rsid w:val="003D40C7"/>
    <w:rsid w:val="003D439C"/>
    <w:rsid w:val="003D463F"/>
    <w:rsid w:val="003D4768"/>
    <w:rsid w:val="003D4ADA"/>
    <w:rsid w:val="003D4FE5"/>
    <w:rsid w:val="003D518F"/>
    <w:rsid w:val="003D5327"/>
    <w:rsid w:val="003D53B8"/>
    <w:rsid w:val="003D53D3"/>
    <w:rsid w:val="003D5651"/>
    <w:rsid w:val="003D59D5"/>
    <w:rsid w:val="003D59F7"/>
    <w:rsid w:val="003D5C0A"/>
    <w:rsid w:val="003D6578"/>
    <w:rsid w:val="003D688F"/>
    <w:rsid w:val="003D68C3"/>
    <w:rsid w:val="003D69A6"/>
    <w:rsid w:val="003D6CF4"/>
    <w:rsid w:val="003D710A"/>
    <w:rsid w:val="003D710E"/>
    <w:rsid w:val="003D72A8"/>
    <w:rsid w:val="003D74D0"/>
    <w:rsid w:val="003D762C"/>
    <w:rsid w:val="003D7C9E"/>
    <w:rsid w:val="003D7CBA"/>
    <w:rsid w:val="003E0018"/>
    <w:rsid w:val="003E0025"/>
    <w:rsid w:val="003E00EF"/>
    <w:rsid w:val="003E03AD"/>
    <w:rsid w:val="003E03D8"/>
    <w:rsid w:val="003E09F9"/>
    <w:rsid w:val="003E0A82"/>
    <w:rsid w:val="003E0AD4"/>
    <w:rsid w:val="003E0F7F"/>
    <w:rsid w:val="003E1353"/>
    <w:rsid w:val="003E1382"/>
    <w:rsid w:val="003E1FAB"/>
    <w:rsid w:val="003E2036"/>
    <w:rsid w:val="003E2351"/>
    <w:rsid w:val="003E26CF"/>
    <w:rsid w:val="003E2824"/>
    <w:rsid w:val="003E2883"/>
    <w:rsid w:val="003E28ED"/>
    <w:rsid w:val="003E29FF"/>
    <w:rsid w:val="003E2CC6"/>
    <w:rsid w:val="003E2D63"/>
    <w:rsid w:val="003E2EC9"/>
    <w:rsid w:val="003E2FD0"/>
    <w:rsid w:val="003E30C9"/>
    <w:rsid w:val="003E33F6"/>
    <w:rsid w:val="003E3681"/>
    <w:rsid w:val="003E3A81"/>
    <w:rsid w:val="003E3AD5"/>
    <w:rsid w:val="003E3B9D"/>
    <w:rsid w:val="003E3DC4"/>
    <w:rsid w:val="003E3F0A"/>
    <w:rsid w:val="003E41B6"/>
    <w:rsid w:val="003E42F4"/>
    <w:rsid w:val="003E441B"/>
    <w:rsid w:val="003E4682"/>
    <w:rsid w:val="003E52E4"/>
    <w:rsid w:val="003E538D"/>
    <w:rsid w:val="003E5932"/>
    <w:rsid w:val="003E5A26"/>
    <w:rsid w:val="003E5C06"/>
    <w:rsid w:val="003E5F5C"/>
    <w:rsid w:val="003E6008"/>
    <w:rsid w:val="003E61BC"/>
    <w:rsid w:val="003E61E8"/>
    <w:rsid w:val="003E62AD"/>
    <w:rsid w:val="003E68EF"/>
    <w:rsid w:val="003E6A56"/>
    <w:rsid w:val="003E6A7B"/>
    <w:rsid w:val="003E6AC5"/>
    <w:rsid w:val="003E727E"/>
    <w:rsid w:val="003E73C8"/>
    <w:rsid w:val="003E76C3"/>
    <w:rsid w:val="003E785C"/>
    <w:rsid w:val="003E7888"/>
    <w:rsid w:val="003E795E"/>
    <w:rsid w:val="003E7F3E"/>
    <w:rsid w:val="003E7F55"/>
    <w:rsid w:val="003F0170"/>
    <w:rsid w:val="003F0347"/>
    <w:rsid w:val="003F0454"/>
    <w:rsid w:val="003F0932"/>
    <w:rsid w:val="003F0B34"/>
    <w:rsid w:val="003F0C88"/>
    <w:rsid w:val="003F1253"/>
    <w:rsid w:val="003F188A"/>
    <w:rsid w:val="003F1CDD"/>
    <w:rsid w:val="003F1EAF"/>
    <w:rsid w:val="003F1FFF"/>
    <w:rsid w:val="003F2041"/>
    <w:rsid w:val="003F248B"/>
    <w:rsid w:val="003F2497"/>
    <w:rsid w:val="003F2695"/>
    <w:rsid w:val="003F28A9"/>
    <w:rsid w:val="003F2B52"/>
    <w:rsid w:val="003F2E2E"/>
    <w:rsid w:val="003F2FB3"/>
    <w:rsid w:val="003F3104"/>
    <w:rsid w:val="003F311F"/>
    <w:rsid w:val="003F31C0"/>
    <w:rsid w:val="003F3260"/>
    <w:rsid w:val="003F32C8"/>
    <w:rsid w:val="003F34AF"/>
    <w:rsid w:val="003F358D"/>
    <w:rsid w:val="003F35F5"/>
    <w:rsid w:val="003F3A1C"/>
    <w:rsid w:val="003F3CB6"/>
    <w:rsid w:val="003F3D07"/>
    <w:rsid w:val="003F3D20"/>
    <w:rsid w:val="003F40F0"/>
    <w:rsid w:val="003F42D0"/>
    <w:rsid w:val="003F468B"/>
    <w:rsid w:val="003F46A3"/>
    <w:rsid w:val="003F4F86"/>
    <w:rsid w:val="003F50E8"/>
    <w:rsid w:val="003F534F"/>
    <w:rsid w:val="003F5385"/>
    <w:rsid w:val="003F546D"/>
    <w:rsid w:val="003F5503"/>
    <w:rsid w:val="003F553A"/>
    <w:rsid w:val="003F5672"/>
    <w:rsid w:val="003F575A"/>
    <w:rsid w:val="003F57FD"/>
    <w:rsid w:val="003F5907"/>
    <w:rsid w:val="003F5B1F"/>
    <w:rsid w:val="003F5E07"/>
    <w:rsid w:val="003F6056"/>
    <w:rsid w:val="003F626D"/>
    <w:rsid w:val="003F63FF"/>
    <w:rsid w:val="003F642A"/>
    <w:rsid w:val="003F6801"/>
    <w:rsid w:val="003F68FB"/>
    <w:rsid w:val="003F6A17"/>
    <w:rsid w:val="003F6C30"/>
    <w:rsid w:val="003F74D6"/>
    <w:rsid w:val="003F7605"/>
    <w:rsid w:val="003F7620"/>
    <w:rsid w:val="003F7933"/>
    <w:rsid w:val="003F7BE5"/>
    <w:rsid w:val="003F7C81"/>
    <w:rsid w:val="0040004E"/>
    <w:rsid w:val="00400106"/>
    <w:rsid w:val="00400337"/>
    <w:rsid w:val="004003C3"/>
    <w:rsid w:val="004006F7"/>
    <w:rsid w:val="00400BB8"/>
    <w:rsid w:val="00400CBD"/>
    <w:rsid w:val="00401167"/>
    <w:rsid w:val="00401743"/>
    <w:rsid w:val="00401780"/>
    <w:rsid w:val="004017CF"/>
    <w:rsid w:val="004017DF"/>
    <w:rsid w:val="00401C33"/>
    <w:rsid w:val="00401C85"/>
    <w:rsid w:val="00402179"/>
    <w:rsid w:val="004021CA"/>
    <w:rsid w:val="00402236"/>
    <w:rsid w:val="004022FA"/>
    <w:rsid w:val="004025A0"/>
    <w:rsid w:val="004026C9"/>
    <w:rsid w:val="004027A7"/>
    <w:rsid w:val="00402864"/>
    <w:rsid w:val="00402AED"/>
    <w:rsid w:val="00402DA9"/>
    <w:rsid w:val="00402DC7"/>
    <w:rsid w:val="00402DE8"/>
    <w:rsid w:val="00402EB9"/>
    <w:rsid w:val="004032A3"/>
    <w:rsid w:val="00403537"/>
    <w:rsid w:val="004036D7"/>
    <w:rsid w:val="004038C1"/>
    <w:rsid w:val="004039E4"/>
    <w:rsid w:val="00403DEA"/>
    <w:rsid w:val="00403E38"/>
    <w:rsid w:val="00403FA3"/>
    <w:rsid w:val="0040421F"/>
    <w:rsid w:val="00404818"/>
    <w:rsid w:val="004048D4"/>
    <w:rsid w:val="00404ABE"/>
    <w:rsid w:val="00404BFC"/>
    <w:rsid w:val="00404C0C"/>
    <w:rsid w:val="004050DC"/>
    <w:rsid w:val="00405149"/>
    <w:rsid w:val="004054CF"/>
    <w:rsid w:val="004056E7"/>
    <w:rsid w:val="00405DE8"/>
    <w:rsid w:val="004066DC"/>
    <w:rsid w:val="00406C41"/>
    <w:rsid w:val="0040703C"/>
    <w:rsid w:val="004071A8"/>
    <w:rsid w:val="004071F6"/>
    <w:rsid w:val="004076D4"/>
    <w:rsid w:val="00407793"/>
    <w:rsid w:val="00407FBF"/>
    <w:rsid w:val="00410977"/>
    <w:rsid w:val="00410BC2"/>
    <w:rsid w:val="00410C7F"/>
    <w:rsid w:val="00410D8C"/>
    <w:rsid w:val="00410E6B"/>
    <w:rsid w:val="004113FC"/>
    <w:rsid w:val="0041140F"/>
    <w:rsid w:val="004116A7"/>
    <w:rsid w:val="004117B6"/>
    <w:rsid w:val="004118C8"/>
    <w:rsid w:val="00411ADD"/>
    <w:rsid w:val="00411B2A"/>
    <w:rsid w:val="00411C20"/>
    <w:rsid w:val="00411C7C"/>
    <w:rsid w:val="00411D53"/>
    <w:rsid w:val="00411EE3"/>
    <w:rsid w:val="00411F8D"/>
    <w:rsid w:val="00411FD4"/>
    <w:rsid w:val="00412333"/>
    <w:rsid w:val="004123BA"/>
    <w:rsid w:val="0041251E"/>
    <w:rsid w:val="00412D9C"/>
    <w:rsid w:val="004130B6"/>
    <w:rsid w:val="0041335B"/>
    <w:rsid w:val="00413713"/>
    <w:rsid w:val="004138A9"/>
    <w:rsid w:val="00413E2B"/>
    <w:rsid w:val="00413F4C"/>
    <w:rsid w:val="00414174"/>
    <w:rsid w:val="0041458B"/>
    <w:rsid w:val="004145C1"/>
    <w:rsid w:val="00414C47"/>
    <w:rsid w:val="00414D8D"/>
    <w:rsid w:val="0041505C"/>
    <w:rsid w:val="004150C2"/>
    <w:rsid w:val="004151C2"/>
    <w:rsid w:val="00415356"/>
    <w:rsid w:val="004153FC"/>
    <w:rsid w:val="0041541C"/>
    <w:rsid w:val="0041587E"/>
    <w:rsid w:val="00415ABC"/>
    <w:rsid w:val="00416088"/>
    <w:rsid w:val="0041689C"/>
    <w:rsid w:val="00416945"/>
    <w:rsid w:val="00416DCD"/>
    <w:rsid w:val="00416E34"/>
    <w:rsid w:val="00416F83"/>
    <w:rsid w:val="004170DE"/>
    <w:rsid w:val="00417344"/>
    <w:rsid w:val="00417492"/>
    <w:rsid w:val="00417544"/>
    <w:rsid w:val="00417B89"/>
    <w:rsid w:val="00417C2D"/>
    <w:rsid w:val="00417F0B"/>
    <w:rsid w:val="00417F84"/>
    <w:rsid w:val="0042000D"/>
    <w:rsid w:val="004201C5"/>
    <w:rsid w:val="0042020C"/>
    <w:rsid w:val="00420361"/>
    <w:rsid w:val="004203A2"/>
    <w:rsid w:val="004203D1"/>
    <w:rsid w:val="00420FC1"/>
    <w:rsid w:val="0042107C"/>
    <w:rsid w:val="004210E3"/>
    <w:rsid w:val="004211E2"/>
    <w:rsid w:val="004213BA"/>
    <w:rsid w:val="00421637"/>
    <w:rsid w:val="0042170F"/>
    <w:rsid w:val="00421955"/>
    <w:rsid w:val="00421A9D"/>
    <w:rsid w:val="00421AFF"/>
    <w:rsid w:val="00421B0E"/>
    <w:rsid w:val="00421C56"/>
    <w:rsid w:val="00421CF1"/>
    <w:rsid w:val="00421EE2"/>
    <w:rsid w:val="0042204E"/>
    <w:rsid w:val="0042224A"/>
    <w:rsid w:val="00422301"/>
    <w:rsid w:val="00422613"/>
    <w:rsid w:val="00422636"/>
    <w:rsid w:val="00422679"/>
    <w:rsid w:val="004227BC"/>
    <w:rsid w:val="00422888"/>
    <w:rsid w:val="004228CF"/>
    <w:rsid w:val="00422A4B"/>
    <w:rsid w:val="00422E6B"/>
    <w:rsid w:val="00423388"/>
    <w:rsid w:val="00423624"/>
    <w:rsid w:val="00423728"/>
    <w:rsid w:val="004238BE"/>
    <w:rsid w:val="00423982"/>
    <w:rsid w:val="004240AE"/>
    <w:rsid w:val="0042415D"/>
    <w:rsid w:val="0042479C"/>
    <w:rsid w:val="0042479D"/>
    <w:rsid w:val="00424DF0"/>
    <w:rsid w:val="00424E4F"/>
    <w:rsid w:val="00424F2B"/>
    <w:rsid w:val="00424FFA"/>
    <w:rsid w:val="00425145"/>
    <w:rsid w:val="00425225"/>
    <w:rsid w:val="00425292"/>
    <w:rsid w:val="00425495"/>
    <w:rsid w:val="004254FD"/>
    <w:rsid w:val="00425642"/>
    <w:rsid w:val="004258E0"/>
    <w:rsid w:val="00425ADE"/>
    <w:rsid w:val="00425E77"/>
    <w:rsid w:val="00425F09"/>
    <w:rsid w:val="0042613F"/>
    <w:rsid w:val="00426195"/>
    <w:rsid w:val="004261D0"/>
    <w:rsid w:val="00426449"/>
    <w:rsid w:val="004265C5"/>
    <w:rsid w:val="004267C9"/>
    <w:rsid w:val="00426895"/>
    <w:rsid w:val="00426EBD"/>
    <w:rsid w:val="004270B8"/>
    <w:rsid w:val="004271FB"/>
    <w:rsid w:val="004274D9"/>
    <w:rsid w:val="00427695"/>
    <w:rsid w:val="00427994"/>
    <w:rsid w:val="00427A04"/>
    <w:rsid w:val="00430263"/>
    <w:rsid w:val="00430279"/>
    <w:rsid w:val="00430517"/>
    <w:rsid w:val="00430812"/>
    <w:rsid w:val="00430893"/>
    <w:rsid w:val="004309B4"/>
    <w:rsid w:val="00430CDD"/>
    <w:rsid w:val="00430D4D"/>
    <w:rsid w:val="00430EC1"/>
    <w:rsid w:val="00431061"/>
    <w:rsid w:val="00431218"/>
    <w:rsid w:val="00431297"/>
    <w:rsid w:val="004312BA"/>
    <w:rsid w:val="004317AE"/>
    <w:rsid w:val="004317D3"/>
    <w:rsid w:val="00431928"/>
    <w:rsid w:val="004319EB"/>
    <w:rsid w:val="004321C0"/>
    <w:rsid w:val="0043250B"/>
    <w:rsid w:val="00432605"/>
    <w:rsid w:val="004326B9"/>
    <w:rsid w:val="004329B4"/>
    <w:rsid w:val="00432A51"/>
    <w:rsid w:val="00432AA4"/>
    <w:rsid w:val="00432AFC"/>
    <w:rsid w:val="00432E49"/>
    <w:rsid w:val="00432FE8"/>
    <w:rsid w:val="0043307D"/>
    <w:rsid w:val="0043312A"/>
    <w:rsid w:val="00433CE2"/>
    <w:rsid w:val="00433D69"/>
    <w:rsid w:val="00433D9C"/>
    <w:rsid w:val="00433E1F"/>
    <w:rsid w:val="004341BE"/>
    <w:rsid w:val="00434728"/>
    <w:rsid w:val="00434F1C"/>
    <w:rsid w:val="00434F60"/>
    <w:rsid w:val="0043511C"/>
    <w:rsid w:val="00435179"/>
    <w:rsid w:val="004353ED"/>
    <w:rsid w:val="00435927"/>
    <w:rsid w:val="004359C5"/>
    <w:rsid w:val="00435BAE"/>
    <w:rsid w:val="00435C17"/>
    <w:rsid w:val="004360CE"/>
    <w:rsid w:val="00436184"/>
    <w:rsid w:val="004367FF"/>
    <w:rsid w:val="004368E3"/>
    <w:rsid w:val="00436CBD"/>
    <w:rsid w:val="00436E60"/>
    <w:rsid w:val="00437024"/>
    <w:rsid w:val="0043718E"/>
    <w:rsid w:val="00437849"/>
    <w:rsid w:val="00437D37"/>
    <w:rsid w:val="00437EFD"/>
    <w:rsid w:val="00440349"/>
    <w:rsid w:val="00440441"/>
    <w:rsid w:val="00440563"/>
    <w:rsid w:val="0044115B"/>
    <w:rsid w:val="00441300"/>
    <w:rsid w:val="00441707"/>
    <w:rsid w:val="00441770"/>
    <w:rsid w:val="00441FBE"/>
    <w:rsid w:val="0044216C"/>
    <w:rsid w:val="00442360"/>
    <w:rsid w:val="00442375"/>
    <w:rsid w:val="00442397"/>
    <w:rsid w:val="004423FB"/>
    <w:rsid w:val="0044246F"/>
    <w:rsid w:val="00442569"/>
    <w:rsid w:val="00442C57"/>
    <w:rsid w:val="00442C5B"/>
    <w:rsid w:val="00443160"/>
    <w:rsid w:val="0044361C"/>
    <w:rsid w:val="0044375B"/>
    <w:rsid w:val="004437A5"/>
    <w:rsid w:val="004437F7"/>
    <w:rsid w:val="004438AC"/>
    <w:rsid w:val="004438EA"/>
    <w:rsid w:val="00443D54"/>
    <w:rsid w:val="0044480A"/>
    <w:rsid w:val="00444A67"/>
    <w:rsid w:val="00444B77"/>
    <w:rsid w:val="00444E71"/>
    <w:rsid w:val="00444FE3"/>
    <w:rsid w:val="00445015"/>
    <w:rsid w:val="00445107"/>
    <w:rsid w:val="00445252"/>
    <w:rsid w:val="00445A10"/>
    <w:rsid w:val="004461DC"/>
    <w:rsid w:val="004465DF"/>
    <w:rsid w:val="004465EB"/>
    <w:rsid w:val="0044662A"/>
    <w:rsid w:val="00446869"/>
    <w:rsid w:val="00446950"/>
    <w:rsid w:val="004469B8"/>
    <w:rsid w:val="00446A0F"/>
    <w:rsid w:val="00446A2E"/>
    <w:rsid w:val="00446AF8"/>
    <w:rsid w:val="00446C36"/>
    <w:rsid w:val="00446C7C"/>
    <w:rsid w:val="00446EE2"/>
    <w:rsid w:val="00446EE7"/>
    <w:rsid w:val="004471ED"/>
    <w:rsid w:val="00447367"/>
    <w:rsid w:val="0044764D"/>
    <w:rsid w:val="00447934"/>
    <w:rsid w:val="00447C96"/>
    <w:rsid w:val="00447CC3"/>
    <w:rsid w:val="004503A5"/>
    <w:rsid w:val="00450AB8"/>
    <w:rsid w:val="00450D48"/>
    <w:rsid w:val="00450D4F"/>
    <w:rsid w:val="004518E4"/>
    <w:rsid w:val="0045198D"/>
    <w:rsid w:val="00451A10"/>
    <w:rsid w:val="00451B86"/>
    <w:rsid w:val="00451D26"/>
    <w:rsid w:val="00452356"/>
    <w:rsid w:val="00452380"/>
    <w:rsid w:val="004524FA"/>
    <w:rsid w:val="004524FE"/>
    <w:rsid w:val="00452598"/>
    <w:rsid w:val="004525E1"/>
    <w:rsid w:val="004527B9"/>
    <w:rsid w:val="00452950"/>
    <w:rsid w:val="00452A47"/>
    <w:rsid w:val="004537D2"/>
    <w:rsid w:val="00453A31"/>
    <w:rsid w:val="00453CB3"/>
    <w:rsid w:val="00453E30"/>
    <w:rsid w:val="00453E72"/>
    <w:rsid w:val="00454253"/>
    <w:rsid w:val="00454307"/>
    <w:rsid w:val="00454796"/>
    <w:rsid w:val="004549F3"/>
    <w:rsid w:val="00454D00"/>
    <w:rsid w:val="00455611"/>
    <w:rsid w:val="0045566C"/>
    <w:rsid w:val="00455871"/>
    <w:rsid w:val="0045597F"/>
    <w:rsid w:val="00455C2A"/>
    <w:rsid w:val="004560AF"/>
    <w:rsid w:val="00456113"/>
    <w:rsid w:val="004561F3"/>
    <w:rsid w:val="00456E7A"/>
    <w:rsid w:val="00457149"/>
    <w:rsid w:val="00457AD6"/>
    <w:rsid w:val="00457CAE"/>
    <w:rsid w:val="00457CE2"/>
    <w:rsid w:val="004600C2"/>
    <w:rsid w:val="0046010B"/>
    <w:rsid w:val="004604EF"/>
    <w:rsid w:val="004605D3"/>
    <w:rsid w:val="00460746"/>
    <w:rsid w:val="00460843"/>
    <w:rsid w:val="00460DD1"/>
    <w:rsid w:val="00460E48"/>
    <w:rsid w:val="00460FE3"/>
    <w:rsid w:val="004610DA"/>
    <w:rsid w:val="00461346"/>
    <w:rsid w:val="0046146C"/>
    <w:rsid w:val="0046150E"/>
    <w:rsid w:val="00461682"/>
    <w:rsid w:val="004618CA"/>
    <w:rsid w:val="00461A91"/>
    <w:rsid w:val="00461D42"/>
    <w:rsid w:val="00461F87"/>
    <w:rsid w:val="00462335"/>
    <w:rsid w:val="004623BF"/>
    <w:rsid w:val="00462581"/>
    <w:rsid w:val="00462B3D"/>
    <w:rsid w:val="00462E7F"/>
    <w:rsid w:val="004630D9"/>
    <w:rsid w:val="0046316A"/>
    <w:rsid w:val="00463384"/>
    <w:rsid w:val="0046363B"/>
    <w:rsid w:val="004639CE"/>
    <w:rsid w:val="00463AC5"/>
    <w:rsid w:val="00463C06"/>
    <w:rsid w:val="00463C35"/>
    <w:rsid w:val="00463ECA"/>
    <w:rsid w:val="00463EFB"/>
    <w:rsid w:val="004640B8"/>
    <w:rsid w:val="004642E0"/>
    <w:rsid w:val="00464553"/>
    <w:rsid w:val="0046469F"/>
    <w:rsid w:val="00464914"/>
    <w:rsid w:val="00464B96"/>
    <w:rsid w:val="00464F83"/>
    <w:rsid w:val="00465323"/>
    <w:rsid w:val="004655B4"/>
    <w:rsid w:val="00465967"/>
    <w:rsid w:val="00465CFB"/>
    <w:rsid w:val="004661F5"/>
    <w:rsid w:val="0046643C"/>
    <w:rsid w:val="00466BBB"/>
    <w:rsid w:val="0046727B"/>
    <w:rsid w:val="004676AD"/>
    <w:rsid w:val="004676E8"/>
    <w:rsid w:val="0046796B"/>
    <w:rsid w:val="00467D66"/>
    <w:rsid w:val="00467F2F"/>
    <w:rsid w:val="00470339"/>
    <w:rsid w:val="0047046D"/>
    <w:rsid w:val="00470476"/>
    <w:rsid w:val="0047082A"/>
    <w:rsid w:val="00470F10"/>
    <w:rsid w:val="00471013"/>
    <w:rsid w:val="00471097"/>
    <w:rsid w:val="0047145C"/>
    <w:rsid w:val="00471691"/>
    <w:rsid w:val="00471732"/>
    <w:rsid w:val="00471A2A"/>
    <w:rsid w:val="00471A3F"/>
    <w:rsid w:val="00471F16"/>
    <w:rsid w:val="0047258C"/>
    <w:rsid w:val="004728A3"/>
    <w:rsid w:val="00472E42"/>
    <w:rsid w:val="00472FD1"/>
    <w:rsid w:val="0047304D"/>
    <w:rsid w:val="00473910"/>
    <w:rsid w:val="00473C6C"/>
    <w:rsid w:val="00473F9F"/>
    <w:rsid w:val="00473FF0"/>
    <w:rsid w:val="00474550"/>
    <w:rsid w:val="004749CC"/>
    <w:rsid w:val="00474BC6"/>
    <w:rsid w:val="00474C5F"/>
    <w:rsid w:val="004758D9"/>
    <w:rsid w:val="00475C94"/>
    <w:rsid w:val="00475DC7"/>
    <w:rsid w:val="00476039"/>
    <w:rsid w:val="0047609A"/>
    <w:rsid w:val="00476A55"/>
    <w:rsid w:val="0047737A"/>
    <w:rsid w:val="004773B0"/>
    <w:rsid w:val="0047755C"/>
    <w:rsid w:val="0047784E"/>
    <w:rsid w:val="0047791C"/>
    <w:rsid w:val="00477CB2"/>
    <w:rsid w:val="00477D35"/>
    <w:rsid w:val="00477EC2"/>
    <w:rsid w:val="00480399"/>
    <w:rsid w:val="004804C2"/>
    <w:rsid w:val="004804F6"/>
    <w:rsid w:val="0048058B"/>
    <w:rsid w:val="0048072F"/>
    <w:rsid w:val="00480BA9"/>
    <w:rsid w:val="0048105C"/>
    <w:rsid w:val="00481138"/>
    <w:rsid w:val="00481B53"/>
    <w:rsid w:val="00481D0A"/>
    <w:rsid w:val="00481D2C"/>
    <w:rsid w:val="00482083"/>
    <w:rsid w:val="0048247F"/>
    <w:rsid w:val="00482978"/>
    <w:rsid w:val="00482C0E"/>
    <w:rsid w:val="00482C2B"/>
    <w:rsid w:val="00482C80"/>
    <w:rsid w:val="004834F5"/>
    <w:rsid w:val="00483A4A"/>
    <w:rsid w:val="00483B36"/>
    <w:rsid w:val="00483CAC"/>
    <w:rsid w:val="00483D39"/>
    <w:rsid w:val="0048417F"/>
    <w:rsid w:val="004844A7"/>
    <w:rsid w:val="004845E7"/>
    <w:rsid w:val="0048491D"/>
    <w:rsid w:val="004849D4"/>
    <w:rsid w:val="00484B5C"/>
    <w:rsid w:val="00484C03"/>
    <w:rsid w:val="0048542C"/>
    <w:rsid w:val="004858E3"/>
    <w:rsid w:val="00485BF6"/>
    <w:rsid w:val="00485DC8"/>
    <w:rsid w:val="00485FA6"/>
    <w:rsid w:val="004860A5"/>
    <w:rsid w:val="0048616A"/>
    <w:rsid w:val="004861D0"/>
    <w:rsid w:val="00486298"/>
    <w:rsid w:val="00486785"/>
    <w:rsid w:val="00486A32"/>
    <w:rsid w:val="00486B39"/>
    <w:rsid w:val="00486F30"/>
    <w:rsid w:val="00487788"/>
    <w:rsid w:val="0048791E"/>
    <w:rsid w:val="0048795B"/>
    <w:rsid w:val="00487C94"/>
    <w:rsid w:val="00490010"/>
    <w:rsid w:val="00490209"/>
    <w:rsid w:val="00490216"/>
    <w:rsid w:val="004902C5"/>
    <w:rsid w:val="00490444"/>
    <w:rsid w:val="004904EE"/>
    <w:rsid w:val="0049091C"/>
    <w:rsid w:val="00490AB8"/>
    <w:rsid w:val="00490CDD"/>
    <w:rsid w:val="00490FEE"/>
    <w:rsid w:val="00491263"/>
    <w:rsid w:val="004912E3"/>
    <w:rsid w:val="004914D1"/>
    <w:rsid w:val="0049168C"/>
    <w:rsid w:val="00491A3B"/>
    <w:rsid w:val="00491A52"/>
    <w:rsid w:val="00491C1D"/>
    <w:rsid w:val="00491E7B"/>
    <w:rsid w:val="00491FDD"/>
    <w:rsid w:val="00492190"/>
    <w:rsid w:val="00492223"/>
    <w:rsid w:val="004922F2"/>
    <w:rsid w:val="00492396"/>
    <w:rsid w:val="0049260D"/>
    <w:rsid w:val="00492A73"/>
    <w:rsid w:val="00492AF4"/>
    <w:rsid w:val="00492C76"/>
    <w:rsid w:val="00492CDF"/>
    <w:rsid w:val="0049303D"/>
    <w:rsid w:val="00493410"/>
    <w:rsid w:val="00493539"/>
    <w:rsid w:val="00493628"/>
    <w:rsid w:val="004938C2"/>
    <w:rsid w:val="00493D63"/>
    <w:rsid w:val="00493F94"/>
    <w:rsid w:val="0049428A"/>
    <w:rsid w:val="004943E2"/>
    <w:rsid w:val="00494892"/>
    <w:rsid w:val="00494946"/>
    <w:rsid w:val="00494B25"/>
    <w:rsid w:val="00494ED2"/>
    <w:rsid w:val="00494F29"/>
    <w:rsid w:val="004952D7"/>
    <w:rsid w:val="00495659"/>
    <w:rsid w:val="00495703"/>
    <w:rsid w:val="00495728"/>
    <w:rsid w:val="004957B3"/>
    <w:rsid w:val="004959DF"/>
    <w:rsid w:val="00495A20"/>
    <w:rsid w:val="00495A64"/>
    <w:rsid w:val="00495C00"/>
    <w:rsid w:val="004966A6"/>
    <w:rsid w:val="004966F3"/>
    <w:rsid w:val="00496D00"/>
    <w:rsid w:val="00496DFE"/>
    <w:rsid w:val="00496E74"/>
    <w:rsid w:val="0049706C"/>
    <w:rsid w:val="00497400"/>
    <w:rsid w:val="004976FA"/>
    <w:rsid w:val="00497883"/>
    <w:rsid w:val="004979EE"/>
    <w:rsid w:val="00497B14"/>
    <w:rsid w:val="00497D60"/>
    <w:rsid w:val="00497EAD"/>
    <w:rsid w:val="00497FFB"/>
    <w:rsid w:val="004A03A5"/>
    <w:rsid w:val="004A04C4"/>
    <w:rsid w:val="004A07F4"/>
    <w:rsid w:val="004A09C4"/>
    <w:rsid w:val="004A0A45"/>
    <w:rsid w:val="004A0C24"/>
    <w:rsid w:val="004A0EFA"/>
    <w:rsid w:val="004A10B9"/>
    <w:rsid w:val="004A1160"/>
    <w:rsid w:val="004A137F"/>
    <w:rsid w:val="004A168C"/>
    <w:rsid w:val="004A189A"/>
    <w:rsid w:val="004A18F6"/>
    <w:rsid w:val="004A1A23"/>
    <w:rsid w:val="004A1D16"/>
    <w:rsid w:val="004A1EEB"/>
    <w:rsid w:val="004A238E"/>
    <w:rsid w:val="004A23C7"/>
    <w:rsid w:val="004A2433"/>
    <w:rsid w:val="004A291C"/>
    <w:rsid w:val="004A2E70"/>
    <w:rsid w:val="004A2ED5"/>
    <w:rsid w:val="004A301C"/>
    <w:rsid w:val="004A30C3"/>
    <w:rsid w:val="004A32E3"/>
    <w:rsid w:val="004A344D"/>
    <w:rsid w:val="004A3988"/>
    <w:rsid w:val="004A3A1C"/>
    <w:rsid w:val="004A3B60"/>
    <w:rsid w:val="004A3C50"/>
    <w:rsid w:val="004A3E4A"/>
    <w:rsid w:val="004A3E76"/>
    <w:rsid w:val="004A3F41"/>
    <w:rsid w:val="004A3F59"/>
    <w:rsid w:val="004A408D"/>
    <w:rsid w:val="004A416D"/>
    <w:rsid w:val="004A43AA"/>
    <w:rsid w:val="004A4AF9"/>
    <w:rsid w:val="004A4D0E"/>
    <w:rsid w:val="004A4D5D"/>
    <w:rsid w:val="004A4EE2"/>
    <w:rsid w:val="004A5066"/>
    <w:rsid w:val="004A517D"/>
    <w:rsid w:val="004A529B"/>
    <w:rsid w:val="004A55AE"/>
    <w:rsid w:val="004A5619"/>
    <w:rsid w:val="004A5681"/>
    <w:rsid w:val="004A5716"/>
    <w:rsid w:val="004A57D2"/>
    <w:rsid w:val="004A58C1"/>
    <w:rsid w:val="004A5B24"/>
    <w:rsid w:val="004A5BAD"/>
    <w:rsid w:val="004A5E4F"/>
    <w:rsid w:val="004A6095"/>
    <w:rsid w:val="004A60AF"/>
    <w:rsid w:val="004A650A"/>
    <w:rsid w:val="004A66B6"/>
    <w:rsid w:val="004A6778"/>
    <w:rsid w:val="004A67A4"/>
    <w:rsid w:val="004A6AF4"/>
    <w:rsid w:val="004A6EFC"/>
    <w:rsid w:val="004A717C"/>
    <w:rsid w:val="004A72FE"/>
    <w:rsid w:val="004A7374"/>
    <w:rsid w:val="004A7967"/>
    <w:rsid w:val="004A7DB7"/>
    <w:rsid w:val="004B0343"/>
    <w:rsid w:val="004B04ED"/>
    <w:rsid w:val="004B06FB"/>
    <w:rsid w:val="004B0791"/>
    <w:rsid w:val="004B08AA"/>
    <w:rsid w:val="004B0B59"/>
    <w:rsid w:val="004B11DA"/>
    <w:rsid w:val="004B130B"/>
    <w:rsid w:val="004B136A"/>
    <w:rsid w:val="004B1529"/>
    <w:rsid w:val="004B19F0"/>
    <w:rsid w:val="004B1E6B"/>
    <w:rsid w:val="004B2002"/>
    <w:rsid w:val="004B229F"/>
    <w:rsid w:val="004B27E2"/>
    <w:rsid w:val="004B2D48"/>
    <w:rsid w:val="004B2DF0"/>
    <w:rsid w:val="004B331B"/>
    <w:rsid w:val="004B360C"/>
    <w:rsid w:val="004B3807"/>
    <w:rsid w:val="004B387C"/>
    <w:rsid w:val="004B38E1"/>
    <w:rsid w:val="004B3AB0"/>
    <w:rsid w:val="004B3AB5"/>
    <w:rsid w:val="004B3AD0"/>
    <w:rsid w:val="004B3BD0"/>
    <w:rsid w:val="004B41F6"/>
    <w:rsid w:val="004B463F"/>
    <w:rsid w:val="004B485C"/>
    <w:rsid w:val="004B4AFD"/>
    <w:rsid w:val="004B4C4A"/>
    <w:rsid w:val="004B4C5C"/>
    <w:rsid w:val="004B4DB1"/>
    <w:rsid w:val="004B4F8F"/>
    <w:rsid w:val="004B50B9"/>
    <w:rsid w:val="004B50F6"/>
    <w:rsid w:val="004B5399"/>
    <w:rsid w:val="004B53A8"/>
    <w:rsid w:val="004B54B8"/>
    <w:rsid w:val="004B54D6"/>
    <w:rsid w:val="004B573A"/>
    <w:rsid w:val="004B57CA"/>
    <w:rsid w:val="004B5925"/>
    <w:rsid w:val="004B5C4B"/>
    <w:rsid w:val="004B5C8C"/>
    <w:rsid w:val="004B5DE8"/>
    <w:rsid w:val="004B5F59"/>
    <w:rsid w:val="004B5FC3"/>
    <w:rsid w:val="004B613E"/>
    <w:rsid w:val="004B6CE2"/>
    <w:rsid w:val="004B701C"/>
    <w:rsid w:val="004B73DC"/>
    <w:rsid w:val="004B7413"/>
    <w:rsid w:val="004B750D"/>
    <w:rsid w:val="004B785C"/>
    <w:rsid w:val="004B7A69"/>
    <w:rsid w:val="004B7CA0"/>
    <w:rsid w:val="004B7D1E"/>
    <w:rsid w:val="004C0410"/>
    <w:rsid w:val="004C0492"/>
    <w:rsid w:val="004C0628"/>
    <w:rsid w:val="004C0772"/>
    <w:rsid w:val="004C0FB5"/>
    <w:rsid w:val="004C1A84"/>
    <w:rsid w:val="004C1AC8"/>
    <w:rsid w:val="004C1BC8"/>
    <w:rsid w:val="004C1CCE"/>
    <w:rsid w:val="004C1CED"/>
    <w:rsid w:val="004C209B"/>
    <w:rsid w:val="004C21DE"/>
    <w:rsid w:val="004C2293"/>
    <w:rsid w:val="004C24FF"/>
    <w:rsid w:val="004C2715"/>
    <w:rsid w:val="004C28B8"/>
    <w:rsid w:val="004C2C43"/>
    <w:rsid w:val="004C2EEC"/>
    <w:rsid w:val="004C2FAB"/>
    <w:rsid w:val="004C333E"/>
    <w:rsid w:val="004C3350"/>
    <w:rsid w:val="004C336B"/>
    <w:rsid w:val="004C3734"/>
    <w:rsid w:val="004C3A26"/>
    <w:rsid w:val="004C3B19"/>
    <w:rsid w:val="004C4012"/>
    <w:rsid w:val="004C43F7"/>
    <w:rsid w:val="004C4948"/>
    <w:rsid w:val="004C49CC"/>
    <w:rsid w:val="004C49FD"/>
    <w:rsid w:val="004C52BD"/>
    <w:rsid w:val="004C5409"/>
    <w:rsid w:val="004C5435"/>
    <w:rsid w:val="004C5B7E"/>
    <w:rsid w:val="004C5E85"/>
    <w:rsid w:val="004C65C8"/>
    <w:rsid w:val="004C69B1"/>
    <w:rsid w:val="004C6A12"/>
    <w:rsid w:val="004C6A17"/>
    <w:rsid w:val="004C6B92"/>
    <w:rsid w:val="004C6BB2"/>
    <w:rsid w:val="004C6CA6"/>
    <w:rsid w:val="004C709F"/>
    <w:rsid w:val="004C7409"/>
    <w:rsid w:val="004C7B21"/>
    <w:rsid w:val="004C7D4C"/>
    <w:rsid w:val="004C7D59"/>
    <w:rsid w:val="004C7D73"/>
    <w:rsid w:val="004C7EC0"/>
    <w:rsid w:val="004C7F2A"/>
    <w:rsid w:val="004D01F6"/>
    <w:rsid w:val="004D036E"/>
    <w:rsid w:val="004D0504"/>
    <w:rsid w:val="004D1056"/>
    <w:rsid w:val="004D10C5"/>
    <w:rsid w:val="004D1198"/>
    <w:rsid w:val="004D12F8"/>
    <w:rsid w:val="004D175B"/>
    <w:rsid w:val="004D184A"/>
    <w:rsid w:val="004D187E"/>
    <w:rsid w:val="004D1AEE"/>
    <w:rsid w:val="004D1DDC"/>
    <w:rsid w:val="004D228D"/>
    <w:rsid w:val="004D2668"/>
    <w:rsid w:val="004D2B8A"/>
    <w:rsid w:val="004D2C87"/>
    <w:rsid w:val="004D2EAD"/>
    <w:rsid w:val="004D3064"/>
    <w:rsid w:val="004D3203"/>
    <w:rsid w:val="004D3445"/>
    <w:rsid w:val="004D3727"/>
    <w:rsid w:val="004D398D"/>
    <w:rsid w:val="004D3E7D"/>
    <w:rsid w:val="004D4283"/>
    <w:rsid w:val="004D42AA"/>
    <w:rsid w:val="004D4E52"/>
    <w:rsid w:val="004D4F92"/>
    <w:rsid w:val="004D5525"/>
    <w:rsid w:val="004D5651"/>
    <w:rsid w:val="004D571B"/>
    <w:rsid w:val="004D5816"/>
    <w:rsid w:val="004D5CCB"/>
    <w:rsid w:val="004D5D1B"/>
    <w:rsid w:val="004D5E55"/>
    <w:rsid w:val="004D5EA9"/>
    <w:rsid w:val="004D6118"/>
    <w:rsid w:val="004D61CD"/>
    <w:rsid w:val="004D6267"/>
    <w:rsid w:val="004D6287"/>
    <w:rsid w:val="004D6429"/>
    <w:rsid w:val="004D6E17"/>
    <w:rsid w:val="004D6E2D"/>
    <w:rsid w:val="004D6E81"/>
    <w:rsid w:val="004D77DD"/>
    <w:rsid w:val="004D77F4"/>
    <w:rsid w:val="004D7AAE"/>
    <w:rsid w:val="004D7EE6"/>
    <w:rsid w:val="004E064F"/>
    <w:rsid w:val="004E0E7F"/>
    <w:rsid w:val="004E0F59"/>
    <w:rsid w:val="004E0FA1"/>
    <w:rsid w:val="004E10FA"/>
    <w:rsid w:val="004E1113"/>
    <w:rsid w:val="004E128E"/>
    <w:rsid w:val="004E1AD4"/>
    <w:rsid w:val="004E1BA7"/>
    <w:rsid w:val="004E233A"/>
    <w:rsid w:val="004E254B"/>
    <w:rsid w:val="004E2797"/>
    <w:rsid w:val="004E2924"/>
    <w:rsid w:val="004E2EBB"/>
    <w:rsid w:val="004E36B9"/>
    <w:rsid w:val="004E3724"/>
    <w:rsid w:val="004E3822"/>
    <w:rsid w:val="004E38D2"/>
    <w:rsid w:val="004E393A"/>
    <w:rsid w:val="004E3A05"/>
    <w:rsid w:val="004E3A94"/>
    <w:rsid w:val="004E3C69"/>
    <w:rsid w:val="004E3D1D"/>
    <w:rsid w:val="004E4152"/>
    <w:rsid w:val="004E41CC"/>
    <w:rsid w:val="004E4386"/>
    <w:rsid w:val="004E438E"/>
    <w:rsid w:val="004E462F"/>
    <w:rsid w:val="004E47D9"/>
    <w:rsid w:val="004E483F"/>
    <w:rsid w:val="004E48E4"/>
    <w:rsid w:val="004E49EF"/>
    <w:rsid w:val="004E4DD7"/>
    <w:rsid w:val="004E510F"/>
    <w:rsid w:val="004E570B"/>
    <w:rsid w:val="004E595B"/>
    <w:rsid w:val="004E59D2"/>
    <w:rsid w:val="004E5C8F"/>
    <w:rsid w:val="004E5CE0"/>
    <w:rsid w:val="004E6227"/>
    <w:rsid w:val="004E62E0"/>
    <w:rsid w:val="004E639B"/>
    <w:rsid w:val="004E70FA"/>
    <w:rsid w:val="004E73A2"/>
    <w:rsid w:val="004E748D"/>
    <w:rsid w:val="004E74D5"/>
    <w:rsid w:val="004E75E8"/>
    <w:rsid w:val="004E7A3F"/>
    <w:rsid w:val="004E7E88"/>
    <w:rsid w:val="004E7EB6"/>
    <w:rsid w:val="004F012A"/>
    <w:rsid w:val="004F03F5"/>
    <w:rsid w:val="004F06BD"/>
    <w:rsid w:val="004F07B7"/>
    <w:rsid w:val="004F08EF"/>
    <w:rsid w:val="004F0A30"/>
    <w:rsid w:val="004F0C9D"/>
    <w:rsid w:val="004F0E38"/>
    <w:rsid w:val="004F0E41"/>
    <w:rsid w:val="004F101F"/>
    <w:rsid w:val="004F112A"/>
    <w:rsid w:val="004F12A5"/>
    <w:rsid w:val="004F14C4"/>
    <w:rsid w:val="004F15A9"/>
    <w:rsid w:val="004F1868"/>
    <w:rsid w:val="004F1A4F"/>
    <w:rsid w:val="004F1C3B"/>
    <w:rsid w:val="004F1CFC"/>
    <w:rsid w:val="004F2079"/>
    <w:rsid w:val="004F26C2"/>
    <w:rsid w:val="004F27FB"/>
    <w:rsid w:val="004F2884"/>
    <w:rsid w:val="004F2982"/>
    <w:rsid w:val="004F2E72"/>
    <w:rsid w:val="004F30B2"/>
    <w:rsid w:val="004F36D2"/>
    <w:rsid w:val="004F3B92"/>
    <w:rsid w:val="004F42AE"/>
    <w:rsid w:val="004F42BC"/>
    <w:rsid w:val="004F4535"/>
    <w:rsid w:val="004F461A"/>
    <w:rsid w:val="004F48E0"/>
    <w:rsid w:val="004F4FA6"/>
    <w:rsid w:val="004F550A"/>
    <w:rsid w:val="004F5940"/>
    <w:rsid w:val="004F598B"/>
    <w:rsid w:val="004F59D1"/>
    <w:rsid w:val="004F5E19"/>
    <w:rsid w:val="004F6523"/>
    <w:rsid w:val="004F659A"/>
    <w:rsid w:val="004F66FE"/>
    <w:rsid w:val="004F67DA"/>
    <w:rsid w:val="004F68B3"/>
    <w:rsid w:val="004F6B16"/>
    <w:rsid w:val="004F6CDA"/>
    <w:rsid w:val="004F72BA"/>
    <w:rsid w:val="004F739D"/>
    <w:rsid w:val="004F745E"/>
    <w:rsid w:val="004F774C"/>
    <w:rsid w:val="004F7841"/>
    <w:rsid w:val="004F7C9B"/>
    <w:rsid w:val="0050010B"/>
    <w:rsid w:val="00500365"/>
    <w:rsid w:val="00500B38"/>
    <w:rsid w:val="00500B5E"/>
    <w:rsid w:val="00500DBD"/>
    <w:rsid w:val="00500FF4"/>
    <w:rsid w:val="00501236"/>
    <w:rsid w:val="005012CE"/>
    <w:rsid w:val="005015B4"/>
    <w:rsid w:val="005019CA"/>
    <w:rsid w:val="00501ADC"/>
    <w:rsid w:val="00501B6E"/>
    <w:rsid w:val="00501C19"/>
    <w:rsid w:val="00501C52"/>
    <w:rsid w:val="00501DC3"/>
    <w:rsid w:val="00502145"/>
    <w:rsid w:val="00502312"/>
    <w:rsid w:val="00502336"/>
    <w:rsid w:val="00502674"/>
    <w:rsid w:val="00502B21"/>
    <w:rsid w:val="00502C69"/>
    <w:rsid w:val="00502FBB"/>
    <w:rsid w:val="0050313C"/>
    <w:rsid w:val="005031F1"/>
    <w:rsid w:val="00503283"/>
    <w:rsid w:val="00503471"/>
    <w:rsid w:val="0050368C"/>
    <w:rsid w:val="00503787"/>
    <w:rsid w:val="00503B50"/>
    <w:rsid w:val="00503C2E"/>
    <w:rsid w:val="00503DFE"/>
    <w:rsid w:val="00503E3E"/>
    <w:rsid w:val="005040BC"/>
    <w:rsid w:val="0050432D"/>
    <w:rsid w:val="005043FB"/>
    <w:rsid w:val="00504684"/>
    <w:rsid w:val="0050477C"/>
    <w:rsid w:val="005048A3"/>
    <w:rsid w:val="00504A5D"/>
    <w:rsid w:val="00504E0E"/>
    <w:rsid w:val="00504E59"/>
    <w:rsid w:val="00504EAA"/>
    <w:rsid w:val="00504F5C"/>
    <w:rsid w:val="005050BC"/>
    <w:rsid w:val="00505344"/>
    <w:rsid w:val="005054FD"/>
    <w:rsid w:val="00505616"/>
    <w:rsid w:val="005056B5"/>
    <w:rsid w:val="00505795"/>
    <w:rsid w:val="00505A23"/>
    <w:rsid w:val="00505B70"/>
    <w:rsid w:val="00505BA6"/>
    <w:rsid w:val="00505DB8"/>
    <w:rsid w:val="00505E9D"/>
    <w:rsid w:val="00506329"/>
    <w:rsid w:val="005063DB"/>
    <w:rsid w:val="00506BFC"/>
    <w:rsid w:val="00506C36"/>
    <w:rsid w:val="00506CC9"/>
    <w:rsid w:val="00506DC2"/>
    <w:rsid w:val="00506E50"/>
    <w:rsid w:val="00506FA7"/>
    <w:rsid w:val="005072C1"/>
    <w:rsid w:val="005072E5"/>
    <w:rsid w:val="005072FD"/>
    <w:rsid w:val="005076C4"/>
    <w:rsid w:val="005079DD"/>
    <w:rsid w:val="00507E3E"/>
    <w:rsid w:val="00510271"/>
    <w:rsid w:val="005106FD"/>
    <w:rsid w:val="005108B1"/>
    <w:rsid w:val="00510D5D"/>
    <w:rsid w:val="00510D81"/>
    <w:rsid w:val="00510DC7"/>
    <w:rsid w:val="00510E55"/>
    <w:rsid w:val="00510FF7"/>
    <w:rsid w:val="00511173"/>
    <w:rsid w:val="00511C5D"/>
    <w:rsid w:val="00511CDF"/>
    <w:rsid w:val="00511E4C"/>
    <w:rsid w:val="00511EEC"/>
    <w:rsid w:val="00511F32"/>
    <w:rsid w:val="00512018"/>
    <w:rsid w:val="005122AC"/>
    <w:rsid w:val="005125F2"/>
    <w:rsid w:val="00512959"/>
    <w:rsid w:val="00512C4F"/>
    <w:rsid w:val="00512C79"/>
    <w:rsid w:val="00512CE8"/>
    <w:rsid w:val="005132C7"/>
    <w:rsid w:val="005133E6"/>
    <w:rsid w:val="0051345D"/>
    <w:rsid w:val="0051357E"/>
    <w:rsid w:val="005135AA"/>
    <w:rsid w:val="00513995"/>
    <w:rsid w:val="00513A23"/>
    <w:rsid w:val="00513ACE"/>
    <w:rsid w:val="00513EA1"/>
    <w:rsid w:val="0051411D"/>
    <w:rsid w:val="005142D0"/>
    <w:rsid w:val="005146F4"/>
    <w:rsid w:val="00514B95"/>
    <w:rsid w:val="00514B9A"/>
    <w:rsid w:val="00514E7F"/>
    <w:rsid w:val="00514EDF"/>
    <w:rsid w:val="00514F42"/>
    <w:rsid w:val="005150DF"/>
    <w:rsid w:val="00515256"/>
    <w:rsid w:val="0051528C"/>
    <w:rsid w:val="0051568B"/>
    <w:rsid w:val="00515C8F"/>
    <w:rsid w:val="00515CE3"/>
    <w:rsid w:val="005162A8"/>
    <w:rsid w:val="005165E3"/>
    <w:rsid w:val="005165EC"/>
    <w:rsid w:val="0051665E"/>
    <w:rsid w:val="00516D0A"/>
    <w:rsid w:val="00516E8D"/>
    <w:rsid w:val="00516F87"/>
    <w:rsid w:val="0051717B"/>
    <w:rsid w:val="00517A58"/>
    <w:rsid w:val="00517E84"/>
    <w:rsid w:val="00517EF9"/>
    <w:rsid w:val="00517F18"/>
    <w:rsid w:val="005205ED"/>
    <w:rsid w:val="00520638"/>
    <w:rsid w:val="005207FF"/>
    <w:rsid w:val="00520BE3"/>
    <w:rsid w:val="00520D6E"/>
    <w:rsid w:val="00521053"/>
    <w:rsid w:val="00521157"/>
    <w:rsid w:val="0052186B"/>
    <w:rsid w:val="00521E1F"/>
    <w:rsid w:val="0052205A"/>
    <w:rsid w:val="0052205D"/>
    <w:rsid w:val="00522410"/>
    <w:rsid w:val="0052241A"/>
    <w:rsid w:val="00522834"/>
    <w:rsid w:val="005228F0"/>
    <w:rsid w:val="00522ED8"/>
    <w:rsid w:val="005233AE"/>
    <w:rsid w:val="00523475"/>
    <w:rsid w:val="005234B1"/>
    <w:rsid w:val="00523CA3"/>
    <w:rsid w:val="00523DC8"/>
    <w:rsid w:val="00523F3F"/>
    <w:rsid w:val="00524073"/>
    <w:rsid w:val="00524346"/>
    <w:rsid w:val="00524936"/>
    <w:rsid w:val="00524AB9"/>
    <w:rsid w:val="00524E97"/>
    <w:rsid w:val="00524EC7"/>
    <w:rsid w:val="00524FB4"/>
    <w:rsid w:val="00525274"/>
    <w:rsid w:val="00525560"/>
    <w:rsid w:val="005259DA"/>
    <w:rsid w:val="00525C34"/>
    <w:rsid w:val="00525C8C"/>
    <w:rsid w:val="00525E5E"/>
    <w:rsid w:val="0052615F"/>
    <w:rsid w:val="00526511"/>
    <w:rsid w:val="00526667"/>
    <w:rsid w:val="00526735"/>
    <w:rsid w:val="0052678D"/>
    <w:rsid w:val="005267E9"/>
    <w:rsid w:val="00526A38"/>
    <w:rsid w:val="00526BEF"/>
    <w:rsid w:val="00526C6F"/>
    <w:rsid w:val="005278A6"/>
    <w:rsid w:val="00527B19"/>
    <w:rsid w:val="00527E09"/>
    <w:rsid w:val="00527E69"/>
    <w:rsid w:val="00527FAE"/>
    <w:rsid w:val="00530048"/>
    <w:rsid w:val="00530C00"/>
    <w:rsid w:val="00530EE5"/>
    <w:rsid w:val="0053145F"/>
    <w:rsid w:val="005314B5"/>
    <w:rsid w:val="00531A0D"/>
    <w:rsid w:val="005321BE"/>
    <w:rsid w:val="00532234"/>
    <w:rsid w:val="005326C4"/>
    <w:rsid w:val="00532FD8"/>
    <w:rsid w:val="0053319A"/>
    <w:rsid w:val="00533C37"/>
    <w:rsid w:val="00533D40"/>
    <w:rsid w:val="00533E5F"/>
    <w:rsid w:val="00533E8D"/>
    <w:rsid w:val="00533E98"/>
    <w:rsid w:val="00534080"/>
    <w:rsid w:val="005340EF"/>
    <w:rsid w:val="0053410A"/>
    <w:rsid w:val="00534134"/>
    <w:rsid w:val="00534175"/>
    <w:rsid w:val="00534223"/>
    <w:rsid w:val="005343B0"/>
    <w:rsid w:val="00534DBE"/>
    <w:rsid w:val="00535011"/>
    <w:rsid w:val="005355A6"/>
    <w:rsid w:val="0053589B"/>
    <w:rsid w:val="00535993"/>
    <w:rsid w:val="00535AFA"/>
    <w:rsid w:val="005361E2"/>
    <w:rsid w:val="005367FA"/>
    <w:rsid w:val="00536B27"/>
    <w:rsid w:val="00536B89"/>
    <w:rsid w:val="00536D72"/>
    <w:rsid w:val="0053726E"/>
    <w:rsid w:val="005372FB"/>
    <w:rsid w:val="00537502"/>
    <w:rsid w:val="00537534"/>
    <w:rsid w:val="00537CC7"/>
    <w:rsid w:val="005402A1"/>
    <w:rsid w:val="005402F8"/>
    <w:rsid w:val="005405BC"/>
    <w:rsid w:val="0054078B"/>
    <w:rsid w:val="00540960"/>
    <w:rsid w:val="00541040"/>
    <w:rsid w:val="005413A3"/>
    <w:rsid w:val="00541B1D"/>
    <w:rsid w:val="00541E1E"/>
    <w:rsid w:val="00541EB0"/>
    <w:rsid w:val="00541F0B"/>
    <w:rsid w:val="00541F54"/>
    <w:rsid w:val="00541F74"/>
    <w:rsid w:val="00541F80"/>
    <w:rsid w:val="00542027"/>
    <w:rsid w:val="00542076"/>
    <w:rsid w:val="00542205"/>
    <w:rsid w:val="005425F2"/>
    <w:rsid w:val="00542612"/>
    <w:rsid w:val="00542781"/>
    <w:rsid w:val="00542A98"/>
    <w:rsid w:val="00542FF2"/>
    <w:rsid w:val="00543876"/>
    <w:rsid w:val="00543902"/>
    <w:rsid w:val="00543F5C"/>
    <w:rsid w:val="00544316"/>
    <w:rsid w:val="00544662"/>
    <w:rsid w:val="00544806"/>
    <w:rsid w:val="00544A01"/>
    <w:rsid w:val="00544AD6"/>
    <w:rsid w:val="00544BC4"/>
    <w:rsid w:val="00544BF9"/>
    <w:rsid w:val="00544FB6"/>
    <w:rsid w:val="00545007"/>
    <w:rsid w:val="0054586C"/>
    <w:rsid w:val="005458A6"/>
    <w:rsid w:val="00545CC5"/>
    <w:rsid w:val="0054608A"/>
    <w:rsid w:val="005461E5"/>
    <w:rsid w:val="00546245"/>
    <w:rsid w:val="0054669E"/>
    <w:rsid w:val="00546D53"/>
    <w:rsid w:val="00546E66"/>
    <w:rsid w:val="0054715F"/>
    <w:rsid w:val="00547195"/>
    <w:rsid w:val="005471F7"/>
    <w:rsid w:val="00547540"/>
    <w:rsid w:val="0054789A"/>
    <w:rsid w:val="005479AC"/>
    <w:rsid w:val="00547BCD"/>
    <w:rsid w:val="00547D2F"/>
    <w:rsid w:val="00547D4C"/>
    <w:rsid w:val="00547E3B"/>
    <w:rsid w:val="00550363"/>
    <w:rsid w:val="00550408"/>
    <w:rsid w:val="00550B8E"/>
    <w:rsid w:val="00550C31"/>
    <w:rsid w:val="00551032"/>
    <w:rsid w:val="0055129B"/>
    <w:rsid w:val="0055146D"/>
    <w:rsid w:val="00551636"/>
    <w:rsid w:val="005518AD"/>
    <w:rsid w:val="00551A8F"/>
    <w:rsid w:val="00551C86"/>
    <w:rsid w:val="00551DD5"/>
    <w:rsid w:val="00552087"/>
    <w:rsid w:val="0055212A"/>
    <w:rsid w:val="00552165"/>
    <w:rsid w:val="00552862"/>
    <w:rsid w:val="005532BC"/>
    <w:rsid w:val="00553486"/>
    <w:rsid w:val="005534C0"/>
    <w:rsid w:val="0055361F"/>
    <w:rsid w:val="0055393B"/>
    <w:rsid w:val="00553951"/>
    <w:rsid w:val="00553D45"/>
    <w:rsid w:val="00553F69"/>
    <w:rsid w:val="00554041"/>
    <w:rsid w:val="005541E2"/>
    <w:rsid w:val="0055426D"/>
    <w:rsid w:val="005544E9"/>
    <w:rsid w:val="005545CE"/>
    <w:rsid w:val="0055464B"/>
    <w:rsid w:val="00554AC3"/>
    <w:rsid w:val="00554C06"/>
    <w:rsid w:val="00554C20"/>
    <w:rsid w:val="00555124"/>
    <w:rsid w:val="00555579"/>
    <w:rsid w:val="00555735"/>
    <w:rsid w:val="00555A84"/>
    <w:rsid w:val="00555F86"/>
    <w:rsid w:val="0055611E"/>
    <w:rsid w:val="00556484"/>
    <w:rsid w:val="005565C4"/>
    <w:rsid w:val="00556D80"/>
    <w:rsid w:val="00556EC3"/>
    <w:rsid w:val="00557063"/>
    <w:rsid w:val="005573C8"/>
    <w:rsid w:val="00557460"/>
    <w:rsid w:val="00557516"/>
    <w:rsid w:val="00557822"/>
    <w:rsid w:val="005601EA"/>
    <w:rsid w:val="005602F4"/>
    <w:rsid w:val="0056044F"/>
    <w:rsid w:val="00560823"/>
    <w:rsid w:val="00560A14"/>
    <w:rsid w:val="00560FE3"/>
    <w:rsid w:val="005617AB"/>
    <w:rsid w:val="005617E7"/>
    <w:rsid w:val="00561AB8"/>
    <w:rsid w:val="00561E76"/>
    <w:rsid w:val="00561E97"/>
    <w:rsid w:val="0056250E"/>
    <w:rsid w:val="00562569"/>
    <w:rsid w:val="0056261E"/>
    <w:rsid w:val="00562779"/>
    <w:rsid w:val="005628AE"/>
    <w:rsid w:val="00562F04"/>
    <w:rsid w:val="00563001"/>
    <w:rsid w:val="0056331B"/>
    <w:rsid w:val="0056333D"/>
    <w:rsid w:val="0056342C"/>
    <w:rsid w:val="005634D2"/>
    <w:rsid w:val="00563592"/>
    <w:rsid w:val="00563E8E"/>
    <w:rsid w:val="00564052"/>
    <w:rsid w:val="0056413C"/>
    <w:rsid w:val="00564142"/>
    <w:rsid w:val="00564418"/>
    <w:rsid w:val="00564654"/>
    <w:rsid w:val="005649F8"/>
    <w:rsid w:val="00564CB7"/>
    <w:rsid w:val="00564F0C"/>
    <w:rsid w:val="00564F5C"/>
    <w:rsid w:val="00565050"/>
    <w:rsid w:val="00565090"/>
    <w:rsid w:val="00565271"/>
    <w:rsid w:val="005653C2"/>
    <w:rsid w:val="005653CD"/>
    <w:rsid w:val="0056542F"/>
    <w:rsid w:val="005655BA"/>
    <w:rsid w:val="00565696"/>
    <w:rsid w:val="005657F4"/>
    <w:rsid w:val="005658EA"/>
    <w:rsid w:val="00565A12"/>
    <w:rsid w:val="00565C7A"/>
    <w:rsid w:val="00566417"/>
    <w:rsid w:val="00566673"/>
    <w:rsid w:val="00566730"/>
    <w:rsid w:val="00566C58"/>
    <w:rsid w:val="00566C9F"/>
    <w:rsid w:val="00566D45"/>
    <w:rsid w:val="00566FA4"/>
    <w:rsid w:val="00566FDA"/>
    <w:rsid w:val="00566FF3"/>
    <w:rsid w:val="00567096"/>
    <w:rsid w:val="005673CA"/>
    <w:rsid w:val="005676EA"/>
    <w:rsid w:val="005678DE"/>
    <w:rsid w:val="00567F0F"/>
    <w:rsid w:val="0057014D"/>
    <w:rsid w:val="00570159"/>
    <w:rsid w:val="00570186"/>
    <w:rsid w:val="005701C1"/>
    <w:rsid w:val="00570332"/>
    <w:rsid w:val="00570680"/>
    <w:rsid w:val="00570B4A"/>
    <w:rsid w:val="00570E85"/>
    <w:rsid w:val="005712BF"/>
    <w:rsid w:val="005713E7"/>
    <w:rsid w:val="005717CB"/>
    <w:rsid w:val="00571991"/>
    <w:rsid w:val="00571F6F"/>
    <w:rsid w:val="00572303"/>
    <w:rsid w:val="005723D2"/>
    <w:rsid w:val="005724D2"/>
    <w:rsid w:val="005726D3"/>
    <w:rsid w:val="005727D0"/>
    <w:rsid w:val="0057280A"/>
    <w:rsid w:val="00572A15"/>
    <w:rsid w:val="00572B3A"/>
    <w:rsid w:val="00572DAA"/>
    <w:rsid w:val="00572FBE"/>
    <w:rsid w:val="005731EF"/>
    <w:rsid w:val="00573290"/>
    <w:rsid w:val="00573404"/>
    <w:rsid w:val="005735E1"/>
    <w:rsid w:val="005738E9"/>
    <w:rsid w:val="00573BAD"/>
    <w:rsid w:val="00573C74"/>
    <w:rsid w:val="00573EE1"/>
    <w:rsid w:val="00573F93"/>
    <w:rsid w:val="0057410E"/>
    <w:rsid w:val="00574297"/>
    <w:rsid w:val="0057443E"/>
    <w:rsid w:val="00574A13"/>
    <w:rsid w:val="00574FA3"/>
    <w:rsid w:val="00574FEF"/>
    <w:rsid w:val="005750A4"/>
    <w:rsid w:val="005753CF"/>
    <w:rsid w:val="005753FD"/>
    <w:rsid w:val="00575670"/>
    <w:rsid w:val="00575722"/>
    <w:rsid w:val="0057587A"/>
    <w:rsid w:val="00575BDC"/>
    <w:rsid w:val="00575D6F"/>
    <w:rsid w:val="00575F71"/>
    <w:rsid w:val="00576096"/>
    <w:rsid w:val="00576152"/>
    <w:rsid w:val="005764EE"/>
    <w:rsid w:val="005764F1"/>
    <w:rsid w:val="00576508"/>
    <w:rsid w:val="005766E7"/>
    <w:rsid w:val="005769BB"/>
    <w:rsid w:val="00576C85"/>
    <w:rsid w:val="00577424"/>
    <w:rsid w:val="005774D8"/>
    <w:rsid w:val="00577715"/>
    <w:rsid w:val="00577776"/>
    <w:rsid w:val="005779B3"/>
    <w:rsid w:val="00577A23"/>
    <w:rsid w:val="00577AE9"/>
    <w:rsid w:val="00577F45"/>
    <w:rsid w:val="0058005A"/>
    <w:rsid w:val="00580451"/>
    <w:rsid w:val="005805C1"/>
    <w:rsid w:val="0058088C"/>
    <w:rsid w:val="005808BF"/>
    <w:rsid w:val="005808C8"/>
    <w:rsid w:val="0058099D"/>
    <w:rsid w:val="00580BE3"/>
    <w:rsid w:val="00580C3D"/>
    <w:rsid w:val="005812F1"/>
    <w:rsid w:val="00581BDD"/>
    <w:rsid w:val="00581E3B"/>
    <w:rsid w:val="0058215C"/>
    <w:rsid w:val="005825F2"/>
    <w:rsid w:val="00582730"/>
    <w:rsid w:val="00582A7B"/>
    <w:rsid w:val="00582E10"/>
    <w:rsid w:val="00582F22"/>
    <w:rsid w:val="00582FCC"/>
    <w:rsid w:val="00583830"/>
    <w:rsid w:val="00583940"/>
    <w:rsid w:val="00583AC3"/>
    <w:rsid w:val="00583D06"/>
    <w:rsid w:val="005843B3"/>
    <w:rsid w:val="005844E1"/>
    <w:rsid w:val="0058469B"/>
    <w:rsid w:val="00584915"/>
    <w:rsid w:val="00584B89"/>
    <w:rsid w:val="00584C9F"/>
    <w:rsid w:val="00584DB8"/>
    <w:rsid w:val="00584F12"/>
    <w:rsid w:val="00584F4C"/>
    <w:rsid w:val="005850DA"/>
    <w:rsid w:val="005854E9"/>
    <w:rsid w:val="005856AA"/>
    <w:rsid w:val="005856C7"/>
    <w:rsid w:val="005857EC"/>
    <w:rsid w:val="0058597F"/>
    <w:rsid w:val="00585B93"/>
    <w:rsid w:val="00585BDF"/>
    <w:rsid w:val="0058628F"/>
    <w:rsid w:val="00586D89"/>
    <w:rsid w:val="00586E09"/>
    <w:rsid w:val="00586E90"/>
    <w:rsid w:val="00586FCA"/>
    <w:rsid w:val="00587008"/>
    <w:rsid w:val="005870B4"/>
    <w:rsid w:val="00587300"/>
    <w:rsid w:val="005873C5"/>
    <w:rsid w:val="005877EB"/>
    <w:rsid w:val="00587C1B"/>
    <w:rsid w:val="00587CAF"/>
    <w:rsid w:val="00587F0E"/>
    <w:rsid w:val="00590125"/>
    <w:rsid w:val="00590208"/>
    <w:rsid w:val="005902A3"/>
    <w:rsid w:val="005904E0"/>
    <w:rsid w:val="00590BD2"/>
    <w:rsid w:val="00590C9D"/>
    <w:rsid w:val="005911AC"/>
    <w:rsid w:val="0059128F"/>
    <w:rsid w:val="005916AE"/>
    <w:rsid w:val="0059171F"/>
    <w:rsid w:val="0059174D"/>
    <w:rsid w:val="0059189A"/>
    <w:rsid w:val="005919FC"/>
    <w:rsid w:val="00591B94"/>
    <w:rsid w:val="00591B9F"/>
    <w:rsid w:val="00591DD0"/>
    <w:rsid w:val="00591EB0"/>
    <w:rsid w:val="00591EED"/>
    <w:rsid w:val="00591EF4"/>
    <w:rsid w:val="00591F35"/>
    <w:rsid w:val="00592273"/>
    <w:rsid w:val="005928E2"/>
    <w:rsid w:val="005935A8"/>
    <w:rsid w:val="00593CE4"/>
    <w:rsid w:val="00593EAE"/>
    <w:rsid w:val="00593F1E"/>
    <w:rsid w:val="005940D6"/>
    <w:rsid w:val="0059442F"/>
    <w:rsid w:val="0059467B"/>
    <w:rsid w:val="0059499B"/>
    <w:rsid w:val="00594B3B"/>
    <w:rsid w:val="00594D04"/>
    <w:rsid w:val="00594DA0"/>
    <w:rsid w:val="00594F4C"/>
    <w:rsid w:val="0059503F"/>
    <w:rsid w:val="005951B9"/>
    <w:rsid w:val="0059553C"/>
    <w:rsid w:val="00595E61"/>
    <w:rsid w:val="00596791"/>
    <w:rsid w:val="00596BF0"/>
    <w:rsid w:val="0059735D"/>
    <w:rsid w:val="00597393"/>
    <w:rsid w:val="0059756A"/>
    <w:rsid w:val="005975DE"/>
    <w:rsid w:val="00597632"/>
    <w:rsid w:val="005977FA"/>
    <w:rsid w:val="005978C9"/>
    <w:rsid w:val="00597BD0"/>
    <w:rsid w:val="00597E8C"/>
    <w:rsid w:val="00597F32"/>
    <w:rsid w:val="005A005A"/>
    <w:rsid w:val="005A0343"/>
    <w:rsid w:val="005A0720"/>
    <w:rsid w:val="005A0964"/>
    <w:rsid w:val="005A0A1E"/>
    <w:rsid w:val="005A0CCF"/>
    <w:rsid w:val="005A0ED5"/>
    <w:rsid w:val="005A117B"/>
    <w:rsid w:val="005A14E5"/>
    <w:rsid w:val="005A16AB"/>
    <w:rsid w:val="005A179D"/>
    <w:rsid w:val="005A190C"/>
    <w:rsid w:val="005A1965"/>
    <w:rsid w:val="005A1A2F"/>
    <w:rsid w:val="005A1B82"/>
    <w:rsid w:val="005A1D31"/>
    <w:rsid w:val="005A1E3C"/>
    <w:rsid w:val="005A1F4A"/>
    <w:rsid w:val="005A2453"/>
    <w:rsid w:val="005A28F8"/>
    <w:rsid w:val="005A2B57"/>
    <w:rsid w:val="005A2D89"/>
    <w:rsid w:val="005A2F90"/>
    <w:rsid w:val="005A2FF2"/>
    <w:rsid w:val="005A337C"/>
    <w:rsid w:val="005A35DF"/>
    <w:rsid w:val="005A36C3"/>
    <w:rsid w:val="005A3A62"/>
    <w:rsid w:val="005A3F5E"/>
    <w:rsid w:val="005A43D9"/>
    <w:rsid w:val="005A458F"/>
    <w:rsid w:val="005A4627"/>
    <w:rsid w:val="005A4797"/>
    <w:rsid w:val="005A4D83"/>
    <w:rsid w:val="005A4E40"/>
    <w:rsid w:val="005A5037"/>
    <w:rsid w:val="005A5588"/>
    <w:rsid w:val="005A5ACA"/>
    <w:rsid w:val="005A5DBE"/>
    <w:rsid w:val="005A5DF0"/>
    <w:rsid w:val="005A5E98"/>
    <w:rsid w:val="005A6087"/>
    <w:rsid w:val="005A618A"/>
    <w:rsid w:val="005A661D"/>
    <w:rsid w:val="005A676A"/>
    <w:rsid w:val="005A6DC8"/>
    <w:rsid w:val="005A6FCC"/>
    <w:rsid w:val="005A7017"/>
    <w:rsid w:val="005A7150"/>
    <w:rsid w:val="005A74A5"/>
    <w:rsid w:val="005A784E"/>
    <w:rsid w:val="005A7957"/>
    <w:rsid w:val="005A7A39"/>
    <w:rsid w:val="005A7AC7"/>
    <w:rsid w:val="005A7DB8"/>
    <w:rsid w:val="005B042A"/>
    <w:rsid w:val="005B0481"/>
    <w:rsid w:val="005B049F"/>
    <w:rsid w:val="005B06C6"/>
    <w:rsid w:val="005B0AEF"/>
    <w:rsid w:val="005B0DE7"/>
    <w:rsid w:val="005B12BD"/>
    <w:rsid w:val="005B12F5"/>
    <w:rsid w:val="005B1306"/>
    <w:rsid w:val="005B1646"/>
    <w:rsid w:val="005B1D9A"/>
    <w:rsid w:val="005B1E82"/>
    <w:rsid w:val="005B22CA"/>
    <w:rsid w:val="005B23F3"/>
    <w:rsid w:val="005B2533"/>
    <w:rsid w:val="005B2739"/>
    <w:rsid w:val="005B2810"/>
    <w:rsid w:val="005B287F"/>
    <w:rsid w:val="005B2D69"/>
    <w:rsid w:val="005B2E5B"/>
    <w:rsid w:val="005B3550"/>
    <w:rsid w:val="005B381B"/>
    <w:rsid w:val="005B3A18"/>
    <w:rsid w:val="005B3C1D"/>
    <w:rsid w:val="005B3C2C"/>
    <w:rsid w:val="005B3CFA"/>
    <w:rsid w:val="005B3F51"/>
    <w:rsid w:val="005B3F65"/>
    <w:rsid w:val="005B4235"/>
    <w:rsid w:val="005B4262"/>
    <w:rsid w:val="005B4331"/>
    <w:rsid w:val="005B4413"/>
    <w:rsid w:val="005B4653"/>
    <w:rsid w:val="005B4C18"/>
    <w:rsid w:val="005B4F01"/>
    <w:rsid w:val="005B4FD6"/>
    <w:rsid w:val="005B5119"/>
    <w:rsid w:val="005B531F"/>
    <w:rsid w:val="005B5778"/>
    <w:rsid w:val="005B5F59"/>
    <w:rsid w:val="005B6090"/>
    <w:rsid w:val="005B616F"/>
    <w:rsid w:val="005B6905"/>
    <w:rsid w:val="005B6B8A"/>
    <w:rsid w:val="005B6DAF"/>
    <w:rsid w:val="005B7233"/>
    <w:rsid w:val="005B731F"/>
    <w:rsid w:val="005B7495"/>
    <w:rsid w:val="005B770D"/>
    <w:rsid w:val="005B778B"/>
    <w:rsid w:val="005B7886"/>
    <w:rsid w:val="005B7972"/>
    <w:rsid w:val="005B7B33"/>
    <w:rsid w:val="005B7BA7"/>
    <w:rsid w:val="005B7BD1"/>
    <w:rsid w:val="005B7EA7"/>
    <w:rsid w:val="005C02D8"/>
    <w:rsid w:val="005C05AD"/>
    <w:rsid w:val="005C126E"/>
    <w:rsid w:val="005C12FF"/>
    <w:rsid w:val="005C18A8"/>
    <w:rsid w:val="005C1992"/>
    <w:rsid w:val="005C19D3"/>
    <w:rsid w:val="005C1B34"/>
    <w:rsid w:val="005C1BE4"/>
    <w:rsid w:val="005C1EE1"/>
    <w:rsid w:val="005C2369"/>
    <w:rsid w:val="005C2375"/>
    <w:rsid w:val="005C2A3A"/>
    <w:rsid w:val="005C2DDF"/>
    <w:rsid w:val="005C3175"/>
    <w:rsid w:val="005C3349"/>
    <w:rsid w:val="005C3BF3"/>
    <w:rsid w:val="005C3D23"/>
    <w:rsid w:val="005C40A4"/>
    <w:rsid w:val="005C42A5"/>
    <w:rsid w:val="005C42AC"/>
    <w:rsid w:val="005C47A1"/>
    <w:rsid w:val="005C4840"/>
    <w:rsid w:val="005C4F94"/>
    <w:rsid w:val="005C511F"/>
    <w:rsid w:val="005C5530"/>
    <w:rsid w:val="005C55BC"/>
    <w:rsid w:val="005C5647"/>
    <w:rsid w:val="005C5688"/>
    <w:rsid w:val="005C5AFC"/>
    <w:rsid w:val="005C5DF3"/>
    <w:rsid w:val="005C60A3"/>
    <w:rsid w:val="005C6164"/>
    <w:rsid w:val="005C6265"/>
    <w:rsid w:val="005C66A2"/>
    <w:rsid w:val="005C698C"/>
    <w:rsid w:val="005C70F1"/>
    <w:rsid w:val="005C72BB"/>
    <w:rsid w:val="005C7846"/>
    <w:rsid w:val="005C7C46"/>
    <w:rsid w:val="005C7E2C"/>
    <w:rsid w:val="005D0024"/>
    <w:rsid w:val="005D02F3"/>
    <w:rsid w:val="005D04F9"/>
    <w:rsid w:val="005D077A"/>
    <w:rsid w:val="005D0887"/>
    <w:rsid w:val="005D0D3D"/>
    <w:rsid w:val="005D0DEF"/>
    <w:rsid w:val="005D0E44"/>
    <w:rsid w:val="005D136A"/>
    <w:rsid w:val="005D1409"/>
    <w:rsid w:val="005D15DB"/>
    <w:rsid w:val="005D15E9"/>
    <w:rsid w:val="005D1A5D"/>
    <w:rsid w:val="005D23F6"/>
    <w:rsid w:val="005D2496"/>
    <w:rsid w:val="005D2CA4"/>
    <w:rsid w:val="005D2F9A"/>
    <w:rsid w:val="005D3399"/>
    <w:rsid w:val="005D3483"/>
    <w:rsid w:val="005D3589"/>
    <w:rsid w:val="005D38E5"/>
    <w:rsid w:val="005D3A84"/>
    <w:rsid w:val="005D3B7C"/>
    <w:rsid w:val="005D3D80"/>
    <w:rsid w:val="005D4122"/>
    <w:rsid w:val="005D412E"/>
    <w:rsid w:val="005D4142"/>
    <w:rsid w:val="005D4600"/>
    <w:rsid w:val="005D4735"/>
    <w:rsid w:val="005D485E"/>
    <w:rsid w:val="005D4B33"/>
    <w:rsid w:val="005D4E29"/>
    <w:rsid w:val="005D50C3"/>
    <w:rsid w:val="005D5536"/>
    <w:rsid w:val="005D5691"/>
    <w:rsid w:val="005D5849"/>
    <w:rsid w:val="005D586A"/>
    <w:rsid w:val="005D5883"/>
    <w:rsid w:val="005D5991"/>
    <w:rsid w:val="005D59A9"/>
    <w:rsid w:val="005D5A74"/>
    <w:rsid w:val="005D5CB0"/>
    <w:rsid w:val="005D5DCE"/>
    <w:rsid w:val="005D5E76"/>
    <w:rsid w:val="005D5E99"/>
    <w:rsid w:val="005D6227"/>
    <w:rsid w:val="005D6238"/>
    <w:rsid w:val="005D6517"/>
    <w:rsid w:val="005D671D"/>
    <w:rsid w:val="005D67AB"/>
    <w:rsid w:val="005D694E"/>
    <w:rsid w:val="005D6B9A"/>
    <w:rsid w:val="005D6BFF"/>
    <w:rsid w:val="005D6C77"/>
    <w:rsid w:val="005D6F30"/>
    <w:rsid w:val="005D701B"/>
    <w:rsid w:val="005D732B"/>
    <w:rsid w:val="005D763E"/>
    <w:rsid w:val="005D7774"/>
    <w:rsid w:val="005D7E0B"/>
    <w:rsid w:val="005D7E5A"/>
    <w:rsid w:val="005E01ED"/>
    <w:rsid w:val="005E035A"/>
    <w:rsid w:val="005E040E"/>
    <w:rsid w:val="005E0AB8"/>
    <w:rsid w:val="005E0B83"/>
    <w:rsid w:val="005E1139"/>
    <w:rsid w:val="005E11BD"/>
    <w:rsid w:val="005E127E"/>
    <w:rsid w:val="005E16C4"/>
    <w:rsid w:val="005E1752"/>
    <w:rsid w:val="005E1790"/>
    <w:rsid w:val="005E1A43"/>
    <w:rsid w:val="005E1BF6"/>
    <w:rsid w:val="005E1D0D"/>
    <w:rsid w:val="005E1FB3"/>
    <w:rsid w:val="005E1FC2"/>
    <w:rsid w:val="005E230B"/>
    <w:rsid w:val="005E2599"/>
    <w:rsid w:val="005E266F"/>
    <w:rsid w:val="005E28C4"/>
    <w:rsid w:val="005E2A59"/>
    <w:rsid w:val="005E2E62"/>
    <w:rsid w:val="005E2FB9"/>
    <w:rsid w:val="005E38A3"/>
    <w:rsid w:val="005E417B"/>
    <w:rsid w:val="005E44F6"/>
    <w:rsid w:val="005E4704"/>
    <w:rsid w:val="005E4BA3"/>
    <w:rsid w:val="005E4EDA"/>
    <w:rsid w:val="005E56A2"/>
    <w:rsid w:val="005E5ACC"/>
    <w:rsid w:val="005E5E57"/>
    <w:rsid w:val="005E6067"/>
    <w:rsid w:val="005E6859"/>
    <w:rsid w:val="005E7257"/>
    <w:rsid w:val="005E7576"/>
    <w:rsid w:val="005E75A3"/>
    <w:rsid w:val="005E76A2"/>
    <w:rsid w:val="005E772B"/>
    <w:rsid w:val="005E7840"/>
    <w:rsid w:val="005E794D"/>
    <w:rsid w:val="005F00A1"/>
    <w:rsid w:val="005F045F"/>
    <w:rsid w:val="005F06D5"/>
    <w:rsid w:val="005F09EE"/>
    <w:rsid w:val="005F0A3C"/>
    <w:rsid w:val="005F0C17"/>
    <w:rsid w:val="005F0D0F"/>
    <w:rsid w:val="005F1031"/>
    <w:rsid w:val="005F119C"/>
    <w:rsid w:val="005F1598"/>
    <w:rsid w:val="005F171C"/>
    <w:rsid w:val="005F1758"/>
    <w:rsid w:val="005F19A9"/>
    <w:rsid w:val="005F1AF0"/>
    <w:rsid w:val="005F1EF7"/>
    <w:rsid w:val="005F1F49"/>
    <w:rsid w:val="005F20D5"/>
    <w:rsid w:val="005F22CB"/>
    <w:rsid w:val="005F2349"/>
    <w:rsid w:val="005F246A"/>
    <w:rsid w:val="005F24DC"/>
    <w:rsid w:val="005F25B3"/>
    <w:rsid w:val="005F2650"/>
    <w:rsid w:val="005F2769"/>
    <w:rsid w:val="005F27D3"/>
    <w:rsid w:val="005F2ACA"/>
    <w:rsid w:val="005F2C72"/>
    <w:rsid w:val="005F2CB9"/>
    <w:rsid w:val="005F2E74"/>
    <w:rsid w:val="005F30B9"/>
    <w:rsid w:val="005F3C55"/>
    <w:rsid w:val="005F3E9B"/>
    <w:rsid w:val="005F4252"/>
    <w:rsid w:val="005F46C6"/>
    <w:rsid w:val="005F4AE9"/>
    <w:rsid w:val="005F4B0C"/>
    <w:rsid w:val="005F4B50"/>
    <w:rsid w:val="005F4D0C"/>
    <w:rsid w:val="005F5088"/>
    <w:rsid w:val="005F52D8"/>
    <w:rsid w:val="005F5A90"/>
    <w:rsid w:val="005F5AFB"/>
    <w:rsid w:val="005F5F9D"/>
    <w:rsid w:val="005F65E0"/>
    <w:rsid w:val="005F6726"/>
    <w:rsid w:val="005F6900"/>
    <w:rsid w:val="005F6A9E"/>
    <w:rsid w:val="005F6D7C"/>
    <w:rsid w:val="005F727D"/>
    <w:rsid w:val="005F7313"/>
    <w:rsid w:val="005F7325"/>
    <w:rsid w:val="005F75D6"/>
    <w:rsid w:val="005F77B2"/>
    <w:rsid w:val="005F7BAD"/>
    <w:rsid w:val="005F7EC0"/>
    <w:rsid w:val="00600006"/>
    <w:rsid w:val="0060003F"/>
    <w:rsid w:val="00600097"/>
    <w:rsid w:val="0060024A"/>
    <w:rsid w:val="006003D8"/>
    <w:rsid w:val="0060075D"/>
    <w:rsid w:val="006008AC"/>
    <w:rsid w:val="00600EB7"/>
    <w:rsid w:val="00600FE8"/>
    <w:rsid w:val="006010BD"/>
    <w:rsid w:val="006010DA"/>
    <w:rsid w:val="006019A3"/>
    <w:rsid w:val="006019F9"/>
    <w:rsid w:val="00601EDC"/>
    <w:rsid w:val="0060301C"/>
    <w:rsid w:val="0060319E"/>
    <w:rsid w:val="006031BF"/>
    <w:rsid w:val="006031E3"/>
    <w:rsid w:val="006031FB"/>
    <w:rsid w:val="00603665"/>
    <w:rsid w:val="006037A6"/>
    <w:rsid w:val="006038F8"/>
    <w:rsid w:val="00603AC5"/>
    <w:rsid w:val="00603AF9"/>
    <w:rsid w:val="00603FD1"/>
    <w:rsid w:val="006042F5"/>
    <w:rsid w:val="006043E9"/>
    <w:rsid w:val="00604865"/>
    <w:rsid w:val="00604873"/>
    <w:rsid w:val="0060498C"/>
    <w:rsid w:val="00604CDB"/>
    <w:rsid w:val="00604F92"/>
    <w:rsid w:val="0060509B"/>
    <w:rsid w:val="006052FF"/>
    <w:rsid w:val="00605336"/>
    <w:rsid w:val="00605916"/>
    <w:rsid w:val="00605A06"/>
    <w:rsid w:val="00605AB8"/>
    <w:rsid w:val="00605AD6"/>
    <w:rsid w:val="00605C2C"/>
    <w:rsid w:val="00605F35"/>
    <w:rsid w:val="00605F7B"/>
    <w:rsid w:val="0060615B"/>
    <w:rsid w:val="0060624F"/>
    <w:rsid w:val="00606485"/>
    <w:rsid w:val="006064E2"/>
    <w:rsid w:val="006067E6"/>
    <w:rsid w:val="00606829"/>
    <w:rsid w:val="00606CBD"/>
    <w:rsid w:val="00606D29"/>
    <w:rsid w:val="00607052"/>
    <w:rsid w:val="0060716C"/>
    <w:rsid w:val="006073AB"/>
    <w:rsid w:val="00607BB3"/>
    <w:rsid w:val="00607CF5"/>
    <w:rsid w:val="00607E6C"/>
    <w:rsid w:val="00610047"/>
    <w:rsid w:val="00610227"/>
    <w:rsid w:val="00610461"/>
    <w:rsid w:val="00610663"/>
    <w:rsid w:val="006108AC"/>
    <w:rsid w:val="0061095E"/>
    <w:rsid w:val="00610987"/>
    <w:rsid w:val="00610A68"/>
    <w:rsid w:val="00610C26"/>
    <w:rsid w:val="00610E8F"/>
    <w:rsid w:val="00610EB2"/>
    <w:rsid w:val="00611102"/>
    <w:rsid w:val="00611152"/>
    <w:rsid w:val="00611327"/>
    <w:rsid w:val="0061170E"/>
    <w:rsid w:val="00611A06"/>
    <w:rsid w:val="0061206B"/>
    <w:rsid w:val="00612300"/>
    <w:rsid w:val="0061232B"/>
    <w:rsid w:val="00612456"/>
    <w:rsid w:val="006125E0"/>
    <w:rsid w:val="00612621"/>
    <w:rsid w:val="00612759"/>
    <w:rsid w:val="00612D4E"/>
    <w:rsid w:val="00612E8F"/>
    <w:rsid w:val="00612F00"/>
    <w:rsid w:val="00612F2B"/>
    <w:rsid w:val="00612F5E"/>
    <w:rsid w:val="00613215"/>
    <w:rsid w:val="0061343D"/>
    <w:rsid w:val="0061343F"/>
    <w:rsid w:val="0061368D"/>
    <w:rsid w:val="00613A52"/>
    <w:rsid w:val="00613F6C"/>
    <w:rsid w:val="00614360"/>
    <w:rsid w:val="00614657"/>
    <w:rsid w:val="00614AE9"/>
    <w:rsid w:val="00614CDD"/>
    <w:rsid w:val="00614E90"/>
    <w:rsid w:val="00614F19"/>
    <w:rsid w:val="00614FED"/>
    <w:rsid w:val="00615321"/>
    <w:rsid w:val="00615454"/>
    <w:rsid w:val="006154C8"/>
    <w:rsid w:val="006157E1"/>
    <w:rsid w:val="00615C3D"/>
    <w:rsid w:val="00615F35"/>
    <w:rsid w:val="00615FEA"/>
    <w:rsid w:val="006161F1"/>
    <w:rsid w:val="006164C3"/>
    <w:rsid w:val="006164EE"/>
    <w:rsid w:val="00616E31"/>
    <w:rsid w:val="006170E3"/>
    <w:rsid w:val="006171D3"/>
    <w:rsid w:val="0061724D"/>
    <w:rsid w:val="00617677"/>
    <w:rsid w:val="00617880"/>
    <w:rsid w:val="006179CB"/>
    <w:rsid w:val="00617C77"/>
    <w:rsid w:val="00617E58"/>
    <w:rsid w:val="00617FB5"/>
    <w:rsid w:val="0062008A"/>
    <w:rsid w:val="00621189"/>
    <w:rsid w:val="006214BB"/>
    <w:rsid w:val="00621667"/>
    <w:rsid w:val="00621815"/>
    <w:rsid w:val="00621ACB"/>
    <w:rsid w:val="00621EA2"/>
    <w:rsid w:val="00621FBA"/>
    <w:rsid w:val="006220E1"/>
    <w:rsid w:val="00622155"/>
    <w:rsid w:val="006221C6"/>
    <w:rsid w:val="006223F4"/>
    <w:rsid w:val="0062276D"/>
    <w:rsid w:val="0062290B"/>
    <w:rsid w:val="00622A3D"/>
    <w:rsid w:val="00622A5C"/>
    <w:rsid w:val="00622B47"/>
    <w:rsid w:val="00622B52"/>
    <w:rsid w:val="00623149"/>
    <w:rsid w:val="0062341D"/>
    <w:rsid w:val="00623887"/>
    <w:rsid w:val="00623AEB"/>
    <w:rsid w:val="00623E06"/>
    <w:rsid w:val="00623E3D"/>
    <w:rsid w:val="00623EB6"/>
    <w:rsid w:val="00623FDE"/>
    <w:rsid w:val="00624527"/>
    <w:rsid w:val="006245E4"/>
    <w:rsid w:val="006247F2"/>
    <w:rsid w:val="00624928"/>
    <w:rsid w:val="00624BB3"/>
    <w:rsid w:val="00624CED"/>
    <w:rsid w:val="00624D1C"/>
    <w:rsid w:val="00624E20"/>
    <w:rsid w:val="00624F22"/>
    <w:rsid w:val="00624F37"/>
    <w:rsid w:val="00624FEB"/>
    <w:rsid w:val="00625E43"/>
    <w:rsid w:val="00625E51"/>
    <w:rsid w:val="00625F11"/>
    <w:rsid w:val="00625FB0"/>
    <w:rsid w:val="006262CE"/>
    <w:rsid w:val="006267E2"/>
    <w:rsid w:val="00626956"/>
    <w:rsid w:val="00626962"/>
    <w:rsid w:val="006269F1"/>
    <w:rsid w:val="00626F78"/>
    <w:rsid w:val="00626FA7"/>
    <w:rsid w:val="00626FFF"/>
    <w:rsid w:val="0062719A"/>
    <w:rsid w:val="006271FF"/>
    <w:rsid w:val="006273DC"/>
    <w:rsid w:val="00627EA4"/>
    <w:rsid w:val="00627EF3"/>
    <w:rsid w:val="006303F9"/>
    <w:rsid w:val="00630454"/>
    <w:rsid w:val="00630639"/>
    <w:rsid w:val="006308C5"/>
    <w:rsid w:val="00630AE5"/>
    <w:rsid w:val="00630D51"/>
    <w:rsid w:val="00630E98"/>
    <w:rsid w:val="0063102D"/>
    <w:rsid w:val="006310CA"/>
    <w:rsid w:val="0063118A"/>
    <w:rsid w:val="006313D2"/>
    <w:rsid w:val="0063174B"/>
    <w:rsid w:val="00631A86"/>
    <w:rsid w:val="00631B9D"/>
    <w:rsid w:val="00632022"/>
    <w:rsid w:val="0063224D"/>
    <w:rsid w:val="00632358"/>
    <w:rsid w:val="00632476"/>
    <w:rsid w:val="00632C2B"/>
    <w:rsid w:val="00633211"/>
    <w:rsid w:val="00633366"/>
    <w:rsid w:val="00633600"/>
    <w:rsid w:val="0063365A"/>
    <w:rsid w:val="00633799"/>
    <w:rsid w:val="00633E6C"/>
    <w:rsid w:val="00633ECC"/>
    <w:rsid w:val="006341DA"/>
    <w:rsid w:val="006343ED"/>
    <w:rsid w:val="00634588"/>
    <w:rsid w:val="00634618"/>
    <w:rsid w:val="00634873"/>
    <w:rsid w:val="00634B38"/>
    <w:rsid w:val="006353E1"/>
    <w:rsid w:val="0063571B"/>
    <w:rsid w:val="006357A1"/>
    <w:rsid w:val="00635DEA"/>
    <w:rsid w:val="00635E75"/>
    <w:rsid w:val="00636103"/>
    <w:rsid w:val="006362CB"/>
    <w:rsid w:val="0063643D"/>
    <w:rsid w:val="00636915"/>
    <w:rsid w:val="00636941"/>
    <w:rsid w:val="00636A76"/>
    <w:rsid w:val="00636AE4"/>
    <w:rsid w:val="0063709D"/>
    <w:rsid w:val="006370AC"/>
    <w:rsid w:val="00637508"/>
    <w:rsid w:val="006375AD"/>
    <w:rsid w:val="00637B0F"/>
    <w:rsid w:val="00637B6D"/>
    <w:rsid w:val="00637C42"/>
    <w:rsid w:val="0064008A"/>
    <w:rsid w:val="00640179"/>
    <w:rsid w:val="00640181"/>
    <w:rsid w:val="0064029D"/>
    <w:rsid w:val="00640394"/>
    <w:rsid w:val="006405BD"/>
    <w:rsid w:val="006408AE"/>
    <w:rsid w:val="006408E3"/>
    <w:rsid w:val="00640A22"/>
    <w:rsid w:val="00640C8A"/>
    <w:rsid w:val="00640CDB"/>
    <w:rsid w:val="00640F5C"/>
    <w:rsid w:val="00640FE4"/>
    <w:rsid w:val="00641049"/>
    <w:rsid w:val="0064139D"/>
    <w:rsid w:val="006413D4"/>
    <w:rsid w:val="0064175B"/>
    <w:rsid w:val="006417E4"/>
    <w:rsid w:val="00641B9B"/>
    <w:rsid w:val="00641C97"/>
    <w:rsid w:val="00642563"/>
    <w:rsid w:val="00642579"/>
    <w:rsid w:val="00642776"/>
    <w:rsid w:val="006427B5"/>
    <w:rsid w:val="00642991"/>
    <w:rsid w:val="00642AEA"/>
    <w:rsid w:val="00642B82"/>
    <w:rsid w:val="00642CC5"/>
    <w:rsid w:val="00642EEB"/>
    <w:rsid w:val="00643038"/>
    <w:rsid w:val="006431AC"/>
    <w:rsid w:val="006432E6"/>
    <w:rsid w:val="00643576"/>
    <w:rsid w:val="00643994"/>
    <w:rsid w:val="00643B37"/>
    <w:rsid w:val="00643ED6"/>
    <w:rsid w:val="00643FF6"/>
    <w:rsid w:val="006444B9"/>
    <w:rsid w:val="00644564"/>
    <w:rsid w:val="006445F8"/>
    <w:rsid w:val="006447E8"/>
    <w:rsid w:val="00644D9A"/>
    <w:rsid w:val="00644F67"/>
    <w:rsid w:val="00645012"/>
    <w:rsid w:val="006450BB"/>
    <w:rsid w:val="00645158"/>
    <w:rsid w:val="006456C2"/>
    <w:rsid w:val="0064594A"/>
    <w:rsid w:val="00645A4D"/>
    <w:rsid w:val="00645B12"/>
    <w:rsid w:val="00645BEC"/>
    <w:rsid w:val="00645C1E"/>
    <w:rsid w:val="00645DF1"/>
    <w:rsid w:val="00645E3D"/>
    <w:rsid w:val="00645ED8"/>
    <w:rsid w:val="00645F3A"/>
    <w:rsid w:val="006461D8"/>
    <w:rsid w:val="00646257"/>
    <w:rsid w:val="00646305"/>
    <w:rsid w:val="0064673B"/>
    <w:rsid w:val="0064684F"/>
    <w:rsid w:val="006468CD"/>
    <w:rsid w:val="0064690C"/>
    <w:rsid w:val="006469A4"/>
    <w:rsid w:val="00646BF1"/>
    <w:rsid w:val="00647446"/>
    <w:rsid w:val="006475FA"/>
    <w:rsid w:val="00647A00"/>
    <w:rsid w:val="00650137"/>
    <w:rsid w:val="00650336"/>
    <w:rsid w:val="00650465"/>
    <w:rsid w:val="006505B8"/>
    <w:rsid w:val="00650680"/>
    <w:rsid w:val="006506C5"/>
    <w:rsid w:val="00650875"/>
    <w:rsid w:val="006508B9"/>
    <w:rsid w:val="006509E1"/>
    <w:rsid w:val="00650B9A"/>
    <w:rsid w:val="00651176"/>
    <w:rsid w:val="0065128E"/>
    <w:rsid w:val="006512AD"/>
    <w:rsid w:val="006517F2"/>
    <w:rsid w:val="00651989"/>
    <w:rsid w:val="00651ADD"/>
    <w:rsid w:val="00651B0F"/>
    <w:rsid w:val="00651BC2"/>
    <w:rsid w:val="00651FDB"/>
    <w:rsid w:val="0065213A"/>
    <w:rsid w:val="00652367"/>
    <w:rsid w:val="00652531"/>
    <w:rsid w:val="00652740"/>
    <w:rsid w:val="00652980"/>
    <w:rsid w:val="006530C0"/>
    <w:rsid w:val="00653469"/>
    <w:rsid w:val="006534DB"/>
    <w:rsid w:val="00653539"/>
    <w:rsid w:val="0065408C"/>
    <w:rsid w:val="00654236"/>
    <w:rsid w:val="00654A44"/>
    <w:rsid w:val="00654DFF"/>
    <w:rsid w:val="00654E85"/>
    <w:rsid w:val="00654F48"/>
    <w:rsid w:val="00655814"/>
    <w:rsid w:val="006559BA"/>
    <w:rsid w:val="00655BF8"/>
    <w:rsid w:val="006563FF"/>
    <w:rsid w:val="00656649"/>
    <w:rsid w:val="006566A6"/>
    <w:rsid w:val="006568EB"/>
    <w:rsid w:val="00656C16"/>
    <w:rsid w:val="00656EFD"/>
    <w:rsid w:val="006575FE"/>
    <w:rsid w:val="006577F9"/>
    <w:rsid w:val="00657866"/>
    <w:rsid w:val="0065788D"/>
    <w:rsid w:val="00657C5D"/>
    <w:rsid w:val="00657E44"/>
    <w:rsid w:val="0066027A"/>
    <w:rsid w:val="006602FB"/>
    <w:rsid w:val="0066056E"/>
    <w:rsid w:val="00660647"/>
    <w:rsid w:val="0066077A"/>
    <w:rsid w:val="006607D9"/>
    <w:rsid w:val="006609F9"/>
    <w:rsid w:val="00660C0C"/>
    <w:rsid w:val="00660ECA"/>
    <w:rsid w:val="00660F9D"/>
    <w:rsid w:val="0066153F"/>
    <w:rsid w:val="0066192E"/>
    <w:rsid w:val="00661986"/>
    <w:rsid w:val="00661C1B"/>
    <w:rsid w:val="00661CD2"/>
    <w:rsid w:val="00661D7F"/>
    <w:rsid w:val="00661FFE"/>
    <w:rsid w:val="00662523"/>
    <w:rsid w:val="006627BC"/>
    <w:rsid w:val="00662E4D"/>
    <w:rsid w:val="00663509"/>
    <w:rsid w:val="00663568"/>
    <w:rsid w:val="006636A1"/>
    <w:rsid w:val="00663BB4"/>
    <w:rsid w:val="00663C18"/>
    <w:rsid w:val="00663C80"/>
    <w:rsid w:val="00663CCB"/>
    <w:rsid w:val="00663CEC"/>
    <w:rsid w:val="00663D76"/>
    <w:rsid w:val="00663EBB"/>
    <w:rsid w:val="00664150"/>
    <w:rsid w:val="00664210"/>
    <w:rsid w:val="006643D2"/>
    <w:rsid w:val="0066489E"/>
    <w:rsid w:val="00664F24"/>
    <w:rsid w:val="0066512F"/>
    <w:rsid w:val="00665375"/>
    <w:rsid w:val="006657F0"/>
    <w:rsid w:val="00665B42"/>
    <w:rsid w:val="00665D1F"/>
    <w:rsid w:val="00665D4A"/>
    <w:rsid w:val="00665D52"/>
    <w:rsid w:val="00665F10"/>
    <w:rsid w:val="00666855"/>
    <w:rsid w:val="00666BFA"/>
    <w:rsid w:val="00666CAF"/>
    <w:rsid w:val="00666CD1"/>
    <w:rsid w:val="00666F4C"/>
    <w:rsid w:val="00666F86"/>
    <w:rsid w:val="00667212"/>
    <w:rsid w:val="0066770D"/>
    <w:rsid w:val="006679FC"/>
    <w:rsid w:val="00667BCA"/>
    <w:rsid w:val="00667CFD"/>
    <w:rsid w:val="00670184"/>
    <w:rsid w:val="00670274"/>
    <w:rsid w:val="00670551"/>
    <w:rsid w:val="00670557"/>
    <w:rsid w:val="006706BA"/>
    <w:rsid w:val="00670704"/>
    <w:rsid w:val="00670B30"/>
    <w:rsid w:val="00670CFF"/>
    <w:rsid w:val="00670E32"/>
    <w:rsid w:val="00670EB1"/>
    <w:rsid w:val="00670FE7"/>
    <w:rsid w:val="00671ACC"/>
    <w:rsid w:val="00671C0E"/>
    <w:rsid w:val="00671C6C"/>
    <w:rsid w:val="00671CB1"/>
    <w:rsid w:val="00671CC6"/>
    <w:rsid w:val="00671D74"/>
    <w:rsid w:val="00671E4C"/>
    <w:rsid w:val="00671EE3"/>
    <w:rsid w:val="00672476"/>
    <w:rsid w:val="00672C54"/>
    <w:rsid w:val="00672FB3"/>
    <w:rsid w:val="0067349F"/>
    <w:rsid w:val="0067366C"/>
    <w:rsid w:val="00673B3C"/>
    <w:rsid w:val="00673F16"/>
    <w:rsid w:val="00674398"/>
    <w:rsid w:val="006744AB"/>
    <w:rsid w:val="00674AF4"/>
    <w:rsid w:val="00674B71"/>
    <w:rsid w:val="00674D61"/>
    <w:rsid w:val="00674E7E"/>
    <w:rsid w:val="00675470"/>
    <w:rsid w:val="0067560A"/>
    <w:rsid w:val="00675A6D"/>
    <w:rsid w:val="006765A0"/>
    <w:rsid w:val="00676805"/>
    <w:rsid w:val="00676AA6"/>
    <w:rsid w:val="00676D97"/>
    <w:rsid w:val="00676DDF"/>
    <w:rsid w:val="006771BF"/>
    <w:rsid w:val="00677752"/>
    <w:rsid w:val="00677A92"/>
    <w:rsid w:val="00677AE5"/>
    <w:rsid w:val="00677C40"/>
    <w:rsid w:val="00677D97"/>
    <w:rsid w:val="00677DC9"/>
    <w:rsid w:val="00680018"/>
    <w:rsid w:val="0068020B"/>
    <w:rsid w:val="006802AA"/>
    <w:rsid w:val="0068040A"/>
    <w:rsid w:val="00680818"/>
    <w:rsid w:val="0068086D"/>
    <w:rsid w:val="00680A41"/>
    <w:rsid w:val="00680AAF"/>
    <w:rsid w:val="00680AB7"/>
    <w:rsid w:val="00680D1C"/>
    <w:rsid w:val="00680D5D"/>
    <w:rsid w:val="0068119D"/>
    <w:rsid w:val="0068159E"/>
    <w:rsid w:val="0068196A"/>
    <w:rsid w:val="00681E07"/>
    <w:rsid w:val="00682103"/>
    <w:rsid w:val="006827BA"/>
    <w:rsid w:val="00682849"/>
    <w:rsid w:val="00682A30"/>
    <w:rsid w:val="00682BC5"/>
    <w:rsid w:val="00682CD9"/>
    <w:rsid w:val="00682F15"/>
    <w:rsid w:val="00683040"/>
    <w:rsid w:val="0068311C"/>
    <w:rsid w:val="006831DF"/>
    <w:rsid w:val="006834B9"/>
    <w:rsid w:val="00683542"/>
    <w:rsid w:val="00683777"/>
    <w:rsid w:val="00683784"/>
    <w:rsid w:val="006839AA"/>
    <w:rsid w:val="00683A67"/>
    <w:rsid w:val="00683BF7"/>
    <w:rsid w:val="00684314"/>
    <w:rsid w:val="006843C5"/>
    <w:rsid w:val="00684498"/>
    <w:rsid w:val="00684953"/>
    <w:rsid w:val="00684A0C"/>
    <w:rsid w:val="00684A45"/>
    <w:rsid w:val="00684B65"/>
    <w:rsid w:val="00684F68"/>
    <w:rsid w:val="00684FBA"/>
    <w:rsid w:val="0068510D"/>
    <w:rsid w:val="0068586F"/>
    <w:rsid w:val="00685876"/>
    <w:rsid w:val="00685969"/>
    <w:rsid w:val="00685A10"/>
    <w:rsid w:val="00685C55"/>
    <w:rsid w:val="00686126"/>
    <w:rsid w:val="00686165"/>
    <w:rsid w:val="006862C7"/>
    <w:rsid w:val="00686300"/>
    <w:rsid w:val="0068692A"/>
    <w:rsid w:val="00686C73"/>
    <w:rsid w:val="00686DCA"/>
    <w:rsid w:val="0068707E"/>
    <w:rsid w:val="0068724A"/>
    <w:rsid w:val="00687343"/>
    <w:rsid w:val="0068767B"/>
    <w:rsid w:val="0068794E"/>
    <w:rsid w:val="0068796F"/>
    <w:rsid w:val="00687C18"/>
    <w:rsid w:val="00687E36"/>
    <w:rsid w:val="00687EF5"/>
    <w:rsid w:val="0069023F"/>
    <w:rsid w:val="0069069B"/>
    <w:rsid w:val="00690B61"/>
    <w:rsid w:val="0069126C"/>
    <w:rsid w:val="00691351"/>
    <w:rsid w:val="00691999"/>
    <w:rsid w:val="006919F7"/>
    <w:rsid w:val="00691A88"/>
    <w:rsid w:val="00691DE0"/>
    <w:rsid w:val="00691FFF"/>
    <w:rsid w:val="00692182"/>
    <w:rsid w:val="0069230D"/>
    <w:rsid w:val="00692C20"/>
    <w:rsid w:val="00692CA6"/>
    <w:rsid w:val="00693011"/>
    <w:rsid w:val="0069359A"/>
    <w:rsid w:val="0069359F"/>
    <w:rsid w:val="00693965"/>
    <w:rsid w:val="00693ECD"/>
    <w:rsid w:val="00694450"/>
    <w:rsid w:val="006944E3"/>
    <w:rsid w:val="006947ED"/>
    <w:rsid w:val="00694835"/>
    <w:rsid w:val="00694852"/>
    <w:rsid w:val="00694930"/>
    <w:rsid w:val="00694938"/>
    <w:rsid w:val="00694A82"/>
    <w:rsid w:val="00694FC2"/>
    <w:rsid w:val="00695354"/>
    <w:rsid w:val="006954A0"/>
    <w:rsid w:val="0069571E"/>
    <w:rsid w:val="00695C50"/>
    <w:rsid w:val="006961CB"/>
    <w:rsid w:val="00696749"/>
    <w:rsid w:val="00696B1A"/>
    <w:rsid w:val="00696D2D"/>
    <w:rsid w:val="00696EDC"/>
    <w:rsid w:val="00696F39"/>
    <w:rsid w:val="006970A5"/>
    <w:rsid w:val="00697577"/>
    <w:rsid w:val="006975E3"/>
    <w:rsid w:val="00697787"/>
    <w:rsid w:val="00697958"/>
    <w:rsid w:val="00697C6A"/>
    <w:rsid w:val="00697E69"/>
    <w:rsid w:val="006A0BEC"/>
    <w:rsid w:val="006A15B1"/>
    <w:rsid w:val="006A1B6E"/>
    <w:rsid w:val="006A1E55"/>
    <w:rsid w:val="006A21FA"/>
    <w:rsid w:val="006A225A"/>
    <w:rsid w:val="006A23C7"/>
    <w:rsid w:val="006A2584"/>
    <w:rsid w:val="006A2AF5"/>
    <w:rsid w:val="006A2C0E"/>
    <w:rsid w:val="006A2D24"/>
    <w:rsid w:val="006A3841"/>
    <w:rsid w:val="006A3991"/>
    <w:rsid w:val="006A3B7F"/>
    <w:rsid w:val="006A3D3B"/>
    <w:rsid w:val="006A3E24"/>
    <w:rsid w:val="006A4053"/>
    <w:rsid w:val="006A428E"/>
    <w:rsid w:val="006A4376"/>
    <w:rsid w:val="006A49F1"/>
    <w:rsid w:val="006A4D2D"/>
    <w:rsid w:val="006A5297"/>
    <w:rsid w:val="006A576D"/>
    <w:rsid w:val="006A5785"/>
    <w:rsid w:val="006A59B1"/>
    <w:rsid w:val="006A5E16"/>
    <w:rsid w:val="006A5F70"/>
    <w:rsid w:val="006A6324"/>
    <w:rsid w:val="006A65C8"/>
    <w:rsid w:val="006A700A"/>
    <w:rsid w:val="006A737F"/>
    <w:rsid w:val="006A7508"/>
    <w:rsid w:val="006A7981"/>
    <w:rsid w:val="006A7E70"/>
    <w:rsid w:val="006B0347"/>
    <w:rsid w:val="006B0416"/>
    <w:rsid w:val="006B043C"/>
    <w:rsid w:val="006B050C"/>
    <w:rsid w:val="006B06D1"/>
    <w:rsid w:val="006B07E3"/>
    <w:rsid w:val="006B09D9"/>
    <w:rsid w:val="006B09FB"/>
    <w:rsid w:val="006B0C00"/>
    <w:rsid w:val="006B1740"/>
    <w:rsid w:val="006B1948"/>
    <w:rsid w:val="006B19F7"/>
    <w:rsid w:val="006B1D8F"/>
    <w:rsid w:val="006B1D9E"/>
    <w:rsid w:val="006B1E12"/>
    <w:rsid w:val="006B2681"/>
    <w:rsid w:val="006B29FB"/>
    <w:rsid w:val="006B2C15"/>
    <w:rsid w:val="006B2CA4"/>
    <w:rsid w:val="006B2EEE"/>
    <w:rsid w:val="006B32F8"/>
    <w:rsid w:val="006B333C"/>
    <w:rsid w:val="006B34F0"/>
    <w:rsid w:val="006B3873"/>
    <w:rsid w:val="006B3C6C"/>
    <w:rsid w:val="006B441D"/>
    <w:rsid w:val="006B4595"/>
    <w:rsid w:val="006B4FD3"/>
    <w:rsid w:val="006B5358"/>
    <w:rsid w:val="006B5367"/>
    <w:rsid w:val="006B559C"/>
    <w:rsid w:val="006B5616"/>
    <w:rsid w:val="006B5761"/>
    <w:rsid w:val="006B57A9"/>
    <w:rsid w:val="006B58E5"/>
    <w:rsid w:val="006B5D61"/>
    <w:rsid w:val="006B5E6D"/>
    <w:rsid w:val="006B602D"/>
    <w:rsid w:val="006B636C"/>
    <w:rsid w:val="006B638A"/>
    <w:rsid w:val="006B66EB"/>
    <w:rsid w:val="006B6972"/>
    <w:rsid w:val="006B6A3C"/>
    <w:rsid w:val="006B6C69"/>
    <w:rsid w:val="006B6C9A"/>
    <w:rsid w:val="006B6FB2"/>
    <w:rsid w:val="006B718E"/>
    <w:rsid w:val="006B73F7"/>
    <w:rsid w:val="006B7401"/>
    <w:rsid w:val="006B77F4"/>
    <w:rsid w:val="006B78ED"/>
    <w:rsid w:val="006B7A32"/>
    <w:rsid w:val="006B7B34"/>
    <w:rsid w:val="006C008E"/>
    <w:rsid w:val="006C04BD"/>
    <w:rsid w:val="006C07C9"/>
    <w:rsid w:val="006C082F"/>
    <w:rsid w:val="006C0C42"/>
    <w:rsid w:val="006C0E62"/>
    <w:rsid w:val="006C0EF4"/>
    <w:rsid w:val="006C1152"/>
    <w:rsid w:val="006C14F6"/>
    <w:rsid w:val="006C1529"/>
    <w:rsid w:val="006C1F5F"/>
    <w:rsid w:val="006C2012"/>
    <w:rsid w:val="006C2182"/>
    <w:rsid w:val="006C2273"/>
    <w:rsid w:val="006C2A77"/>
    <w:rsid w:val="006C2B18"/>
    <w:rsid w:val="006C2B33"/>
    <w:rsid w:val="006C2F5A"/>
    <w:rsid w:val="006C31A3"/>
    <w:rsid w:val="006C3637"/>
    <w:rsid w:val="006C382A"/>
    <w:rsid w:val="006C3D63"/>
    <w:rsid w:val="006C433D"/>
    <w:rsid w:val="006C4C3C"/>
    <w:rsid w:val="006C4E32"/>
    <w:rsid w:val="006C53B5"/>
    <w:rsid w:val="006C53EE"/>
    <w:rsid w:val="006C5809"/>
    <w:rsid w:val="006C5DA8"/>
    <w:rsid w:val="006C5FE4"/>
    <w:rsid w:val="006C6053"/>
    <w:rsid w:val="006C60FC"/>
    <w:rsid w:val="006C61FC"/>
    <w:rsid w:val="006C63CD"/>
    <w:rsid w:val="006C646C"/>
    <w:rsid w:val="006C6643"/>
    <w:rsid w:val="006C6AB1"/>
    <w:rsid w:val="006C6E2A"/>
    <w:rsid w:val="006C6EAF"/>
    <w:rsid w:val="006C6ED4"/>
    <w:rsid w:val="006C70AF"/>
    <w:rsid w:val="006C7B3C"/>
    <w:rsid w:val="006C7C36"/>
    <w:rsid w:val="006D009F"/>
    <w:rsid w:val="006D016D"/>
    <w:rsid w:val="006D03A1"/>
    <w:rsid w:val="006D0501"/>
    <w:rsid w:val="006D050F"/>
    <w:rsid w:val="006D0698"/>
    <w:rsid w:val="006D0BB2"/>
    <w:rsid w:val="006D0DC5"/>
    <w:rsid w:val="006D1226"/>
    <w:rsid w:val="006D1A45"/>
    <w:rsid w:val="006D1A6E"/>
    <w:rsid w:val="006D1B30"/>
    <w:rsid w:val="006D1C67"/>
    <w:rsid w:val="006D1E5E"/>
    <w:rsid w:val="006D1FC3"/>
    <w:rsid w:val="006D28E7"/>
    <w:rsid w:val="006D2C51"/>
    <w:rsid w:val="006D2CF6"/>
    <w:rsid w:val="006D2D14"/>
    <w:rsid w:val="006D2D5E"/>
    <w:rsid w:val="006D3178"/>
    <w:rsid w:val="006D3439"/>
    <w:rsid w:val="006D354C"/>
    <w:rsid w:val="006D35F0"/>
    <w:rsid w:val="006D375B"/>
    <w:rsid w:val="006D3764"/>
    <w:rsid w:val="006D3962"/>
    <w:rsid w:val="006D3B48"/>
    <w:rsid w:val="006D3D52"/>
    <w:rsid w:val="006D404C"/>
    <w:rsid w:val="006D4147"/>
    <w:rsid w:val="006D466A"/>
    <w:rsid w:val="006D4AB8"/>
    <w:rsid w:val="006D4C25"/>
    <w:rsid w:val="006D525C"/>
    <w:rsid w:val="006D52E9"/>
    <w:rsid w:val="006D5350"/>
    <w:rsid w:val="006D57B4"/>
    <w:rsid w:val="006D62C6"/>
    <w:rsid w:val="006D6632"/>
    <w:rsid w:val="006D6764"/>
    <w:rsid w:val="006D6845"/>
    <w:rsid w:val="006D68C2"/>
    <w:rsid w:val="006D74F5"/>
    <w:rsid w:val="006D7864"/>
    <w:rsid w:val="006D7BDB"/>
    <w:rsid w:val="006D7CB8"/>
    <w:rsid w:val="006D7CD1"/>
    <w:rsid w:val="006D7E48"/>
    <w:rsid w:val="006D7EC0"/>
    <w:rsid w:val="006E0025"/>
    <w:rsid w:val="006E0838"/>
    <w:rsid w:val="006E0B5B"/>
    <w:rsid w:val="006E0DCB"/>
    <w:rsid w:val="006E0E00"/>
    <w:rsid w:val="006E10AB"/>
    <w:rsid w:val="006E10E0"/>
    <w:rsid w:val="006E125D"/>
    <w:rsid w:val="006E12DF"/>
    <w:rsid w:val="006E140F"/>
    <w:rsid w:val="006E14B5"/>
    <w:rsid w:val="006E16F3"/>
    <w:rsid w:val="006E16FE"/>
    <w:rsid w:val="006E19A7"/>
    <w:rsid w:val="006E19E6"/>
    <w:rsid w:val="006E1AAE"/>
    <w:rsid w:val="006E1B17"/>
    <w:rsid w:val="006E1B4C"/>
    <w:rsid w:val="006E204F"/>
    <w:rsid w:val="006E2288"/>
    <w:rsid w:val="006E22ED"/>
    <w:rsid w:val="006E26A9"/>
    <w:rsid w:val="006E2732"/>
    <w:rsid w:val="006E291D"/>
    <w:rsid w:val="006E32B1"/>
    <w:rsid w:val="006E3356"/>
    <w:rsid w:val="006E3535"/>
    <w:rsid w:val="006E3B1E"/>
    <w:rsid w:val="006E3E23"/>
    <w:rsid w:val="006E4179"/>
    <w:rsid w:val="006E4277"/>
    <w:rsid w:val="006E4684"/>
    <w:rsid w:val="006E4CA2"/>
    <w:rsid w:val="006E4D94"/>
    <w:rsid w:val="006E4DFF"/>
    <w:rsid w:val="006E4FBD"/>
    <w:rsid w:val="006E55D8"/>
    <w:rsid w:val="006E571E"/>
    <w:rsid w:val="006E5947"/>
    <w:rsid w:val="006E5B2A"/>
    <w:rsid w:val="006E5E8A"/>
    <w:rsid w:val="006E5EE0"/>
    <w:rsid w:val="006E5F55"/>
    <w:rsid w:val="006E630C"/>
    <w:rsid w:val="006E6644"/>
    <w:rsid w:val="006E679E"/>
    <w:rsid w:val="006E67E7"/>
    <w:rsid w:val="006E6887"/>
    <w:rsid w:val="006E69C0"/>
    <w:rsid w:val="006E6CCA"/>
    <w:rsid w:val="006E7130"/>
    <w:rsid w:val="006E7637"/>
    <w:rsid w:val="006E7E99"/>
    <w:rsid w:val="006F0073"/>
    <w:rsid w:val="006F0214"/>
    <w:rsid w:val="006F0874"/>
    <w:rsid w:val="006F0A9B"/>
    <w:rsid w:val="006F0FAC"/>
    <w:rsid w:val="006F115F"/>
    <w:rsid w:val="006F116F"/>
    <w:rsid w:val="006F17FE"/>
    <w:rsid w:val="006F1CFB"/>
    <w:rsid w:val="006F21BE"/>
    <w:rsid w:val="006F22CB"/>
    <w:rsid w:val="006F297F"/>
    <w:rsid w:val="006F2AF2"/>
    <w:rsid w:val="006F2CF1"/>
    <w:rsid w:val="006F318D"/>
    <w:rsid w:val="006F3233"/>
    <w:rsid w:val="006F346C"/>
    <w:rsid w:val="006F3481"/>
    <w:rsid w:val="006F3571"/>
    <w:rsid w:val="006F3B37"/>
    <w:rsid w:val="006F3D2F"/>
    <w:rsid w:val="006F43C1"/>
    <w:rsid w:val="006F4888"/>
    <w:rsid w:val="006F4AFA"/>
    <w:rsid w:val="006F4D0E"/>
    <w:rsid w:val="006F4E9F"/>
    <w:rsid w:val="006F51AB"/>
    <w:rsid w:val="006F5396"/>
    <w:rsid w:val="006F5421"/>
    <w:rsid w:val="006F553B"/>
    <w:rsid w:val="006F5FB7"/>
    <w:rsid w:val="006F6157"/>
    <w:rsid w:val="006F62B9"/>
    <w:rsid w:val="006F6AC6"/>
    <w:rsid w:val="006F6B77"/>
    <w:rsid w:val="006F6C3F"/>
    <w:rsid w:val="006F6D55"/>
    <w:rsid w:val="006F6DBB"/>
    <w:rsid w:val="006F6EE0"/>
    <w:rsid w:val="006F7075"/>
    <w:rsid w:val="006F72E9"/>
    <w:rsid w:val="006F7567"/>
    <w:rsid w:val="006F7692"/>
    <w:rsid w:val="006F76C8"/>
    <w:rsid w:val="006F7E26"/>
    <w:rsid w:val="007001A0"/>
    <w:rsid w:val="00700229"/>
    <w:rsid w:val="0070073D"/>
    <w:rsid w:val="00700A60"/>
    <w:rsid w:val="00701135"/>
    <w:rsid w:val="007013ED"/>
    <w:rsid w:val="00701644"/>
    <w:rsid w:val="0070181D"/>
    <w:rsid w:val="00701F3A"/>
    <w:rsid w:val="0070288F"/>
    <w:rsid w:val="007028DF"/>
    <w:rsid w:val="00702BF3"/>
    <w:rsid w:val="0070360E"/>
    <w:rsid w:val="007036A0"/>
    <w:rsid w:val="0070372D"/>
    <w:rsid w:val="007039A9"/>
    <w:rsid w:val="00703F44"/>
    <w:rsid w:val="00704064"/>
    <w:rsid w:val="0070425A"/>
    <w:rsid w:val="00704335"/>
    <w:rsid w:val="00704722"/>
    <w:rsid w:val="0070475B"/>
    <w:rsid w:val="007048B3"/>
    <w:rsid w:val="00704B8B"/>
    <w:rsid w:val="00704C7C"/>
    <w:rsid w:val="00704EBC"/>
    <w:rsid w:val="00704FB0"/>
    <w:rsid w:val="00705247"/>
    <w:rsid w:val="00705ECC"/>
    <w:rsid w:val="00706293"/>
    <w:rsid w:val="00706363"/>
    <w:rsid w:val="0070698C"/>
    <w:rsid w:val="00706AA4"/>
    <w:rsid w:val="00706B42"/>
    <w:rsid w:val="00706BF7"/>
    <w:rsid w:val="007071D2"/>
    <w:rsid w:val="007072F2"/>
    <w:rsid w:val="00707596"/>
    <w:rsid w:val="00707608"/>
    <w:rsid w:val="007076FB"/>
    <w:rsid w:val="00707919"/>
    <w:rsid w:val="00707E89"/>
    <w:rsid w:val="00707F91"/>
    <w:rsid w:val="007100B8"/>
    <w:rsid w:val="00710126"/>
    <w:rsid w:val="00710767"/>
    <w:rsid w:val="00710B29"/>
    <w:rsid w:val="00710B33"/>
    <w:rsid w:val="00710D59"/>
    <w:rsid w:val="00710F4D"/>
    <w:rsid w:val="007110AC"/>
    <w:rsid w:val="0071153E"/>
    <w:rsid w:val="00711585"/>
    <w:rsid w:val="00711722"/>
    <w:rsid w:val="00711A33"/>
    <w:rsid w:val="00711A67"/>
    <w:rsid w:val="00711DD2"/>
    <w:rsid w:val="00711E28"/>
    <w:rsid w:val="00711EAF"/>
    <w:rsid w:val="00711EC3"/>
    <w:rsid w:val="007120CB"/>
    <w:rsid w:val="00712311"/>
    <w:rsid w:val="00712514"/>
    <w:rsid w:val="0071258F"/>
    <w:rsid w:val="007125AE"/>
    <w:rsid w:val="007125FE"/>
    <w:rsid w:val="00712D01"/>
    <w:rsid w:val="00712D7D"/>
    <w:rsid w:val="00712F72"/>
    <w:rsid w:val="007130FD"/>
    <w:rsid w:val="0071313D"/>
    <w:rsid w:val="007131A2"/>
    <w:rsid w:val="007133E3"/>
    <w:rsid w:val="0071340B"/>
    <w:rsid w:val="00713581"/>
    <w:rsid w:val="00713584"/>
    <w:rsid w:val="0071395F"/>
    <w:rsid w:val="00713AC1"/>
    <w:rsid w:val="00714298"/>
    <w:rsid w:val="00714355"/>
    <w:rsid w:val="00714442"/>
    <w:rsid w:val="00714460"/>
    <w:rsid w:val="00714471"/>
    <w:rsid w:val="00714702"/>
    <w:rsid w:val="00714B68"/>
    <w:rsid w:val="00714CB7"/>
    <w:rsid w:val="007154D6"/>
    <w:rsid w:val="0071564D"/>
    <w:rsid w:val="007156B5"/>
    <w:rsid w:val="007157C3"/>
    <w:rsid w:val="007157FF"/>
    <w:rsid w:val="00715946"/>
    <w:rsid w:val="00715974"/>
    <w:rsid w:val="00715B07"/>
    <w:rsid w:val="00715E5A"/>
    <w:rsid w:val="00716360"/>
    <w:rsid w:val="0071649B"/>
    <w:rsid w:val="007164CF"/>
    <w:rsid w:val="00716591"/>
    <w:rsid w:val="007165AD"/>
    <w:rsid w:val="00716C82"/>
    <w:rsid w:val="00716DAD"/>
    <w:rsid w:val="00716FFF"/>
    <w:rsid w:val="007174A8"/>
    <w:rsid w:val="0071781D"/>
    <w:rsid w:val="007200A9"/>
    <w:rsid w:val="007203F6"/>
    <w:rsid w:val="00720669"/>
    <w:rsid w:val="007207C6"/>
    <w:rsid w:val="0072097D"/>
    <w:rsid w:val="00720E25"/>
    <w:rsid w:val="007210AB"/>
    <w:rsid w:val="007211BF"/>
    <w:rsid w:val="007212C4"/>
    <w:rsid w:val="00721451"/>
    <w:rsid w:val="00721498"/>
    <w:rsid w:val="00721549"/>
    <w:rsid w:val="00721AF7"/>
    <w:rsid w:val="00721F04"/>
    <w:rsid w:val="00721F78"/>
    <w:rsid w:val="0072201F"/>
    <w:rsid w:val="007223FB"/>
    <w:rsid w:val="00722E38"/>
    <w:rsid w:val="00722EEC"/>
    <w:rsid w:val="0072306F"/>
    <w:rsid w:val="007233E5"/>
    <w:rsid w:val="0072349E"/>
    <w:rsid w:val="0072389D"/>
    <w:rsid w:val="007238FE"/>
    <w:rsid w:val="00723E07"/>
    <w:rsid w:val="00723F7C"/>
    <w:rsid w:val="00724334"/>
    <w:rsid w:val="0072442C"/>
    <w:rsid w:val="00724556"/>
    <w:rsid w:val="00724F3A"/>
    <w:rsid w:val="00725088"/>
    <w:rsid w:val="007250E3"/>
    <w:rsid w:val="00725371"/>
    <w:rsid w:val="0072540F"/>
    <w:rsid w:val="00725674"/>
    <w:rsid w:val="00725687"/>
    <w:rsid w:val="00725857"/>
    <w:rsid w:val="00725947"/>
    <w:rsid w:val="007261FA"/>
    <w:rsid w:val="00726215"/>
    <w:rsid w:val="00726784"/>
    <w:rsid w:val="00726917"/>
    <w:rsid w:val="00726B7B"/>
    <w:rsid w:val="00726CA9"/>
    <w:rsid w:val="00726CB8"/>
    <w:rsid w:val="00726EC7"/>
    <w:rsid w:val="00727105"/>
    <w:rsid w:val="007271AB"/>
    <w:rsid w:val="0072723C"/>
    <w:rsid w:val="007272AE"/>
    <w:rsid w:val="00727461"/>
    <w:rsid w:val="007274EA"/>
    <w:rsid w:val="00727914"/>
    <w:rsid w:val="00727C54"/>
    <w:rsid w:val="0073039C"/>
    <w:rsid w:val="00730853"/>
    <w:rsid w:val="007308E5"/>
    <w:rsid w:val="00730BC1"/>
    <w:rsid w:val="00731289"/>
    <w:rsid w:val="00731668"/>
    <w:rsid w:val="0073166B"/>
    <w:rsid w:val="007317EE"/>
    <w:rsid w:val="00731AC6"/>
    <w:rsid w:val="0073207D"/>
    <w:rsid w:val="0073222E"/>
    <w:rsid w:val="00732344"/>
    <w:rsid w:val="0073257D"/>
    <w:rsid w:val="00732A84"/>
    <w:rsid w:val="00732FE7"/>
    <w:rsid w:val="00733199"/>
    <w:rsid w:val="007336C7"/>
    <w:rsid w:val="00733781"/>
    <w:rsid w:val="00733A74"/>
    <w:rsid w:val="00733BA7"/>
    <w:rsid w:val="00733CB2"/>
    <w:rsid w:val="007345C5"/>
    <w:rsid w:val="007348F6"/>
    <w:rsid w:val="00735060"/>
    <w:rsid w:val="007350F2"/>
    <w:rsid w:val="007350FE"/>
    <w:rsid w:val="0073515E"/>
    <w:rsid w:val="00735188"/>
    <w:rsid w:val="00735594"/>
    <w:rsid w:val="0073563A"/>
    <w:rsid w:val="00735775"/>
    <w:rsid w:val="0073596E"/>
    <w:rsid w:val="00736133"/>
    <w:rsid w:val="00736548"/>
    <w:rsid w:val="00736C14"/>
    <w:rsid w:val="00736E65"/>
    <w:rsid w:val="0073705E"/>
    <w:rsid w:val="00737119"/>
    <w:rsid w:val="0073764C"/>
    <w:rsid w:val="0073772E"/>
    <w:rsid w:val="00737DF1"/>
    <w:rsid w:val="00737F52"/>
    <w:rsid w:val="00740006"/>
    <w:rsid w:val="00740470"/>
    <w:rsid w:val="0074048D"/>
    <w:rsid w:val="00740528"/>
    <w:rsid w:val="00740736"/>
    <w:rsid w:val="00740A3E"/>
    <w:rsid w:val="00740CC8"/>
    <w:rsid w:val="00740ED6"/>
    <w:rsid w:val="00741124"/>
    <w:rsid w:val="00741165"/>
    <w:rsid w:val="007413DA"/>
    <w:rsid w:val="00741B9D"/>
    <w:rsid w:val="00741D34"/>
    <w:rsid w:val="0074230F"/>
    <w:rsid w:val="00742329"/>
    <w:rsid w:val="007428B6"/>
    <w:rsid w:val="007428FA"/>
    <w:rsid w:val="00742AF1"/>
    <w:rsid w:val="00742E75"/>
    <w:rsid w:val="00743147"/>
    <w:rsid w:val="007436BD"/>
    <w:rsid w:val="00743847"/>
    <w:rsid w:val="00743AFD"/>
    <w:rsid w:val="00743B65"/>
    <w:rsid w:val="00744737"/>
    <w:rsid w:val="00744749"/>
    <w:rsid w:val="00744753"/>
    <w:rsid w:val="007449E4"/>
    <w:rsid w:val="00744A9D"/>
    <w:rsid w:val="00745928"/>
    <w:rsid w:val="00745ADB"/>
    <w:rsid w:val="007460EE"/>
    <w:rsid w:val="007462E9"/>
    <w:rsid w:val="0074655B"/>
    <w:rsid w:val="007467A2"/>
    <w:rsid w:val="00746904"/>
    <w:rsid w:val="00746B83"/>
    <w:rsid w:val="00746E07"/>
    <w:rsid w:val="00746F3E"/>
    <w:rsid w:val="00746F90"/>
    <w:rsid w:val="007470F6"/>
    <w:rsid w:val="00747186"/>
    <w:rsid w:val="0074758C"/>
    <w:rsid w:val="007478F8"/>
    <w:rsid w:val="00747F93"/>
    <w:rsid w:val="0075009A"/>
    <w:rsid w:val="007502D9"/>
    <w:rsid w:val="007503AA"/>
    <w:rsid w:val="0075094B"/>
    <w:rsid w:val="00750DE3"/>
    <w:rsid w:val="00750E98"/>
    <w:rsid w:val="00750EFB"/>
    <w:rsid w:val="00751796"/>
    <w:rsid w:val="007517B5"/>
    <w:rsid w:val="007519CA"/>
    <w:rsid w:val="00751B36"/>
    <w:rsid w:val="00751F90"/>
    <w:rsid w:val="00752664"/>
    <w:rsid w:val="0075269A"/>
    <w:rsid w:val="007526C5"/>
    <w:rsid w:val="0075270C"/>
    <w:rsid w:val="00752731"/>
    <w:rsid w:val="007527B2"/>
    <w:rsid w:val="00752BE8"/>
    <w:rsid w:val="00752D36"/>
    <w:rsid w:val="00752DF8"/>
    <w:rsid w:val="00752E29"/>
    <w:rsid w:val="00752EC8"/>
    <w:rsid w:val="00753087"/>
    <w:rsid w:val="00753190"/>
    <w:rsid w:val="007531F3"/>
    <w:rsid w:val="007538F4"/>
    <w:rsid w:val="007541FA"/>
    <w:rsid w:val="00754312"/>
    <w:rsid w:val="00754333"/>
    <w:rsid w:val="007549A9"/>
    <w:rsid w:val="00754A1F"/>
    <w:rsid w:val="00754E92"/>
    <w:rsid w:val="00754EFF"/>
    <w:rsid w:val="007553BF"/>
    <w:rsid w:val="0075568E"/>
    <w:rsid w:val="007557ED"/>
    <w:rsid w:val="00755865"/>
    <w:rsid w:val="007558FA"/>
    <w:rsid w:val="0075593F"/>
    <w:rsid w:val="00755E9E"/>
    <w:rsid w:val="00755EC3"/>
    <w:rsid w:val="00756054"/>
    <w:rsid w:val="00756335"/>
    <w:rsid w:val="0075636C"/>
    <w:rsid w:val="00756395"/>
    <w:rsid w:val="007564CF"/>
    <w:rsid w:val="00756516"/>
    <w:rsid w:val="00756882"/>
    <w:rsid w:val="007569AC"/>
    <w:rsid w:val="00756A34"/>
    <w:rsid w:val="00756AA0"/>
    <w:rsid w:val="00756B80"/>
    <w:rsid w:val="00756C67"/>
    <w:rsid w:val="00756E20"/>
    <w:rsid w:val="00756F0B"/>
    <w:rsid w:val="00756FE5"/>
    <w:rsid w:val="00757118"/>
    <w:rsid w:val="00757239"/>
    <w:rsid w:val="00757365"/>
    <w:rsid w:val="00757475"/>
    <w:rsid w:val="0075766D"/>
    <w:rsid w:val="00757855"/>
    <w:rsid w:val="00757888"/>
    <w:rsid w:val="00757ACB"/>
    <w:rsid w:val="00757C95"/>
    <w:rsid w:val="00757CDF"/>
    <w:rsid w:val="00757DCA"/>
    <w:rsid w:val="00760A48"/>
    <w:rsid w:val="00760CC4"/>
    <w:rsid w:val="00760DAB"/>
    <w:rsid w:val="00760FAA"/>
    <w:rsid w:val="00761163"/>
    <w:rsid w:val="0076126D"/>
    <w:rsid w:val="007613EE"/>
    <w:rsid w:val="00761613"/>
    <w:rsid w:val="00761D39"/>
    <w:rsid w:val="00761D93"/>
    <w:rsid w:val="00761D95"/>
    <w:rsid w:val="00762138"/>
    <w:rsid w:val="007623DD"/>
    <w:rsid w:val="00762554"/>
    <w:rsid w:val="007628D2"/>
    <w:rsid w:val="007629A2"/>
    <w:rsid w:val="00762C41"/>
    <w:rsid w:val="0076335F"/>
    <w:rsid w:val="00763438"/>
    <w:rsid w:val="007634ED"/>
    <w:rsid w:val="00763BF1"/>
    <w:rsid w:val="00763D15"/>
    <w:rsid w:val="0076424A"/>
    <w:rsid w:val="00764251"/>
    <w:rsid w:val="0076428D"/>
    <w:rsid w:val="007643B1"/>
    <w:rsid w:val="00764418"/>
    <w:rsid w:val="0076464E"/>
    <w:rsid w:val="00764741"/>
    <w:rsid w:val="00764923"/>
    <w:rsid w:val="0076493F"/>
    <w:rsid w:val="00764993"/>
    <w:rsid w:val="00764F8F"/>
    <w:rsid w:val="00765583"/>
    <w:rsid w:val="00765941"/>
    <w:rsid w:val="00765B07"/>
    <w:rsid w:val="00765C7D"/>
    <w:rsid w:val="00765CCB"/>
    <w:rsid w:val="00765CDF"/>
    <w:rsid w:val="00765D87"/>
    <w:rsid w:val="00766400"/>
    <w:rsid w:val="007665D8"/>
    <w:rsid w:val="0076672E"/>
    <w:rsid w:val="007669DB"/>
    <w:rsid w:val="00766B5F"/>
    <w:rsid w:val="00766B6A"/>
    <w:rsid w:val="00766BF9"/>
    <w:rsid w:val="00766CF7"/>
    <w:rsid w:val="00766D1D"/>
    <w:rsid w:val="00766E73"/>
    <w:rsid w:val="0076714F"/>
    <w:rsid w:val="007671DF"/>
    <w:rsid w:val="007672A3"/>
    <w:rsid w:val="0076746E"/>
    <w:rsid w:val="00767740"/>
    <w:rsid w:val="00767A55"/>
    <w:rsid w:val="00767AE3"/>
    <w:rsid w:val="00767CE0"/>
    <w:rsid w:val="00767DBB"/>
    <w:rsid w:val="00767E5F"/>
    <w:rsid w:val="00770358"/>
    <w:rsid w:val="007703E1"/>
    <w:rsid w:val="007703F4"/>
    <w:rsid w:val="00770416"/>
    <w:rsid w:val="00770639"/>
    <w:rsid w:val="007706CC"/>
    <w:rsid w:val="00770D55"/>
    <w:rsid w:val="00770EA1"/>
    <w:rsid w:val="00770FA5"/>
    <w:rsid w:val="00771917"/>
    <w:rsid w:val="00771A53"/>
    <w:rsid w:val="00771C17"/>
    <w:rsid w:val="00771FC8"/>
    <w:rsid w:val="00772920"/>
    <w:rsid w:val="00772B00"/>
    <w:rsid w:val="00772EE4"/>
    <w:rsid w:val="00773010"/>
    <w:rsid w:val="0077350E"/>
    <w:rsid w:val="007742C3"/>
    <w:rsid w:val="0077475D"/>
    <w:rsid w:val="007747CA"/>
    <w:rsid w:val="00774BF8"/>
    <w:rsid w:val="00774C24"/>
    <w:rsid w:val="00774FC6"/>
    <w:rsid w:val="00774FF0"/>
    <w:rsid w:val="007750D6"/>
    <w:rsid w:val="0077536F"/>
    <w:rsid w:val="0077548D"/>
    <w:rsid w:val="00775776"/>
    <w:rsid w:val="007757AE"/>
    <w:rsid w:val="00775FBF"/>
    <w:rsid w:val="007760E3"/>
    <w:rsid w:val="007767CF"/>
    <w:rsid w:val="00776B84"/>
    <w:rsid w:val="00776EA3"/>
    <w:rsid w:val="00776F83"/>
    <w:rsid w:val="007770C4"/>
    <w:rsid w:val="00777407"/>
    <w:rsid w:val="00777513"/>
    <w:rsid w:val="007777EA"/>
    <w:rsid w:val="0077780A"/>
    <w:rsid w:val="0077782A"/>
    <w:rsid w:val="007779A3"/>
    <w:rsid w:val="00777BE7"/>
    <w:rsid w:val="00777C4D"/>
    <w:rsid w:val="00777E4A"/>
    <w:rsid w:val="00780481"/>
    <w:rsid w:val="00780A04"/>
    <w:rsid w:val="00780A08"/>
    <w:rsid w:val="00780C24"/>
    <w:rsid w:val="00780D70"/>
    <w:rsid w:val="00780DE0"/>
    <w:rsid w:val="00780E33"/>
    <w:rsid w:val="007811A1"/>
    <w:rsid w:val="007816C4"/>
    <w:rsid w:val="007817AC"/>
    <w:rsid w:val="00781B8E"/>
    <w:rsid w:val="00781BDC"/>
    <w:rsid w:val="00781DB8"/>
    <w:rsid w:val="00782625"/>
    <w:rsid w:val="00782726"/>
    <w:rsid w:val="007828AE"/>
    <w:rsid w:val="00782908"/>
    <w:rsid w:val="00782DA7"/>
    <w:rsid w:val="00782F7D"/>
    <w:rsid w:val="00782FD3"/>
    <w:rsid w:val="00783153"/>
    <w:rsid w:val="007834DF"/>
    <w:rsid w:val="0078356D"/>
    <w:rsid w:val="00783673"/>
    <w:rsid w:val="00783A28"/>
    <w:rsid w:val="00783DC2"/>
    <w:rsid w:val="00784527"/>
    <w:rsid w:val="0078452F"/>
    <w:rsid w:val="00784817"/>
    <w:rsid w:val="00784DDF"/>
    <w:rsid w:val="00785327"/>
    <w:rsid w:val="0078561D"/>
    <w:rsid w:val="0078594B"/>
    <w:rsid w:val="00785AE7"/>
    <w:rsid w:val="00785BF2"/>
    <w:rsid w:val="00785CD3"/>
    <w:rsid w:val="00786269"/>
    <w:rsid w:val="00786770"/>
    <w:rsid w:val="007868AC"/>
    <w:rsid w:val="00786912"/>
    <w:rsid w:val="00786A29"/>
    <w:rsid w:val="00787385"/>
    <w:rsid w:val="00787476"/>
    <w:rsid w:val="00787AC3"/>
    <w:rsid w:val="00787B09"/>
    <w:rsid w:val="00787E5F"/>
    <w:rsid w:val="0079063E"/>
    <w:rsid w:val="007908DB"/>
    <w:rsid w:val="00790B0E"/>
    <w:rsid w:val="00790BE8"/>
    <w:rsid w:val="00790D95"/>
    <w:rsid w:val="00790E96"/>
    <w:rsid w:val="00791625"/>
    <w:rsid w:val="0079166C"/>
    <w:rsid w:val="007916BC"/>
    <w:rsid w:val="007919D0"/>
    <w:rsid w:val="00791B04"/>
    <w:rsid w:val="00791E80"/>
    <w:rsid w:val="00792132"/>
    <w:rsid w:val="007921BC"/>
    <w:rsid w:val="00792486"/>
    <w:rsid w:val="0079275B"/>
    <w:rsid w:val="00792798"/>
    <w:rsid w:val="00792858"/>
    <w:rsid w:val="00792C5A"/>
    <w:rsid w:val="007930FB"/>
    <w:rsid w:val="007931DE"/>
    <w:rsid w:val="0079329A"/>
    <w:rsid w:val="007935F6"/>
    <w:rsid w:val="007936B1"/>
    <w:rsid w:val="00793C02"/>
    <w:rsid w:val="00794313"/>
    <w:rsid w:val="007946BA"/>
    <w:rsid w:val="007947EA"/>
    <w:rsid w:val="00794AD7"/>
    <w:rsid w:val="00794C02"/>
    <w:rsid w:val="00794DB5"/>
    <w:rsid w:val="007950C9"/>
    <w:rsid w:val="007954C3"/>
    <w:rsid w:val="00795625"/>
    <w:rsid w:val="00795626"/>
    <w:rsid w:val="0079569E"/>
    <w:rsid w:val="007957FD"/>
    <w:rsid w:val="00796175"/>
    <w:rsid w:val="00796204"/>
    <w:rsid w:val="0079634F"/>
    <w:rsid w:val="007966D3"/>
    <w:rsid w:val="00796940"/>
    <w:rsid w:val="00796AD9"/>
    <w:rsid w:val="00796C67"/>
    <w:rsid w:val="00796CFD"/>
    <w:rsid w:val="00796EBF"/>
    <w:rsid w:val="0079703C"/>
    <w:rsid w:val="007972D3"/>
    <w:rsid w:val="00797329"/>
    <w:rsid w:val="0079740F"/>
    <w:rsid w:val="007977A4"/>
    <w:rsid w:val="00797A72"/>
    <w:rsid w:val="00797DB1"/>
    <w:rsid w:val="00797F56"/>
    <w:rsid w:val="007A01CC"/>
    <w:rsid w:val="007A02EF"/>
    <w:rsid w:val="007A0305"/>
    <w:rsid w:val="007A0B55"/>
    <w:rsid w:val="007A0C29"/>
    <w:rsid w:val="007A0D24"/>
    <w:rsid w:val="007A0D3A"/>
    <w:rsid w:val="007A0DE2"/>
    <w:rsid w:val="007A1040"/>
    <w:rsid w:val="007A106B"/>
    <w:rsid w:val="007A1274"/>
    <w:rsid w:val="007A12A5"/>
    <w:rsid w:val="007A12A6"/>
    <w:rsid w:val="007A15BF"/>
    <w:rsid w:val="007A16A3"/>
    <w:rsid w:val="007A1A4A"/>
    <w:rsid w:val="007A1EC1"/>
    <w:rsid w:val="007A244D"/>
    <w:rsid w:val="007A2475"/>
    <w:rsid w:val="007A26F2"/>
    <w:rsid w:val="007A29B6"/>
    <w:rsid w:val="007A2C0E"/>
    <w:rsid w:val="007A2DE3"/>
    <w:rsid w:val="007A30FE"/>
    <w:rsid w:val="007A34E9"/>
    <w:rsid w:val="007A355F"/>
    <w:rsid w:val="007A3689"/>
    <w:rsid w:val="007A36F1"/>
    <w:rsid w:val="007A370D"/>
    <w:rsid w:val="007A3A08"/>
    <w:rsid w:val="007A3ABA"/>
    <w:rsid w:val="007A3B9C"/>
    <w:rsid w:val="007A3CCD"/>
    <w:rsid w:val="007A4275"/>
    <w:rsid w:val="007A429E"/>
    <w:rsid w:val="007A42BA"/>
    <w:rsid w:val="007A4510"/>
    <w:rsid w:val="007A4605"/>
    <w:rsid w:val="007A4629"/>
    <w:rsid w:val="007A4B04"/>
    <w:rsid w:val="007A5192"/>
    <w:rsid w:val="007A5397"/>
    <w:rsid w:val="007A5521"/>
    <w:rsid w:val="007A552A"/>
    <w:rsid w:val="007A56A1"/>
    <w:rsid w:val="007A57F0"/>
    <w:rsid w:val="007A5863"/>
    <w:rsid w:val="007A5A34"/>
    <w:rsid w:val="007A5C0B"/>
    <w:rsid w:val="007A69FC"/>
    <w:rsid w:val="007A6CC1"/>
    <w:rsid w:val="007A6D20"/>
    <w:rsid w:val="007A7430"/>
    <w:rsid w:val="007A74C5"/>
    <w:rsid w:val="007A76E1"/>
    <w:rsid w:val="007A7E4C"/>
    <w:rsid w:val="007A7ED4"/>
    <w:rsid w:val="007A7F39"/>
    <w:rsid w:val="007B01B0"/>
    <w:rsid w:val="007B0787"/>
    <w:rsid w:val="007B0C39"/>
    <w:rsid w:val="007B0E96"/>
    <w:rsid w:val="007B11FF"/>
    <w:rsid w:val="007B1368"/>
    <w:rsid w:val="007B17B1"/>
    <w:rsid w:val="007B1A8E"/>
    <w:rsid w:val="007B1B6D"/>
    <w:rsid w:val="007B1BBB"/>
    <w:rsid w:val="007B1C0D"/>
    <w:rsid w:val="007B1DE2"/>
    <w:rsid w:val="007B1F15"/>
    <w:rsid w:val="007B2349"/>
    <w:rsid w:val="007B29C1"/>
    <w:rsid w:val="007B2AE8"/>
    <w:rsid w:val="007B2B40"/>
    <w:rsid w:val="007B2D11"/>
    <w:rsid w:val="007B2DE3"/>
    <w:rsid w:val="007B2E0D"/>
    <w:rsid w:val="007B2E19"/>
    <w:rsid w:val="007B2E63"/>
    <w:rsid w:val="007B2F01"/>
    <w:rsid w:val="007B2FD8"/>
    <w:rsid w:val="007B3640"/>
    <w:rsid w:val="007B39BE"/>
    <w:rsid w:val="007B3B22"/>
    <w:rsid w:val="007B3C23"/>
    <w:rsid w:val="007B3C53"/>
    <w:rsid w:val="007B3F98"/>
    <w:rsid w:val="007B424F"/>
    <w:rsid w:val="007B4470"/>
    <w:rsid w:val="007B49EC"/>
    <w:rsid w:val="007B4CFB"/>
    <w:rsid w:val="007B4F44"/>
    <w:rsid w:val="007B5720"/>
    <w:rsid w:val="007B5818"/>
    <w:rsid w:val="007B5BA4"/>
    <w:rsid w:val="007B5CC0"/>
    <w:rsid w:val="007B5DEB"/>
    <w:rsid w:val="007B6032"/>
    <w:rsid w:val="007B605F"/>
    <w:rsid w:val="007B61EE"/>
    <w:rsid w:val="007B639A"/>
    <w:rsid w:val="007B6706"/>
    <w:rsid w:val="007B673F"/>
    <w:rsid w:val="007B6801"/>
    <w:rsid w:val="007B685F"/>
    <w:rsid w:val="007B68B4"/>
    <w:rsid w:val="007B6A2A"/>
    <w:rsid w:val="007B6FA1"/>
    <w:rsid w:val="007B7096"/>
    <w:rsid w:val="007B7298"/>
    <w:rsid w:val="007B7327"/>
    <w:rsid w:val="007B7449"/>
    <w:rsid w:val="007B78F1"/>
    <w:rsid w:val="007B794E"/>
    <w:rsid w:val="007B7ACB"/>
    <w:rsid w:val="007B7AE1"/>
    <w:rsid w:val="007B7C02"/>
    <w:rsid w:val="007B7FA0"/>
    <w:rsid w:val="007B7FF0"/>
    <w:rsid w:val="007C0018"/>
    <w:rsid w:val="007C00EA"/>
    <w:rsid w:val="007C0309"/>
    <w:rsid w:val="007C0509"/>
    <w:rsid w:val="007C05BB"/>
    <w:rsid w:val="007C09DC"/>
    <w:rsid w:val="007C0A35"/>
    <w:rsid w:val="007C0A9B"/>
    <w:rsid w:val="007C0D95"/>
    <w:rsid w:val="007C0F82"/>
    <w:rsid w:val="007C0FF6"/>
    <w:rsid w:val="007C10DF"/>
    <w:rsid w:val="007C1137"/>
    <w:rsid w:val="007C1277"/>
    <w:rsid w:val="007C1307"/>
    <w:rsid w:val="007C1379"/>
    <w:rsid w:val="007C17E1"/>
    <w:rsid w:val="007C1821"/>
    <w:rsid w:val="007C19A2"/>
    <w:rsid w:val="007C1AE1"/>
    <w:rsid w:val="007C1C02"/>
    <w:rsid w:val="007C1CA2"/>
    <w:rsid w:val="007C2190"/>
    <w:rsid w:val="007C2307"/>
    <w:rsid w:val="007C2B38"/>
    <w:rsid w:val="007C321B"/>
    <w:rsid w:val="007C327F"/>
    <w:rsid w:val="007C33B4"/>
    <w:rsid w:val="007C38A1"/>
    <w:rsid w:val="007C3B3B"/>
    <w:rsid w:val="007C3E44"/>
    <w:rsid w:val="007C3ED2"/>
    <w:rsid w:val="007C4066"/>
    <w:rsid w:val="007C430B"/>
    <w:rsid w:val="007C4407"/>
    <w:rsid w:val="007C457B"/>
    <w:rsid w:val="007C49DB"/>
    <w:rsid w:val="007C4D22"/>
    <w:rsid w:val="007C4F9A"/>
    <w:rsid w:val="007C524A"/>
    <w:rsid w:val="007C52B9"/>
    <w:rsid w:val="007C55B8"/>
    <w:rsid w:val="007C5A2D"/>
    <w:rsid w:val="007C5AE1"/>
    <w:rsid w:val="007C5DBF"/>
    <w:rsid w:val="007C6076"/>
    <w:rsid w:val="007C6476"/>
    <w:rsid w:val="007C6543"/>
    <w:rsid w:val="007C68FD"/>
    <w:rsid w:val="007C6A50"/>
    <w:rsid w:val="007C6A7A"/>
    <w:rsid w:val="007C6D2F"/>
    <w:rsid w:val="007C6DED"/>
    <w:rsid w:val="007C6FCF"/>
    <w:rsid w:val="007C73C7"/>
    <w:rsid w:val="007C75B7"/>
    <w:rsid w:val="007C78FF"/>
    <w:rsid w:val="007C7E90"/>
    <w:rsid w:val="007C7F6A"/>
    <w:rsid w:val="007C7FA5"/>
    <w:rsid w:val="007C7FAC"/>
    <w:rsid w:val="007D0267"/>
    <w:rsid w:val="007D0365"/>
    <w:rsid w:val="007D0393"/>
    <w:rsid w:val="007D044C"/>
    <w:rsid w:val="007D0AB2"/>
    <w:rsid w:val="007D0F3A"/>
    <w:rsid w:val="007D138E"/>
    <w:rsid w:val="007D16A3"/>
    <w:rsid w:val="007D1769"/>
    <w:rsid w:val="007D17E8"/>
    <w:rsid w:val="007D1800"/>
    <w:rsid w:val="007D1CB3"/>
    <w:rsid w:val="007D1F81"/>
    <w:rsid w:val="007D1FC1"/>
    <w:rsid w:val="007D20C5"/>
    <w:rsid w:val="007D2227"/>
    <w:rsid w:val="007D238A"/>
    <w:rsid w:val="007D25F6"/>
    <w:rsid w:val="007D293F"/>
    <w:rsid w:val="007D295E"/>
    <w:rsid w:val="007D2F42"/>
    <w:rsid w:val="007D305E"/>
    <w:rsid w:val="007D3421"/>
    <w:rsid w:val="007D3585"/>
    <w:rsid w:val="007D3A7E"/>
    <w:rsid w:val="007D3B3D"/>
    <w:rsid w:val="007D3C1C"/>
    <w:rsid w:val="007D3C69"/>
    <w:rsid w:val="007D3F1B"/>
    <w:rsid w:val="007D425A"/>
    <w:rsid w:val="007D4586"/>
    <w:rsid w:val="007D4933"/>
    <w:rsid w:val="007D4965"/>
    <w:rsid w:val="007D4B6F"/>
    <w:rsid w:val="007D4D0F"/>
    <w:rsid w:val="007D550D"/>
    <w:rsid w:val="007D58DB"/>
    <w:rsid w:val="007D5BBD"/>
    <w:rsid w:val="007D5D7E"/>
    <w:rsid w:val="007D5EFF"/>
    <w:rsid w:val="007D5FA8"/>
    <w:rsid w:val="007D6129"/>
    <w:rsid w:val="007D61E3"/>
    <w:rsid w:val="007D65EA"/>
    <w:rsid w:val="007D668D"/>
    <w:rsid w:val="007D6841"/>
    <w:rsid w:val="007D6BD4"/>
    <w:rsid w:val="007D6BF4"/>
    <w:rsid w:val="007D6D3D"/>
    <w:rsid w:val="007D7015"/>
    <w:rsid w:val="007D7589"/>
    <w:rsid w:val="007D77C7"/>
    <w:rsid w:val="007D7919"/>
    <w:rsid w:val="007D7CC9"/>
    <w:rsid w:val="007D7D16"/>
    <w:rsid w:val="007D7DE6"/>
    <w:rsid w:val="007E01AE"/>
    <w:rsid w:val="007E0212"/>
    <w:rsid w:val="007E0254"/>
    <w:rsid w:val="007E035F"/>
    <w:rsid w:val="007E063D"/>
    <w:rsid w:val="007E0E0C"/>
    <w:rsid w:val="007E0F85"/>
    <w:rsid w:val="007E1438"/>
    <w:rsid w:val="007E1581"/>
    <w:rsid w:val="007E1598"/>
    <w:rsid w:val="007E1674"/>
    <w:rsid w:val="007E16CC"/>
    <w:rsid w:val="007E188F"/>
    <w:rsid w:val="007E19CE"/>
    <w:rsid w:val="007E267F"/>
    <w:rsid w:val="007E2A92"/>
    <w:rsid w:val="007E2CFF"/>
    <w:rsid w:val="007E300E"/>
    <w:rsid w:val="007E3047"/>
    <w:rsid w:val="007E35EF"/>
    <w:rsid w:val="007E38E6"/>
    <w:rsid w:val="007E39EE"/>
    <w:rsid w:val="007E3B51"/>
    <w:rsid w:val="007E3D8A"/>
    <w:rsid w:val="007E3DA6"/>
    <w:rsid w:val="007E3DE0"/>
    <w:rsid w:val="007E45A9"/>
    <w:rsid w:val="007E4678"/>
    <w:rsid w:val="007E47A1"/>
    <w:rsid w:val="007E493D"/>
    <w:rsid w:val="007E49B2"/>
    <w:rsid w:val="007E4A19"/>
    <w:rsid w:val="007E4E80"/>
    <w:rsid w:val="007E509A"/>
    <w:rsid w:val="007E509F"/>
    <w:rsid w:val="007E544A"/>
    <w:rsid w:val="007E576C"/>
    <w:rsid w:val="007E57A6"/>
    <w:rsid w:val="007E5B89"/>
    <w:rsid w:val="007E5B8A"/>
    <w:rsid w:val="007E5EEF"/>
    <w:rsid w:val="007E624B"/>
    <w:rsid w:val="007E6427"/>
    <w:rsid w:val="007E66B9"/>
    <w:rsid w:val="007E677B"/>
    <w:rsid w:val="007E67C8"/>
    <w:rsid w:val="007E6C11"/>
    <w:rsid w:val="007E6ECF"/>
    <w:rsid w:val="007E7099"/>
    <w:rsid w:val="007E7154"/>
    <w:rsid w:val="007E7576"/>
    <w:rsid w:val="007E767B"/>
    <w:rsid w:val="007E76C4"/>
    <w:rsid w:val="007E7E1A"/>
    <w:rsid w:val="007E7EF6"/>
    <w:rsid w:val="007E7F4B"/>
    <w:rsid w:val="007E7F55"/>
    <w:rsid w:val="007F0137"/>
    <w:rsid w:val="007F0786"/>
    <w:rsid w:val="007F0829"/>
    <w:rsid w:val="007F0A28"/>
    <w:rsid w:val="007F0DC8"/>
    <w:rsid w:val="007F0DE2"/>
    <w:rsid w:val="007F0E58"/>
    <w:rsid w:val="007F0EB9"/>
    <w:rsid w:val="007F1043"/>
    <w:rsid w:val="007F13E4"/>
    <w:rsid w:val="007F14E9"/>
    <w:rsid w:val="007F1587"/>
    <w:rsid w:val="007F16C0"/>
    <w:rsid w:val="007F1AE7"/>
    <w:rsid w:val="007F1C00"/>
    <w:rsid w:val="007F1CF0"/>
    <w:rsid w:val="007F2689"/>
    <w:rsid w:val="007F2759"/>
    <w:rsid w:val="007F283D"/>
    <w:rsid w:val="007F2A42"/>
    <w:rsid w:val="007F320C"/>
    <w:rsid w:val="007F3629"/>
    <w:rsid w:val="007F3EF5"/>
    <w:rsid w:val="007F3FB3"/>
    <w:rsid w:val="007F4551"/>
    <w:rsid w:val="007F4757"/>
    <w:rsid w:val="007F4A0D"/>
    <w:rsid w:val="007F4A38"/>
    <w:rsid w:val="007F4E55"/>
    <w:rsid w:val="007F4F74"/>
    <w:rsid w:val="007F5066"/>
    <w:rsid w:val="007F51F0"/>
    <w:rsid w:val="007F522F"/>
    <w:rsid w:val="007F546E"/>
    <w:rsid w:val="007F57A9"/>
    <w:rsid w:val="007F58E6"/>
    <w:rsid w:val="007F5D14"/>
    <w:rsid w:val="007F63B6"/>
    <w:rsid w:val="007F681E"/>
    <w:rsid w:val="007F6A01"/>
    <w:rsid w:val="007F6BBB"/>
    <w:rsid w:val="007F6E26"/>
    <w:rsid w:val="007F7391"/>
    <w:rsid w:val="007F788D"/>
    <w:rsid w:val="007F796E"/>
    <w:rsid w:val="008001C5"/>
    <w:rsid w:val="00800230"/>
    <w:rsid w:val="008002AE"/>
    <w:rsid w:val="0080042C"/>
    <w:rsid w:val="00800843"/>
    <w:rsid w:val="00800A18"/>
    <w:rsid w:val="00800A54"/>
    <w:rsid w:val="00800D0B"/>
    <w:rsid w:val="00800F56"/>
    <w:rsid w:val="00801077"/>
    <w:rsid w:val="0080121F"/>
    <w:rsid w:val="00801255"/>
    <w:rsid w:val="008018DA"/>
    <w:rsid w:val="0080199C"/>
    <w:rsid w:val="00801C0C"/>
    <w:rsid w:val="00801C8A"/>
    <w:rsid w:val="00801D41"/>
    <w:rsid w:val="00802EE4"/>
    <w:rsid w:val="00803136"/>
    <w:rsid w:val="0080385F"/>
    <w:rsid w:val="008039B9"/>
    <w:rsid w:val="008039DE"/>
    <w:rsid w:val="00803BAE"/>
    <w:rsid w:val="00803E14"/>
    <w:rsid w:val="00804180"/>
    <w:rsid w:val="0080439A"/>
    <w:rsid w:val="00804761"/>
    <w:rsid w:val="00804B97"/>
    <w:rsid w:val="00804D3D"/>
    <w:rsid w:val="00805448"/>
    <w:rsid w:val="0080561C"/>
    <w:rsid w:val="00805B5E"/>
    <w:rsid w:val="00805DE7"/>
    <w:rsid w:val="00805FC5"/>
    <w:rsid w:val="00806163"/>
    <w:rsid w:val="008061E2"/>
    <w:rsid w:val="00806266"/>
    <w:rsid w:val="00806314"/>
    <w:rsid w:val="0080639A"/>
    <w:rsid w:val="00806428"/>
    <w:rsid w:val="008066C1"/>
    <w:rsid w:val="008067D0"/>
    <w:rsid w:val="008067D4"/>
    <w:rsid w:val="0080686B"/>
    <w:rsid w:val="008068B2"/>
    <w:rsid w:val="00806961"/>
    <w:rsid w:val="00806B30"/>
    <w:rsid w:val="00806B68"/>
    <w:rsid w:val="00806C99"/>
    <w:rsid w:val="0080727B"/>
    <w:rsid w:val="008072F1"/>
    <w:rsid w:val="00807420"/>
    <w:rsid w:val="00807664"/>
    <w:rsid w:val="00807737"/>
    <w:rsid w:val="008079DC"/>
    <w:rsid w:val="00807A6A"/>
    <w:rsid w:val="00807ABE"/>
    <w:rsid w:val="00807B77"/>
    <w:rsid w:val="00810019"/>
    <w:rsid w:val="0081015B"/>
    <w:rsid w:val="0081029E"/>
    <w:rsid w:val="0081033B"/>
    <w:rsid w:val="00810568"/>
    <w:rsid w:val="00810BA9"/>
    <w:rsid w:val="00811180"/>
    <w:rsid w:val="00811423"/>
    <w:rsid w:val="008114C8"/>
    <w:rsid w:val="0081153F"/>
    <w:rsid w:val="008115CD"/>
    <w:rsid w:val="008116B7"/>
    <w:rsid w:val="008116EC"/>
    <w:rsid w:val="00811712"/>
    <w:rsid w:val="00811A5F"/>
    <w:rsid w:val="00811A7F"/>
    <w:rsid w:val="0081218A"/>
    <w:rsid w:val="00812212"/>
    <w:rsid w:val="00812476"/>
    <w:rsid w:val="0081266C"/>
    <w:rsid w:val="00812CA9"/>
    <w:rsid w:val="00812DEA"/>
    <w:rsid w:val="0081302B"/>
    <w:rsid w:val="0081358E"/>
    <w:rsid w:val="00813B75"/>
    <w:rsid w:val="00813E77"/>
    <w:rsid w:val="0081401D"/>
    <w:rsid w:val="008141A7"/>
    <w:rsid w:val="00814320"/>
    <w:rsid w:val="00814490"/>
    <w:rsid w:val="00814C23"/>
    <w:rsid w:val="00814C51"/>
    <w:rsid w:val="00814F61"/>
    <w:rsid w:val="00814F66"/>
    <w:rsid w:val="00815145"/>
    <w:rsid w:val="00815253"/>
    <w:rsid w:val="0081550A"/>
    <w:rsid w:val="00815632"/>
    <w:rsid w:val="00815757"/>
    <w:rsid w:val="00815C78"/>
    <w:rsid w:val="008161BE"/>
    <w:rsid w:val="00816290"/>
    <w:rsid w:val="0081658E"/>
    <w:rsid w:val="008168AD"/>
    <w:rsid w:val="0081691D"/>
    <w:rsid w:val="008169BE"/>
    <w:rsid w:val="00816A1B"/>
    <w:rsid w:val="0081729A"/>
    <w:rsid w:val="00817CFD"/>
    <w:rsid w:val="00817D8E"/>
    <w:rsid w:val="00817E6F"/>
    <w:rsid w:val="0082019B"/>
    <w:rsid w:val="0082036A"/>
    <w:rsid w:val="0082064D"/>
    <w:rsid w:val="008208D2"/>
    <w:rsid w:val="008209A6"/>
    <w:rsid w:val="0082114C"/>
    <w:rsid w:val="008212C1"/>
    <w:rsid w:val="008212D0"/>
    <w:rsid w:val="00821326"/>
    <w:rsid w:val="00821332"/>
    <w:rsid w:val="00821350"/>
    <w:rsid w:val="008213A2"/>
    <w:rsid w:val="00821666"/>
    <w:rsid w:val="0082179D"/>
    <w:rsid w:val="00821C08"/>
    <w:rsid w:val="008221C3"/>
    <w:rsid w:val="00822454"/>
    <w:rsid w:val="008224C1"/>
    <w:rsid w:val="00822840"/>
    <w:rsid w:val="0082327D"/>
    <w:rsid w:val="008235E8"/>
    <w:rsid w:val="00823B2C"/>
    <w:rsid w:val="00823CB6"/>
    <w:rsid w:val="00823F27"/>
    <w:rsid w:val="00824A6B"/>
    <w:rsid w:val="00824C64"/>
    <w:rsid w:val="00824FC8"/>
    <w:rsid w:val="00825B4C"/>
    <w:rsid w:val="00826052"/>
    <w:rsid w:val="0082605E"/>
    <w:rsid w:val="008260BC"/>
    <w:rsid w:val="00826338"/>
    <w:rsid w:val="0082676B"/>
    <w:rsid w:val="00826AC1"/>
    <w:rsid w:val="00826CC7"/>
    <w:rsid w:val="00826D57"/>
    <w:rsid w:val="00826F24"/>
    <w:rsid w:val="0082700A"/>
    <w:rsid w:val="0082719D"/>
    <w:rsid w:val="008273E0"/>
    <w:rsid w:val="0082755D"/>
    <w:rsid w:val="0082788A"/>
    <w:rsid w:val="00827E13"/>
    <w:rsid w:val="0083019E"/>
    <w:rsid w:val="008302FE"/>
    <w:rsid w:val="00830338"/>
    <w:rsid w:val="00830609"/>
    <w:rsid w:val="00830A21"/>
    <w:rsid w:val="00830AB9"/>
    <w:rsid w:val="00830F4E"/>
    <w:rsid w:val="00831763"/>
    <w:rsid w:val="008322FC"/>
    <w:rsid w:val="00832416"/>
    <w:rsid w:val="00832441"/>
    <w:rsid w:val="008326A9"/>
    <w:rsid w:val="0083272B"/>
    <w:rsid w:val="00832A01"/>
    <w:rsid w:val="00832E53"/>
    <w:rsid w:val="00832EFE"/>
    <w:rsid w:val="00832F92"/>
    <w:rsid w:val="00832FA8"/>
    <w:rsid w:val="0083300E"/>
    <w:rsid w:val="00833160"/>
    <w:rsid w:val="00833178"/>
    <w:rsid w:val="00833626"/>
    <w:rsid w:val="0083370B"/>
    <w:rsid w:val="008338AF"/>
    <w:rsid w:val="00833A4A"/>
    <w:rsid w:val="0083445D"/>
    <w:rsid w:val="00834782"/>
    <w:rsid w:val="00834892"/>
    <w:rsid w:val="00834ABB"/>
    <w:rsid w:val="0083518E"/>
    <w:rsid w:val="008356FC"/>
    <w:rsid w:val="008359EE"/>
    <w:rsid w:val="0083618D"/>
    <w:rsid w:val="00836339"/>
    <w:rsid w:val="008366EE"/>
    <w:rsid w:val="008369DB"/>
    <w:rsid w:val="00836C87"/>
    <w:rsid w:val="00836D29"/>
    <w:rsid w:val="00836E09"/>
    <w:rsid w:val="00837148"/>
    <w:rsid w:val="00837522"/>
    <w:rsid w:val="00837800"/>
    <w:rsid w:val="0083786B"/>
    <w:rsid w:val="00837A4A"/>
    <w:rsid w:val="00837A68"/>
    <w:rsid w:val="00837C8F"/>
    <w:rsid w:val="008400E3"/>
    <w:rsid w:val="0084034A"/>
    <w:rsid w:val="008406E4"/>
    <w:rsid w:val="00840883"/>
    <w:rsid w:val="00840E54"/>
    <w:rsid w:val="00841425"/>
    <w:rsid w:val="008415EA"/>
    <w:rsid w:val="008416AD"/>
    <w:rsid w:val="008417DD"/>
    <w:rsid w:val="00841975"/>
    <w:rsid w:val="00841AAE"/>
    <w:rsid w:val="00841F94"/>
    <w:rsid w:val="008420DF"/>
    <w:rsid w:val="00842207"/>
    <w:rsid w:val="008422E2"/>
    <w:rsid w:val="00842540"/>
    <w:rsid w:val="00842D04"/>
    <w:rsid w:val="00842DF9"/>
    <w:rsid w:val="00842F7A"/>
    <w:rsid w:val="00843673"/>
    <w:rsid w:val="00843710"/>
    <w:rsid w:val="0084371F"/>
    <w:rsid w:val="00843C50"/>
    <w:rsid w:val="00843C72"/>
    <w:rsid w:val="00843C88"/>
    <w:rsid w:val="00844039"/>
    <w:rsid w:val="0084418D"/>
    <w:rsid w:val="0084451C"/>
    <w:rsid w:val="008448BC"/>
    <w:rsid w:val="00844962"/>
    <w:rsid w:val="00844AC7"/>
    <w:rsid w:val="0084538A"/>
    <w:rsid w:val="008453B8"/>
    <w:rsid w:val="008459AE"/>
    <w:rsid w:val="00845E09"/>
    <w:rsid w:val="00845F12"/>
    <w:rsid w:val="00845FD4"/>
    <w:rsid w:val="008464DE"/>
    <w:rsid w:val="00846921"/>
    <w:rsid w:val="00846B07"/>
    <w:rsid w:val="00846BA0"/>
    <w:rsid w:val="00846CAE"/>
    <w:rsid w:val="00846FA8"/>
    <w:rsid w:val="0084707D"/>
    <w:rsid w:val="008472F5"/>
    <w:rsid w:val="00847540"/>
    <w:rsid w:val="008475A5"/>
    <w:rsid w:val="008475F8"/>
    <w:rsid w:val="00847D2F"/>
    <w:rsid w:val="00847DD1"/>
    <w:rsid w:val="00847E36"/>
    <w:rsid w:val="0085025E"/>
    <w:rsid w:val="008504AD"/>
    <w:rsid w:val="00850514"/>
    <w:rsid w:val="008513A0"/>
    <w:rsid w:val="008513A7"/>
    <w:rsid w:val="0085173D"/>
    <w:rsid w:val="00851BF9"/>
    <w:rsid w:val="00851D34"/>
    <w:rsid w:val="00851E09"/>
    <w:rsid w:val="00851E26"/>
    <w:rsid w:val="00851F03"/>
    <w:rsid w:val="00851F29"/>
    <w:rsid w:val="00851F8F"/>
    <w:rsid w:val="00852153"/>
    <w:rsid w:val="008522BA"/>
    <w:rsid w:val="0085272D"/>
    <w:rsid w:val="0085294A"/>
    <w:rsid w:val="00852E32"/>
    <w:rsid w:val="008531F5"/>
    <w:rsid w:val="008535EF"/>
    <w:rsid w:val="008536E7"/>
    <w:rsid w:val="008538F0"/>
    <w:rsid w:val="00853AD4"/>
    <w:rsid w:val="00853C88"/>
    <w:rsid w:val="00853E34"/>
    <w:rsid w:val="00853E53"/>
    <w:rsid w:val="00854412"/>
    <w:rsid w:val="008547DF"/>
    <w:rsid w:val="00854C8A"/>
    <w:rsid w:val="008551C8"/>
    <w:rsid w:val="0085527A"/>
    <w:rsid w:val="008552B9"/>
    <w:rsid w:val="00855667"/>
    <w:rsid w:val="00855AC3"/>
    <w:rsid w:val="00855BAC"/>
    <w:rsid w:val="00855FDB"/>
    <w:rsid w:val="00856071"/>
    <w:rsid w:val="00856085"/>
    <w:rsid w:val="0085625E"/>
    <w:rsid w:val="008566BE"/>
    <w:rsid w:val="00856827"/>
    <w:rsid w:val="00856860"/>
    <w:rsid w:val="00856B43"/>
    <w:rsid w:val="00856E02"/>
    <w:rsid w:val="00856E9E"/>
    <w:rsid w:val="00856F5C"/>
    <w:rsid w:val="00856FFC"/>
    <w:rsid w:val="00857175"/>
    <w:rsid w:val="008573B6"/>
    <w:rsid w:val="00857441"/>
    <w:rsid w:val="00857A6A"/>
    <w:rsid w:val="00860C25"/>
    <w:rsid w:val="00860FE4"/>
    <w:rsid w:val="00861258"/>
    <w:rsid w:val="008616C6"/>
    <w:rsid w:val="00861821"/>
    <w:rsid w:val="00861E9E"/>
    <w:rsid w:val="008620E7"/>
    <w:rsid w:val="0086266B"/>
    <w:rsid w:val="008628F1"/>
    <w:rsid w:val="008631E1"/>
    <w:rsid w:val="00863280"/>
    <w:rsid w:val="0086399E"/>
    <w:rsid w:val="00863B45"/>
    <w:rsid w:val="00863E74"/>
    <w:rsid w:val="00863F8D"/>
    <w:rsid w:val="00864204"/>
    <w:rsid w:val="008642D8"/>
    <w:rsid w:val="0086430B"/>
    <w:rsid w:val="008643A3"/>
    <w:rsid w:val="00864436"/>
    <w:rsid w:val="008645ED"/>
    <w:rsid w:val="00864643"/>
    <w:rsid w:val="00864699"/>
    <w:rsid w:val="00864723"/>
    <w:rsid w:val="00864816"/>
    <w:rsid w:val="00864EAE"/>
    <w:rsid w:val="00864F68"/>
    <w:rsid w:val="0086556D"/>
    <w:rsid w:val="00865807"/>
    <w:rsid w:val="008658D3"/>
    <w:rsid w:val="00865A85"/>
    <w:rsid w:val="00865EAA"/>
    <w:rsid w:val="00865F08"/>
    <w:rsid w:val="00866322"/>
    <w:rsid w:val="008667D4"/>
    <w:rsid w:val="008667DA"/>
    <w:rsid w:val="008668B0"/>
    <w:rsid w:val="0086693A"/>
    <w:rsid w:val="00866A7A"/>
    <w:rsid w:val="00866C70"/>
    <w:rsid w:val="00866DF3"/>
    <w:rsid w:val="00867470"/>
    <w:rsid w:val="00867968"/>
    <w:rsid w:val="00867973"/>
    <w:rsid w:val="00867E75"/>
    <w:rsid w:val="00867E9A"/>
    <w:rsid w:val="00867EC9"/>
    <w:rsid w:val="0087029D"/>
    <w:rsid w:val="008703F6"/>
    <w:rsid w:val="008703F7"/>
    <w:rsid w:val="00870921"/>
    <w:rsid w:val="00870C77"/>
    <w:rsid w:val="008714F4"/>
    <w:rsid w:val="0087178D"/>
    <w:rsid w:val="00871AC9"/>
    <w:rsid w:val="00871B83"/>
    <w:rsid w:val="00871D0A"/>
    <w:rsid w:val="00871E32"/>
    <w:rsid w:val="00871E96"/>
    <w:rsid w:val="008721FE"/>
    <w:rsid w:val="0087247A"/>
    <w:rsid w:val="0087273B"/>
    <w:rsid w:val="00872C36"/>
    <w:rsid w:val="00872DDE"/>
    <w:rsid w:val="00873490"/>
    <w:rsid w:val="0087358E"/>
    <w:rsid w:val="0087362D"/>
    <w:rsid w:val="00873783"/>
    <w:rsid w:val="00873A06"/>
    <w:rsid w:val="00873D52"/>
    <w:rsid w:val="00873E0C"/>
    <w:rsid w:val="00873F2B"/>
    <w:rsid w:val="008742B6"/>
    <w:rsid w:val="008742C9"/>
    <w:rsid w:val="00874A6E"/>
    <w:rsid w:val="0087569D"/>
    <w:rsid w:val="008759BC"/>
    <w:rsid w:val="00875F1F"/>
    <w:rsid w:val="00876091"/>
    <w:rsid w:val="008761B4"/>
    <w:rsid w:val="008761DB"/>
    <w:rsid w:val="008761DF"/>
    <w:rsid w:val="00876468"/>
    <w:rsid w:val="008765FD"/>
    <w:rsid w:val="00876648"/>
    <w:rsid w:val="00876AB5"/>
    <w:rsid w:val="00876DDF"/>
    <w:rsid w:val="008771DC"/>
    <w:rsid w:val="008776C9"/>
    <w:rsid w:val="008776F0"/>
    <w:rsid w:val="00877A67"/>
    <w:rsid w:val="00877C10"/>
    <w:rsid w:val="00877CF6"/>
    <w:rsid w:val="00880168"/>
    <w:rsid w:val="0088032E"/>
    <w:rsid w:val="00880705"/>
    <w:rsid w:val="0088078F"/>
    <w:rsid w:val="008807F3"/>
    <w:rsid w:val="008808FE"/>
    <w:rsid w:val="00880B38"/>
    <w:rsid w:val="00880D11"/>
    <w:rsid w:val="00880DA3"/>
    <w:rsid w:val="00880E6B"/>
    <w:rsid w:val="008812A9"/>
    <w:rsid w:val="008815B8"/>
    <w:rsid w:val="00881836"/>
    <w:rsid w:val="00881892"/>
    <w:rsid w:val="00881B54"/>
    <w:rsid w:val="00881B56"/>
    <w:rsid w:val="00881BBB"/>
    <w:rsid w:val="00882063"/>
    <w:rsid w:val="008822B7"/>
    <w:rsid w:val="008822E7"/>
    <w:rsid w:val="00882470"/>
    <w:rsid w:val="008824FE"/>
    <w:rsid w:val="00882677"/>
    <w:rsid w:val="008827CC"/>
    <w:rsid w:val="0088293E"/>
    <w:rsid w:val="00882C01"/>
    <w:rsid w:val="0088327C"/>
    <w:rsid w:val="00883280"/>
    <w:rsid w:val="008833C5"/>
    <w:rsid w:val="008837D5"/>
    <w:rsid w:val="00883864"/>
    <w:rsid w:val="0088391C"/>
    <w:rsid w:val="00883BEC"/>
    <w:rsid w:val="00883D51"/>
    <w:rsid w:val="00883EFF"/>
    <w:rsid w:val="00884275"/>
    <w:rsid w:val="0088481B"/>
    <w:rsid w:val="00884837"/>
    <w:rsid w:val="00884871"/>
    <w:rsid w:val="008848EF"/>
    <w:rsid w:val="00884D5E"/>
    <w:rsid w:val="00884FD3"/>
    <w:rsid w:val="00884FF0"/>
    <w:rsid w:val="00885658"/>
    <w:rsid w:val="0088585D"/>
    <w:rsid w:val="00885E7F"/>
    <w:rsid w:val="0088605E"/>
    <w:rsid w:val="008862C5"/>
    <w:rsid w:val="0088674F"/>
    <w:rsid w:val="00886795"/>
    <w:rsid w:val="00886944"/>
    <w:rsid w:val="00886988"/>
    <w:rsid w:val="008869C7"/>
    <w:rsid w:val="00886E44"/>
    <w:rsid w:val="00886EBD"/>
    <w:rsid w:val="00887431"/>
    <w:rsid w:val="00887492"/>
    <w:rsid w:val="008874E4"/>
    <w:rsid w:val="008877F0"/>
    <w:rsid w:val="008878C0"/>
    <w:rsid w:val="008879A7"/>
    <w:rsid w:val="008879BA"/>
    <w:rsid w:val="00887CB5"/>
    <w:rsid w:val="00887E07"/>
    <w:rsid w:val="0089028B"/>
    <w:rsid w:val="008905D0"/>
    <w:rsid w:val="00890846"/>
    <w:rsid w:val="00890F0A"/>
    <w:rsid w:val="008910A8"/>
    <w:rsid w:val="008910D2"/>
    <w:rsid w:val="00891259"/>
    <w:rsid w:val="008916D5"/>
    <w:rsid w:val="00891A37"/>
    <w:rsid w:val="00891F69"/>
    <w:rsid w:val="008921A6"/>
    <w:rsid w:val="00892412"/>
    <w:rsid w:val="008926AC"/>
    <w:rsid w:val="00892BD7"/>
    <w:rsid w:val="008930EC"/>
    <w:rsid w:val="008931D2"/>
    <w:rsid w:val="00893305"/>
    <w:rsid w:val="008939DF"/>
    <w:rsid w:val="00893C5E"/>
    <w:rsid w:val="00894105"/>
    <w:rsid w:val="008943DC"/>
    <w:rsid w:val="008948BC"/>
    <w:rsid w:val="008948D8"/>
    <w:rsid w:val="00894913"/>
    <w:rsid w:val="00894B17"/>
    <w:rsid w:val="00894C83"/>
    <w:rsid w:val="00895096"/>
    <w:rsid w:val="008950A3"/>
    <w:rsid w:val="008950A8"/>
    <w:rsid w:val="008950C0"/>
    <w:rsid w:val="0089538B"/>
    <w:rsid w:val="0089559A"/>
    <w:rsid w:val="00895CE7"/>
    <w:rsid w:val="008960CE"/>
    <w:rsid w:val="00896241"/>
    <w:rsid w:val="008967E8"/>
    <w:rsid w:val="00896B8A"/>
    <w:rsid w:val="00896CD8"/>
    <w:rsid w:val="00897001"/>
    <w:rsid w:val="008974C9"/>
    <w:rsid w:val="008974FE"/>
    <w:rsid w:val="008978FE"/>
    <w:rsid w:val="00897AC3"/>
    <w:rsid w:val="00897BC3"/>
    <w:rsid w:val="00897CD2"/>
    <w:rsid w:val="00897F35"/>
    <w:rsid w:val="008A03F5"/>
    <w:rsid w:val="008A0429"/>
    <w:rsid w:val="008A0762"/>
    <w:rsid w:val="008A08E2"/>
    <w:rsid w:val="008A0C7F"/>
    <w:rsid w:val="008A0D38"/>
    <w:rsid w:val="008A0F5D"/>
    <w:rsid w:val="008A1122"/>
    <w:rsid w:val="008A16C2"/>
    <w:rsid w:val="008A1A9D"/>
    <w:rsid w:val="008A1BE2"/>
    <w:rsid w:val="008A1D5F"/>
    <w:rsid w:val="008A21B8"/>
    <w:rsid w:val="008A23AC"/>
    <w:rsid w:val="008A261E"/>
    <w:rsid w:val="008A26B0"/>
    <w:rsid w:val="008A2718"/>
    <w:rsid w:val="008A27C5"/>
    <w:rsid w:val="008A2848"/>
    <w:rsid w:val="008A288B"/>
    <w:rsid w:val="008A2DAD"/>
    <w:rsid w:val="008A2FFC"/>
    <w:rsid w:val="008A30CD"/>
    <w:rsid w:val="008A35C2"/>
    <w:rsid w:val="008A38FC"/>
    <w:rsid w:val="008A3C99"/>
    <w:rsid w:val="008A3D7C"/>
    <w:rsid w:val="008A3DC1"/>
    <w:rsid w:val="008A45C3"/>
    <w:rsid w:val="008A47C5"/>
    <w:rsid w:val="008A4845"/>
    <w:rsid w:val="008A4995"/>
    <w:rsid w:val="008A4E4F"/>
    <w:rsid w:val="008A5189"/>
    <w:rsid w:val="008A51C3"/>
    <w:rsid w:val="008A521D"/>
    <w:rsid w:val="008A55DF"/>
    <w:rsid w:val="008A5CFC"/>
    <w:rsid w:val="008A5F62"/>
    <w:rsid w:val="008A607F"/>
    <w:rsid w:val="008A60EA"/>
    <w:rsid w:val="008A6117"/>
    <w:rsid w:val="008A6168"/>
    <w:rsid w:val="008A66B9"/>
    <w:rsid w:val="008A6793"/>
    <w:rsid w:val="008A6EE8"/>
    <w:rsid w:val="008A6F68"/>
    <w:rsid w:val="008A7350"/>
    <w:rsid w:val="008A7489"/>
    <w:rsid w:val="008A754F"/>
    <w:rsid w:val="008A7A39"/>
    <w:rsid w:val="008A7BCF"/>
    <w:rsid w:val="008B0106"/>
    <w:rsid w:val="008B08B9"/>
    <w:rsid w:val="008B08DF"/>
    <w:rsid w:val="008B092E"/>
    <w:rsid w:val="008B0947"/>
    <w:rsid w:val="008B09D0"/>
    <w:rsid w:val="008B0A0C"/>
    <w:rsid w:val="008B0AA8"/>
    <w:rsid w:val="008B0C1A"/>
    <w:rsid w:val="008B0D40"/>
    <w:rsid w:val="008B0DA7"/>
    <w:rsid w:val="008B0EB1"/>
    <w:rsid w:val="008B1235"/>
    <w:rsid w:val="008B15C5"/>
    <w:rsid w:val="008B1B1B"/>
    <w:rsid w:val="008B2247"/>
    <w:rsid w:val="008B241C"/>
    <w:rsid w:val="008B24EA"/>
    <w:rsid w:val="008B250F"/>
    <w:rsid w:val="008B2677"/>
    <w:rsid w:val="008B26E9"/>
    <w:rsid w:val="008B2889"/>
    <w:rsid w:val="008B288A"/>
    <w:rsid w:val="008B2B41"/>
    <w:rsid w:val="008B2F97"/>
    <w:rsid w:val="008B321C"/>
    <w:rsid w:val="008B33AD"/>
    <w:rsid w:val="008B33FB"/>
    <w:rsid w:val="008B3804"/>
    <w:rsid w:val="008B38E7"/>
    <w:rsid w:val="008B39B7"/>
    <w:rsid w:val="008B3A2A"/>
    <w:rsid w:val="008B3C33"/>
    <w:rsid w:val="008B41CA"/>
    <w:rsid w:val="008B45C6"/>
    <w:rsid w:val="008B468B"/>
    <w:rsid w:val="008B4938"/>
    <w:rsid w:val="008B5282"/>
    <w:rsid w:val="008B53D4"/>
    <w:rsid w:val="008B53FA"/>
    <w:rsid w:val="008B5A36"/>
    <w:rsid w:val="008B5CAA"/>
    <w:rsid w:val="008B6287"/>
    <w:rsid w:val="008B6330"/>
    <w:rsid w:val="008B64C6"/>
    <w:rsid w:val="008B64FD"/>
    <w:rsid w:val="008B6B08"/>
    <w:rsid w:val="008B6BE4"/>
    <w:rsid w:val="008B6C81"/>
    <w:rsid w:val="008B6D44"/>
    <w:rsid w:val="008B6E46"/>
    <w:rsid w:val="008B6F03"/>
    <w:rsid w:val="008B6F26"/>
    <w:rsid w:val="008B6F31"/>
    <w:rsid w:val="008B701D"/>
    <w:rsid w:val="008B74BD"/>
    <w:rsid w:val="008B750E"/>
    <w:rsid w:val="008B77BF"/>
    <w:rsid w:val="008B78F0"/>
    <w:rsid w:val="008B79C2"/>
    <w:rsid w:val="008B7D22"/>
    <w:rsid w:val="008B7F0B"/>
    <w:rsid w:val="008B7F94"/>
    <w:rsid w:val="008C0253"/>
    <w:rsid w:val="008C0266"/>
    <w:rsid w:val="008C0866"/>
    <w:rsid w:val="008C08A0"/>
    <w:rsid w:val="008C08D8"/>
    <w:rsid w:val="008C08EC"/>
    <w:rsid w:val="008C0CE4"/>
    <w:rsid w:val="008C11B1"/>
    <w:rsid w:val="008C11C5"/>
    <w:rsid w:val="008C1903"/>
    <w:rsid w:val="008C1929"/>
    <w:rsid w:val="008C1991"/>
    <w:rsid w:val="008C19A5"/>
    <w:rsid w:val="008C1CCE"/>
    <w:rsid w:val="008C1E6C"/>
    <w:rsid w:val="008C227D"/>
    <w:rsid w:val="008C283F"/>
    <w:rsid w:val="008C2ACD"/>
    <w:rsid w:val="008C2B41"/>
    <w:rsid w:val="008C2DE8"/>
    <w:rsid w:val="008C308C"/>
    <w:rsid w:val="008C3299"/>
    <w:rsid w:val="008C335C"/>
    <w:rsid w:val="008C3411"/>
    <w:rsid w:val="008C35CE"/>
    <w:rsid w:val="008C3E26"/>
    <w:rsid w:val="008C3EC4"/>
    <w:rsid w:val="008C41F9"/>
    <w:rsid w:val="008C4648"/>
    <w:rsid w:val="008C4770"/>
    <w:rsid w:val="008C4B14"/>
    <w:rsid w:val="008C4B96"/>
    <w:rsid w:val="008C51D7"/>
    <w:rsid w:val="008C5233"/>
    <w:rsid w:val="008C52A6"/>
    <w:rsid w:val="008C5607"/>
    <w:rsid w:val="008C5ABB"/>
    <w:rsid w:val="008C5C2B"/>
    <w:rsid w:val="008C5DD6"/>
    <w:rsid w:val="008C5EA8"/>
    <w:rsid w:val="008C5F04"/>
    <w:rsid w:val="008C60CB"/>
    <w:rsid w:val="008C61B0"/>
    <w:rsid w:val="008C6604"/>
    <w:rsid w:val="008C671F"/>
    <w:rsid w:val="008C698B"/>
    <w:rsid w:val="008C6DA9"/>
    <w:rsid w:val="008C6DAF"/>
    <w:rsid w:val="008C738C"/>
    <w:rsid w:val="008C741C"/>
    <w:rsid w:val="008C74B7"/>
    <w:rsid w:val="008C75A5"/>
    <w:rsid w:val="008C7627"/>
    <w:rsid w:val="008C77CA"/>
    <w:rsid w:val="008C7867"/>
    <w:rsid w:val="008C7B81"/>
    <w:rsid w:val="008C7C13"/>
    <w:rsid w:val="008D0202"/>
    <w:rsid w:val="008D024A"/>
    <w:rsid w:val="008D030E"/>
    <w:rsid w:val="008D0649"/>
    <w:rsid w:val="008D079F"/>
    <w:rsid w:val="008D0956"/>
    <w:rsid w:val="008D0A60"/>
    <w:rsid w:val="008D0ED4"/>
    <w:rsid w:val="008D0F22"/>
    <w:rsid w:val="008D0FEA"/>
    <w:rsid w:val="008D10B8"/>
    <w:rsid w:val="008D1110"/>
    <w:rsid w:val="008D1123"/>
    <w:rsid w:val="008D1655"/>
    <w:rsid w:val="008D1772"/>
    <w:rsid w:val="008D1DC7"/>
    <w:rsid w:val="008D221B"/>
    <w:rsid w:val="008D226B"/>
    <w:rsid w:val="008D2373"/>
    <w:rsid w:val="008D23C3"/>
    <w:rsid w:val="008D2400"/>
    <w:rsid w:val="008D25CA"/>
    <w:rsid w:val="008D2953"/>
    <w:rsid w:val="008D2A7B"/>
    <w:rsid w:val="008D2EB3"/>
    <w:rsid w:val="008D322C"/>
    <w:rsid w:val="008D3386"/>
    <w:rsid w:val="008D42C4"/>
    <w:rsid w:val="008D4514"/>
    <w:rsid w:val="008D4664"/>
    <w:rsid w:val="008D46C9"/>
    <w:rsid w:val="008D48B6"/>
    <w:rsid w:val="008D4903"/>
    <w:rsid w:val="008D490E"/>
    <w:rsid w:val="008D49AF"/>
    <w:rsid w:val="008D4C2F"/>
    <w:rsid w:val="008D4CBA"/>
    <w:rsid w:val="008D4F03"/>
    <w:rsid w:val="008D4F17"/>
    <w:rsid w:val="008D5038"/>
    <w:rsid w:val="008D53D4"/>
    <w:rsid w:val="008D5548"/>
    <w:rsid w:val="008D5560"/>
    <w:rsid w:val="008D5616"/>
    <w:rsid w:val="008D59FF"/>
    <w:rsid w:val="008D5F6C"/>
    <w:rsid w:val="008D5FAD"/>
    <w:rsid w:val="008D608C"/>
    <w:rsid w:val="008D60FC"/>
    <w:rsid w:val="008D6223"/>
    <w:rsid w:val="008D6277"/>
    <w:rsid w:val="008D640E"/>
    <w:rsid w:val="008D6756"/>
    <w:rsid w:val="008D6778"/>
    <w:rsid w:val="008D68B6"/>
    <w:rsid w:val="008D6CDC"/>
    <w:rsid w:val="008D6E8C"/>
    <w:rsid w:val="008D6E92"/>
    <w:rsid w:val="008D6EC0"/>
    <w:rsid w:val="008D71D7"/>
    <w:rsid w:val="008D73FB"/>
    <w:rsid w:val="008D74E7"/>
    <w:rsid w:val="008D78CB"/>
    <w:rsid w:val="008D7A61"/>
    <w:rsid w:val="008D7DFD"/>
    <w:rsid w:val="008D7F8E"/>
    <w:rsid w:val="008E0361"/>
    <w:rsid w:val="008E06EB"/>
    <w:rsid w:val="008E0B20"/>
    <w:rsid w:val="008E0CF3"/>
    <w:rsid w:val="008E0D1F"/>
    <w:rsid w:val="008E123B"/>
    <w:rsid w:val="008E12BC"/>
    <w:rsid w:val="008E1454"/>
    <w:rsid w:val="008E1714"/>
    <w:rsid w:val="008E1946"/>
    <w:rsid w:val="008E1BA6"/>
    <w:rsid w:val="008E1C81"/>
    <w:rsid w:val="008E1DA3"/>
    <w:rsid w:val="008E1DB3"/>
    <w:rsid w:val="008E1DBF"/>
    <w:rsid w:val="008E1F21"/>
    <w:rsid w:val="008E250A"/>
    <w:rsid w:val="008E2FCF"/>
    <w:rsid w:val="008E31F6"/>
    <w:rsid w:val="008E367D"/>
    <w:rsid w:val="008E369E"/>
    <w:rsid w:val="008E37E8"/>
    <w:rsid w:val="008E3A34"/>
    <w:rsid w:val="008E3A87"/>
    <w:rsid w:val="008E3C00"/>
    <w:rsid w:val="008E3F7A"/>
    <w:rsid w:val="008E42F2"/>
    <w:rsid w:val="008E4399"/>
    <w:rsid w:val="008E45FB"/>
    <w:rsid w:val="008E468E"/>
    <w:rsid w:val="008E4702"/>
    <w:rsid w:val="008E4AD4"/>
    <w:rsid w:val="008E4B7F"/>
    <w:rsid w:val="008E5168"/>
    <w:rsid w:val="008E575F"/>
    <w:rsid w:val="008E59B0"/>
    <w:rsid w:val="008E5A24"/>
    <w:rsid w:val="008E5AF2"/>
    <w:rsid w:val="008E60EC"/>
    <w:rsid w:val="008E6383"/>
    <w:rsid w:val="008E63A5"/>
    <w:rsid w:val="008E63DE"/>
    <w:rsid w:val="008E63E5"/>
    <w:rsid w:val="008E6738"/>
    <w:rsid w:val="008E6763"/>
    <w:rsid w:val="008E6963"/>
    <w:rsid w:val="008E6A3F"/>
    <w:rsid w:val="008E6A57"/>
    <w:rsid w:val="008E6AE8"/>
    <w:rsid w:val="008E6F15"/>
    <w:rsid w:val="008E6FFB"/>
    <w:rsid w:val="008E7803"/>
    <w:rsid w:val="008E7B91"/>
    <w:rsid w:val="008E7E4D"/>
    <w:rsid w:val="008F0353"/>
    <w:rsid w:val="008F05E1"/>
    <w:rsid w:val="008F0797"/>
    <w:rsid w:val="008F0827"/>
    <w:rsid w:val="008F105A"/>
    <w:rsid w:val="008F11D8"/>
    <w:rsid w:val="008F131F"/>
    <w:rsid w:val="008F154D"/>
    <w:rsid w:val="008F15B8"/>
    <w:rsid w:val="008F15B9"/>
    <w:rsid w:val="008F1A82"/>
    <w:rsid w:val="008F1B70"/>
    <w:rsid w:val="008F1C77"/>
    <w:rsid w:val="008F1DEB"/>
    <w:rsid w:val="008F1ECC"/>
    <w:rsid w:val="008F2016"/>
    <w:rsid w:val="008F2113"/>
    <w:rsid w:val="008F228F"/>
    <w:rsid w:val="008F24B3"/>
    <w:rsid w:val="008F25DE"/>
    <w:rsid w:val="008F2665"/>
    <w:rsid w:val="008F29D4"/>
    <w:rsid w:val="008F2B33"/>
    <w:rsid w:val="008F2B53"/>
    <w:rsid w:val="008F2C9F"/>
    <w:rsid w:val="008F2CF9"/>
    <w:rsid w:val="008F2E65"/>
    <w:rsid w:val="008F2F51"/>
    <w:rsid w:val="008F2FEC"/>
    <w:rsid w:val="008F3181"/>
    <w:rsid w:val="008F325A"/>
    <w:rsid w:val="008F32C9"/>
    <w:rsid w:val="008F344A"/>
    <w:rsid w:val="008F3B73"/>
    <w:rsid w:val="008F3DE9"/>
    <w:rsid w:val="008F3F7A"/>
    <w:rsid w:val="008F3FF5"/>
    <w:rsid w:val="008F4169"/>
    <w:rsid w:val="008F417F"/>
    <w:rsid w:val="008F41DF"/>
    <w:rsid w:val="008F4359"/>
    <w:rsid w:val="008F437A"/>
    <w:rsid w:val="008F443F"/>
    <w:rsid w:val="008F479B"/>
    <w:rsid w:val="008F47D3"/>
    <w:rsid w:val="008F495B"/>
    <w:rsid w:val="008F4C11"/>
    <w:rsid w:val="008F4D06"/>
    <w:rsid w:val="008F4E51"/>
    <w:rsid w:val="008F5384"/>
    <w:rsid w:val="008F5A2F"/>
    <w:rsid w:val="008F5E5A"/>
    <w:rsid w:val="008F5F1E"/>
    <w:rsid w:val="008F6148"/>
    <w:rsid w:val="008F6200"/>
    <w:rsid w:val="008F673B"/>
    <w:rsid w:val="008F69A9"/>
    <w:rsid w:val="008F69DB"/>
    <w:rsid w:val="008F6AEA"/>
    <w:rsid w:val="008F6C98"/>
    <w:rsid w:val="008F6E6A"/>
    <w:rsid w:val="008F7121"/>
    <w:rsid w:val="008F75F6"/>
    <w:rsid w:val="008F77C4"/>
    <w:rsid w:val="008F7868"/>
    <w:rsid w:val="008F787F"/>
    <w:rsid w:val="008F7AB1"/>
    <w:rsid w:val="008F7B0C"/>
    <w:rsid w:val="00900167"/>
    <w:rsid w:val="009002DC"/>
    <w:rsid w:val="0090061F"/>
    <w:rsid w:val="009006A8"/>
    <w:rsid w:val="00900B87"/>
    <w:rsid w:val="00901174"/>
    <w:rsid w:val="00901322"/>
    <w:rsid w:val="0090148C"/>
    <w:rsid w:val="009015F7"/>
    <w:rsid w:val="00901636"/>
    <w:rsid w:val="00901721"/>
    <w:rsid w:val="009017F2"/>
    <w:rsid w:val="0090185A"/>
    <w:rsid w:val="009020DA"/>
    <w:rsid w:val="00902295"/>
    <w:rsid w:val="0090247C"/>
    <w:rsid w:val="0090248B"/>
    <w:rsid w:val="00902758"/>
    <w:rsid w:val="00902954"/>
    <w:rsid w:val="00902F1A"/>
    <w:rsid w:val="009035FA"/>
    <w:rsid w:val="00903733"/>
    <w:rsid w:val="0090375E"/>
    <w:rsid w:val="009037C6"/>
    <w:rsid w:val="00903872"/>
    <w:rsid w:val="00903A03"/>
    <w:rsid w:val="00903BA1"/>
    <w:rsid w:val="00903CED"/>
    <w:rsid w:val="00903F58"/>
    <w:rsid w:val="00904048"/>
    <w:rsid w:val="00904317"/>
    <w:rsid w:val="0090445D"/>
    <w:rsid w:val="009045F2"/>
    <w:rsid w:val="00904F81"/>
    <w:rsid w:val="00905423"/>
    <w:rsid w:val="00905714"/>
    <w:rsid w:val="0090576C"/>
    <w:rsid w:val="009057C6"/>
    <w:rsid w:val="0090696D"/>
    <w:rsid w:val="00906B76"/>
    <w:rsid w:val="00907077"/>
    <w:rsid w:val="0090712B"/>
    <w:rsid w:val="00907458"/>
    <w:rsid w:val="00907470"/>
    <w:rsid w:val="0090756F"/>
    <w:rsid w:val="00907873"/>
    <w:rsid w:val="00907949"/>
    <w:rsid w:val="0091008B"/>
    <w:rsid w:val="00910345"/>
    <w:rsid w:val="0091052B"/>
    <w:rsid w:val="009105AC"/>
    <w:rsid w:val="00910636"/>
    <w:rsid w:val="0091080D"/>
    <w:rsid w:val="00910996"/>
    <w:rsid w:val="00910CCF"/>
    <w:rsid w:val="00910FF9"/>
    <w:rsid w:val="0091120A"/>
    <w:rsid w:val="00911364"/>
    <w:rsid w:val="0091149E"/>
    <w:rsid w:val="0091156C"/>
    <w:rsid w:val="009115B4"/>
    <w:rsid w:val="0091160C"/>
    <w:rsid w:val="009119D9"/>
    <w:rsid w:val="00911AA2"/>
    <w:rsid w:val="00911B7F"/>
    <w:rsid w:val="00911B83"/>
    <w:rsid w:val="00911E98"/>
    <w:rsid w:val="00912373"/>
    <w:rsid w:val="0091269A"/>
    <w:rsid w:val="0091273D"/>
    <w:rsid w:val="00912AB4"/>
    <w:rsid w:val="00912BA1"/>
    <w:rsid w:val="00912BA3"/>
    <w:rsid w:val="00912FB5"/>
    <w:rsid w:val="00913328"/>
    <w:rsid w:val="009137CA"/>
    <w:rsid w:val="0091391A"/>
    <w:rsid w:val="00913999"/>
    <w:rsid w:val="00913C17"/>
    <w:rsid w:val="00913DEB"/>
    <w:rsid w:val="009140F9"/>
    <w:rsid w:val="00914144"/>
    <w:rsid w:val="00914510"/>
    <w:rsid w:val="0091520E"/>
    <w:rsid w:val="00915598"/>
    <w:rsid w:val="00915647"/>
    <w:rsid w:val="00915937"/>
    <w:rsid w:val="0091598B"/>
    <w:rsid w:val="00915A78"/>
    <w:rsid w:val="00915D6E"/>
    <w:rsid w:val="00915EA9"/>
    <w:rsid w:val="00916112"/>
    <w:rsid w:val="00916200"/>
    <w:rsid w:val="0091628B"/>
    <w:rsid w:val="00916291"/>
    <w:rsid w:val="00916491"/>
    <w:rsid w:val="00916603"/>
    <w:rsid w:val="009166EC"/>
    <w:rsid w:val="009168A1"/>
    <w:rsid w:val="009169C5"/>
    <w:rsid w:val="00917196"/>
    <w:rsid w:val="0091742E"/>
    <w:rsid w:val="0091746F"/>
    <w:rsid w:val="00917A00"/>
    <w:rsid w:val="00917A43"/>
    <w:rsid w:val="00917C48"/>
    <w:rsid w:val="00917EC0"/>
    <w:rsid w:val="009200AC"/>
    <w:rsid w:val="0092036F"/>
    <w:rsid w:val="00920748"/>
    <w:rsid w:val="009208D6"/>
    <w:rsid w:val="00920A40"/>
    <w:rsid w:val="00920F9C"/>
    <w:rsid w:val="00921020"/>
    <w:rsid w:val="0092114E"/>
    <w:rsid w:val="0092142D"/>
    <w:rsid w:val="00921484"/>
    <w:rsid w:val="0092173E"/>
    <w:rsid w:val="0092178C"/>
    <w:rsid w:val="009217BF"/>
    <w:rsid w:val="0092190F"/>
    <w:rsid w:val="00921A3F"/>
    <w:rsid w:val="00921A50"/>
    <w:rsid w:val="00921B85"/>
    <w:rsid w:val="00921C45"/>
    <w:rsid w:val="009226E9"/>
    <w:rsid w:val="00922739"/>
    <w:rsid w:val="00922897"/>
    <w:rsid w:val="00922BC2"/>
    <w:rsid w:val="00922BC6"/>
    <w:rsid w:val="00922D85"/>
    <w:rsid w:val="00923391"/>
    <w:rsid w:val="009234E0"/>
    <w:rsid w:val="0092387B"/>
    <w:rsid w:val="00923F7C"/>
    <w:rsid w:val="0092401B"/>
    <w:rsid w:val="00924028"/>
    <w:rsid w:val="009243A3"/>
    <w:rsid w:val="00924B79"/>
    <w:rsid w:val="00924B7A"/>
    <w:rsid w:val="00924BF1"/>
    <w:rsid w:val="00924D42"/>
    <w:rsid w:val="00924F6C"/>
    <w:rsid w:val="00925044"/>
    <w:rsid w:val="00925DB8"/>
    <w:rsid w:val="0092612E"/>
    <w:rsid w:val="009261E3"/>
    <w:rsid w:val="0092634D"/>
    <w:rsid w:val="00926C53"/>
    <w:rsid w:val="009270A7"/>
    <w:rsid w:val="00927213"/>
    <w:rsid w:val="009277C2"/>
    <w:rsid w:val="009278F6"/>
    <w:rsid w:val="00927B60"/>
    <w:rsid w:val="00927C40"/>
    <w:rsid w:val="00927E17"/>
    <w:rsid w:val="00927E4F"/>
    <w:rsid w:val="009300F1"/>
    <w:rsid w:val="009301C1"/>
    <w:rsid w:val="00930CF3"/>
    <w:rsid w:val="00930F3B"/>
    <w:rsid w:val="0093108E"/>
    <w:rsid w:val="00931352"/>
    <w:rsid w:val="00931444"/>
    <w:rsid w:val="0093158F"/>
    <w:rsid w:val="009317F5"/>
    <w:rsid w:val="00931866"/>
    <w:rsid w:val="00931BCF"/>
    <w:rsid w:val="00931CC1"/>
    <w:rsid w:val="00931D07"/>
    <w:rsid w:val="009321BC"/>
    <w:rsid w:val="0093228A"/>
    <w:rsid w:val="009322E7"/>
    <w:rsid w:val="00932529"/>
    <w:rsid w:val="0093298F"/>
    <w:rsid w:val="00932AE2"/>
    <w:rsid w:val="00932D6C"/>
    <w:rsid w:val="00933031"/>
    <w:rsid w:val="0093324F"/>
    <w:rsid w:val="009332DD"/>
    <w:rsid w:val="009334F1"/>
    <w:rsid w:val="00933A31"/>
    <w:rsid w:val="00933B8E"/>
    <w:rsid w:val="00933CEF"/>
    <w:rsid w:val="00933E4A"/>
    <w:rsid w:val="00933F83"/>
    <w:rsid w:val="0093410D"/>
    <w:rsid w:val="00934123"/>
    <w:rsid w:val="00934177"/>
    <w:rsid w:val="009342FC"/>
    <w:rsid w:val="0093450B"/>
    <w:rsid w:val="009345D6"/>
    <w:rsid w:val="009346DE"/>
    <w:rsid w:val="009346FC"/>
    <w:rsid w:val="00934767"/>
    <w:rsid w:val="00934A48"/>
    <w:rsid w:val="00934ABB"/>
    <w:rsid w:val="00934C9D"/>
    <w:rsid w:val="00934D64"/>
    <w:rsid w:val="00934F50"/>
    <w:rsid w:val="00934FB3"/>
    <w:rsid w:val="009356E8"/>
    <w:rsid w:val="00935853"/>
    <w:rsid w:val="009358C9"/>
    <w:rsid w:val="00935ADA"/>
    <w:rsid w:val="009362BE"/>
    <w:rsid w:val="00936797"/>
    <w:rsid w:val="009367A8"/>
    <w:rsid w:val="00936876"/>
    <w:rsid w:val="009370BC"/>
    <w:rsid w:val="009371F3"/>
    <w:rsid w:val="00937369"/>
    <w:rsid w:val="00937C01"/>
    <w:rsid w:val="00937E86"/>
    <w:rsid w:val="00940063"/>
    <w:rsid w:val="009402C1"/>
    <w:rsid w:val="00941200"/>
    <w:rsid w:val="009413E9"/>
    <w:rsid w:val="0094150E"/>
    <w:rsid w:val="0094182A"/>
    <w:rsid w:val="009418C1"/>
    <w:rsid w:val="009423D7"/>
    <w:rsid w:val="00942511"/>
    <w:rsid w:val="00942555"/>
    <w:rsid w:val="00942599"/>
    <w:rsid w:val="00942631"/>
    <w:rsid w:val="009426C4"/>
    <w:rsid w:val="00942790"/>
    <w:rsid w:val="00942A17"/>
    <w:rsid w:val="00942AB1"/>
    <w:rsid w:val="00942EDE"/>
    <w:rsid w:val="00942F9A"/>
    <w:rsid w:val="009436B6"/>
    <w:rsid w:val="009436C4"/>
    <w:rsid w:val="0094374D"/>
    <w:rsid w:val="0094378A"/>
    <w:rsid w:val="009438DD"/>
    <w:rsid w:val="0094394C"/>
    <w:rsid w:val="00943AE0"/>
    <w:rsid w:val="00943BD3"/>
    <w:rsid w:val="00943E13"/>
    <w:rsid w:val="00943E33"/>
    <w:rsid w:val="00943EFC"/>
    <w:rsid w:val="00944065"/>
    <w:rsid w:val="00944598"/>
    <w:rsid w:val="0094467D"/>
    <w:rsid w:val="00944872"/>
    <w:rsid w:val="00944955"/>
    <w:rsid w:val="00944990"/>
    <w:rsid w:val="009449CF"/>
    <w:rsid w:val="00944AD6"/>
    <w:rsid w:val="00944DBB"/>
    <w:rsid w:val="00944EFF"/>
    <w:rsid w:val="00944FE0"/>
    <w:rsid w:val="00945D3A"/>
    <w:rsid w:val="0094613C"/>
    <w:rsid w:val="009461DC"/>
    <w:rsid w:val="009461EB"/>
    <w:rsid w:val="009462F9"/>
    <w:rsid w:val="00946462"/>
    <w:rsid w:val="00946A86"/>
    <w:rsid w:val="00946B9D"/>
    <w:rsid w:val="00946BFA"/>
    <w:rsid w:val="00946CF6"/>
    <w:rsid w:val="0094726A"/>
    <w:rsid w:val="009472E8"/>
    <w:rsid w:val="0094773D"/>
    <w:rsid w:val="00947A08"/>
    <w:rsid w:val="00947D2E"/>
    <w:rsid w:val="00947DA3"/>
    <w:rsid w:val="00947EDD"/>
    <w:rsid w:val="00947F14"/>
    <w:rsid w:val="00947FB8"/>
    <w:rsid w:val="0095074E"/>
    <w:rsid w:val="009507D1"/>
    <w:rsid w:val="009508A0"/>
    <w:rsid w:val="00950A6E"/>
    <w:rsid w:val="00950D11"/>
    <w:rsid w:val="00950FFD"/>
    <w:rsid w:val="00951598"/>
    <w:rsid w:val="00951667"/>
    <w:rsid w:val="00951FCB"/>
    <w:rsid w:val="0095205A"/>
    <w:rsid w:val="0095235F"/>
    <w:rsid w:val="009523C2"/>
    <w:rsid w:val="009523F9"/>
    <w:rsid w:val="009526E7"/>
    <w:rsid w:val="009528CE"/>
    <w:rsid w:val="00952BE4"/>
    <w:rsid w:val="00952D7A"/>
    <w:rsid w:val="0095333C"/>
    <w:rsid w:val="00953474"/>
    <w:rsid w:val="009539BB"/>
    <w:rsid w:val="00953B49"/>
    <w:rsid w:val="00953BD3"/>
    <w:rsid w:val="00954CCC"/>
    <w:rsid w:val="00954F10"/>
    <w:rsid w:val="00955031"/>
    <w:rsid w:val="009555A7"/>
    <w:rsid w:val="0095561E"/>
    <w:rsid w:val="009556D1"/>
    <w:rsid w:val="0095576D"/>
    <w:rsid w:val="009557DF"/>
    <w:rsid w:val="0095590B"/>
    <w:rsid w:val="00955936"/>
    <w:rsid w:val="00955A30"/>
    <w:rsid w:val="00955B5E"/>
    <w:rsid w:val="00955DC0"/>
    <w:rsid w:val="00955F8E"/>
    <w:rsid w:val="009560E3"/>
    <w:rsid w:val="009560EC"/>
    <w:rsid w:val="00956136"/>
    <w:rsid w:val="009561AB"/>
    <w:rsid w:val="00956208"/>
    <w:rsid w:val="009562EB"/>
    <w:rsid w:val="00956464"/>
    <w:rsid w:val="00957071"/>
    <w:rsid w:val="0095722B"/>
    <w:rsid w:val="0095743C"/>
    <w:rsid w:val="009574D7"/>
    <w:rsid w:val="009575BF"/>
    <w:rsid w:val="00957BB6"/>
    <w:rsid w:val="009603FC"/>
    <w:rsid w:val="0096048F"/>
    <w:rsid w:val="009608D0"/>
    <w:rsid w:val="00960ADD"/>
    <w:rsid w:val="00960CD0"/>
    <w:rsid w:val="00960F59"/>
    <w:rsid w:val="00961061"/>
    <w:rsid w:val="00961152"/>
    <w:rsid w:val="009612C4"/>
    <w:rsid w:val="00961512"/>
    <w:rsid w:val="00961539"/>
    <w:rsid w:val="00961973"/>
    <w:rsid w:val="00961BA6"/>
    <w:rsid w:val="00961BD5"/>
    <w:rsid w:val="00961FD9"/>
    <w:rsid w:val="00962214"/>
    <w:rsid w:val="009622F6"/>
    <w:rsid w:val="0096231B"/>
    <w:rsid w:val="00962445"/>
    <w:rsid w:val="00962C6E"/>
    <w:rsid w:val="00962DFB"/>
    <w:rsid w:val="00962E20"/>
    <w:rsid w:val="00962EDF"/>
    <w:rsid w:val="00962F1C"/>
    <w:rsid w:val="009635E3"/>
    <w:rsid w:val="00963C6D"/>
    <w:rsid w:val="00963D5B"/>
    <w:rsid w:val="00963DFC"/>
    <w:rsid w:val="00963F70"/>
    <w:rsid w:val="0096403E"/>
    <w:rsid w:val="009640F7"/>
    <w:rsid w:val="00964232"/>
    <w:rsid w:val="009645F5"/>
    <w:rsid w:val="00964989"/>
    <w:rsid w:val="00964A12"/>
    <w:rsid w:val="00964A5C"/>
    <w:rsid w:val="00964B15"/>
    <w:rsid w:val="00964DD0"/>
    <w:rsid w:val="00965147"/>
    <w:rsid w:val="00965299"/>
    <w:rsid w:val="00965770"/>
    <w:rsid w:val="00965A0A"/>
    <w:rsid w:val="00965CAE"/>
    <w:rsid w:val="00965D72"/>
    <w:rsid w:val="00965E92"/>
    <w:rsid w:val="00965ECE"/>
    <w:rsid w:val="00966019"/>
    <w:rsid w:val="009660A6"/>
    <w:rsid w:val="00966209"/>
    <w:rsid w:val="009663C3"/>
    <w:rsid w:val="00966782"/>
    <w:rsid w:val="009667A1"/>
    <w:rsid w:val="00966988"/>
    <w:rsid w:val="00966F58"/>
    <w:rsid w:val="0096714E"/>
    <w:rsid w:val="00967481"/>
    <w:rsid w:val="0096770A"/>
    <w:rsid w:val="00967BEB"/>
    <w:rsid w:val="00967E96"/>
    <w:rsid w:val="0097007E"/>
    <w:rsid w:val="00970137"/>
    <w:rsid w:val="009701DC"/>
    <w:rsid w:val="00970347"/>
    <w:rsid w:val="00970397"/>
    <w:rsid w:val="00970739"/>
    <w:rsid w:val="009712B7"/>
    <w:rsid w:val="009714FB"/>
    <w:rsid w:val="00971580"/>
    <w:rsid w:val="009715D4"/>
    <w:rsid w:val="00971760"/>
    <w:rsid w:val="00971AA1"/>
    <w:rsid w:val="00971B1D"/>
    <w:rsid w:val="00971E4F"/>
    <w:rsid w:val="00971EE2"/>
    <w:rsid w:val="0097246A"/>
    <w:rsid w:val="009725B0"/>
    <w:rsid w:val="00972CE2"/>
    <w:rsid w:val="00972DE7"/>
    <w:rsid w:val="00973480"/>
    <w:rsid w:val="009734D7"/>
    <w:rsid w:val="0097385E"/>
    <w:rsid w:val="009738BA"/>
    <w:rsid w:val="0097390B"/>
    <w:rsid w:val="00973A08"/>
    <w:rsid w:val="00973B15"/>
    <w:rsid w:val="00973BC4"/>
    <w:rsid w:val="00973E4D"/>
    <w:rsid w:val="00973E7B"/>
    <w:rsid w:val="00973FBA"/>
    <w:rsid w:val="00974446"/>
    <w:rsid w:val="009745D0"/>
    <w:rsid w:val="00974810"/>
    <w:rsid w:val="00974F7D"/>
    <w:rsid w:val="009753A9"/>
    <w:rsid w:val="009753F4"/>
    <w:rsid w:val="009756AF"/>
    <w:rsid w:val="00975C10"/>
    <w:rsid w:val="00975E1C"/>
    <w:rsid w:val="00975EEA"/>
    <w:rsid w:val="0097644F"/>
    <w:rsid w:val="00976595"/>
    <w:rsid w:val="009767D6"/>
    <w:rsid w:val="0097682A"/>
    <w:rsid w:val="00976B06"/>
    <w:rsid w:val="00976C41"/>
    <w:rsid w:val="00976F56"/>
    <w:rsid w:val="009770B2"/>
    <w:rsid w:val="00977254"/>
    <w:rsid w:val="009772D1"/>
    <w:rsid w:val="00977408"/>
    <w:rsid w:val="0097774B"/>
    <w:rsid w:val="009778B0"/>
    <w:rsid w:val="00977BFC"/>
    <w:rsid w:val="00977F43"/>
    <w:rsid w:val="009803CB"/>
    <w:rsid w:val="00980504"/>
    <w:rsid w:val="009805E5"/>
    <w:rsid w:val="00980860"/>
    <w:rsid w:val="009808E3"/>
    <w:rsid w:val="009815CF"/>
    <w:rsid w:val="009818B6"/>
    <w:rsid w:val="00981CE3"/>
    <w:rsid w:val="00981D70"/>
    <w:rsid w:val="009820CF"/>
    <w:rsid w:val="00982286"/>
    <w:rsid w:val="0098229B"/>
    <w:rsid w:val="009823F2"/>
    <w:rsid w:val="00982771"/>
    <w:rsid w:val="00982CA0"/>
    <w:rsid w:val="00982F0C"/>
    <w:rsid w:val="00982F31"/>
    <w:rsid w:val="009830A3"/>
    <w:rsid w:val="009830C3"/>
    <w:rsid w:val="009836CD"/>
    <w:rsid w:val="00983714"/>
    <w:rsid w:val="00983817"/>
    <w:rsid w:val="009838A2"/>
    <w:rsid w:val="00983A4F"/>
    <w:rsid w:val="00984017"/>
    <w:rsid w:val="009840AF"/>
    <w:rsid w:val="009841DD"/>
    <w:rsid w:val="0098422E"/>
    <w:rsid w:val="0098458B"/>
    <w:rsid w:val="00984AAE"/>
    <w:rsid w:val="00984B78"/>
    <w:rsid w:val="00984BCF"/>
    <w:rsid w:val="00984D67"/>
    <w:rsid w:val="00984DCD"/>
    <w:rsid w:val="00984F39"/>
    <w:rsid w:val="0098500B"/>
    <w:rsid w:val="00985319"/>
    <w:rsid w:val="00985BB6"/>
    <w:rsid w:val="00986204"/>
    <w:rsid w:val="00986543"/>
    <w:rsid w:val="009865AA"/>
    <w:rsid w:val="00986631"/>
    <w:rsid w:val="0098689E"/>
    <w:rsid w:val="00986A35"/>
    <w:rsid w:val="00986C51"/>
    <w:rsid w:val="00986CFE"/>
    <w:rsid w:val="00987244"/>
    <w:rsid w:val="009872FB"/>
    <w:rsid w:val="00987599"/>
    <w:rsid w:val="009877C4"/>
    <w:rsid w:val="009877D3"/>
    <w:rsid w:val="00987842"/>
    <w:rsid w:val="009879CD"/>
    <w:rsid w:val="00987B31"/>
    <w:rsid w:val="00987C4B"/>
    <w:rsid w:val="00987E33"/>
    <w:rsid w:val="00987FB4"/>
    <w:rsid w:val="0099041F"/>
    <w:rsid w:val="0099049E"/>
    <w:rsid w:val="00990636"/>
    <w:rsid w:val="00990681"/>
    <w:rsid w:val="0099077F"/>
    <w:rsid w:val="00990909"/>
    <w:rsid w:val="00990AB1"/>
    <w:rsid w:val="00990DA7"/>
    <w:rsid w:val="00990E3A"/>
    <w:rsid w:val="009911F1"/>
    <w:rsid w:val="00992043"/>
    <w:rsid w:val="00992163"/>
    <w:rsid w:val="00992408"/>
    <w:rsid w:val="00992415"/>
    <w:rsid w:val="0099271D"/>
    <w:rsid w:val="009927D7"/>
    <w:rsid w:val="009927F0"/>
    <w:rsid w:val="00992982"/>
    <w:rsid w:val="009929C8"/>
    <w:rsid w:val="00992A80"/>
    <w:rsid w:val="00992AB8"/>
    <w:rsid w:val="00992B37"/>
    <w:rsid w:val="00992B51"/>
    <w:rsid w:val="00992FB1"/>
    <w:rsid w:val="00992FD5"/>
    <w:rsid w:val="009930F0"/>
    <w:rsid w:val="0099324C"/>
    <w:rsid w:val="009934DE"/>
    <w:rsid w:val="00994038"/>
    <w:rsid w:val="0099470D"/>
    <w:rsid w:val="0099471D"/>
    <w:rsid w:val="0099478F"/>
    <w:rsid w:val="0099497F"/>
    <w:rsid w:val="00994C32"/>
    <w:rsid w:val="00995307"/>
    <w:rsid w:val="00995498"/>
    <w:rsid w:val="009955E0"/>
    <w:rsid w:val="00995A5C"/>
    <w:rsid w:val="009960CD"/>
    <w:rsid w:val="009962F3"/>
    <w:rsid w:val="009965DB"/>
    <w:rsid w:val="009967C1"/>
    <w:rsid w:val="00996888"/>
    <w:rsid w:val="009968A3"/>
    <w:rsid w:val="009968BC"/>
    <w:rsid w:val="0099691F"/>
    <w:rsid w:val="00996AB8"/>
    <w:rsid w:val="00996C40"/>
    <w:rsid w:val="00996CB1"/>
    <w:rsid w:val="00996E13"/>
    <w:rsid w:val="00997281"/>
    <w:rsid w:val="009973CF"/>
    <w:rsid w:val="00997409"/>
    <w:rsid w:val="0099742A"/>
    <w:rsid w:val="009977FC"/>
    <w:rsid w:val="00997B35"/>
    <w:rsid w:val="009A01B0"/>
    <w:rsid w:val="009A042F"/>
    <w:rsid w:val="009A04D9"/>
    <w:rsid w:val="009A0569"/>
    <w:rsid w:val="009A060C"/>
    <w:rsid w:val="009A07DF"/>
    <w:rsid w:val="009A0810"/>
    <w:rsid w:val="009A0AF4"/>
    <w:rsid w:val="009A0EAB"/>
    <w:rsid w:val="009A1346"/>
    <w:rsid w:val="009A13A9"/>
    <w:rsid w:val="009A14E0"/>
    <w:rsid w:val="009A1A0E"/>
    <w:rsid w:val="009A1C54"/>
    <w:rsid w:val="009A1CDC"/>
    <w:rsid w:val="009A1EB4"/>
    <w:rsid w:val="009A25E6"/>
    <w:rsid w:val="009A2608"/>
    <w:rsid w:val="009A26A4"/>
    <w:rsid w:val="009A2783"/>
    <w:rsid w:val="009A291B"/>
    <w:rsid w:val="009A2A25"/>
    <w:rsid w:val="009A2F67"/>
    <w:rsid w:val="009A31AA"/>
    <w:rsid w:val="009A359A"/>
    <w:rsid w:val="009A3B11"/>
    <w:rsid w:val="009A3C32"/>
    <w:rsid w:val="009A437D"/>
    <w:rsid w:val="009A45DC"/>
    <w:rsid w:val="009A50BF"/>
    <w:rsid w:val="009A5264"/>
    <w:rsid w:val="009A5281"/>
    <w:rsid w:val="009A52BF"/>
    <w:rsid w:val="009A5666"/>
    <w:rsid w:val="009A5A08"/>
    <w:rsid w:val="009A5BC9"/>
    <w:rsid w:val="009A609E"/>
    <w:rsid w:val="009A615A"/>
    <w:rsid w:val="009A6201"/>
    <w:rsid w:val="009A6640"/>
    <w:rsid w:val="009A6818"/>
    <w:rsid w:val="009A6CC8"/>
    <w:rsid w:val="009A73E3"/>
    <w:rsid w:val="009A772A"/>
    <w:rsid w:val="009A7732"/>
    <w:rsid w:val="009A7DC9"/>
    <w:rsid w:val="009A7DEF"/>
    <w:rsid w:val="009A7EDD"/>
    <w:rsid w:val="009B0120"/>
    <w:rsid w:val="009B054B"/>
    <w:rsid w:val="009B077B"/>
    <w:rsid w:val="009B088B"/>
    <w:rsid w:val="009B09C9"/>
    <w:rsid w:val="009B0B2E"/>
    <w:rsid w:val="009B0C34"/>
    <w:rsid w:val="009B0C43"/>
    <w:rsid w:val="009B0DFC"/>
    <w:rsid w:val="009B1BA8"/>
    <w:rsid w:val="009B1FD2"/>
    <w:rsid w:val="009B22D7"/>
    <w:rsid w:val="009B2486"/>
    <w:rsid w:val="009B284B"/>
    <w:rsid w:val="009B29E3"/>
    <w:rsid w:val="009B2E51"/>
    <w:rsid w:val="009B2FC7"/>
    <w:rsid w:val="009B307B"/>
    <w:rsid w:val="009B420B"/>
    <w:rsid w:val="009B422A"/>
    <w:rsid w:val="009B44A2"/>
    <w:rsid w:val="009B48AF"/>
    <w:rsid w:val="009B49EF"/>
    <w:rsid w:val="009B4C34"/>
    <w:rsid w:val="009B4C56"/>
    <w:rsid w:val="009B4E6B"/>
    <w:rsid w:val="009B5160"/>
    <w:rsid w:val="009B560F"/>
    <w:rsid w:val="009B5867"/>
    <w:rsid w:val="009B5A45"/>
    <w:rsid w:val="009B5AAF"/>
    <w:rsid w:val="009B5C42"/>
    <w:rsid w:val="009B5DF7"/>
    <w:rsid w:val="009B5FBD"/>
    <w:rsid w:val="009B63E0"/>
    <w:rsid w:val="009B6496"/>
    <w:rsid w:val="009B6505"/>
    <w:rsid w:val="009B65E8"/>
    <w:rsid w:val="009B667A"/>
    <w:rsid w:val="009B6B7E"/>
    <w:rsid w:val="009B7130"/>
    <w:rsid w:val="009B733E"/>
    <w:rsid w:val="009B767A"/>
    <w:rsid w:val="009B7721"/>
    <w:rsid w:val="009B7761"/>
    <w:rsid w:val="009B7775"/>
    <w:rsid w:val="009B778A"/>
    <w:rsid w:val="009B78F6"/>
    <w:rsid w:val="009B7C93"/>
    <w:rsid w:val="009B7E91"/>
    <w:rsid w:val="009B7EB9"/>
    <w:rsid w:val="009C0313"/>
    <w:rsid w:val="009C032C"/>
    <w:rsid w:val="009C03DF"/>
    <w:rsid w:val="009C08C3"/>
    <w:rsid w:val="009C0CB3"/>
    <w:rsid w:val="009C0D1B"/>
    <w:rsid w:val="009C0FF7"/>
    <w:rsid w:val="009C12AC"/>
    <w:rsid w:val="009C172A"/>
    <w:rsid w:val="009C18EF"/>
    <w:rsid w:val="009C193C"/>
    <w:rsid w:val="009C1DD8"/>
    <w:rsid w:val="009C1F05"/>
    <w:rsid w:val="009C1F80"/>
    <w:rsid w:val="009C243F"/>
    <w:rsid w:val="009C2671"/>
    <w:rsid w:val="009C26BA"/>
    <w:rsid w:val="009C2914"/>
    <w:rsid w:val="009C30EE"/>
    <w:rsid w:val="009C38BF"/>
    <w:rsid w:val="009C3A0C"/>
    <w:rsid w:val="009C3C92"/>
    <w:rsid w:val="009C40C0"/>
    <w:rsid w:val="009C4131"/>
    <w:rsid w:val="009C436C"/>
    <w:rsid w:val="009C4986"/>
    <w:rsid w:val="009C4ED7"/>
    <w:rsid w:val="009C5149"/>
    <w:rsid w:val="009C5198"/>
    <w:rsid w:val="009C566A"/>
    <w:rsid w:val="009C5674"/>
    <w:rsid w:val="009C590F"/>
    <w:rsid w:val="009C597D"/>
    <w:rsid w:val="009C5D3C"/>
    <w:rsid w:val="009C603B"/>
    <w:rsid w:val="009C66CC"/>
    <w:rsid w:val="009C67B1"/>
    <w:rsid w:val="009C6882"/>
    <w:rsid w:val="009C69DF"/>
    <w:rsid w:val="009C6A12"/>
    <w:rsid w:val="009C6AB7"/>
    <w:rsid w:val="009C6B64"/>
    <w:rsid w:val="009C6E21"/>
    <w:rsid w:val="009C70FD"/>
    <w:rsid w:val="009C7333"/>
    <w:rsid w:val="009C735E"/>
    <w:rsid w:val="009C75A1"/>
    <w:rsid w:val="009C7690"/>
    <w:rsid w:val="009C76A8"/>
    <w:rsid w:val="009C770A"/>
    <w:rsid w:val="009C7823"/>
    <w:rsid w:val="009C79DC"/>
    <w:rsid w:val="009C7A15"/>
    <w:rsid w:val="009C7A38"/>
    <w:rsid w:val="009C7AF7"/>
    <w:rsid w:val="009C7C21"/>
    <w:rsid w:val="009C7FD8"/>
    <w:rsid w:val="009D016A"/>
    <w:rsid w:val="009D03B0"/>
    <w:rsid w:val="009D0982"/>
    <w:rsid w:val="009D0BF0"/>
    <w:rsid w:val="009D0F81"/>
    <w:rsid w:val="009D0F90"/>
    <w:rsid w:val="009D10FE"/>
    <w:rsid w:val="009D12BB"/>
    <w:rsid w:val="009D15A9"/>
    <w:rsid w:val="009D1662"/>
    <w:rsid w:val="009D17A4"/>
    <w:rsid w:val="009D1DAC"/>
    <w:rsid w:val="009D201A"/>
    <w:rsid w:val="009D209B"/>
    <w:rsid w:val="009D2573"/>
    <w:rsid w:val="009D2A97"/>
    <w:rsid w:val="009D2B97"/>
    <w:rsid w:val="009D30B8"/>
    <w:rsid w:val="009D3403"/>
    <w:rsid w:val="009D348D"/>
    <w:rsid w:val="009D364A"/>
    <w:rsid w:val="009D3A88"/>
    <w:rsid w:val="009D3AB7"/>
    <w:rsid w:val="009D3D34"/>
    <w:rsid w:val="009D3E0B"/>
    <w:rsid w:val="009D408E"/>
    <w:rsid w:val="009D4787"/>
    <w:rsid w:val="009D4A41"/>
    <w:rsid w:val="009D4C4F"/>
    <w:rsid w:val="009D4E87"/>
    <w:rsid w:val="009D4F17"/>
    <w:rsid w:val="009D4F3E"/>
    <w:rsid w:val="009D509F"/>
    <w:rsid w:val="009D50BB"/>
    <w:rsid w:val="009D51FD"/>
    <w:rsid w:val="009D529A"/>
    <w:rsid w:val="009D578E"/>
    <w:rsid w:val="009D5A2F"/>
    <w:rsid w:val="009D5B46"/>
    <w:rsid w:val="009D5B9C"/>
    <w:rsid w:val="009D5BDA"/>
    <w:rsid w:val="009D5D0A"/>
    <w:rsid w:val="009D6105"/>
    <w:rsid w:val="009D63C7"/>
    <w:rsid w:val="009D63CD"/>
    <w:rsid w:val="009D6435"/>
    <w:rsid w:val="009D64F2"/>
    <w:rsid w:val="009D6880"/>
    <w:rsid w:val="009D7483"/>
    <w:rsid w:val="009D75B9"/>
    <w:rsid w:val="009D796F"/>
    <w:rsid w:val="009D7EA7"/>
    <w:rsid w:val="009E037F"/>
    <w:rsid w:val="009E0413"/>
    <w:rsid w:val="009E0AE7"/>
    <w:rsid w:val="009E0BA4"/>
    <w:rsid w:val="009E0C88"/>
    <w:rsid w:val="009E0F34"/>
    <w:rsid w:val="009E0FB7"/>
    <w:rsid w:val="009E1058"/>
    <w:rsid w:val="009E1208"/>
    <w:rsid w:val="009E13C8"/>
    <w:rsid w:val="009E1781"/>
    <w:rsid w:val="009E18AC"/>
    <w:rsid w:val="009E1AA5"/>
    <w:rsid w:val="009E2244"/>
    <w:rsid w:val="009E22AD"/>
    <w:rsid w:val="009E23EB"/>
    <w:rsid w:val="009E2448"/>
    <w:rsid w:val="009E2545"/>
    <w:rsid w:val="009E2633"/>
    <w:rsid w:val="009E2976"/>
    <w:rsid w:val="009E2B8A"/>
    <w:rsid w:val="009E3146"/>
    <w:rsid w:val="009E3337"/>
    <w:rsid w:val="009E3404"/>
    <w:rsid w:val="009E35AA"/>
    <w:rsid w:val="009E3675"/>
    <w:rsid w:val="009E3879"/>
    <w:rsid w:val="009E397D"/>
    <w:rsid w:val="009E3A57"/>
    <w:rsid w:val="009E3BA2"/>
    <w:rsid w:val="009E3BF3"/>
    <w:rsid w:val="009E3EB6"/>
    <w:rsid w:val="009E3EFB"/>
    <w:rsid w:val="009E413B"/>
    <w:rsid w:val="009E47ED"/>
    <w:rsid w:val="009E4C10"/>
    <w:rsid w:val="009E4E19"/>
    <w:rsid w:val="009E4F04"/>
    <w:rsid w:val="009E51A7"/>
    <w:rsid w:val="009E5240"/>
    <w:rsid w:val="009E5618"/>
    <w:rsid w:val="009E5679"/>
    <w:rsid w:val="009E5C80"/>
    <w:rsid w:val="009E61C9"/>
    <w:rsid w:val="009E6378"/>
    <w:rsid w:val="009E695D"/>
    <w:rsid w:val="009E6AC4"/>
    <w:rsid w:val="009E6C62"/>
    <w:rsid w:val="009E6CE4"/>
    <w:rsid w:val="009E6E38"/>
    <w:rsid w:val="009E6F88"/>
    <w:rsid w:val="009E713D"/>
    <w:rsid w:val="009E7145"/>
    <w:rsid w:val="009E7247"/>
    <w:rsid w:val="009E74C9"/>
    <w:rsid w:val="009E74D3"/>
    <w:rsid w:val="009F029B"/>
    <w:rsid w:val="009F06C2"/>
    <w:rsid w:val="009F07AC"/>
    <w:rsid w:val="009F0A50"/>
    <w:rsid w:val="009F0ADA"/>
    <w:rsid w:val="009F0D35"/>
    <w:rsid w:val="009F0D43"/>
    <w:rsid w:val="009F0F94"/>
    <w:rsid w:val="009F11A6"/>
    <w:rsid w:val="009F153C"/>
    <w:rsid w:val="009F17DE"/>
    <w:rsid w:val="009F18BF"/>
    <w:rsid w:val="009F21ED"/>
    <w:rsid w:val="009F2295"/>
    <w:rsid w:val="009F2441"/>
    <w:rsid w:val="009F2662"/>
    <w:rsid w:val="009F26BB"/>
    <w:rsid w:val="009F297A"/>
    <w:rsid w:val="009F2B1A"/>
    <w:rsid w:val="009F2DED"/>
    <w:rsid w:val="009F3139"/>
    <w:rsid w:val="009F383E"/>
    <w:rsid w:val="009F3A71"/>
    <w:rsid w:val="009F3BCD"/>
    <w:rsid w:val="009F3DC9"/>
    <w:rsid w:val="009F421F"/>
    <w:rsid w:val="009F48E4"/>
    <w:rsid w:val="009F495E"/>
    <w:rsid w:val="009F4CDE"/>
    <w:rsid w:val="009F5098"/>
    <w:rsid w:val="009F516D"/>
    <w:rsid w:val="009F51FA"/>
    <w:rsid w:val="009F5560"/>
    <w:rsid w:val="009F5901"/>
    <w:rsid w:val="009F5F1A"/>
    <w:rsid w:val="009F6243"/>
    <w:rsid w:val="009F639E"/>
    <w:rsid w:val="009F65D7"/>
    <w:rsid w:val="009F6608"/>
    <w:rsid w:val="009F68C4"/>
    <w:rsid w:val="009F6A65"/>
    <w:rsid w:val="009F7176"/>
    <w:rsid w:val="009F7609"/>
    <w:rsid w:val="009F7801"/>
    <w:rsid w:val="009F780B"/>
    <w:rsid w:val="009F7F70"/>
    <w:rsid w:val="00A00FFD"/>
    <w:rsid w:val="00A010A6"/>
    <w:rsid w:val="00A0124E"/>
    <w:rsid w:val="00A013EF"/>
    <w:rsid w:val="00A01913"/>
    <w:rsid w:val="00A01D84"/>
    <w:rsid w:val="00A0253F"/>
    <w:rsid w:val="00A02825"/>
    <w:rsid w:val="00A02889"/>
    <w:rsid w:val="00A02AF1"/>
    <w:rsid w:val="00A02E7E"/>
    <w:rsid w:val="00A02F54"/>
    <w:rsid w:val="00A03066"/>
    <w:rsid w:val="00A0338E"/>
    <w:rsid w:val="00A03432"/>
    <w:rsid w:val="00A0374E"/>
    <w:rsid w:val="00A03BAD"/>
    <w:rsid w:val="00A03E5E"/>
    <w:rsid w:val="00A03E93"/>
    <w:rsid w:val="00A03EC3"/>
    <w:rsid w:val="00A03F05"/>
    <w:rsid w:val="00A04051"/>
    <w:rsid w:val="00A0430B"/>
    <w:rsid w:val="00A04477"/>
    <w:rsid w:val="00A048C2"/>
    <w:rsid w:val="00A05802"/>
    <w:rsid w:val="00A05E39"/>
    <w:rsid w:val="00A05F6B"/>
    <w:rsid w:val="00A05F88"/>
    <w:rsid w:val="00A06316"/>
    <w:rsid w:val="00A0631B"/>
    <w:rsid w:val="00A06366"/>
    <w:rsid w:val="00A065E6"/>
    <w:rsid w:val="00A06DAC"/>
    <w:rsid w:val="00A06FC2"/>
    <w:rsid w:val="00A07A55"/>
    <w:rsid w:val="00A07D50"/>
    <w:rsid w:val="00A07FA0"/>
    <w:rsid w:val="00A07FBA"/>
    <w:rsid w:val="00A1009F"/>
    <w:rsid w:val="00A10153"/>
    <w:rsid w:val="00A10363"/>
    <w:rsid w:val="00A1078A"/>
    <w:rsid w:val="00A10B03"/>
    <w:rsid w:val="00A10DE5"/>
    <w:rsid w:val="00A10EE4"/>
    <w:rsid w:val="00A10EFC"/>
    <w:rsid w:val="00A11001"/>
    <w:rsid w:val="00A1111E"/>
    <w:rsid w:val="00A114A3"/>
    <w:rsid w:val="00A1184D"/>
    <w:rsid w:val="00A119CB"/>
    <w:rsid w:val="00A11AF1"/>
    <w:rsid w:val="00A11C8E"/>
    <w:rsid w:val="00A11DF2"/>
    <w:rsid w:val="00A11EBD"/>
    <w:rsid w:val="00A11F4A"/>
    <w:rsid w:val="00A126CE"/>
    <w:rsid w:val="00A127AC"/>
    <w:rsid w:val="00A12A0E"/>
    <w:rsid w:val="00A12A7A"/>
    <w:rsid w:val="00A12CDF"/>
    <w:rsid w:val="00A13165"/>
    <w:rsid w:val="00A13183"/>
    <w:rsid w:val="00A13236"/>
    <w:rsid w:val="00A13EDD"/>
    <w:rsid w:val="00A1450B"/>
    <w:rsid w:val="00A146F3"/>
    <w:rsid w:val="00A147BF"/>
    <w:rsid w:val="00A147D4"/>
    <w:rsid w:val="00A14C38"/>
    <w:rsid w:val="00A15510"/>
    <w:rsid w:val="00A157AA"/>
    <w:rsid w:val="00A157E4"/>
    <w:rsid w:val="00A159DE"/>
    <w:rsid w:val="00A15B07"/>
    <w:rsid w:val="00A16416"/>
    <w:rsid w:val="00A16467"/>
    <w:rsid w:val="00A164BC"/>
    <w:rsid w:val="00A165B5"/>
    <w:rsid w:val="00A166FE"/>
    <w:rsid w:val="00A1670E"/>
    <w:rsid w:val="00A16AB8"/>
    <w:rsid w:val="00A16B27"/>
    <w:rsid w:val="00A173D2"/>
    <w:rsid w:val="00A1752B"/>
    <w:rsid w:val="00A17616"/>
    <w:rsid w:val="00A17626"/>
    <w:rsid w:val="00A17762"/>
    <w:rsid w:val="00A17851"/>
    <w:rsid w:val="00A1792A"/>
    <w:rsid w:val="00A17956"/>
    <w:rsid w:val="00A179D7"/>
    <w:rsid w:val="00A17F18"/>
    <w:rsid w:val="00A17F31"/>
    <w:rsid w:val="00A17F7C"/>
    <w:rsid w:val="00A17FE7"/>
    <w:rsid w:val="00A20017"/>
    <w:rsid w:val="00A20111"/>
    <w:rsid w:val="00A20335"/>
    <w:rsid w:val="00A203EF"/>
    <w:rsid w:val="00A20510"/>
    <w:rsid w:val="00A207FF"/>
    <w:rsid w:val="00A20AFA"/>
    <w:rsid w:val="00A20E14"/>
    <w:rsid w:val="00A21154"/>
    <w:rsid w:val="00A212F1"/>
    <w:rsid w:val="00A21434"/>
    <w:rsid w:val="00A215FF"/>
    <w:rsid w:val="00A2161D"/>
    <w:rsid w:val="00A21689"/>
    <w:rsid w:val="00A218B9"/>
    <w:rsid w:val="00A21D17"/>
    <w:rsid w:val="00A21F10"/>
    <w:rsid w:val="00A21F61"/>
    <w:rsid w:val="00A22210"/>
    <w:rsid w:val="00A224A2"/>
    <w:rsid w:val="00A22788"/>
    <w:rsid w:val="00A2294C"/>
    <w:rsid w:val="00A22F41"/>
    <w:rsid w:val="00A22F9B"/>
    <w:rsid w:val="00A231A6"/>
    <w:rsid w:val="00A23281"/>
    <w:rsid w:val="00A232B8"/>
    <w:rsid w:val="00A2353F"/>
    <w:rsid w:val="00A2365A"/>
    <w:rsid w:val="00A236C0"/>
    <w:rsid w:val="00A236E0"/>
    <w:rsid w:val="00A23780"/>
    <w:rsid w:val="00A23B65"/>
    <w:rsid w:val="00A240AB"/>
    <w:rsid w:val="00A241BA"/>
    <w:rsid w:val="00A2455D"/>
    <w:rsid w:val="00A24B65"/>
    <w:rsid w:val="00A24DA2"/>
    <w:rsid w:val="00A25170"/>
    <w:rsid w:val="00A258DF"/>
    <w:rsid w:val="00A25A25"/>
    <w:rsid w:val="00A25A5B"/>
    <w:rsid w:val="00A25B86"/>
    <w:rsid w:val="00A25CB9"/>
    <w:rsid w:val="00A25E64"/>
    <w:rsid w:val="00A26546"/>
    <w:rsid w:val="00A26664"/>
    <w:rsid w:val="00A26767"/>
    <w:rsid w:val="00A267E9"/>
    <w:rsid w:val="00A26957"/>
    <w:rsid w:val="00A26AC0"/>
    <w:rsid w:val="00A26D4C"/>
    <w:rsid w:val="00A27238"/>
    <w:rsid w:val="00A2729D"/>
    <w:rsid w:val="00A27595"/>
    <w:rsid w:val="00A27692"/>
    <w:rsid w:val="00A27814"/>
    <w:rsid w:val="00A27A4C"/>
    <w:rsid w:val="00A27C59"/>
    <w:rsid w:val="00A30020"/>
    <w:rsid w:val="00A301EB"/>
    <w:rsid w:val="00A304B9"/>
    <w:rsid w:val="00A30594"/>
    <w:rsid w:val="00A309F3"/>
    <w:rsid w:val="00A316E7"/>
    <w:rsid w:val="00A319AB"/>
    <w:rsid w:val="00A31A56"/>
    <w:rsid w:val="00A31ACC"/>
    <w:rsid w:val="00A31C9F"/>
    <w:rsid w:val="00A31DFA"/>
    <w:rsid w:val="00A320A7"/>
    <w:rsid w:val="00A3212E"/>
    <w:rsid w:val="00A3254F"/>
    <w:rsid w:val="00A327DE"/>
    <w:rsid w:val="00A32B96"/>
    <w:rsid w:val="00A32C63"/>
    <w:rsid w:val="00A32CE8"/>
    <w:rsid w:val="00A32E65"/>
    <w:rsid w:val="00A330B6"/>
    <w:rsid w:val="00A3343F"/>
    <w:rsid w:val="00A335D8"/>
    <w:rsid w:val="00A33A04"/>
    <w:rsid w:val="00A3448D"/>
    <w:rsid w:val="00A34499"/>
    <w:rsid w:val="00A34669"/>
    <w:rsid w:val="00A34714"/>
    <w:rsid w:val="00A3477C"/>
    <w:rsid w:val="00A347AD"/>
    <w:rsid w:val="00A3482B"/>
    <w:rsid w:val="00A34ADE"/>
    <w:rsid w:val="00A34BDA"/>
    <w:rsid w:val="00A34C22"/>
    <w:rsid w:val="00A34ED8"/>
    <w:rsid w:val="00A34F59"/>
    <w:rsid w:val="00A34F5E"/>
    <w:rsid w:val="00A3516D"/>
    <w:rsid w:val="00A351AE"/>
    <w:rsid w:val="00A351C9"/>
    <w:rsid w:val="00A357F4"/>
    <w:rsid w:val="00A3598F"/>
    <w:rsid w:val="00A35B20"/>
    <w:rsid w:val="00A35E47"/>
    <w:rsid w:val="00A362D9"/>
    <w:rsid w:val="00A363D3"/>
    <w:rsid w:val="00A36425"/>
    <w:rsid w:val="00A36491"/>
    <w:rsid w:val="00A369CE"/>
    <w:rsid w:val="00A36C09"/>
    <w:rsid w:val="00A36C4D"/>
    <w:rsid w:val="00A36E85"/>
    <w:rsid w:val="00A36F8D"/>
    <w:rsid w:val="00A372F3"/>
    <w:rsid w:val="00A37321"/>
    <w:rsid w:val="00A3768D"/>
    <w:rsid w:val="00A3769E"/>
    <w:rsid w:val="00A37891"/>
    <w:rsid w:val="00A378AE"/>
    <w:rsid w:val="00A378FB"/>
    <w:rsid w:val="00A379E5"/>
    <w:rsid w:val="00A37D8E"/>
    <w:rsid w:val="00A40076"/>
    <w:rsid w:val="00A4025F"/>
    <w:rsid w:val="00A406A8"/>
    <w:rsid w:val="00A40732"/>
    <w:rsid w:val="00A410B3"/>
    <w:rsid w:val="00A410C6"/>
    <w:rsid w:val="00A4155A"/>
    <w:rsid w:val="00A4162D"/>
    <w:rsid w:val="00A417B3"/>
    <w:rsid w:val="00A41BF0"/>
    <w:rsid w:val="00A41C56"/>
    <w:rsid w:val="00A41DBF"/>
    <w:rsid w:val="00A41E89"/>
    <w:rsid w:val="00A42302"/>
    <w:rsid w:val="00A42885"/>
    <w:rsid w:val="00A429FE"/>
    <w:rsid w:val="00A42A71"/>
    <w:rsid w:val="00A42A8E"/>
    <w:rsid w:val="00A4308C"/>
    <w:rsid w:val="00A43179"/>
    <w:rsid w:val="00A431FA"/>
    <w:rsid w:val="00A434F1"/>
    <w:rsid w:val="00A4359D"/>
    <w:rsid w:val="00A435F9"/>
    <w:rsid w:val="00A43688"/>
    <w:rsid w:val="00A43AF7"/>
    <w:rsid w:val="00A43B99"/>
    <w:rsid w:val="00A43C83"/>
    <w:rsid w:val="00A44252"/>
    <w:rsid w:val="00A445C9"/>
    <w:rsid w:val="00A44678"/>
    <w:rsid w:val="00A447EB"/>
    <w:rsid w:val="00A448CE"/>
    <w:rsid w:val="00A44BE2"/>
    <w:rsid w:val="00A44C2A"/>
    <w:rsid w:val="00A44CE9"/>
    <w:rsid w:val="00A459B6"/>
    <w:rsid w:val="00A45AF9"/>
    <w:rsid w:val="00A45C43"/>
    <w:rsid w:val="00A45D63"/>
    <w:rsid w:val="00A45E2E"/>
    <w:rsid w:val="00A45F41"/>
    <w:rsid w:val="00A461C5"/>
    <w:rsid w:val="00A461C9"/>
    <w:rsid w:val="00A46662"/>
    <w:rsid w:val="00A46A75"/>
    <w:rsid w:val="00A46BF8"/>
    <w:rsid w:val="00A46D3C"/>
    <w:rsid w:val="00A46E2F"/>
    <w:rsid w:val="00A46EA8"/>
    <w:rsid w:val="00A47004"/>
    <w:rsid w:val="00A47DE7"/>
    <w:rsid w:val="00A47F03"/>
    <w:rsid w:val="00A500A0"/>
    <w:rsid w:val="00A502A5"/>
    <w:rsid w:val="00A502AE"/>
    <w:rsid w:val="00A504A1"/>
    <w:rsid w:val="00A505C2"/>
    <w:rsid w:val="00A5094D"/>
    <w:rsid w:val="00A51127"/>
    <w:rsid w:val="00A51322"/>
    <w:rsid w:val="00A5170E"/>
    <w:rsid w:val="00A5195F"/>
    <w:rsid w:val="00A51DEF"/>
    <w:rsid w:val="00A51F4F"/>
    <w:rsid w:val="00A520FA"/>
    <w:rsid w:val="00A52652"/>
    <w:rsid w:val="00A5269A"/>
    <w:rsid w:val="00A52708"/>
    <w:rsid w:val="00A52995"/>
    <w:rsid w:val="00A52B5D"/>
    <w:rsid w:val="00A52EEC"/>
    <w:rsid w:val="00A52F11"/>
    <w:rsid w:val="00A5302D"/>
    <w:rsid w:val="00A53A03"/>
    <w:rsid w:val="00A53D05"/>
    <w:rsid w:val="00A54065"/>
    <w:rsid w:val="00A54506"/>
    <w:rsid w:val="00A54595"/>
    <w:rsid w:val="00A54660"/>
    <w:rsid w:val="00A546BC"/>
    <w:rsid w:val="00A5492E"/>
    <w:rsid w:val="00A54B3C"/>
    <w:rsid w:val="00A54BD1"/>
    <w:rsid w:val="00A54E39"/>
    <w:rsid w:val="00A54E46"/>
    <w:rsid w:val="00A55449"/>
    <w:rsid w:val="00A556E4"/>
    <w:rsid w:val="00A55E0A"/>
    <w:rsid w:val="00A561EF"/>
    <w:rsid w:val="00A5622F"/>
    <w:rsid w:val="00A5672F"/>
    <w:rsid w:val="00A56862"/>
    <w:rsid w:val="00A56A7D"/>
    <w:rsid w:val="00A56B61"/>
    <w:rsid w:val="00A56BBC"/>
    <w:rsid w:val="00A56BC5"/>
    <w:rsid w:val="00A56C89"/>
    <w:rsid w:val="00A56D38"/>
    <w:rsid w:val="00A56E2A"/>
    <w:rsid w:val="00A56E65"/>
    <w:rsid w:val="00A57265"/>
    <w:rsid w:val="00A574DE"/>
    <w:rsid w:val="00A5789F"/>
    <w:rsid w:val="00A5797A"/>
    <w:rsid w:val="00A57BA2"/>
    <w:rsid w:val="00A57C0E"/>
    <w:rsid w:val="00A607A0"/>
    <w:rsid w:val="00A608FC"/>
    <w:rsid w:val="00A609E6"/>
    <w:rsid w:val="00A60D87"/>
    <w:rsid w:val="00A60DC0"/>
    <w:rsid w:val="00A60E2B"/>
    <w:rsid w:val="00A60EA0"/>
    <w:rsid w:val="00A6112A"/>
    <w:rsid w:val="00A61376"/>
    <w:rsid w:val="00A61476"/>
    <w:rsid w:val="00A6160C"/>
    <w:rsid w:val="00A61AB5"/>
    <w:rsid w:val="00A61C49"/>
    <w:rsid w:val="00A61C61"/>
    <w:rsid w:val="00A61D34"/>
    <w:rsid w:val="00A622B9"/>
    <w:rsid w:val="00A622DE"/>
    <w:rsid w:val="00A62331"/>
    <w:rsid w:val="00A62480"/>
    <w:rsid w:val="00A6253B"/>
    <w:rsid w:val="00A62681"/>
    <w:rsid w:val="00A62C2A"/>
    <w:rsid w:val="00A62D64"/>
    <w:rsid w:val="00A62E9B"/>
    <w:rsid w:val="00A63060"/>
    <w:rsid w:val="00A630E7"/>
    <w:rsid w:val="00A632D8"/>
    <w:rsid w:val="00A63326"/>
    <w:rsid w:val="00A635FC"/>
    <w:rsid w:val="00A636BE"/>
    <w:rsid w:val="00A637BA"/>
    <w:rsid w:val="00A63A8C"/>
    <w:rsid w:val="00A63BE0"/>
    <w:rsid w:val="00A63D41"/>
    <w:rsid w:val="00A63DE6"/>
    <w:rsid w:val="00A63E2A"/>
    <w:rsid w:val="00A643A6"/>
    <w:rsid w:val="00A6467E"/>
    <w:rsid w:val="00A64752"/>
    <w:rsid w:val="00A6476A"/>
    <w:rsid w:val="00A65247"/>
    <w:rsid w:val="00A65795"/>
    <w:rsid w:val="00A659E9"/>
    <w:rsid w:val="00A65BD6"/>
    <w:rsid w:val="00A65C14"/>
    <w:rsid w:val="00A65C66"/>
    <w:rsid w:val="00A65E67"/>
    <w:rsid w:val="00A66425"/>
    <w:rsid w:val="00A66B97"/>
    <w:rsid w:val="00A66BF0"/>
    <w:rsid w:val="00A66DCD"/>
    <w:rsid w:val="00A67101"/>
    <w:rsid w:val="00A6721C"/>
    <w:rsid w:val="00A67ACB"/>
    <w:rsid w:val="00A67D58"/>
    <w:rsid w:val="00A70130"/>
    <w:rsid w:val="00A702D2"/>
    <w:rsid w:val="00A703CE"/>
    <w:rsid w:val="00A7092B"/>
    <w:rsid w:val="00A70A8A"/>
    <w:rsid w:val="00A70FE3"/>
    <w:rsid w:val="00A7139C"/>
    <w:rsid w:val="00A7153C"/>
    <w:rsid w:val="00A715E6"/>
    <w:rsid w:val="00A71650"/>
    <w:rsid w:val="00A71A7B"/>
    <w:rsid w:val="00A71DA1"/>
    <w:rsid w:val="00A71DB2"/>
    <w:rsid w:val="00A71ED3"/>
    <w:rsid w:val="00A721EA"/>
    <w:rsid w:val="00A72700"/>
    <w:rsid w:val="00A72B80"/>
    <w:rsid w:val="00A72B9D"/>
    <w:rsid w:val="00A72E01"/>
    <w:rsid w:val="00A72E61"/>
    <w:rsid w:val="00A73199"/>
    <w:rsid w:val="00A73242"/>
    <w:rsid w:val="00A7329B"/>
    <w:rsid w:val="00A7336D"/>
    <w:rsid w:val="00A73664"/>
    <w:rsid w:val="00A737CA"/>
    <w:rsid w:val="00A73F7B"/>
    <w:rsid w:val="00A741E7"/>
    <w:rsid w:val="00A74502"/>
    <w:rsid w:val="00A7461B"/>
    <w:rsid w:val="00A74901"/>
    <w:rsid w:val="00A74C0D"/>
    <w:rsid w:val="00A74E81"/>
    <w:rsid w:val="00A74EB3"/>
    <w:rsid w:val="00A75300"/>
    <w:rsid w:val="00A7584F"/>
    <w:rsid w:val="00A75BD0"/>
    <w:rsid w:val="00A76020"/>
    <w:rsid w:val="00A761AB"/>
    <w:rsid w:val="00A76298"/>
    <w:rsid w:val="00A76356"/>
    <w:rsid w:val="00A76422"/>
    <w:rsid w:val="00A775AE"/>
    <w:rsid w:val="00A777B2"/>
    <w:rsid w:val="00A7784F"/>
    <w:rsid w:val="00A8003D"/>
    <w:rsid w:val="00A80080"/>
    <w:rsid w:val="00A803A6"/>
    <w:rsid w:val="00A804D2"/>
    <w:rsid w:val="00A804D8"/>
    <w:rsid w:val="00A80962"/>
    <w:rsid w:val="00A80BB7"/>
    <w:rsid w:val="00A80DFA"/>
    <w:rsid w:val="00A80EE5"/>
    <w:rsid w:val="00A81031"/>
    <w:rsid w:val="00A813D1"/>
    <w:rsid w:val="00A81F3D"/>
    <w:rsid w:val="00A82475"/>
    <w:rsid w:val="00A8258D"/>
    <w:rsid w:val="00A82799"/>
    <w:rsid w:val="00A82B3B"/>
    <w:rsid w:val="00A82EDD"/>
    <w:rsid w:val="00A8323D"/>
    <w:rsid w:val="00A832BF"/>
    <w:rsid w:val="00A83603"/>
    <w:rsid w:val="00A8365E"/>
    <w:rsid w:val="00A83817"/>
    <w:rsid w:val="00A844B7"/>
    <w:rsid w:val="00A84529"/>
    <w:rsid w:val="00A847C2"/>
    <w:rsid w:val="00A84DD9"/>
    <w:rsid w:val="00A84E53"/>
    <w:rsid w:val="00A84E73"/>
    <w:rsid w:val="00A84EA5"/>
    <w:rsid w:val="00A852FF"/>
    <w:rsid w:val="00A854D9"/>
    <w:rsid w:val="00A85690"/>
    <w:rsid w:val="00A858EB"/>
    <w:rsid w:val="00A85D56"/>
    <w:rsid w:val="00A85D6A"/>
    <w:rsid w:val="00A85E53"/>
    <w:rsid w:val="00A85E98"/>
    <w:rsid w:val="00A8623E"/>
    <w:rsid w:val="00A86D67"/>
    <w:rsid w:val="00A87250"/>
    <w:rsid w:val="00A87480"/>
    <w:rsid w:val="00A874D8"/>
    <w:rsid w:val="00A874D9"/>
    <w:rsid w:val="00A87E63"/>
    <w:rsid w:val="00A900C1"/>
    <w:rsid w:val="00A90165"/>
    <w:rsid w:val="00A9054D"/>
    <w:rsid w:val="00A90C63"/>
    <w:rsid w:val="00A90CBB"/>
    <w:rsid w:val="00A915EC"/>
    <w:rsid w:val="00A91AF7"/>
    <w:rsid w:val="00A91CD8"/>
    <w:rsid w:val="00A91D9B"/>
    <w:rsid w:val="00A91DFD"/>
    <w:rsid w:val="00A91F01"/>
    <w:rsid w:val="00A9215D"/>
    <w:rsid w:val="00A923AA"/>
    <w:rsid w:val="00A927C8"/>
    <w:rsid w:val="00A92C04"/>
    <w:rsid w:val="00A92C38"/>
    <w:rsid w:val="00A92CEC"/>
    <w:rsid w:val="00A92DE0"/>
    <w:rsid w:val="00A92EDF"/>
    <w:rsid w:val="00A92FD4"/>
    <w:rsid w:val="00A931C8"/>
    <w:rsid w:val="00A93492"/>
    <w:rsid w:val="00A93677"/>
    <w:rsid w:val="00A938EF"/>
    <w:rsid w:val="00A9399C"/>
    <w:rsid w:val="00A93AD6"/>
    <w:rsid w:val="00A93D7E"/>
    <w:rsid w:val="00A941CA"/>
    <w:rsid w:val="00A94437"/>
    <w:rsid w:val="00A944D8"/>
    <w:rsid w:val="00A944E6"/>
    <w:rsid w:val="00A94502"/>
    <w:rsid w:val="00A94620"/>
    <w:rsid w:val="00A94824"/>
    <w:rsid w:val="00A94BE4"/>
    <w:rsid w:val="00A94D77"/>
    <w:rsid w:val="00A94EC6"/>
    <w:rsid w:val="00A951BB"/>
    <w:rsid w:val="00A95260"/>
    <w:rsid w:val="00A957BF"/>
    <w:rsid w:val="00A958E6"/>
    <w:rsid w:val="00A958FC"/>
    <w:rsid w:val="00A95ACA"/>
    <w:rsid w:val="00A95BFC"/>
    <w:rsid w:val="00A95D9F"/>
    <w:rsid w:val="00A96761"/>
    <w:rsid w:val="00A96C39"/>
    <w:rsid w:val="00A97168"/>
    <w:rsid w:val="00A97771"/>
    <w:rsid w:val="00A979B9"/>
    <w:rsid w:val="00A97EB3"/>
    <w:rsid w:val="00A97F48"/>
    <w:rsid w:val="00AA0334"/>
    <w:rsid w:val="00AA03EC"/>
    <w:rsid w:val="00AA0A5B"/>
    <w:rsid w:val="00AA1005"/>
    <w:rsid w:val="00AA108C"/>
    <w:rsid w:val="00AA10C4"/>
    <w:rsid w:val="00AA123D"/>
    <w:rsid w:val="00AA139E"/>
    <w:rsid w:val="00AA156C"/>
    <w:rsid w:val="00AA183E"/>
    <w:rsid w:val="00AA1C5A"/>
    <w:rsid w:val="00AA2060"/>
    <w:rsid w:val="00AA22A8"/>
    <w:rsid w:val="00AA2534"/>
    <w:rsid w:val="00AA258D"/>
    <w:rsid w:val="00AA2866"/>
    <w:rsid w:val="00AA2E4E"/>
    <w:rsid w:val="00AA3094"/>
    <w:rsid w:val="00AA310C"/>
    <w:rsid w:val="00AA345E"/>
    <w:rsid w:val="00AA36E0"/>
    <w:rsid w:val="00AA38D3"/>
    <w:rsid w:val="00AA396E"/>
    <w:rsid w:val="00AA3A35"/>
    <w:rsid w:val="00AA3A5B"/>
    <w:rsid w:val="00AA3AE3"/>
    <w:rsid w:val="00AA3DA9"/>
    <w:rsid w:val="00AA3F44"/>
    <w:rsid w:val="00AA414B"/>
    <w:rsid w:val="00AA4315"/>
    <w:rsid w:val="00AA44D0"/>
    <w:rsid w:val="00AA46E8"/>
    <w:rsid w:val="00AA4766"/>
    <w:rsid w:val="00AA49F8"/>
    <w:rsid w:val="00AA4A0A"/>
    <w:rsid w:val="00AA4B1E"/>
    <w:rsid w:val="00AA4BCA"/>
    <w:rsid w:val="00AA4FA3"/>
    <w:rsid w:val="00AA5192"/>
    <w:rsid w:val="00AA57B9"/>
    <w:rsid w:val="00AA6120"/>
    <w:rsid w:val="00AA620F"/>
    <w:rsid w:val="00AA623A"/>
    <w:rsid w:val="00AA6242"/>
    <w:rsid w:val="00AA643D"/>
    <w:rsid w:val="00AA66D2"/>
    <w:rsid w:val="00AA6A74"/>
    <w:rsid w:val="00AA6C09"/>
    <w:rsid w:val="00AA7162"/>
    <w:rsid w:val="00AA725D"/>
    <w:rsid w:val="00AA73A0"/>
    <w:rsid w:val="00AA75FE"/>
    <w:rsid w:val="00AA7770"/>
    <w:rsid w:val="00AA7842"/>
    <w:rsid w:val="00AA7C72"/>
    <w:rsid w:val="00AB028F"/>
    <w:rsid w:val="00AB03BE"/>
    <w:rsid w:val="00AB03FB"/>
    <w:rsid w:val="00AB0556"/>
    <w:rsid w:val="00AB06B2"/>
    <w:rsid w:val="00AB07E4"/>
    <w:rsid w:val="00AB07F7"/>
    <w:rsid w:val="00AB0B9B"/>
    <w:rsid w:val="00AB107A"/>
    <w:rsid w:val="00AB1157"/>
    <w:rsid w:val="00AB1786"/>
    <w:rsid w:val="00AB17C1"/>
    <w:rsid w:val="00AB1965"/>
    <w:rsid w:val="00AB1F02"/>
    <w:rsid w:val="00AB1F4B"/>
    <w:rsid w:val="00AB1FF5"/>
    <w:rsid w:val="00AB20A7"/>
    <w:rsid w:val="00AB225F"/>
    <w:rsid w:val="00AB286E"/>
    <w:rsid w:val="00AB2961"/>
    <w:rsid w:val="00AB2B40"/>
    <w:rsid w:val="00AB30CF"/>
    <w:rsid w:val="00AB31B5"/>
    <w:rsid w:val="00AB322C"/>
    <w:rsid w:val="00AB3311"/>
    <w:rsid w:val="00AB36F9"/>
    <w:rsid w:val="00AB392F"/>
    <w:rsid w:val="00AB3F05"/>
    <w:rsid w:val="00AB47BF"/>
    <w:rsid w:val="00AB48BA"/>
    <w:rsid w:val="00AB495A"/>
    <w:rsid w:val="00AB49CD"/>
    <w:rsid w:val="00AB49CE"/>
    <w:rsid w:val="00AB4D76"/>
    <w:rsid w:val="00AB4D96"/>
    <w:rsid w:val="00AB4F0C"/>
    <w:rsid w:val="00AB5301"/>
    <w:rsid w:val="00AB53F0"/>
    <w:rsid w:val="00AB561E"/>
    <w:rsid w:val="00AB5A8D"/>
    <w:rsid w:val="00AB5AD0"/>
    <w:rsid w:val="00AB5B8E"/>
    <w:rsid w:val="00AB5DC3"/>
    <w:rsid w:val="00AB5EBA"/>
    <w:rsid w:val="00AB5FA0"/>
    <w:rsid w:val="00AB63EB"/>
    <w:rsid w:val="00AB667C"/>
    <w:rsid w:val="00AB6C26"/>
    <w:rsid w:val="00AB6EC8"/>
    <w:rsid w:val="00AB6FCB"/>
    <w:rsid w:val="00AB71D7"/>
    <w:rsid w:val="00AB75FA"/>
    <w:rsid w:val="00AB785C"/>
    <w:rsid w:val="00AB7884"/>
    <w:rsid w:val="00AB7921"/>
    <w:rsid w:val="00AC0083"/>
    <w:rsid w:val="00AC0370"/>
    <w:rsid w:val="00AC04C7"/>
    <w:rsid w:val="00AC07AB"/>
    <w:rsid w:val="00AC0C87"/>
    <w:rsid w:val="00AC0CF8"/>
    <w:rsid w:val="00AC0E11"/>
    <w:rsid w:val="00AC0F0E"/>
    <w:rsid w:val="00AC1282"/>
    <w:rsid w:val="00AC15FA"/>
    <w:rsid w:val="00AC1BB6"/>
    <w:rsid w:val="00AC1C4C"/>
    <w:rsid w:val="00AC1C77"/>
    <w:rsid w:val="00AC1F20"/>
    <w:rsid w:val="00AC214E"/>
    <w:rsid w:val="00AC25EE"/>
    <w:rsid w:val="00AC28AE"/>
    <w:rsid w:val="00AC29B9"/>
    <w:rsid w:val="00AC2BFA"/>
    <w:rsid w:val="00AC3784"/>
    <w:rsid w:val="00AC38AA"/>
    <w:rsid w:val="00AC39CD"/>
    <w:rsid w:val="00AC3A85"/>
    <w:rsid w:val="00AC3C15"/>
    <w:rsid w:val="00AC4672"/>
    <w:rsid w:val="00AC478F"/>
    <w:rsid w:val="00AC4C8C"/>
    <w:rsid w:val="00AC4EAD"/>
    <w:rsid w:val="00AC5597"/>
    <w:rsid w:val="00AC573A"/>
    <w:rsid w:val="00AC594D"/>
    <w:rsid w:val="00AC5F59"/>
    <w:rsid w:val="00AC5F6A"/>
    <w:rsid w:val="00AC60D0"/>
    <w:rsid w:val="00AC60E5"/>
    <w:rsid w:val="00AC6E1D"/>
    <w:rsid w:val="00AC6E20"/>
    <w:rsid w:val="00AC6F30"/>
    <w:rsid w:val="00AC7095"/>
    <w:rsid w:val="00AC755B"/>
    <w:rsid w:val="00AC775B"/>
    <w:rsid w:val="00AC7859"/>
    <w:rsid w:val="00AC7906"/>
    <w:rsid w:val="00AC7C90"/>
    <w:rsid w:val="00AC7CEF"/>
    <w:rsid w:val="00AC7E87"/>
    <w:rsid w:val="00AC7EF7"/>
    <w:rsid w:val="00AD003A"/>
    <w:rsid w:val="00AD024D"/>
    <w:rsid w:val="00AD0376"/>
    <w:rsid w:val="00AD0634"/>
    <w:rsid w:val="00AD0DEA"/>
    <w:rsid w:val="00AD104F"/>
    <w:rsid w:val="00AD14A0"/>
    <w:rsid w:val="00AD14D6"/>
    <w:rsid w:val="00AD17D1"/>
    <w:rsid w:val="00AD1A2B"/>
    <w:rsid w:val="00AD1DB0"/>
    <w:rsid w:val="00AD1E5E"/>
    <w:rsid w:val="00AD1EDE"/>
    <w:rsid w:val="00AD1EEE"/>
    <w:rsid w:val="00AD2106"/>
    <w:rsid w:val="00AD24BF"/>
    <w:rsid w:val="00AD28E7"/>
    <w:rsid w:val="00AD2B60"/>
    <w:rsid w:val="00AD30E4"/>
    <w:rsid w:val="00AD329B"/>
    <w:rsid w:val="00AD32BA"/>
    <w:rsid w:val="00AD3723"/>
    <w:rsid w:val="00AD3778"/>
    <w:rsid w:val="00AD3798"/>
    <w:rsid w:val="00AD3B89"/>
    <w:rsid w:val="00AD3C58"/>
    <w:rsid w:val="00AD3DBC"/>
    <w:rsid w:val="00AD40A5"/>
    <w:rsid w:val="00AD415C"/>
    <w:rsid w:val="00AD446E"/>
    <w:rsid w:val="00AD45E5"/>
    <w:rsid w:val="00AD4B8D"/>
    <w:rsid w:val="00AD4CC9"/>
    <w:rsid w:val="00AD4D1E"/>
    <w:rsid w:val="00AD4F32"/>
    <w:rsid w:val="00AD4F56"/>
    <w:rsid w:val="00AD56DA"/>
    <w:rsid w:val="00AD59AA"/>
    <w:rsid w:val="00AD59F7"/>
    <w:rsid w:val="00AD59F9"/>
    <w:rsid w:val="00AD5A75"/>
    <w:rsid w:val="00AD5AB9"/>
    <w:rsid w:val="00AD6155"/>
    <w:rsid w:val="00AD646A"/>
    <w:rsid w:val="00AD66D7"/>
    <w:rsid w:val="00AD6B59"/>
    <w:rsid w:val="00AD6C05"/>
    <w:rsid w:val="00AD6CBC"/>
    <w:rsid w:val="00AD74DD"/>
    <w:rsid w:val="00AD75AA"/>
    <w:rsid w:val="00AD7661"/>
    <w:rsid w:val="00AD7808"/>
    <w:rsid w:val="00AD7D1C"/>
    <w:rsid w:val="00AE00FE"/>
    <w:rsid w:val="00AE04D6"/>
    <w:rsid w:val="00AE0515"/>
    <w:rsid w:val="00AE0558"/>
    <w:rsid w:val="00AE085B"/>
    <w:rsid w:val="00AE0984"/>
    <w:rsid w:val="00AE0D1D"/>
    <w:rsid w:val="00AE0DC6"/>
    <w:rsid w:val="00AE0EC2"/>
    <w:rsid w:val="00AE10E7"/>
    <w:rsid w:val="00AE1166"/>
    <w:rsid w:val="00AE1516"/>
    <w:rsid w:val="00AE17A5"/>
    <w:rsid w:val="00AE1940"/>
    <w:rsid w:val="00AE19B2"/>
    <w:rsid w:val="00AE1B2C"/>
    <w:rsid w:val="00AE1CB4"/>
    <w:rsid w:val="00AE2120"/>
    <w:rsid w:val="00AE214F"/>
    <w:rsid w:val="00AE2561"/>
    <w:rsid w:val="00AE263D"/>
    <w:rsid w:val="00AE2784"/>
    <w:rsid w:val="00AE2DBD"/>
    <w:rsid w:val="00AE2FF8"/>
    <w:rsid w:val="00AE3483"/>
    <w:rsid w:val="00AE34BE"/>
    <w:rsid w:val="00AE365C"/>
    <w:rsid w:val="00AE39B6"/>
    <w:rsid w:val="00AE3A65"/>
    <w:rsid w:val="00AE3A77"/>
    <w:rsid w:val="00AE3C47"/>
    <w:rsid w:val="00AE434E"/>
    <w:rsid w:val="00AE43AB"/>
    <w:rsid w:val="00AE43B0"/>
    <w:rsid w:val="00AE43F6"/>
    <w:rsid w:val="00AE47B1"/>
    <w:rsid w:val="00AE4E2F"/>
    <w:rsid w:val="00AE5005"/>
    <w:rsid w:val="00AE5242"/>
    <w:rsid w:val="00AE5352"/>
    <w:rsid w:val="00AE54B6"/>
    <w:rsid w:val="00AE5BBA"/>
    <w:rsid w:val="00AE5E11"/>
    <w:rsid w:val="00AE630A"/>
    <w:rsid w:val="00AE6318"/>
    <w:rsid w:val="00AE635B"/>
    <w:rsid w:val="00AE63CD"/>
    <w:rsid w:val="00AE64DB"/>
    <w:rsid w:val="00AE66FA"/>
    <w:rsid w:val="00AE6B14"/>
    <w:rsid w:val="00AE7211"/>
    <w:rsid w:val="00AF00B1"/>
    <w:rsid w:val="00AF00B8"/>
    <w:rsid w:val="00AF0410"/>
    <w:rsid w:val="00AF045E"/>
    <w:rsid w:val="00AF04A4"/>
    <w:rsid w:val="00AF04DA"/>
    <w:rsid w:val="00AF0594"/>
    <w:rsid w:val="00AF0628"/>
    <w:rsid w:val="00AF0BBE"/>
    <w:rsid w:val="00AF1069"/>
    <w:rsid w:val="00AF11A0"/>
    <w:rsid w:val="00AF12A3"/>
    <w:rsid w:val="00AF15BD"/>
    <w:rsid w:val="00AF184D"/>
    <w:rsid w:val="00AF1878"/>
    <w:rsid w:val="00AF1ADB"/>
    <w:rsid w:val="00AF21A8"/>
    <w:rsid w:val="00AF26B9"/>
    <w:rsid w:val="00AF2D5A"/>
    <w:rsid w:val="00AF2F2F"/>
    <w:rsid w:val="00AF2FD1"/>
    <w:rsid w:val="00AF2FF0"/>
    <w:rsid w:val="00AF35A3"/>
    <w:rsid w:val="00AF3DF1"/>
    <w:rsid w:val="00AF3E29"/>
    <w:rsid w:val="00AF43A5"/>
    <w:rsid w:val="00AF4A1A"/>
    <w:rsid w:val="00AF4D25"/>
    <w:rsid w:val="00AF509E"/>
    <w:rsid w:val="00AF5228"/>
    <w:rsid w:val="00AF5269"/>
    <w:rsid w:val="00AF52DA"/>
    <w:rsid w:val="00AF535C"/>
    <w:rsid w:val="00AF54B7"/>
    <w:rsid w:val="00AF563E"/>
    <w:rsid w:val="00AF587F"/>
    <w:rsid w:val="00AF5C4C"/>
    <w:rsid w:val="00AF5F79"/>
    <w:rsid w:val="00AF6513"/>
    <w:rsid w:val="00AF6548"/>
    <w:rsid w:val="00AF676E"/>
    <w:rsid w:val="00AF6825"/>
    <w:rsid w:val="00AF6C40"/>
    <w:rsid w:val="00AF6D17"/>
    <w:rsid w:val="00AF7107"/>
    <w:rsid w:val="00AF72CD"/>
    <w:rsid w:val="00AF7563"/>
    <w:rsid w:val="00AF7AAB"/>
    <w:rsid w:val="00AF7BEC"/>
    <w:rsid w:val="00AF7C0D"/>
    <w:rsid w:val="00AF7D43"/>
    <w:rsid w:val="00AF7F35"/>
    <w:rsid w:val="00B000C3"/>
    <w:rsid w:val="00B004D0"/>
    <w:rsid w:val="00B00621"/>
    <w:rsid w:val="00B01014"/>
    <w:rsid w:val="00B01034"/>
    <w:rsid w:val="00B010BC"/>
    <w:rsid w:val="00B0126A"/>
    <w:rsid w:val="00B014A8"/>
    <w:rsid w:val="00B01558"/>
    <w:rsid w:val="00B01577"/>
    <w:rsid w:val="00B01683"/>
    <w:rsid w:val="00B017CC"/>
    <w:rsid w:val="00B01931"/>
    <w:rsid w:val="00B0198C"/>
    <w:rsid w:val="00B019EE"/>
    <w:rsid w:val="00B028CF"/>
    <w:rsid w:val="00B028DC"/>
    <w:rsid w:val="00B02946"/>
    <w:rsid w:val="00B02B33"/>
    <w:rsid w:val="00B02B6A"/>
    <w:rsid w:val="00B02D81"/>
    <w:rsid w:val="00B02EBC"/>
    <w:rsid w:val="00B031BF"/>
    <w:rsid w:val="00B031E6"/>
    <w:rsid w:val="00B0366B"/>
    <w:rsid w:val="00B037FD"/>
    <w:rsid w:val="00B03CC2"/>
    <w:rsid w:val="00B03E33"/>
    <w:rsid w:val="00B04097"/>
    <w:rsid w:val="00B04208"/>
    <w:rsid w:val="00B04279"/>
    <w:rsid w:val="00B04307"/>
    <w:rsid w:val="00B0434D"/>
    <w:rsid w:val="00B0441E"/>
    <w:rsid w:val="00B046F2"/>
    <w:rsid w:val="00B0487B"/>
    <w:rsid w:val="00B0489A"/>
    <w:rsid w:val="00B04BD6"/>
    <w:rsid w:val="00B04C56"/>
    <w:rsid w:val="00B051E4"/>
    <w:rsid w:val="00B051F2"/>
    <w:rsid w:val="00B052BE"/>
    <w:rsid w:val="00B055E0"/>
    <w:rsid w:val="00B05680"/>
    <w:rsid w:val="00B05A6C"/>
    <w:rsid w:val="00B05A89"/>
    <w:rsid w:val="00B05C18"/>
    <w:rsid w:val="00B05CA8"/>
    <w:rsid w:val="00B05D06"/>
    <w:rsid w:val="00B05D42"/>
    <w:rsid w:val="00B061CF"/>
    <w:rsid w:val="00B0648C"/>
    <w:rsid w:val="00B06584"/>
    <w:rsid w:val="00B066CC"/>
    <w:rsid w:val="00B06E1E"/>
    <w:rsid w:val="00B06E68"/>
    <w:rsid w:val="00B0705F"/>
    <w:rsid w:val="00B07458"/>
    <w:rsid w:val="00B07571"/>
    <w:rsid w:val="00B076F2"/>
    <w:rsid w:val="00B07AA6"/>
    <w:rsid w:val="00B07B48"/>
    <w:rsid w:val="00B07CDE"/>
    <w:rsid w:val="00B07D7E"/>
    <w:rsid w:val="00B07E34"/>
    <w:rsid w:val="00B10059"/>
    <w:rsid w:val="00B1005C"/>
    <w:rsid w:val="00B106C0"/>
    <w:rsid w:val="00B10C5A"/>
    <w:rsid w:val="00B10D4D"/>
    <w:rsid w:val="00B10DCB"/>
    <w:rsid w:val="00B10F1F"/>
    <w:rsid w:val="00B11543"/>
    <w:rsid w:val="00B1159F"/>
    <w:rsid w:val="00B118D8"/>
    <w:rsid w:val="00B119E8"/>
    <w:rsid w:val="00B11A3B"/>
    <w:rsid w:val="00B11BC4"/>
    <w:rsid w:val="00B11ED4"/>
    <w:rsid w:val="00B11F41"/>
    <w:rsid w:val="00B11FE6"/>
    <w:rsid w:val="00B122C0"/>
    <w:rsid w:val="00B122C1"/>
    <w:rsid w:val="00B123C5"/>
    <w:rsid w:val="00B12495"/>
    <w:rsid w:val="00B12CFF"/>
    <w:rsid w:val="00B13137"/>
    <w:rsid w:val="00B13461"/>
    <w:rsid w:val="00B1389D"/>
    <w:rsid w:val="00B138C6"/>
    <w:rsid w:val="00B13941"/>
    <w:rsid w:val="00B13AB2"/>
    <w:rsid w:val="00B13EA9"/>
    <w:rsid w:val="00B140AC"/>
    <w:rsid w:val="00B141BD"/>
    <w:rsid w:val="00B144DE"/>
    <w:rsid w:val="00B14569"/>
    <w:rsid w:val="00B147E2"/>
    <w:rsid w:val="00B148C2"/>
    <w:rsid w:val="00B14936"/>
    <w:rsid w:val="00B14E03"/>
    <w:rsid w:val="00B150FF"/>
    <w:rsid w:val="00B152A2"/>
    <w:rsid w:val="00B15347"/>
    <w:rsid w:val="00B157A0"/>
    <w:rsid w:val="00B15970"/>
    <w:rsid w:val="00B15C1F"/>
    <w:rsid w:val="00B15F63"/>
    <w:rsid w:val="00B16134"/>
    <w:rsid w:val="00B162C3"/>
    <w:rsid w:val="00B16478"/>
    <w:rsid w:val="00B167C4"/>
    <w:rsid w:val="00B16953"/>
    <w:rsid w:val="00B16C80"/>
    <w:rsid w:val="00B16CBC"/>
    <w:rsid w:val="00B17498"/>
    <w:rsid w:val="00B17762"/>
    <w:rsid w:val="00B17801"/>
    <w:rsid w:val="00B17824"/>
    <w:rsid w:val="00B17851"/>
    <w:rsid w:val="00B1787C"/>
    <w:rsid w:val="00B17ACA"/>
    <w:rsid w:val="00B17B80"/>
    <w:rsid w:val="00B17BA7"/>
    <w:rsid w:val="00B17D55"/>
    <w:rsid w:val="00B2040D"/>
    <w:rsid w:val="00B20458"/>
    <w:rsid w:val="00B20467"/>
    <w:rsid w:val="00B20895"/>
    <w:rsid w:val="00B209D4"/>
    <w:rsid w:val="00B20D02"/>
    <w:rsid w:val="00B2110E"/>
    <w:rsid w:val="00B211A6"/>
    <w:rsid w:val="00B21365"/>
    <w:rsid w:val="00B2140B"/>
    <w:rsid w:val="00B215EF"/>
    <w:rsid w:val="00B21EC8"/>
    <w:rsid w:val="00B21ED9"/>
    <w:rsid w:val="00B22165"/>
    <w:rsid w:val="00B222DA"/>
    <w:rsid w:val="00B225EF"/>
    <w:rsid w:val="00B22AD6"/>
    <w:rsid w:val="00B22D2B"/>
    <w:rsid w:val="00B22E53"/>
    <w:rsid w:val="00B2366F"/>
    <w:rsid w:val="00B237E9"/>
    <w:rsid w:val="00B237F6"/>
    <w:rsid w:val="00B23E69"/>
    <w:rsid w:val="00B23EA9"/>
    <w:rsid w:val="00B2448D"/>
    <w:rsid w:val="00B247AD"/>
    <w:rsid w:val="00B24C8E"/>
    <w:rsid w:val="00B24D6E"/>
    <w:rsid w:val="00B24EBC"/>
    <w:rsid w:val="00B25975"/>
    <w:rsid w:val="00B25CD5"/>
    <w:rsid w:val="00B25DB1"/>
    <w:rsid w:val="00B2625B"/>
    <w:rsid w:val="00B26485"/>
    <w:rsid w:val="00B266B0"/>
    <w:rsid w:val="00B266E2"/>
    <w:rsid w:val="00B26787"/>
    <w:rsid w:val="00B269EF"/>
    <w:rsid w:val="00B271E8"/>
    <w:rsid w:val="00B27A58"/>
    <w:rsid w:val="00B3002B"/>
    <w:rsid w:val="00B30229"/>
    <w:rsid w:val="00B30387"/>
    <w:rsid w:val="00B3042C"/>
    <w:rsid w:val="00B30506"/>
    <w:rsid w:val="00B30532"/>
    <w:rsid w:val="00B30C80"/>
    <w:rsid w:val="00B30CA1"/>
    <w:rsid w:val="00B310A6"/>
    <w:rsid w:val="00B3110B"/>
    <w:rsid w:val="00B31E2C"/>
    <w:rsid w:val="00B324A4"/>
    <w:rsid w:val="00B32579"/>
    <w:rsid w:val="00B327BD"/>
    <w:rsid w:val="00B327D8"/>
    <w:rsid w:val="00B32CF0"/>
    <w:rsid w:val="00B32D68"/>
    <w:rsid w:val="00B32F76"/>
    <w:rsid w:val="00B33515"/>
    <w:rsid w:val="00B335C6"/>
    <w:rsid w:val="00B33632"/>
    <w:rsid w:val="00B33654"/>
    <w:rsid w:val="00B336B1"/>
    <w:rsid w:val="00B33DBC"/>
    <w:rsid w:val="00B3414D"/>
    <w:rsid w:val="00B3417C"/>
    <w:rsid w:val="00B341D2"/>
    <w:rsid w:val="00B346C9"/>
    <w:rsid w:val="00B34833"/>
    <w:rsid w:val="00B349B4"/>
    <w:rsid w:val="00B34A12"/>
    <w:rsid w:val="00B3542C"/>
    <w:rsid w:val="00B35446"/>
    <w:rsid w:val="00B35582"/>
    <w:rsid w:val="00B35AD3"/>
    <w:rsid w:val="00B35B46"/>
    <w:rsid w:val="00B35C3D"/>
    <w:rsid w:val="00B36842"/>
    <w:rsid w:val="00B36B00"/>
    <w:rsid w:val="00B36D37"/>
    <w:rsid w:val="00B36DB0"/>
    <w:rsid w:val="00B36DF3"/>
    <w:rsid w:val="00B37378"/>
    <w:rsid w:val="00B373F8"/>
    <w:rsid w:val="00B37720"/>
    <w:rsid w:val="00B3786A"/>
    <w:rsid w:val="00B37949"/>
    <w:rsid w:val="00B37A14"/>
    <w:rsid w:val="00B37A29"/>
    <w:rsid w:val="00B37A42"/>
    <w:rsid w:val="00B37A67"/>
    <w:rsid w:val="00B37CE7"/>
    <w:rsid w:val="00B37F34"/>
    <w:rsid w:val="00B40205"/>
    <w:rsid w:val="00B40330"/>
    <w:rsid w:val="00B40905"/>
    <w:rsid w:val="00B409F4"/>
    <w:rsid w:val="00B40A85"/>
    <w:rsid w:val="00B40C24"/>
    <w:rsid w:val="00B40E04"/>
    <w:rsid w:val="00B41071"/>
    <w:rsid w:val="00B41264"/>
    <w:rsid w:val="00B41396"/>
    <w:rsid w:val="00B41B07"/>
    <w:rsid w:val="00B41B29"/>
    <w:rsid w:val="00B41B67"/>
    <w:rsid w:val="00B41C01"/>
    <w:rsid w:val="00B41C9B"/>
    <w:rsid w:val="00B41E33"/>
    <w:rsid w:val="00B42140"/>
    <w:rsid w:val="00B422A4"/>
    <w:rsid w:val="00B42363"/>
    <w:rsid w:val="00B42483"/>
    <w:rsid w:val="00B4249F"/>
    <w:rsid w:val="00B428AE"/>
    <w:rsid w:val="00B42963"/>
    <w:rsid w:val="00B42D9C"/>
    <w:rsid w:val="00B43038"/>
    <w:rsid w:val="00B4339A"/>
    <w:rsid w:val="00B433B1"/>
    <w:rsid w:val="00B435EC"/>
    <w:rsid w:val="00B437C3"/>
    <w:rsid w:val="00B43817"/>
    <w:rsid w:val="00B43A21"/>
    <w:rsid w:val="00B440D5"/>
    <w:rsid w:val="00B442D4"/>
    <w:rsid w:val="00B445FB"/>
    <w:rsid w:val="00B44996"/>
    <w:rsid w:val="00B44EC2"/>
    <w:rsid w:val="00B45118"/>
    <w:rsid w:val="00B453A3"/>
    <w:rsid w:val="00B4547D"/>
    <w:rsid w:val="00B457A5"/>
    <w:rsid w:val="00B45FC2"/>
    <w:rsid w:val="00B465D6"/>
    <w:rsid w:val="00B46707"/>
    <w:rsid w:val="00B4670B"/>
    <w:rsid w:val="00B47069"/>
    <w:rsid w:val="00B4707A"/>
    <w:rsid w:val="00B47103"/>
    <w:rsid w:val="00B4727D"/>
    <w:rsid w:val="00B472AE"/>
    <w:rsid w:val="00B477FB"/>
    <w:rsid w:val="00B47E78"/>
    <w:rsid w:val="00B500CA"/>
    <w:rsid w:val="00B500E9"/>
    <w:rsid w:val="00B503BA"/>
    <w:rsid w:val="00B50598"/>
    <w:rsid w:val="00B508D1"/>
    <w:rsid w:val="00B50C2E"/>
    <w:rsid w:val="00B50F12"/>
    <w:rsid w:val="00B5123D"/>
    <w:rsid w:val="00B51374"/>
    <w:rsid w:val="00B5183B"/>
    <w:rsid w:val="00B51856"/>
    <w:rsid w:val="00B5251C"/>
    <w:rsid w:val="00B52647"/>
    <w:rsid w:val="00B52980"/>
    <w:rsid w:val="00B52CED"/>
    <w:rsid w:val="00B52D8E"/>
    <w:rsid w:val="00B53206"/>
    <w:rsid w:val="00B53435"/>
    <w:rsid w:val="00B53552"/>
    <w:rsid w:val="00B53E27"/>
    <w:rsid w:val="00B54002"/>
    <w:rsid w:val="00B544AA"/>
    <w:rsid w:val="00B544DC"/>
    <w:rsid w:val="00B5480C"/>
    <w:rsid w:val="00B548B7"/>
    <w:rsid w:val="00B548EB"/>
    <w:rsid w:val="00B548FD"/>
    <w:rsid w:val="00B54A04"/>
    <w:rsid w:val="00B54C17"/>
    <w:rsid w:val="00B54C65"/>
    <w:rsid w:val="00B54DA5"/>
    <w:rsid w:val="00B550D4"/>
    <w:rsid w:val="00B55252"/>
    <w:rsid w:val="00B552B3"/>
    <w:rsid w:val="00B5538E"/>
    <w:rsid w:val="00B55CA1"/>
    <w:rsid w:val="00B55EA1"/>
    <w:rsid w:val="00B56783"/>
    <w:rsid w:val="00B56F3B"/>
    <w:rsid w:val="00B57136"/>
    <w:rsid w:val="00B573AF"/>
    <w:rsid w:val="00B5745E"/>
    <w:rsid w:val="00B575F8"/>
    <w:rsid w:val="00B57731"/>
    <w:rsid w:val="00B577C2"/>
    <w:rsid w:val="00B57850"/>
    <w:rsid w:val="00B57B5A"/>
    <w:rsid w:val="00B601DC"/>
    <w:rsid w:val="00B6029F"/>
    <w:rsid w:val="00B605FD"/>
    <w:rsid w:val="00B60784"/>
    <w:rsid w:val="00B60B33"/>
    <w:rsid w:val="00B61693"/>
    <w:rsid w:val="00B61AC7"/>
    <w:rsid w:val="00B61B04"/>
    <w:rsid w:val="00B61C08"/>
    <w:rsid w:val="00B61C0A"/>
    <w:rsid w:val="00B61E3D"/>
    <w:rsid w:val="00B61EEA"/>
    <w:rsid w:val="00B61F8E"/>
    <w:rsid w:val="00B621C2"/>
    <w:rsid w:val="00B621C6"/>
    <w:rsid w:val="00B62521"/>
    <w:rsid w:val="00B62C55"/>
    <w:rsid w:val="00B62C60"/>
    <w:rsid w:val="00B62DD2"/>
    <w:rsid w:val="00B62FAD"/>
    <w:rsid w:val="00B63903"/>
    <w:rsid w:val="00B6398A"/>
    <w:rsid w:val="00B63CB8"/>
    <w:rsid w:val="00B63F31"/>
    <w:rsid w:val="00B64031"/>
    <w:rsid w:val="00B64120"/>
    <w:rsid w:val="00B641C9"/>
    <w:rsid w:val="00B64872"/>
    <w:rsid w:val="00B64ADA"/>
    <w:rsid w:val="00B6541C"/>
    <w:rsid w:val="00B65663"/>
    <w:rsid w:val="00B656B0"/>
    <w:rsid w:val="00B65983"/>
    <w:rsid w:val="00B65E77"/>
    <w:rsid w:val="00B65E86"/>
    <w:rsid w:val="00B65F59"/>
    <w:rsid w:val="00B661EA"/>
    <w:rsid w:val="00B666DF"/>
    <w:rsid w:val="00B66731"/>
    <w:rsid w:val="00B66A87"/>
    <w:rsid w:val="00B66F88"/>
    <w:rsid w:val="00B675EC"/>
    <w:rsid w:val="00B6764A"/>
    <w:rsid w:val="00B67E42"/>
    <w:rsid w:val="00B67F23"/>
    <w:rsid w:val="00B70059"/>
    <w:rsid w:val="00B70131"/>
    <w:rsid w:val="00B7017B"/>
    <w:rsid w:val="00B703D3"/>
    <w:rsid w:val="00B70420"/>
    <w:rsid w:val="00B70570"/>
    <w:rsid w:val="00B705CD"/>
    <w:rsid w:val="00B70827"/>
    <w:rsid w:val="00B70848"/>
    <w:rsid w:val="00B70A56"/>
    <w:rsid w:val="00B70C8E"/>
    <w:rsid w:val="00B70D3F"/>
    <w:rsid w:val="00B70D89"/>
    <w:rsid w:val="00B71635"/>
    <w:rsid w:val="00B71951"/>
    <w:rsid w:val="00B719DB"/>
    <w:rsid w:val="00B71A57"/>
    <w:rsid w:val="00B71DC1"/>
    <w:rsid w:val="00B725F9"/>
    <w:rsid w:val="00B728C7"/>
    <w:rsid w:val="00B73294"/>
    <w:rsid w:val="00B7332D"/>
    <w:rsid w:val="00B73472"/>
    <w:rsid w:val="00B735F6"/>
    <w:rsid w:val="00B73AA2"/>
    <w:rsid w:val="00B73B64"/>
    <w:rsid w:val="00B73EA4"/>
    <w:rsid w:val="00B73FEA"/>
    <w:rsid w:val="00B742BC"/>
    <w:rsid w:val="00B746EA"/>
    <w:rsid w:val="00B748BB"/>
    <w:rsid w:val="00B749D7"/>
    <w:rsid w:val="00B74AD8"/>
    <w:rsid w:val="00B74D92"/>
    <w:rsid w:val="00B753E6"/>
    <w:rsid w:val="00B75859"/>
    <w:rsid w:val="00B75B73"/>
    <w:rsid w:val="00B75D50"/>
    <w:rsid w:val="00B75F74"/>
    <w:rsid w:val="00B760E2"/>
    <w:rsid w:val="00B760EB"/>
    <w:rsid w:val="00B762B7"/>
    <w:rsid w:val="00B7647E"/>
    <w:rsid w:val="00B76505"/>
    <w:rsid w:val="00B76577"/>
    <w:rsid w:val="00B767D0"/>
    <w:rsid w:val="00B769D7"/>
    <w:rsid w:val="00B76AF7"/>
    <w:rsid w:val="00B76F65"/>
    <w:rsid w:val="00B77C3A"/>
    <w:rsid w:val="00B77CAA"/>
    <w:rsid w:val="00B800F0"/>
    <w:rsid w:val="00B8019E"/>
    <w:rsid w:val="00B801E2"/>
    <w:rsid w:val="00B80335"/>
    <w:rsid w:val="00B8034A"/>
    <w:rsid w:val="00B803BC"/>
    <w:rsid w:val="00B80421"/>
    <w:rsid w:val="00B80504"/>
    <w:rsid w:val="00B80A6F"/>
    <w:rsid w:val="00B80AEA"/>
    <w:rsid w:val="00B80BD8"/>
    <w:rsid w:val="00B80C1F"/>
    <w:rsid w:val="00B80F76"/>
    <w:rsid w:val="00B81020"/>
    <w:rsid w:val="00B81112"/>
    <w:rsid w:val="00B8129E"/>
    <w:rsid w:val="00B812A5"/>
    <w:rsid w:val="00B81A8C"/>
    <w:rsid w:val="00B81C3A"/>
    <w:rsid w:val="00B81DCA"/>
    <w:rsid w:val="00B82674"/>
    <w:rsid w:val="00B826FB"/>
    <w:rsid w:val="00B827A8"/>
    <w:rsid w:val="00B82954"/>
    <w:rsid w:val="00B82983"/>
    <w:rsid w:val="00B82F97"/>
    <w:rsid w:val="00B83096"/>
    <w:rsid w:val="00B8309F"/>
    <w:rsid w:val="00B83385"/>
    <w:rsid w:val="00B834AC"/>
    <w:rsid w:val="00B8367A"/>
    <w:rsid w:val="00B83BF5"/>
    <w:rsid w:val="00B84186"/>
    <w:rsid w:val="00B84866"/>
    <w:rsid w:val="00B849E3"/>
    <w:rsid w:val="00B84E15"/>
    <w:rsid w:val="00B85019"/>
    <w:rsid w:val="00B8554B"/>
    <w:rsid w:val="00B8584E"/>
    <w:rsid w:val="00B8589D"/>
    <w:rsid w:val="00B85979"/>
    <w:rsid w:val="00B85A2B"/>
    <w:rsid w:val="00B85C2F"/>
    <w:rsid w:val="00B85E16"/>
    <w:rsid w:val="00B85EF2"/>
    <w:rsid w:val="00B862A3"/>
    <w:rsid w:val="00B86422"/>
    <w:rsid w:val="00B86442"/>
    <w:rsid w:val="00B86494"/>
    <w:rsid w:val="00B867CF"/>
    <w:rsid w:val="00B86922"/>
    <w:rsid w:val="00B86E7D"/>
    <w:rsid w:val="00B8708C"/>
    <w:rsid w:val="00B87101"/>
    <w:rsid w:val="00B871B6"/>
    <w:rsid w:val="00B875E6"/>
    <w:rsid w:val="00B87932"/>
    <w:rsid w:val="00B87ECE"/>
    <w:rsid w:val="00B9002F"/>
    <w:rsid w:val="00B901AB"/>
    <w:rsid w:val="00B9031F"/>
    <w:rsid w:val="00B906FC"/>
    <w:rsid w:val="00B907F2"/>
    <w:rsid w:val="00B9096D"/>
    <w:rsid w:val="00B90B7C"/>
    <w:rsid w:val="00B90BE7"/>
    <w:rsid w:val="00B910BD"/>
    <w:rsid w:val="00B911A4"/>
    <w:rsid w:val="00B914D0"/>
    <w:rsid w:val="00B91611"/>
    <w:rsid w:val="00B91E83"/>
    <w:rsid w:val="00B9204B"/>
    <w:rsid w:val="00B92157"/>
    <w:rsid w:val="00B92199"/>
    <w:rsid w:val="00B92662"/>
    <w:rsid w:val="00B92FD3"/>
    <w:rsid w:val="00B931CA"/>
    <w:rsid w:val="00B9320F"/>
    <w:rsid w:val="00B9326A"/>
    <w:rsid w:val="00B9327D"/>
    <w:rsid w:val="00B9367C"/>
    <w:rsid w:val="00B937B3"/>
    <w:rsid w:val="00B93892"/>
    <w:rsid w:val="00B93B11"/>
    <w:rsid w:val="00B93D62"/>
    <w:rsid w:val="00B93EE0"/>
    <w:rsid w:val="00B94391"/>
    <w:rsid w:val="00B944AA"/>
    <w:rsid w:val="00B944E2"/>
    <w:rsid w:val="00B945B6"/>
    <w:rsid w:val="00B9461C"/>
    <w:rsid w:val="00B94939"/>
    <w:rsid w:val="00B9501B"/>
    <w:rsid w:val="00B9544B"/>
    <w:rsid w:val="00B9546D"/>
    <w:rsid w:val="00B95530"/>
    <w:rsid w:val="00B95A8D"/>
    <w:rsid w:val="00B95D1F"/>
    <w:rsid w:val="00B95D5A"/>
    <w:rsid w:val="00B95F87"/>
    <w:rsid w:val="00B968EA"/>
    <w:rsid w:val="00B96A0C"/>
    <w:rsid w:val="00B96D6E"/>
    <w:rsid w:val="00B96D9B"/>
    <w:rsid w:val="00B96E5F"/>
    <w:rsid w:val="00B974C0"/>
    <w:rsid w:val="00B97928"/>
    <w:rsid w:val="00B97A8B"/>
    <w:rsid w:val="00B97BC5"/>
    <w:rsid w:val="00B97CDD"/>
    <w:rsid w:val="00BA042E"/>
    <w:rsid w:val="00BA08DF"/>
    <w:rsid w:val="00BA0A8C"/>
    <w:rsid w:val="00BA0AC4"/>
    <w:rsid w:val="00BA0E83"/>
    <w:rsid w:val="00BA114C"/>
    <w:rsid w:val="00BA126D"/>
    <w:rsid w:val="00BA16B9"/>
    <w:rsid w:val="00BA1B51"/>
    <w:rsid w:val="00BA1C0A"/>
    <w:rsid w:val="00BA20D7"/>
    <w:rsid w:val="00BA2270"/>
    <w:rsid w:val="00BA22B0"/>
    <w:rsid w:val="00BA27FB"/>
    <w:rsid w:val="00BA2A1D"/>
    <w:rsid w:val="00BA2E1F"/>
    <w:rsid w:val="00BA3276"/>
    <w:rsid w:val="00BA32BE"/>
    <w:rsid w:val="00BA36FC"/>
    <w:rsid w:val="00BA3727"/>
    <w:rsid w:val="00BA379A"/>
    <w:rsid w:val="00BA3900"/>
    <w:rsid w:val="00BA3E9C"/>
    <w:rsid w:val="00BA413B"/>
    <w:rsid w:val="00BA431B"/>
    <w:rsid w:val="00BA439B"/>
    <w:rsid w:val="00BA448E"/>
    <w:rsid w:val="00BA4955"/>
    <w:rsid w:val="00BA4A30"/>
    <w:rsid w:val="00BA4A9D"/>
    <w:rsid w:val="00BA4E0C"/>
    <w:rsid w:val="00BA5110"/>
    <w:rsid w:val="00BA5176"/>
    <w:rsid w:val="00BA5314"/>
    <w:rsid w:val="00BA5C99"/>
    <w:rsid w:val="00BA5D0B"/>
    <w:rsid w:val="00BA5DEC"/>
    <w:rsid w:val="00BA5FB2"/>
    <w:rsid w:val="00BA6462"/>
    <w:rsid w:val="00BA6520"/>
    <w:rsid w:val="00BA6705"/>
    <w:rsid w:val="00BA6AB2"/>
    <w:rsid w:val="00BA6B35"/>
    <w:rsid w:val="00BA6B6E"/>
    <w:rsid w:val="00BA6E33"/>
    <w:rsid w:val="00BA6F59"/>
    <w:rsid w:val="00BA742B"/>
    <w:rsid w:val="00BA79F2"/>
    <w:rsid w:val="00BA7A44"/>
    <w:rsid w:val="00BA7AD5"/>
    <w:rsid w:val="00BA7F44"/>
    <w:rsid w:val="00BA7FF6"/>
    <w:rsid w:val="00BB0051"/>
    <w:rsid w:val="00BB00E1"/>
    <w:rsid w:val="00BB0D66"/>
    <w:rsid w:val="00BB0D76"/>
    <w:rsid w:val="00BB0F06"/>
    <w:rsid w:val="00BB0F55"/>
    <w:rsid w:val="00BB11EA"/>
    <w:rsid w:val="00BB12B6"/>
    <w:rsid w:val="00BB1316"/>
    <w:rsid w:val="00BB15AA"/>
    <w:rsid w:val="00BB1638"/>
    <w:rsid w:val="00BB16FF"/>
    <w:rsid w:val="00BB1738"/>
    <w:rsid w:val="00BB183E"/>
    <w:rsid w:val="00BB18D3"/>
    <w:rsid w:val="00BB1DEC"/>
    <w:rsid w:val="00BB21EF"/>
    <w:rsid w:val="00BB2521"/>
    <w:rsid w:val="00BB2772"/>
    <w:rsid w:val="00BB2B4F"/>
    <w:rsid w:val="00BB2CDB"/>
    <w:rsid w:val="00BB2EAB"/>
    <w:rsid w:val="00BB305F"/>
    <w:rsid w:val="00BB31F8"/>
    <w:rsid w:val="00BB32CC"/>
    <w:rsid w:val="00BB36F1"/>
    <w:rsid w:val="00BB3B4C"/>
    <w:rsid w:val="00BB3FBB"/>
    <w:rsid w:val="00BB3FC9"/>
    <w:rsid w:val="00BB416A"/>
    <w:rsid w:val="00BB44D5"/>
    <w:rsid w:val="00BB4D3B"/>
    <w:rsid w:val="00BB4DCC"/>
    <w:rsid w:val="00BB52C4"/>
    <w:rsid w:val="00BB5614"/>
    <w:rsid w:val="00BB5AB1"/>
    <w:rsid w:val="00BB5B07"/>
    <w:rsid w:val="00BB5B82"/>
    <w:rsid w:val="00BB5E5F"/>
    <w:rsid w:val="00BB5E76"/>
    <w:rsid w:val="00BB61EF"/>
    <w:rsid w:val="00BB6218"/>
    <w:rsid w:val="00BB62CC"/>
    <w:rsid w:val="00BB6484"/>
    <w:rsid w:val="00BB65FD"/>
    <w:rsid w:val="00BB6ACD"/>
    <w:rsid w:val="00BB6D06"/>
    <w:rsid w:val="00BB6D64"/>
    <w:rsid w:val="00BB6E93"/>
    <w:rsid w:val="00BB702A"/>
    <w:rsid w:val="00BB7176"/>
    <w:rsid w:val="00BB73C4"/>
    <w:rsid w:val="00BB7405"/>
    <w:rsid w:val="00BB77C3"/>
    <w:rsid w:val="00BB79A5"/>
    <w:rsid w:val="00BB7D49"/>
    <w:rsid w:val="00BB7D56"/>
    <w:rsid w:val="00BB7F30"/>
    <w:rsid w:val="00BC00A1"/>
    <w:rsid w:val="00BC0E80"/>
    <w:rsid w:val="00BC16C2"/>
    <w:rsid w:val="00BC1A31"/>
    <w:rsid w:val="00BC1BEE"/>
    <w:rsid w:val="00BC1F58"/>
    <w:rsid w:val="00BC2383"/>
    <w:rsid w:val="00BC2384"/>
    <w:rsid w:val="00BC24B2"/>
    <w:rsid w:val="00BC27CD"/>
    <w:rsid w:val="00BC2A39"/>
    <w:rsid w:val="00BC2B46"/>
    <w:rsid w:val="00BC2E33"/>
    <w:rsid w:val="00BC2F99"/>
    <w:rsid w:val="00BC333E"/>
    <w:rsid w:val="00BC3A83"/>
    <w:rsid w:val="00BC4275"/>
    <w:rsid w:val="00BC4302"/>
    <w:rsid w:val="00BC46B8"/>
    <w:rsid w:val="00BC48A5"/>
    <w:rsid w:val="00BC48E9"/>
    <w:rsid w:val="00BC4F4E"/>
    <w:rsid w:val="00BC501F"/>
    <w:rsid w:val="00BC50F6"/>
    <w:rsid w:val="00BC5286"/>
    <w:rsid w:val="00BC5337"/>
    <w:rsid w:val="00BC583F"/>
    <w:rsid w:val="00BC5B0D"/>
    <w:rsid w:val="00BC5DAD"/>
    <w:rsid w:val="00BC5F4C"/>
    <w:rsid w:val="00BC60E2"/>
    <w:rsid w:val="00BC6216"/>
    <w:rsid w:val="00BC6794"/>
    <w:rsid w:val="00BC69C3"/>
    <w:rsid w:val="00BC6A2A"/>
    <w:rsid w:val="00BC6CD4"/>
    <w:rsid w:val="00BC6D5B"/>
    <w:rsid w:val="00BC6D5F"/>
    <w:rsid w:val="00BC6F72"/>
    <w:rsid w:val="00BC6FAB"/>
    <w:rsid w:val="00BC707A"/>
    <w:rsid w:val="00BC773C"/>
    <w:rsid w:val="00BC77D3"/>
    <w:rsid w:val="00BC79DB"/>
    <w:rsid w:val="00BC7A0D"/>
    <w:rsid w:val="00BC7A6B"/>
    <w:rsid w:val="00BC7B9D"/>
    <w:rsid w:val="00BC7C7D"/>
    <w:rsid w:val="00BC7E79"/>
    <w:rsid w:val="00BD0228"/>
    <w:rsid w:val="00BD04A5"/>
    <w:rsid w:val="00BD0AA1"/>
    <w:rsid w:val="00BD0C32"/>
    <w:rsid w:val="00BD0D87"/>
    <w:rsid w:val="00BD0F2B"/>
    <w:rsid w:val="00BD110E"/>
    <w:rsid w:val="00BD1422"/>
    <w:rsid w:val="00BD146E"/>
    <w:rsid w:val="00BD1546"/>
    <w:rsid w:val="00BD1C46"/>
    <w:rsid w:val="00BD1FE5"/>
    <w:rsid w:val="00BD22CF"/>
    <w:rsid w:val="00BD250C"/>
    <w:rsid w:val="00BD25F4"/>
    <w:rsid w:val="00BD2718"/>
    <w:rsid w:val="00BD2867"/>
    <w:rsid w:val="00BD2B7C"/>
    <w:rsid w:val="00BD2C0C"/>
    <w:rsid w:val="00BD2C4F"/>
    <w:rsid w:val="00BD2D92"/>
    <w:rsid w:val="00BD2E0B"/>
    <w:rsid w:val="00BD2F80"/>
    <w:rsid w:val="00BD39BF"/>
    <w:rsid w:val="00BD3A25"/>
    <w:rsid w:val="00BD3AAC"/>
    <w:rsid w:val="00BD3E52"/>
    <w:rsid w:val="00BD3FBE"/>
    <w:rsid w:val="00BD4170"/>
    <w:rsid w:val="00BD42EE"/>
    <w:rsid w:val="00BD44C7"/>
    <w:rsid w:val="00BD45FF"/>
    <w:rsid w:val="00BD4648"/>
    <w:rsid w:val="00BD47C7"/>
    <w:rsid w:val="00BD491F"/>
    <w:rsid w:val="00BD4DDE"/>
    <w:rsid w:val="00BD518D"/>
    <w:rsid w:val="00BD534E"/>
    <w:rsid w:val="00BD53CB"/>
    <w:rsid w:val="00BD55BA"/>
    <w:rsid w:val="00BD58B7"/>
    <w:rsid w:val="00BD5B58"/>
    <w:rsid w:val="00BD5F6C"/>
    <w:rsid w:val="00BD6020"/>
    <w:rsid w:val="00BD6929"/>
    <w:rsid w:val="00BD69D3"/>
    <w:rsid w:val="00BD6A2E"/>
    <w:rsid w:val="00BD6EF6"/>
    <w:rsid w:val="00BD6EFD"/>
    <w:rsid w:val="00BD6F52"/>
    <w:rsid w:val="00BD7228"/>
    <w:rsid w:val="00BD7525"/>
    <w:rsid w:val="00BD757C"/>
    <w:rsid w:val="00BD7901"/>
    <w:rsid w:val="00BD7A42"/>
    <w:rsid w:val="00BD7CC3"/>
    <w:rsid w:val="00BE0078"/>
    <w:rsid w:val="00BE0173"/>
    <w:rsid w:val="00BE017F"/>
    <w:rsid w:val="00BE01BD"/>
    <w:rsid w:val="00BE0271"/>
    <w:rsid w:val="00BE08B0"/>
    <w:rsid w:val="00BE0B33"/>
    <w:rsid w:val="00BE0D89"/>
    <w:rsid w:val="00BE1181"/>
    <w:rsid w:val="00BE11ED"/>
    <w:rsid w:val="00BE1252"/>
    <w:rsid w:val="00BE148C"/>
    <w:rsid w:val="00BE180D"/>
    <w:rsid w:val="00BE1D4D"/>
    <w:rsid w:val="00BE1F57"/>
    <w:rsid w:val="00BE20EC"/>
    <w:rsid w:val="00BE22FE"/>
    <w:rsid w:val="00BE238C"/>
    <w:rsid w:val="00BE287F"/>
    <w:rsid w:val="00BE2A6F"/>
    <w:rsid w:val="00BE2DEE"/>
    <w:rsid w:val="00BE2F43"/>
    <w:rsid w:val="00BE33CC"/>
    <w:rsid w:val="00BE3464"/>
    <w:rsid w:val="00BE348B"/>
    <w:rsid w:val="00BE3587"/>
    <w:rsid w:val="00BE39B9"/>
    <w:rsid w:val="00BE3B3B"/>
    <w:rsid w:val="00BE3FBA"/>
    <w:rsid w:val="00BE45BC"/>
    <w:rsid w:val="00BE4A6A"/>
    <w:rsid w:val="00BE4D35"/>
    <w:rsid w:val="00BE5333"/>
    <w:rsid w:val="00BE5351"/>
    <w:rsid w:val="00BE545B"/>
    <w:rsid w:val="00BE550F"/>
    <w:rsid w:val="00BE5CA6"/>
    <w:rsid w:val="00BE5D44"/>
    <w:rsid w:val="00BE5DE2"/>
    <w:rsid w:val="00BE5E90"/>
    <w:rsid w:val="00BE6259"/>
    <w:rsid w:val="00BE64EB"/>
    <w:rsid w:val="00BE6F2E"/>
    <w:rsid w:val="00BE6F8E"/>
    <w:rsid w:val="00BE74C9"/>
    <w:rsid w:val="00BE7B42"/>
    <w:rsid w:val="00BE7BAE"/>
    <w:rsid w:val="00BF006B"/>
    <w:rsid w:val="00BF04C1"/>
    <w:rsid w:val="00BF054E"/>
    <w:rsid w:val="00BF0995"/>
    <w:rsid w:val="00BF0AE3"/>
    <w:rsid w:val="00BF0CDE"/>
    <w:rsid w:val="00BF1697"/>
    <w:rsid w:val="00BF1E52"/>
    <w:rsid w:val="00BF2065"/>
    <w:rsid w:val="00BF23A5"/>
    <w:rsid w:val="00BF23E1"/>
    <w:rsid w:val="00BF2485"/>
    <w:rsid w:val="00BF2E0A"/>
    <w:rsid w:val="00BF3063"/>
    <w:rsid w:val="00BF3CC1"/>
    <w:rsid w:val="00BF3D73"/>
    <w:rsid w:val="00BF4B82"/>
    <w:rsid w:val="00BF52D4"/>
    <w:rsid w:val="00BF5548"/>
    <w:rsid w:val="00BF5B67"/>
    <w:rsid w:val="00BF5E2B"/>
    <w:rsid w:val="00BF6001"/>
    <w:rsid w:val="00BF62F0"/>
    <w:rsid w:val="00BF653A"/>
    <w:rsid w:val="00BF6912"/>
    <w:rsid w:val="00BF6C82"/>
    <w:rsid w:val="00BF6E86"/>
    <w:rsid w:val="00BF752F"/>
    <w:rsid w:val="00BF779E"/>
    <w:rsid w:val="00BF7956"/>
    <w:rsid w:val="00BF7BE2"/>
    <w:rsid w:val="00C000A3"/>
    <w:rsid w:val="00C00131"/>
    <w:rsid w:val="00C00322"/>
    <w:rsid w:val="00C00410"/>
    <w:rsid w:val="00C006B6"/>
    <w:rsid w:val="00C006B8"/>
    <w:rsid w:val="00C00A35"/>
    <w:rsid w:val="00C013C3"/>
    <w:rsid w:val="00C0160E"/>
    <w:rsid w:val="00C01785"/>
    <w:rsid w:val="00C01B7A"/>
    <w:rsid w:val="00C01C34"/>
    <w:rsid w:val="00C022EC"/>
    <w:rsid w:val="00C022FF"/>
    <w:rsid w:val="00C02649"/>
    <w:rsid w:val="00C02B95"/>
    <w:rsid w:val="00C02D80"/>
    <w:rsid w:val="00C02E56"/>
    <w:rsid w:val="00C0309D"/>
    <w:rsid w:val="00C031DA"/>
    <w:rsid w:val="00C0351A"/>
    <w:rsid w:val="00C03564"/>
    <w:rsid w:val="00C0377A"/>
    <w:rsid w:val="00C0380A"/>
    <w:rsid w:val="00C03877"/>
    <w:rsid w:val="00C038ED"/>
    <w:rsid w:val="00C03937"/>
    <w:rsid w:val="00C03AF7"/>
    <w:rsid w:val="00C03C35"/>
    <w:rsid w:val="00C045A0"/>
    <w:rsid w:val="00C046BD"/>
    <w:rsid w:val="00C0477B"/>
    <w:rsid w:val="00C04C2E"/>
    <w:rsid w:val="00C05169"/>
    <w:rsid w:val="00C0532C"/>
    <w:rsid w:val="00C053F0"/>
    <w:rsid w:val="00C0571D"/>
    <w:rsid w:val="00C05934"/>
    <w:rsid w:val="00C05975"/>
    <w:rsid w:val="00C05B46"/>
    <w:rsid w:val="00C05FEF"/>
    <w:rsid w:val="00C0628C"/>
    <w:rsid w:val="00C064B5"/>
    <w:rsid w:val="00C0656C"/>
    <w:rsid w:val="00C06AC2"/>
    <w:rsid w:val="00C06B0D"/>
    <w:rsid w:val="00C06B4B"/>
    <w:rsid w:val="00C06D38"/>
    <w:rsid w:val="00C06DE8"/>
    <w:rsid w:val="00C0705B"/>
    <w:rsid w:val="00C071E1"/>
    <w:rsid w:val="00C07347"/>
    <w:rsid w:val="00C078F5"/>
    <w:rsid w:val="00C07943"/>
    <w:rsid w:val="00C079EA"/>
    <w:rsid w:val="00C07A07"/>
    <w:rsid w:val="00C07B22"/>
    <w:rsid w:val="00C07B83"/>
    <w:rsid w:val="00C07E1E"/>
    <w:rsid w:val="00C10112"/>
    <w:rsid w:val="00C10328"/>
    <w:rsid w:val="00C10953"/>
    <w:rsid w:val="00C109D1"/>
    <w:rsid w:val="00C10D30"/>
    <w:rsid w:val="00C10E4F"/>
    <w:rsid w:val="00C10FFC"/>
    <w:rsid w:val="00C112BA"/>
    <w:rsid w:val="00C114C7"/>
    <w:rsid w:val="00C11658"/>
    <w:rsid w:val="00C11893"/>
    <w:rsid w:val="00C11A92"/>
    <w:rsid w:val="00C11C46"/>
    <w:rsid w:val="00C121C6"/>
    <w:rsid w:val="00C1238A"/>
    <w:rsid w:val="00C125AD"/>
    <w:rsid w:val="00C12761"/>
    <w:rsid w:val="00C127B7"/>
    <w:rsid w:val="00C12965"/>
    <w:rsid w:val="00C12D1C"/>
    <w:rsid w:val="00C12E84"/>
    <w:rsid w:val="00C13553"/>
    <w:rsid w:val="00C1393F"/>
    <w:rsid w:val="00C13D86"/>
    <w:rsid w:val="00C13FEF"/>
    <w:rsid w:val="00C1443D"/>
    <w:rsid w:val="00C1482C"/>
    <w:rsid w:val="00C15288"/>
    <w:rsid w:val="00C153EB"/>
    <w:rsid w:val="00C15414"/>
    <w:rsid w:val="00C15467"/>
    <w:rsid w:val="00C15507"/>
    <w:rsid w:val="00C157F4"/>
    <w:rsid w:val="00C15903"/>
    <w:rsid w:val="00C15ACD"/>
    <w:rsid w:val="00C15EC3"/>
    <w:rsid w:val="00C16122"/>
    <w:rsid w:val="00C16C93"/>
    <w:rsid w:val="00C16DE9"/>
    <w:rsid w:val="00C16EE5"/>
    <w:rsid w:val="00C16F55"/>
    <w:rsid w:val="00C17026"/>
    <w:rsid w:val="00C1704A"/>
    <w:rsid w:val="00C17099"/>
    <w:rsid w:val="00C17203"/>
    <w:rsid w:val="00C177E6"/>
    <w:rsid w:val="00C17A30"/>
    <w:rsid w:val="00C17C8A"/>
    <w:rsid w:val="00C17ECB"/>
    <w:rsid w:val="00C17EFC"/>
    <w:rsid w:val="00C205CC"/>
    <w:rsid w:val="00C208D2"/>
    <w:rsid w:val="00C20CBD"/>
    <w:rsid w:val="00C21029"/>
    <w:rsid w:val="00C21072"/>
    <w:rsid w:val="00C210ED"/>
    <w:rsid w:val="00C210F8"/>
    <w:rsid w:val="00C214D5"/>
    <w:rsid w:val="00C21A13"/>
    <w:rsid w:val="00C21E6F"/>
    <w:rsid w:val="00C21F73"/>
    <w:rsid w:val="00C22102"/>
    <w:rsid w:val="00C229AB"/>
    <w:rsid w:val="00C22D4E"/>
    <w:rsid w:val="00C22FF4"/>
    <w:rsid w:val="00C2317F"/>
    <w:rsid w:val="00C23243"/>
    <w:rsid w:val="00C2342D"/>
    <w:rsid w:val="00C23589"/>
    <w:rsid w:val="00C235A9"/>
    <w:rsid w:val="00C2362E"/>
    <w:rsid w:val="00C23D4E"/>
    <w:rsid w:val="00C23EB1"/>
    <w:rsid w:val="00C23EE1"/>
    <w:rsid w:val="00C2446B"/>
    <w:rsid w:val="00C24D12"/>
    <w:rsid w:val="00C253BC"/>
    <w:rsid w:val="00C2547E"/>
    <w:rsid w:val="00C2597B"/>
    <w:rsid w:val="00C25DD3"/>
    <w:rsid w:val="00C25FAC"/>
    <w:rsid w:val="00C2692C"/>
    <w:rsid w:val="00C26AF7"/>
    <w:rsid w:val="00C27109"/>
    <w:rsid w:val="00C271B8"/>
    <w:rsid w:val="00C274C6"/>
    <w:rsid w:val="00C275C9"/>
    <w:rsid w:val="00C27771"/>
    <w:rsid w:val="00C27828"/>
    <w:rsid w:val="00C27942"/>
    <w:rsid w:val="00C279D3"/>
    <w:rsid w:val="00C27A57"/>
    <w:rsid w:val="00C27ADE"/>
    <w:rsid w:val="00C27AE7"/>
    <w:rsid w:val="00C27BD2"/>
    <w:rsid w:val="00C27E19"/>
    <w:rsid w:val="00C300B1"/>
    <w:rsid w:val="00C3023C"/>
    <w:rsid w:val="00C30241"/>
    <w:rsid w:val="00C305E1"/>
    <w:rsid w:val="00C3064D"/>
    <w:rsid w:val="00C30FD8"/>
    <w:rsid w:val="00C31047"/>
    <w:rsid w:val="00C31270"/>
    <w:rsid w:val="00C312E2"/>
    <w:rsid w:val="00C31300"/>
    <w:rsid w:val="00C314B7"/>
    <w:rsid w:val="00C31600"/>
    <w:rsid w:val="00C316C1"/>
    <w:rsid w:val="00C318A8"/>
    <w:rsid w:val="00C318F6"/>
    <w:rsid w:val="00C31933"/>
    <w:rsid w:val="00C3196E"/>
    <w:rsid w:val="00C31A0E"/>
    <w:rsid w:val="00C31A19"/>
    <w:rsid w:val="00C31D4D"/>
    <w:rsid w:val="00C32505"/>
    <w:rsid w:val="00C32726"/>
    <w:rsid w:val="00C32A37"/>
    <w:rsid w:val="00C32A78"/>
    <w:rsid w:val="00C3317A"/>
    <w:rsid w:val="00C33482"/>
    <w:rsid w:val="00C3354B"/>
    <w:rsid w:val="00C335AD"/>
    <w:rsid w:val="00C33818"/>
    <w:rsid w:val="00C33A9C"/>
    <w:rsid w:val="00C33E56"/>
    <w:rsid w:val="00C34241"/>
    <w:rsid w:val="00C342FC"/>
    <w:rsid w:val="00C343EB"/>
    <w:rsid w:val="00C345BC"/>
    <w:rsid w:val="00C346BE"/>
    <w:rsid w:val="00C348F0"/>
    <w:rsid w:val="00C34A1E"/>
    <w:rsid w:val="00C34FCF"/>
    <w:rsid w:val="00C35085"/>
    <w:rsid w:val="00C350E9"/>
    <w:rsid w:val="00C3523D"/>
    <w:rsid w:val="00C355C3"/>
    <w:rsid w:val="00C35862"/>
    <w:rsid w:val="00C35C04"/>
    <w:rsid w:val="00C35CF4"/>
    <w:rsid w:val="00C35D22"/>
    <w:rsid w:val="00C35D6D"/>
    <w:rsid w:val="00C35E4B"/>
    <w:rsid w:val="00C35F28"/>
    <w:rsid w:val="00C36051"/>
    <w:rsid w:val="00C363FC"/>
    <w:rsid w:val="00C3665F"/>
    <w:rsid w:val="00C36817"/>
    <w:rsid w:val="00C36AAC"/>
    <w:rsid w:val="00C36BF1"/>
    <w:rsid w:val="00C36E79"/>
    <w:rsid w:val="00C36E97"/>
    <w:rsid w:val="00C36E9C"/>
    <w:rsid w:val="00C36EEC"/>
    <w:rsid w:val="00C37868"/>
    <w:rsid w:val="00C378E9"/>
    <w:rsid w:val="00C37D75"/>
    <w:rsid w:val="00C40D5C"/>
    <w:rsid w:val="00C41B3C"/>
    <w:rsid w:val="00C41D0D"/>
    <w:rsid w:val="00C41DA3"/>
    <w:rsid w:val="00C4201C"/>
    <w:rsid w:val="00C42631"/>
    <w:rsid w:val="00C42951"/>
    <w:rsid w:val="00C42A71"/>
    <w:rsid w:val="00C42F32"/>
    <w:rsid w:val="00C4300E"/>
    <w:rsid w:val="00C4354F"/>
    <w:rsid w:val="00C435A6"/>
    <w:rsid w:val="00C43691"/>
    <w:rsid w:val="00C439C0"/>
    <w:rsid w:val="00C43B5C"/>
    <w:rsid w:val="00C4473B"/>
    <w:rsid w:val="00C44794"/>
    <w:rsid w:val="00C44B21"/>
    <w:rsid w:val="00C4503D"/>
    <w:rsid w:val="00C45347"/>
    <w:rsid w:val="00C4539C"/>
    <w:rsid w:val="00C457DB"/>
    <w:rsid w:val="00C458AB"/>
    <w:rsid w:val="00C45AB3"/>
    <w:rsid w:val="00C45AEF"/>
    <w:rsid w:val="00C45E11"/>
    <w:rsid w:val="00C45F4F"/>
    <w:rsid w:val="00C4620B"/>
    <w:rsid w:val="00C46306"/>
    <w:rsid w:val="00C46516"/>
    <w:rsid w:val="00C47008"/>
    <w:rsid w:val="00C472E7"/>
    <w:rsid w:val="00C474FF"/>
    <w:rsid w:val="00C47685"/>
    <w:rsid w:val="00C5058D"/>
    <w:rsid w:val="00C50E4E"/>
    <w:rsid w:val="00C50F17"/>
    <w:rsid w:val="00C51227"/>
    <w:rsid w:val="00C5187F"/>
    <w:rsid w:val="00C5192D"/>
    <w:rsid w:val="00C51BEF"/>
    <w:rsid w:val="00C52884"/>
    <w:rsid w:val="00C52BA6"/>
    <w:rsid w:val="00C52C00"/>
    <w:rsid w:val="00C52CC5"/>
    <w:rsid w:val="00C52D21"/>
    <w:rsid w:val="00C53763"/>
    <w:rsid w:val="00C5379F"/>
    <w:rsid w:val="00C53932"/>
    <w:rsid w:val="00C540D5"/>
    <w:rsid w:val="00C54296"/>
    <w:rsid w:val="00C54400"/>
    <w:rsid w:val="00C54481"/>
    <w:rsid w:val="00C5455D"/>
    <w:rsid w:val="00C5469F"/>
    <w:rsid w:val="00C54802"/>
    <w:rsid w:val="00C549A6"/>
    <w:rsid w:val="00C54EFE"/>
    <w:rsid w:val="00C5537D"/>
    <w:rsid w:val="00C55844"/>
    <w:rsid w:val="00C5588A"/>
    <w:rsid w:val="00C559A2"/>
    <w:rsid w:val="00C55A21"/>
    <w:rsid w:val="00C55F7D"/>
    <w:rsid w:val="00C56AF7"/>
    <w:rsid w:val="00C56B6B"/>
    <w:rsid w:val="00C56BBC"/>
    <w:rsid w:val="00C56D75"/>
    <w:rsid w:val="00C56E2A"/>
    <w:rsid w:val="00C570F4"/>
    <w:rsid w:val="00C570FF"/>
    <w:rsid w:val="00C5720B"/>
    <w:rsid w:val="00C574AA"/>
    <w:rsid w:val="00C57561"/>
    <w:rsid w:val="00C5780D"/>
    <w:rsid w:val="00C5781D"/>
    <w:rsid w:val="00C57A81"/>
    <w:rsid w:val="00C57C21"/>
    <w:rsid w:val="00C60292"/>
    <w:rsid w:val="00C60704"/>
    <w:rsid w:val="00C609D4"/>
    <w:rsid w:val="00C60B4C"/>
    <w:rsid w:val="00C60D31"/>
    <w:rsid w:val="00C60E7B"/>
    <w:rsid w:val="00C610AF"/>
    <w:rsid w:val="00C61372"/>
    <w:rsid w:val="00C613FB"/>
    <w:rsid w:val="00C61748"/>
    <w:rsid w:val="00C617EF"/>
    <w:rsid w:val="00C6186E"/>
    <w:rsid w:val="00C61C1B"/>
    <w:rsid w:val="00C61D28"/>
    <w:rsid w:val="00C61FE7"/>
    <w:rsid w:val="00C62139"/>
    <w:rsid w:val="00C62273"/>
    <w:rsid w:val="00C625B4"/>
    <w:rsid w:val="00C62826"/>
    <w:rsid w:val="00C62E95"/>
    <w:rsid w:val="00C6350D"/>
    <w:rsid w:val="00C6357D"/>
    <w:rsid w:val="00C638B9"/>
    <w:rsid w:val="00C63A97"/>
    <w:rsid w:val="00C63E94"/>
    <w:rsid w:val="00C63F4D"/>
    <w:rsid w:val="00C63F80"/>
    <w:rsid w:val="00C649C2"/>
    <w:rsid w:val="00C64A2B"/>
    <w:rsid w:val="00C6521E"/>
    <w:rsid w:val="00C654A0"/>
    <w:rsid w:val="00C65A35"/>
    <w:rsid w:val="00C65BD4"/>
    <w:rsid w:val="00C65C36"/>
    <w:rsid w:val="00C65D1C"/>
    <w:rsid w:val="00C65E9E"/>
    <w:rsid w:val="00C65F9D"/>
    <w:rsid w:val="00C660DF"/>
    <w:rsid w:val="00C6624D"/>
    <w:rsid w:val="00C66553"/>
    <w:rsid w:val="00C6665E"/>
    <w:rsid w:val="00C66FB6"/>
    <w:rsid w:val="00C670A4"/>
    <w:rsid w:val="00C672CE"/>
    <w:rsid w:val="00C6754B"/>
    <w:rsid w:val="00C675FD"/>
    <w:rsid w:val="00C67611"/>
    <w:rsid w:val="00C678A3"/>
    <w:rsid w:val="00C67D31"/>
    <w:rsid w:val="00C67DA3"/>
    <w:rsid w:val="00C70150"/>
    <w:rsid w:val="00C701FB"/>
    <w:rsid w:val="00C705F6"/>
    <w:rsid w:val="00C709B7"/>
    <w:rsid w:val="00C70B4B"/>
    <w:rsid w:val="00C71D40"/>
    <w:rsid w:val="00C72082"/>
    <w:rsid w:val="00C72978"/>
    <w:rsid w:val="00C72B27"/>
    <w:rsid w:val="00C72D5E"/>
    <w:rsid w:val="00C72EB0"/>
    <w:rsid w:val="00C73144"/>
    <w:rsid w:val="00C73202"/>
    <w:rsid w:val="00C73431"/>
    <w:rsid w:val="00C73536"/>
    <w:rsid w:val="00C73D77"/>
    <w:rsid w:val="00C73FE5"/>
    <w:rsid w:val="00C740E2"/>
    <w:rsid w:val="00C745CB"/>
    <w:rsid w:val="00C74ACF"/>
    <w:rsid w:val="00C74AD2"/>
    <w:rsid w:val="00C74FDA"/>
    <w:rsid w:val="00C75071"/>
    <w:rsid w:val="00C7557E"/>
    <w:rsid w:val="00C759FD"/>
    <w:rsid w:val="00C75CCE"/>
    <w:rsid w:val="00C75E33"/>
    <w:rsid w:val="00C76185"/>
    <w:rsid w:val="00C7618A"/>
    <w:rsid w:val="00C76541"/>
    <w:rsid w:val="00C76786"/>
    <w:rsid w:val="00C76864"/>
    <w:rsid w:val="00C768D8"/>
    <w:rsid w:val="00C769B3"/>
    <w:rsid w:val="00C76B2D"/>
    <w:rsid w:val="00C77160"/>
    <w:rsid w:val="00C7730E"/>
    <w:rsid w:val="00C77538"/>
    <w:rsid w:val="00C775CF"/>
    <w:rsid w:val="00C77610"/>
    <w:rsid w:val="00C77DB8"/>
    <w:rsid w:val="00C802D4"/>
    <w:rsid w:val="00C80328"/>
    <w:rsid w:val="00C806AF"/>
    <w:rsid w:val="00C80954"/>
    <w:rsid w:val="00C80DED"/>
    <w:rsid w:val="00C80F1B"/>
    <w:rsid w:val="00C81198"/>
    <w:rsid w:val="00C81B00"/>
    <w:rsid w:val="00C81BF7"/>
    <w:rsid w:val="00C82038"/>
    <w:rsid w:val="00C82329"/>
    <w:rsid w:val="00C823D7"/>
    <w:rsid w:val="00C82563"/>
    <w:rsid w:val="00C8260C"/>
    <w:rsid w:val="00C827E6"/>
    <w:rsid w:val="00C8290D"/>
    <w:rsid w:val="00C82B80"/>
    <w:rsid w:val="00C82B96"/>
    <w:rsid w:val="00C82C99"/>
    <w:rsid w:val="00C82E31"/>
    <w:rsid w:val="00C830AC"/>
    <w:rsid w:val="00C8323F"/>
    <w:rsid w:val="00C8349A"/>
    <w:rsid w:val="00C834A0"/>
    <w:rsid w:val="00C8366C"/>
    <w:rsid w:val="00C836FF"/>
    <w:rsid w:val="00C83979"/>
    <w:rsid w:val="00C8399B"/>
    <w:rsid w:val="00C83D73"/>
    <w:rsid w:val="00C84380"/>
    <w:rsid w:val="00C84D32"/>
    <w:rsid w:val="00C84DF1"/>
    <w:rsid w:val="00C8543E"/>
    <w:rsid w:val="00C85743"/>
    <w:rsid w:val="00C85865"/>
    <w:rsid w:val="00C85EB7"/>
    <w:rsid w:val="00C8618B"/>
    <w:rsid w:val="00C863D3"/>
    <w:rsid w:val="00C86681"/>
    <w:rsid w:val="00C868F9"/>
    <w:rsid w:val="00C86A45"/>
    <w:rsid w:val="00C86B89"/>
    <w:rsid w:val="00C86CE4"/>
    <w:rsid w:val="00C86F2E"/>
    <w:rsid w:val="00C8725F"/>
    <w:rsid w:val="00C874A3"/>
    <w:rsid w:val="00C900FB"/>
    <w:rsid w:val="00C90111"/>
    <w:rsid w:val="00C902E0"/>
    <w:rsid w:val="00C904A8"/>
    <w:rsid w:val="00C9079D"/>
    <w:rsid w:val="00C90B5A"/>
    <w:rsid w:val="00C90B78"/>
    <w:rsid w:val="00C90C6C"/>
    <w:rsid w:val="00C91416"/>
    <w:rsid w:val="00C916DA"/>
    <w:rsid w:val="00C91BBE"/>
    <w:rsid w:val="00C91C0C"/>
    <w:rsid w:val="00C91D96"/>
    <w:rsid w:val="00C920C2"/>
    <w:rsid w:val="00C92306"/>
    <w:rsid w:val="00C924ED"/>
    <w:rsid w:val="00C9257F"/>
    <w:rsid w:val="00C92735"/>
    <w:rsid w:val="00C9288B"/>
    <w:rsid w:val="00C928A8"/>
    <w:rsid w:val="00C92BA4"/>
    <w:rsid w:val="00C92C0C"/>
    <w:rsid w:val="00C92E00"/>
    <w:rsid w:val="00C92F9C"/>
    <w:rsid w:val="00C93394"/>
    <w:rsid w:val="00C93750"/>
    <w:rsid w:val="00C93E78"/>
    <w:rsid w:val="00C93E9D"/>
    <w:rsid w:val="00C9423F"/>
    <w:rsid w:val="00C9425C"/>
    <w:rsid w:val="00C943B2"/>
    <w:rsid w:val="00C9449A"/>
    <w:rsid w:val="00C945C0"/>
    <w:rsid w:val="00C946C8"/>
    <w:rsid w:val="00C94913"/>
    <w:rsid w:val="00C94BAE"/>
    <w:rsid w:val="00C94CC3"/>
    <w:rsid w:val="00C94DCD"/>
    <w:rsid w:val="00C9508B"/>
    <w:rsid w:val="00C952F2"/>
    <w:rsid w:val="00C954C3"/>
    <w:rsid w:val="00C95A6C"/>
    <w:rsid w:val="00C95B17"/>
    <w:rsid w:val="00C95D6F"/>
    <w:rsid w:val="00C95EBD"/>
    <w:rsid w:val="00C95FD0"/>
    <w:rsid w:val="00C960A8"/>
    <w:rsid w:val="00C96301"/>
    <w:rsid w:val="00C96499"/>
    <w:rsid w:val="00C96A1E"/>
    <w:rsid w:val="00C96DDE"/>
    <w:rsid w:val="00C970AB"/>
    <w:rsid w:val="00C97379"/>
    <w:rsid w:val="00C973D6"/>
    <w:rsid w:val="00C97456"/>
    <w:rsid w:val="00C9745D"/>
    <w:rsid w:val="00C976D4"/>
    <w:rsid w:val="00C97B6F"/>
    <w:rsid w:val="00C97F85"/>
    <w:rsid w:val="00CA00A3"/>
    <w:rsid w:val="00CA0316"/>
    <w:rsid w:val="00CA0382"/>
    <w:rsid w:val="00CA098D"/>
    <w:rsid w:val="00CA0A42"/>
    <w:rsid w:val="00CA0AF3"/>
    <w:rsid w:val="00CA1EE8"/>
    <w:rsid w:val="00CA1FB8"/>
    <w:rsid w:val="00CA2D15"/>
    <w:rsid w:val="00CA2E77"/>
    <w:rsid w:val="00CA334C"/>
    <w:rsid w:val="00CA37A7"/>
    <w:rsid w:val="00CA3A8B"/>
    <w:rsid w:val="00CA3BF7"/>
    <w:rsid w:val="00CA3E0C"/>
    <w:rsid w:val="00CA3E0F"/>
    <w:rsid w:val="00CA431B"/>
    <w:rsid w:val="00CA45C0"/>
    <w:rsid w:val="00CA48F1"/>
    <w:rsid w:val="00CA4952"/>
    <w:rsid w:val="00CA4A27"/>
    <w:rsid w:val="00CA4A86"/>
    <w:rsid w:val="00CA4B09"/>
    <w:rsid w:val="00CA4CBB"/>
    <w:rsid w:val="00CA550A"/>
    <w:rsid w:val="00CA5A85"/>
    <w:rsid w:val="00CA5EF7"/>
    <w:rsid w:val="00CA60FC"/>
    <w:rsid w:val="00CA627A"/>
    <w:rsid w:val="00CA64C4"/>
    <w:rsid w:val="00CA64C7"/>
    <w:rsid w:val="00CA655B"/>
    <w:rsid w:val="00CA65FD"/>
    <w:rsid w:val="00CA676D"/>
    <w:rsid w:val="00CA67E8"/>
    <w:rsid w:val="00CA694B"/>
    <w:rsid w:val="00CA6B2B"/>
    <w:rsid w:val="00CA6B6D"/>
    <w:rsid w:val="00CA6F73"/>
    <w:rsid w:val="00CA7258"/>
    <w:rsid w:val="00CA7334"/>
    <w:rsid w:val="00CA75D3"/>
    <w:rsid w:val="00CA7789"/>
    <w:rsid w:val="00CA7979"/>
    <w:rsid w:val="00CA7AAF"/>
    <w:rsid w:val="00CA7D88"/>
    <w:rsid w:val="00CA7E73"/>
    <w:rsid w:val="00CB0433"/>
    <w:rsid w:val="00CB0983"/>
    <w:rsid w:val="00CB0BC0"/>
    <w:rsid w:val="00CB0D6D"/>
    <w:rsid w:val="00CB0E82"/>
    <w:rsid w:val="00CB0F77"/>
    <w:rsid w:val="00CB10B1"/>
    <w:rsid w:val="00CB12D7"/>
    <w:rsid w:val="00CB137F"/>
    <w:rsid w:val="00CB1591"/>
    <w:rsid w:val="00CB183C"/>
    <w:rsid w:val="00CB188C"/>
    <w:rsid w:val="00CB19DB"/>
    <w:rsid w:val="00CB1B55"/>
    <w:rsid w:val="00CB2336"/>
    <w:rsid w:val="00CB2410"/>
    <w:rsid w:val="00CB24B2"/>
    <w:rsid w:val="00CB2655"/>
    <w:rsid w:val="00CB2CDF"/>
    <w:rsid w:val="00CB2D67"/>
    <w:rsid w:val="00CB35C4"/>
    <w:rsid w:val="00CB3E9A"/>
    <w:rsid w:val="00CB3F09"/>
    <w:rsid w:val="00CB3FB8"/>
    <w:rsid w:val="00CB4051"/>
    <w:rsid w:val="00CB4133"/>
    <w:rsid w:val="00CB42F0"/>
    <w:rsid w:val="00CB43A5"/>
    <w:rsid w:val="00CB459F"/>
    <w:rsid w:val="00CB4656"/>
    <w:rsid w:val="00CB47A9"/>
    <w:rsid w:val="00CB484C"/>
    <w:rsid w:val="00CB4A14"/>
    <w:rsid w:val="00CB4FF3"/>
    <w:rsid w:val="00CB503B"/>
    <w:rsid w:val="00CB5080"/>
    <w:rsid w:val="00CB53CB"/>
    <w:rsid w:val="00CB5403"/>
    <w:rsid w:val="00CB56CA"/>
    <w:rsid w:val="00CB58ED"/>
    <w:rsid w:val="00CB5A1A"/>
    <w:rsid w:val="00CB5AA3"/>
    <w:rsid w:val="00CB5B0F"/>
    <w:rsid w:val="00CB5B8C"/>
    <w:rsid w:val="00CB5E58"/>
    <w:rsid w:val="00CB655F"/>
    <w:rsid w:val="00CB7286"/>
    <w:rsid w:val="00CB72F7"/>
    <w:rsid w:val="00CB7439"/>
    <w:rsid w:val="00CB7B4D"/>
    <w:rsid w:val="00CB7BF2"/>
    <w:rsid w:val="00CB7E84"/>
    <w:rsid w:val="00CB7FCA"/>
    <w:rsid w:val="00CC00C4"/>
    <w:rsid w:val="00CC00F9"/>
    <w:rsid w:val="00CC026C"/>
    <w:rsid w:val="00CC035C"/>
    <w:rsid w:val="00CC03B8"/>
    <w:rsid w:val="00CC04AA"/>
    <w:rsid w:val="00CC04E7"/>
    <w:rsid w:val="00CC0888"/>
    <w:rsid w:val="00CC0D65"/>
    <w:rsid w:val="00CC0D8A"/>
    <w:rsid w:val="00CC0DBA"/>
    <w:rsid w:val="00CC0E3D"/>
    <w:rsid w:val="00CC16ED"/>
    <w:rsid w:val="00CC170C"/>
    <w:rsid w:val="00CC18B1"/>
    <w:rsid w:val="00CC18C3"/>
    <w:rsid w:val="00CC19F2"/>
    <w:rsid w:val="00CC1B20"/>
    <w:rsid w:val="00CC1E34"/>
    <w:rsid w:val="00CC1F2A"/>
    <w:rsid w:val="00CC254C"/>
    <w:rsid w:val="00CC26FA"/>
    <w:rsid w:val="00CC29A4"/>
    <w:rsid w:val="00CC2D59"/>
    <w:rsid w:val="00CC2D83"/>
    <w:rsid w:val="00CC30FA"/>
    <w:rsid w:val="00CC34E9"/>
    <w:rsid w:val="00CC38A8"/>
    <w:rsid w:val="00CC3906"/>
    <w:rsid w:val="00CC3E7E"/>
    <w:rsid w:val="00CC42E4"/>
    <w:rsid w:val="00CC4485"/>
    <w:rsid w:val="00CC4694"/>
    <w:rsid w:val="00CC46B0"/>
    <w:rsid w:val="00CC4778"/>
    <w:rsid w:val="00CC4866"/>
    <w:rsid w:val="00CC4925"/>
    <w:rsid w:val="00CC492C"/>
    <w:rsid w:val="00CC50E9"/>
    <w:rsid w:val="00CC52F2"/>
    <w:rsid w:val="00CC52FF"/>
    <w:rsid w:val="00CC5522"/>
    <w:rsid w:val="00CC55FB"/>
    <w:rsid w:val="00CC57BA"/>
    <w:rsid w:val="00CC581B"/>
    <w:rsid w:val="00CC5934"/>
    <w:rsid w:val="00CC59BF"/>
    <w:rsid w:val="00CC5DDD"/>
    <w:rsid w:val="00CC61D4"/>
    <w:rsid w:val="00CC63EF"/>
    <w:rsid w:val="00CC66F0"/>
    <w:rsid w:val="00CC6AF5"/>
    <w:rsid w:val="00CC6B27"/>
    <w:rsid w:val="00CC6E81"/>
    <w:rsid w:val="00CC6E9D"/>
    <w:rsid w:val="00CC6EBA"/>
    <w:rsid w:val="00CC7578"/>
    <w:rsid w:val="00CC7754"/>
    <w:rsid w:val="00CC791D"/>
    <w:rsid w:val="00CC7E02"/>
    <w:rsid w:val="00CC7F91"/>
    <w:rsid w:val="00CD04D9"/>
    <w:rsid w:val="00CD0969"/>
    <w:rsid w:val="00CD0D7A"/>
    <w:rsid w:val="00CD0EB1"/>
    <w:rsid w:val="00CD116A"/>
    <w:rsid w:val="00CD16F0"/>
    <w:rsid w:val="00CD1748"/>
    <w:rsid w:val="00CD17A7"/>
    <w:rsid w:val="00CD1C1C"/>
    <w:rsid w:val="00CD1F00"/>
    <w:rsid w:val="00CD21A4"/>
    <w:rsid w:val="00CD243A"/>
    <w:rsid w:val="00CD262C"/>
    <w:rsid w:val="00CD2B4D"/>
    <w:rsid w:val="00CD2CEF"/>
    <w:rsid w:val="00CD2E02"/>
    <w:rsid w:val="00CD2E87"/>
    <w:rsid w:val="00CD36BC"/>
    <w:rsid w:val="00CD3F0F"/>
    <w:rsid w:val="00CD4093"/>
    <w:rsid w:val="00CD428E"/>
    <w:rsid w:val="00CD4573"/>
    <w:rsid w:val="00CD46F0"/>
    <w:rsid w:val="00CD47D2"/>
    <w:rsid w:val="00CD48F3"/>
    <w:rsid w:val="00CD4F00"/>
    <w:rsid w:val="00CD5008"/>
    <w:rsid w:val="00CD50A3"/>
    <w:rsid w:val="00CD50F9"/>
    <w:rsid w:val="00CD539E"/>
    <w:rsid w:val="00CD5545"/>
    <w:rsid w:val="00CD5813"/>
    <w:rsid w:val="00CD5CA7"/>
    <w:rsid w:val="00CD5EF2"/>
    <w:rsid w:val="00CD6362"/>
    <w:rsid w:val="00CD637C"/>
    <w:rsid w:val="00CD6527"/>
    <w:rsid w:val="00CD6872"/>
    <w:rsid w:val="00CD6BE3"/>
    <w:rsid w:val="00CD766A"/>
    <w:rsid w:val="00CD7832"/>
    <w:rsid w:val="00CE0281"/>
    <w:rsid w:val="00CE02A7"/>
    <w:rsid w:val="00CE02D3"/>
    <w:rsid w:val="00CE053A"/>
    <w:rsid w:val="00CE062A"/>
    <w:rsid w:val="00CE07B2"/>
    <w:rsid w:val="00CE09D2"/>
    <w:rsid w:val="00CE0E12"/>
    <w:rsid w:val="00CE0F25"/>
    <w:rsid w:val="00CE101C"/>
    <w:rsid w:val="00CE1867"/>
    <w:rsid w:val="00CE1869"/>
    <w:rsid w:val="00CE1900"/>
    <w:rsid w:val="00CE1DCB"/>
    <w:rsid w:val="00CE208F"/>
    <w:rsid w:val="00CE228B"/>
    <w:rsid w:val="00CE25F7"/>
    <w:rsid w:val="00CE2887"/>
    <w:rsid w:val="00CE2A7B"/>
    <w:rsid w:val="00CE2BDA"/>
    <w:rsid w:val="00CE2BE3"/>
    <w:rsid w:val="00CE2D09"/>
    <w:rsid w:val="00CE2D85"/>
    <w:rsid w:val="00CE3294"/>
    <w:rsid w:val="00CE338D"/>
    <w:rsid w:val="00CE35C8"/>
    <w:rsid w:val="00CE3A3C"/>
    <w:rsid w:val="00CE3EB3"/>
    <w:rsid w:val="00CE43C3"/>
    <w:rsid w:val="00CE440C"/>
    <w:rsid w:val="00CE44CD"/>
    <w:rsid w:val="00CE4555"/>
    <w:rsid w:val="00CE4869"/>
    <w:rsid w:val="00CE492B"/>
    <w:rsid w:val="00CE4C6C"/>
    <w:rsid w:val="00CE4D9E"/>
    <w:rsid w:val="00CE4F59"/>
    <w:rsid w:val="00CE50E0"/>
    <w:rsid w:val="00CE542D"/>
    <w:rsid w:val="00CE54AF"/>
    <w:rsid w:val="00CE56BA"/>
    <w:rsid w:val="00CE5A98"/>
    <w:rsid w:val="00CE5B98"/>
    <w:rsid w:val="00CE5CDE"/>
    <w:rsid w:val="00CE5D46"/>
    <w:rsid w:val="00CE6034"/>
    <w:rsid w:val="00CE67C0"/>
    <w:rsid w:val="00CE680C"/>
    <w:rsid w:val="00CE716B"/>
    <w:rsid w:val="00CE71BB"/>
    <w:rsid w:val="00CE736A"/>
    <w:rsid w:val="00CE778E"/>
    <w:rsid w:val="00CE78A8"/>
    <w:rsid w:val="00CE7BCA"/>
    <w:rsid w:val="00CE7CAE"/>
    <w:rsid w:val="00CE7D1B"/>
    <w:rsid w:val="00CE7DD3"/>
    <w:rsid w:val="00CE7F8E"/>
    <w:rsid w:val="00CE7FC8"/>
    <w:rsid w:val="00CF020A"/>
    <w:rsid w:val="00CF05EB"/>
    <w:rsid w:val="00CF07FB"/>
    <w:rsid w:val="00CF082C"/>
    <w:rsid w:val="00CF0A4A"/>
    <w:rsid w:val="00CF0C1C"/>
    <w:rsid w:val="00CF0DBF"/>
    <w:rsid w:val="00CF0E07"/>
    <w:rsid w:val="00CF13DF"/>
    <w:rsid w:val="00CF1766"/>
    <w:rsid w:val="00CF17B2"/>
    <w:rsid w:val="00CF180F"/>
    <w:rsid w:val="00CF1971"/>
    <w:rsid w:val="00CF1AA3"/>
    <w:rsid w:val="00CF1AF3"/>
    <w:rsid w:val="00CF1AFB"/>
    <w:rsid w:val="00CF1B62"/>
    <w:rsid w:val="00CF1BF0"/>
    <w:rsid w:val="00CF1C17"/>
    <w:rsid w:val="00CF1FF6"/>
    <w:rsid w:val="00CF22DC"/>
    <w:rsid w:val="00CF2481"/>
    <w:rsid w:val="00CF2587"/>
    <w:rsid w:val="00CF26F9"/>
    <w:rsid w:val="00CF279D"/>
    <w:rsid w:val="00CF2A56"/>
    <w:rsid w:val="00CF2E79"/>
    <w:rsid w:val="00CF3166"/>
    <w:rsid w:val="00CF325F"/>
    <w:rsid w:val="00CF33E9"/>
    <w:rsid w:val="00CF3511"/>
    <w:rsid w:val="00CF3583"/>
    <w:rsid w:val="00CF35B6"/>
    <w:rsid w:val="00CF3BFF"/>
    <w:rsid w:val="00CF4138"/>
    <w:rsid w:val="00CF43EF"/>
    <w:rsid w:val="00CF43FB"/>
    <w:rsid w:val="00CF45C2"/>
    <w:rsid w:val="00CF4700"/>
    <w:rsid w:val="00CF4989"/>
    <w:rsid w:val="00CF4BDC"/>
    <w:rsid w:val="00CF4C04"/>
    <w:rsid w:val="00CF4D52"/>
    <w:rsid w:val="00CF4D5A"/>
    <w:rsid w:val="00CF57D9"/>
    <w:rsid w:val="00CF5833"/>
    <w:rsid w:val="00CF5863"/>
    <w:rsid w:val="00CF5954"/>
    <w:rsid w:val="00CF5ED0"/>
    <w:rsid w:val="00CF5F42"/>
    <w:rsid w:val="00CF60C8"/>
    <w:rsid w:val="00CF6301"/>
    <w:rsid w:val="00CF63E1"/>
    <w:rsid w:val="00CF6491"/>
    <w:rsid w:val="00CF6A09"/>
    <w:rsid w:val="00CF6A27"/>
    <w:rsid w:val="00CF6F1D"/>
    <w:rsid w:val="00CF78DF"/>
    <w:rsid w:val="00CF79A5"/>
    <w:rsid w:val="00CF7C46"/>
    <w:rsid w:val="00CF7D53"/>
    <w:rsid w:val="00CF7ED0"/>
    <w:rsid w:val="00CF7FC0"/>
    <w:rsid w:val="00D0048F"/>
    <w:rsid w:val="00D00711"/>
    <w:rsid w:val="00D009C8"/>
    <w:rsid w:val="00D00B16"/>
    <w:rsid w:val="00D00B8F"/>
    <w:rsid w:val="00D00BC3"/>
    <w:rsid w:val="00D00F20"/>
    <w:rsid w:val="00D0107D"/>
    <w:rsid w:val="00D010AB"/>
    <w:rsid w:val="00D01151"/>
    <w:rsid w:val="00D0135F"/>
    <w:rsid w:val="00D013B0"/>
    <w:rsid w:val="00D01AA7"/>
    <w:rsid w:val="00D0218E"/>
    <w:rsid w:val="00D0228A"/>
    <w:rsid w:val="00D02356"/>
    <w:rsid w:val="00D0248B"/>
    <w:rsid w:val="00D025B4"/>
    <w:rsid w:val="00D02807"/>
    <w:rsid w:val="00D02A80"/>
    <w:rsid w:val="00D02AE4"/>
    <w:rsid w:val="00D030C1"/>
    <w:rsid w:val="00D03105"/>
    <w:rsid w:val="00D0315F"/>
    <w:rsid w:val="00D03192"/>
    <w:rsid w:val="00D035FA"/>
    <w:rsid w:val="00D03773"/>
    <w:rsid w:val="00D03892"/>
    <w:rsid w:val="00D03D71"/>
    <w:rsid w:val="00D043B1"/>
    <w:rsid w:val="00D043D5"/>
    <w:rsid w:val="00D04508"/>
    <w:rsid w:val="00D047B3"/>
    <w:rsid w:val="00D048C0"/>
    <w:rsid w:val="00D04993"/>
    <w:rsid w:val="00D049AE"/>
    <w:rsid w:val="00D04A5D"/>
    <w:rsid w:val="00D04E6F"/>
    <w:rsid w:val="00D0506A"/>
    <w:rsid w:val="00D054DB"/>
    <w:rsid w:val="00D05522"/>
    <w:rsid w:val="00D05761"/>
    <w:rsid w:val="00D05D90"/>
    <w:rsid w:val="00D0682B"/>
    <w:rsid w:val="00D068B0"/>
    <w:rsid w:val="00D06A29"/>
    <w:rsid w:val="00D06C74"/>
    <w:rsid w:val="00D07468"/>
    <w:rsid w:val="00D077A3"/>
    <w:rsid w:val="00D0799C"/>
    <w:rsid w:val="00D07C58"/>
    <w:rsid w:val="00D07CD4"/>
    <w:rsid w:val="00D1003F"/>
    <w:rsid w:val="00D103BC"/>
    <w:rsid w:val="00D1072C"/>
    <w:rsid w:val="00D1076F"/>
    <w:rsid w:val="00D108B1"/>
    <w:rsid w:val="00D10A27"/>
    <w:rsid w:val="00D10D8D"/>
    <w:rsid w:val="00D1168C"/>
    <w:rsid w:val="00D11FB3"/>
    <w:rsid w:val="00D1210E"/>
    <w:rsid w:val="00D12174"/>
    <w:rsid w:val="00D12515"/>
    <w:rsid w:val="00D1281C"/>
    <w:rsid w:val="00D12950"/>
    <w:rsid w:val="00D12AED"/>
    <w:rsid w:val="00D1312C"/>
    <w:rsid w:val="00D1314C"/>
    <w:rsid w:val="00D132E8"/>
    <w:rsid w:val="00D13441"/>
    <w:rsid w:val="00D134F3"/>
    <w:rsid w:val="00D134F4"/>
    <w:rsid w:val="00D13804"/>
    <w:rsid w:val="00D145A4"/>
    <w:rsid w:val="00D14628"/>
    <w:rsid w:val="00D14A3F"/>
    <w:rsid w:val="00D14F0F"/>
    <w:rsid w:val="00D14F23"/>
    <w:rsid w:val="00D15557"/>
    <w:rsid w:val="00D159BA"/>
    <w:rsid w:val="00D15A3C"/>
    <w:rsid w:val="00D1603D"/>
    <w:rsid w:val="00D160A4"/>
    <w:rsid w:val="00D16563"/>
    <w:rsid w:val="00D1664C"/>
    <w:rsid w:val="00D16822"/>
    <w:rsid w:val="00D169D7"/>
    <w:rsid w:val="00D16AD1"/>
    <w:rsid w:val="00D16B58"/>
    <w:rsid w:val="00D16B88"/>
    <w:rsid w:val="00D16BED"/>
    <w:rsid w:val="00D1718E"/>
    <w:rsid w:val="00D17540"/>
    <w:rsid w:val="00D17775"/>
    <w:rsid w:val="00D17A5C"/>
    <w:rsid w:val="00D17B9C"/>
    <w:rsid w:val="00D20015"/>
    <w:rsid w:val="00D20537"/>
    <w:rsid w:val="00D20814"/>
    <w:rsid w:val="00D20C67"/>
    <w:rsid w:val="00D20ECF"/>
    <w:rsid w:val="00D2108D"/>
    <w:rsid w:val="00D210F0"/>
    <w:rsid w:val="00D2167C"/>
    <w:rsid w:val="00D217CB"/>
    <w:rsid w:val="00D21BBD"/>
    <w:rsid w:val="00D21E32"/>
    <w:rsid w:val="00D22271"/>
    <w:rsid w:val="00D2230E"/>
    <w:rsid w:val="00D2237E"/>
    <w:rsid w:val="00D2288A"/>
    <w:rsid w:val="00D22BD8"/>
    <w:rsid w:val="00D22C54"/>
    <w:rsid w:val="00D22DB0"/>
    <w:rsid w:val="00D22DB3"/>
    <w:rsid w:val="00D235E3"/>
    <w:rsid w:val="00D23662"/>
    <w:rsid w:val="00D23E3A"/>
    <w:rsid w:val="00D24472"/>
    <w:rsid w:val="00D24498"/>
    <w:rsid w:val="00D24699"/>
    <w:rsid w:val="00D24858"/>
    <w:rsid w:val="00D24FE4"/>
    <w:rsid w:val="00D253C1"/>
    <w:rsid w:val="00D2557F"/>
    <w:rsid w:val="00D257A0"/>
    <w:rsid w:val="00D259AC"/>
    <w:rsid w:val="00D25A76"/>
    <w:rsid w:val="00D25ED9"/>
    <w:rsid w:val="00D25FEC"/>
    <w:rsid w:val="00D2602D"/>
    <w:rsid w:val="00D261D4"/>
    <w:rsid w:val="00D26247"/>
    <w:rsid w:val="00D262D8"/>
    <w:rsid w:val="00D26681"/>
    <w:rsid w:val="00D268AD"/>
    <w:rsid w:val="00D26B23"/>
    <w:rsid w:val="00D26B86"/>
    <w:rsid w:val="00D26CBE"/>
    <w:rsid w:val="00D2702D"/>
    <w:rsid w:val="00D271A8"/>
    <w:rsid w:val="00D2734F"/>
    <w:rsid w:val="00D27371"/>
    <w:rsid w:val="00D274A2"/>
    <w:rsid w:val="00D274BD"/>
    <w:rsid w:val="00D278ED"/>
    <w:rsid w:val="00D27962"/>
    <w:rsid w:val="00D27D66"/>
    <w:rsid w:val="00D27DA4"/>
    <w:rsid w:val="00D30403"/>
    <w:rsid w:val="00D307A8"/>
    <w:rsid w:val="00D308A8"/>
    <w:rsid w:val="00D3096D"/>
    <w:rsid w:val="00D30D3E"/>
    <w:rsid w:val="00D310DD"/>
    <w:rsid w:val="00D31353"/>
    <w:rsid w:val="00D3144F"/>
    <w:rsid w:val="00D3145E"/>
    <w:rsid w:val="00D316FA"/>
    <w:rsid w:val="00D31AB4"/>
    <w:rsid w:val="00D31BB1"/>
    <w:rsid w:val="00D31C78"/>
    <w:rsid w:val="00D320D8"/>
    <w:rsid w:val="00D3218B"/>
    <w:rsid w:val="00D32528"/>
    <w:rsid w:val="00D325BD"/>
    <w:rsid w:val="00D3276E"/>
    <w:rsid w:val="00D329FB"/>
    <w:rsid w:val="00D32C8D"/>
    <w:rsid w:val="00D32DC9"/>
    <w:rsid w:val="00D32E94"/>
    <w:rsid w:val="00D331AE"/>
    <w:rsid w:val="00D335F3"/>
    <w:rsid w:val="00D33915"/>
    <w:rsid w:val="00D33BFD"/>
    <w:rsid w:val="00D33EB6"/>
    <w:rsid w:val="00D33F4F"/>
    <w:rsid w:val="00D34447"/>
    <w:rsid w:val="00D34563"/>
    <w:rsid w:val="00D345CD"/>
    <w:rsid w:val="00D34643"/>
    <w:rsid w:val="00D34685"/>
    <w:rsid w:val="00D34712"/>
    <w:rsid w:val="00D3486A"/>
    <w:rsid w:val="00D349B5"/>
    <w:rsid w:val="00D34B6E"/>
    <w:rsid w:val="00D34BBE"/>
    <w:rsid w:val="00D34C25"/>
    <w:rsid w:val="00D34CD4"/>
    <w:rsid w:val="00D34DF6"/>
    <w:rsid w:val="00D35080"/>
    <w:rsid w:val="00D35148"/>
    <w:rsid w:val="00D35307"/>
    <w:rsid w:val="00D35335"/>
    <w:rsid w:val="00D3572B"/>
    <w:rsid w:val="00D35748"/>
    <w:rsid w:val="00D35C3B"/>
    <w:rsid w:val="00D35DAE"/>
    <w:rsid w:val="00D35E12"/>
    <w:rsid w:val="00D3606C"/>
    <w:rsid w:val="00D3629F"/>
    <w:rsid w:val="00D365F3"/>
    <w:rsid w:val="00D368DC"/>
    <w:rsid w:val="00D36AA2"/>
    <w:rsid w:val="00D36C0B"/>
    <w:rsid w:val="00D36ECB"/>
    <w:rsid w:val="00D3741F"/>
    <w:rsid w:val="00D3768E"/>
    <w:rsid w:val="00D37753"/>
    <w:rsid w:val="00D378E7"/>
    <w:rsid w:val="00D378FE"/>
    <w:rsid w:val="00D37B7E"/>
    <w:rsid w:val="00D37DF9"/>
    <w:rsid w:val="00D40056"/>
    <w:rsid w:val="00D40326"/>
    <w:rsid w:val="00D404BA"/>
    <w:rsid w:val="00D408CC"/>
    <w:rsid w:val="00D40CE1"/>
    <w:rsid w:val="00D40D6F"/>
    <w:rsid w:val="00D40EB9"/>
    <w:rsid w:val="00D4121A"/>
    <w:rsid w:val="00D412C9"/>
    <w:rsid w:val="00D4193C"/>
    <w:rsid w:val="00D41951"/>
    <w:rsid w:val="00D41BD7"/>
    <w:rsid w:val="00D41D1C"/>
    <w:rsid w:val="00D42272"/>
    <w:rsid w:val="00D42744"/>
    <w:rsid w:val="00D4278B"/>
    <w:rsid w:val="00D428B7"/>
    <w:rsid w:val="00D42A52"/>
    <w:rsid w:val="00D42DD9"/>
    <w:rsid w:val="00D42F2F"/>
    <w:rsid w:val="00D4307C"/>
    <w:rsid w:val="00D4349C"/>
    <w:rsid w:val="00D43DA4"/>
    <w:rsid w:val="00D440EA"/>
    <w:rsid w:val="00D44503"/>
    <w:rsid w:val="00D4453A"/>
    <w:rsid w:val="00D445F1"/>
    <w:rsid w:val="00D4477E"/>
    <w:rsid w:val="00D44EA0"/>
    <w:rsid w:val="00D44F95"/>
    <w:rsid w:val="00D45330"/>
    <w:rsid w:val="00D45424"/>
    <w:rsid w:val="00D45832"/>
    <w:rsid w:val="00D45B23"/>
    <w:rsid w:val="00D45BDD"/>
    <w:rsid w:val="00D45CE3"/>
    <w:rsid w:val="00D45DAE"/>
    <w:rsid w:val="00D460CF"/>
    <w:rsid w:val="00D46167"/>
    <w:rsid w:val="00D46533"/>
    <w:rsid w:val="00D465F9"/>
    <w:rsid w:val="00D46AF5"/>
    <w:rsid w:val="00D46DD5"/>
    <w:rsid w:val="00D46DD8"/>
    <w:rsid w:val="00D4713C"/>
    <w:rsid w:val="00D471B3"/>
    <w:rsid w:val="00D471FD"/>
    <w:rsid w:val="00D4737D"/>
    <w:rsid w:val="00D47433"/>
    <w:rsid w:val="00D4753C"/>
    <w:rsid w:val="00D477C3"/>
    <w:rsid w:val="00D47A23"/>
    <w:rsid w:val="00D47BCC"/>
    <w:rsid w:val="00D47C41"/>
    <w:rsid w:val="00D47C62"/>
    <w:rsid w:val="00D47D3B"/>
    <w:rsid w:val="00D50005"/>
    <w:rsid w:val="00D500A6"/>
    <w:rsid w:val="00D500FC"/>
    <w:rsid w:val="00D501C0"/>
    <w:rsid w:val="00D501C8"/>
    <w:rsid w:val="00D507DB"/>
    <w:rsid w:val="00D508E4"/>
    <w:rsid w:val="00D50AB2"/>
    <w:rsid w:val="00D50CE8"/>
    <w:rsid w:val="00D50F17"/>
    <w:rsid w:val="00D50F1C"/>
    <w:rsid w:val="00D5106F"/>
    <w:rsid w:val="00D516BD"/>
    <w:rsid w:val="00D516D9"/>
    <w:rsid w:val="00D516ED"/>
    <w:rsid w:val="00D51A6D"/>
    <w:rsid w:val="00D51AAC"/>
    <w:rsid w:val="00D52864"/>
    <w:rsid w:val="00D52968"/>
    <w:rsid w:val="00D52AF6"/>
    <w:rsid w:val="00D52E3A"/>
    <w:rsid w:val="00D52E9F"/>
    <w:rsid w:val="00D530A0"/>
    <w:rsid w:val="00D535ED"/>
    <w:rsid w:val="00D53640"/>
    <w:rsid w:val="00D536E6"/>
    <w:rsid w:val="00D53821"/>
    <w:rsid w:val="00D53A01"/>
    <w:rsid w:val="00D53EFE"/>
    <w:rsid w:val="00D5465C"/>
    <w:rsid w:val="00D546CA"/>
    <w:rsid w:val="00D546EA"/>
    <w:rsid w:val="00D54859"/>
    <w:rsid w:val="00D5498E"/>
    <w:rsid w:val="00D54B7F"/>
    <w:rsid w:val="00D54BC2"/>
    <w:rsid w:val="00D54CCE"/>
    <w:rsid w:val="00D54F51"/>
    <w:rsid w:val="00D54F7F"/>
    <w:rsid w:val="00D54FFE"/>
    <w:rsid w:val="00D55270"/>
    <w:rsid w:val="00D55381"/>
    <w:rsid w:val="00D55761"/>
    <w:rsid w:val="00D55B17"/>
    <w:rsid w:val="00D55D6D"/>
    <w:rsid w:val="00D55FB5"/>
    <w:rsid w:val="00D560FE"/>
    <w:rsid w:val="00D56251"/>
    <w:rsid w:val="00D56537"/>
    <w:rsid w:val="00D5662F"/>
    <w:rsid w:val="00D568A7"/>
    <w:rsid w:val="00D56F86"/>
    <w:rsid w:val="00D573E0"/>
    <w:rsid w:val="00D5742C"/>
    <w:rsid w:val="00D574B9"/>
    <w:rsid w:val="00D5754F"/>
    <w:rsid w:val="00D5771E"/>
    <w:rsid w:val="00D57793"/>
    <w:rsid w:val="00D579BE"/>
    <w:rsid w:val="00D57A2D"/>
    <w:rsid w:val="00D57CB8"/>
    <w:rsid w:val="00D6045F"/>
    <w:rsid w:val="00D6052B"/>
    <w:rsid w:val="00D605A2"/>
    <w:rsid w:val="00D60632"/>
    <w:rsid w:val="00D608C1"/>
    <w:rsid w:val="00D60AE2"/>
    <w:rsid w:val="00D60AE3"/>
    <w:rsid w:val="00D61641"/>
    <w:rsid w:val="00D61C24"/>
    <w:rsid w:val="00D61CDB"/>
    <w:rsid w:val="00D61EAA"/>
    <w:rsid w:val="00D6200D"/>
    <w:rsid w:val="00D62217"/>
    <w:rsid w:val="00D622AE"/>
    <w:rsid w:val="00D6236F"/>
    <w:rsid w:val="00D62BB2"/>
    <w:rsid w:val="00D62BDD"/>
    <w:rsid w:val="00D62D19"/>
    <w:rsid w:val="00D6310E"/>
    <w:rsid w:val="00D63551"/>
    <w:rsid w:val="00D636EC"/>
    <w:rsid w:val="00D639E3"/>
    <w:rsid w:val="00D63A54"/>
    <w:rsid w:val="00D63A71"/>
    <w:rsid w:val="00D63D80"/>
    <w:rsid w:val="00D63DD2"/>
    <w:rsid w:val="00D63E91"/>
    <w:rsid w:val="00D64043"/>
    <w:rsid w:val="00D642A4"/>
    <w:rsid w:val="00D64324"/>
    <w:rsid w:val="00D64492"/>
    <w:rsid w:val="00D64572"/>
    <w:rsid w:val="00D645BD"/>
    <w:rsid w:val="00D645ED"/>
    <w:rsid w:val="00D64AA6"/>
    <w:rsid w:val="00D64C3D"/>
    <w:rsid w:val="00D64D93"/>
    <w:rsid w:val="00D650CF"/>
    <w:rsid w:val="00D65179"/>
    <w:rsid w:val="00D653F5"/>
    <w:rsid w:val="00D654E8"/>
    <w:rsid w:val="00D6564B"/>
    <w:rsid w:val="00D65B36"/>
    <w:rsid w:val="00D65C90"/>
    <w:rsid w:val="00D65CE2"/>
    <w:rsid w:val="00D65CE3"/>
    <w:rsid w:val="00D65E0C"/>
    <w:rsid w:val="00D6633C"/>
    <w:rsid w:val="00D664CD"/>
    <w:rsid w:val="00D66571"/>
    <w:rsid w:val="00D66725"/>
    <w:rsid w:val="00D66843"/>
    <w:rsid w:val="00D668DD"/>
    <w:rsid w:val="00D66A7C"/>
    <w:rsid w:val="00D66C4D"/>
    <w:rsid w:val="00D67C7D"/>
    <w:rsid w:val="00D70062"/>
    <w:rsid w:val="00D7041E"/>
    <w:rsid w:val="00D704E9"/>
    <w:rsid w:val="00D70608"/>
    <w:rsid w:val="00D7064B"/>
    <w:rsid w:val="00D706E2"/>
    <w:rsid w:val="00D7070B"/>
    <w:rsid w:val="00D70A68"/>
    <w:rsid w:val="00D70B70"/>
    <w:rsid w:val="00D70D71"/>
    <w:rsid w:val="00D71986"/>
    <w:rsid w:val="00D71B2C"/>
    <w:rsid w:val="00D71D19"/>
    <w:rsid w:val="00D7203A"/>
    <w:rsid w:val="00D7214B"/>
    <w:rsid w:val="00D72309"/>
    <w:rsid w:val="00D72782"/>
    <w:rsid w:val="00D72827"/>
    <w:rsid w:val="00D72B3A"/>
    <w:rsid w:val="00D72CF9"/>
    <w:rsid w:val="00D72DEC"/>
    <w:rsid w:val="00D72DFD"/>
    <w:rsid w:val="00D73044"/>
    <w:rsid w:val="00D730F3"/>
    <w:rsid w:val="00D73151"/>
    <w:rsid w:val="00D731D5"/>
    <w:rsid w:val="00D73287"/>
    <w:rsid w:val="00D7373A"/>
    <w:rsid w:val="00D74257"/>
    <w:rsid w:val="00D74516"/>
    <w:rsid w:val="00D74581"/>
    <w:rsid w:val="00D74651"/>
    <w:rsid w:val="00D746CC"/>
    <w:rsid w:val="00D749F5"/>
    <w:rsid w:val="00D74A56"/>
    <w:rsid w:val="00D74C94"/>
    <w:rsid w:val="00D7503F"/>
    <w:rsid w:val="00D755E1"/>
    <w:rsid w:val="00D758CD"/>
    <w:rsid w:val="00D75BEE"/>
    <w:rsid w:val="00D7630D"/>
    <w:rsid w:val="00D76489"/>
    <w:rsid w:val="00D7655B"/>
    <w:rsid w:val="00D768B9"/>
    <w:rsid w:val="00D76D83"/>
    <w:rsid w:val="00D76DA5"/>
    <w:rsid w:val="00D76EFF"/>
    <w:rsid w:val="00D76F85"/>
    <w:rsid w:val="00D779BB"/>
    <w:rsid w:val="00D77AA0"/>
    <w:rsid w:val="00D77DC9"/>
    <w:rsid w:val="00D800B7"/>
    <w:rsid w:val="00D80120"/>
    <w:rsid w:val="00D801BA"/>
    <w:rsid w:val="00D8028D"/>
    <w:rsid w:val="00D804C8"/>
    <w:rsid w:val="00D8092A"/>
    <w:rsid w:val="00D8098D"/>
    <w:rsid w:val="00D80D63"/>
    <w:rsid w:val="00D80F19"/>
    <w:rsid w:val="00D81085"/>
    <w:rsid w:val="00D81340"/>
    <w:rsid w:val="00D8141F"/>
    <w:rsid w:val="00D816CC"/>
    <w:rsid w:val="00D8171A"/>
    <w:rsid w:val="00D81B21"/>
    <w:rsid w:val="00D81CE8"/>
    <w:rsid w:val="00D8205B"/>
    <w:rsid w:val="00D820E2"/>
    <w:rsid w:val="00D82118"/>
    <w:rsid w:val="00D822C8"/>
    <w:rsid w:val="00D826F7"/>
    <w:rsid w:val="00D82830"/>
    <w:rsid w:val="00D82995"/>
    <w:rsid w:val="00D82A32"/>
    <w:rsid w:val="00D82F7C"/>
    <w:rsid w:val="00D835F9"/>
    <w:rsid w:val="00D837F9"/>
    <w:rsid w:val="00D83D75"/>
    <w:rsid w:val="00D83DA1"/>
    <w:rsid w:val="00D83EDA"/>
    <w:rsid w:val="00D83FF3"/>
    <w:rsid w:val="00D84234"/>
    <w:rsid w:val="00D84240"/>
    <w:rsid w:val="00D844AE"/>
    <w:rsid w:val="00D8467E"/>
    <w:rsid w:val="00D847F2"/>
    <w:rsid w:val="00D84AD0"/>
    <w:rsid w:val="00D84C1B"/>
    <w:rsid w:val="00D84D0F"/>
    <w:rsid w:val="00D84DF1"/>
    <w:rsid w:val="00D84F6F"/>
    <w:rsid w:val="00D84FDA"/>
    <w:rsid w:val="00D85635"/>
    <w:rsid w:val="00D85663"/>
    <w:rsid w:val="00D85A99"/>
    <w:rsid w:val="00D85B94"/>
    <w:rsid w:val="00D86016"/>
    <w:rsid w:val="00D861C3"/>
    <w:rsid w:val="00D86848"/>
    <w:rsid w:val="00D869D7"/>
    <w:rsid w:val="00D869D9"/>
    <w:rsid w:val="00D86C1C"/>
    <w:rsid w:val="00D86D1B"/>
    <w:rsid w:val="00D870A7"/>
    <w:rsid w:val="00D870F2"/>
    <w:rsid w:val="00D8712D"/>
    <w:rsid w:val="00D87237"/>
    <w:rsid w:val="00D875B4"/>
    <w:rsid w:val="00D877F3"/>
    <w:rsid w:val="00D87D66"/>
    <w:rsid w:val="00D90316"/>
    <w:rsid w:val="00D905E6"/>
    <w:rsid w:val="00D9067F"/>
    <w:rsid w:val="00D9077A"/>
    <w:rsid w:val="00D90A18"/>
    <w:rsid w:val="00D90A5A"/>
    <w:rsid w:val="00D90ABC"/>
    <w:rsid w:val="00D90F96"/>
    <w:rsid w:val="00D9157E"/>
    <w:rsid w:val="00D915A2"/>
    <w:rsid w:val="00D91822"/>
    <w:rsid w:val="00D91B01"/>
    <w:rsid w:val="00D91DD7"/>
    <w:rsid w:val="00D91EF4"/>
    <w:rsid w:val="00D91F3C"/>
    <w:rsid w:val="00D92257"/>
    <w:rsid w:val="00D9240B"/>
    <w:rsid w:val="00D92577"/>
    <w:rsid w:val="00D93936"/>
    <w:rsid w:val="00D93C4E"/>
    <w:rsid w:val="00D93D28"/>
    <w:rsid w:val="00D9423D"/>
    <w:rsid w:val="00D945B3"/>
    <w:rsid w:val="00D946B9"/>
    <w:rsid w:val="00D949BB"/>
    <w:rsid w:val="00D94A11"/>
    <w:rsid w:val="00D95359"/>
    <w:rsid w:val="00D9548B"/>
    <w:rsid w:val="00D9555D"/>
    <w:rsid w:val="00D955F1"/>
    <w:rsid w:val="00D95699"/>
    <w:rsid w:val="00D956C0"/>
    <w:rsid w:val="00D957E3"/>
    <w:rsid w:val="00D95ADA"/>
    <w:rsid w:val="00D95C39"/>
    <w:rsid w:val="00D95C40"/>
    <w:rsid w:val="00D95D00"/>
    <w:rsid w:val="00D95E60"/>
    <w:rsid w:val="00D96149"/>
    <w:rsid w:val="00D9634D"/>
    <w:rsid w:val="00D96A74"/>
    <w:rsid w:val="00D96C84"/>
    <w:rsid w:val="00D96C9B"/>
    <w:rsid w:val="00D96E7B"/>
    <w:rsid w:val="00D9722B"/>
    <w:rsid w:val="00D97362"/>
    <w:rsid w:val="00D97527"/>
    <w:rsid w:val="00D979DD"/>
    <w:rsid w:val="00D97F5C"/>
    <w:rsid w:val="00D97FBA"/>
    <w:rsid w:val="00DA0094"/>
    <w:rsid w:val="00DA0147"/>
    <w:rsid w:val="00DA0303"/>
    <w:rsid w:val="00DA0482"/>
    <w:rsid w:val="00DA0AB6"/>
    <w:rsid w:val="00DA0CA3"/>
    <w:rsid w:val="00DA0CD7"/>
    <w:rsid w:val="00DA0D96"/>
    <w:rsid w:val="00DA0F6D"/>
    <w:rsid w:val="00DA1549"/>
    <w:rsid w:val="00DA1733"/>
    <w:rsid w:val="00DA1874"/>
    <w:rsid w:val="00DA18F2"/>
    <w:rsid w:val="00DA1B14"/>
    <w:rsid w:val="00DA1BAD"/>
    <w:rsid w:val="00DA1D61"/>
    <w:rsid w:val="00DA21CE"/>
    <w:rsid w:val="00DA2819"/>
    <w:rsid w:val="00DA2B82"/>
    <w:rsid w:val="00DA2B94"/>
    <w:rsid w:val="00DA2BA4"/>
    <w:rsid w:val="00DA2E9E"/>
    <w:rsid w:val="00DA33BA"/>
    <w:rsid w:val="00DA3503"/>
    <w:rsid w:val="00DA37A6"/>
    <w:rsid w:val="00DA39C2"/>
    <w:rsid w:val="00DA3DB1"/>
    <w:rsid w:val="00DA3DC4"/>
    <w:rsid w:val="00DA3F06"/>
    <w:rsid w:val="00DA3F66"/>
    <w:rsid w:val="00DA419E"/>
    <w:rsid w:val="00DA42A1"/>
    <w:rsid w:val="00DA48E2"/>
    <w:rsid w:val="00DA49CA"/>
    <w:rsid w:val="00DA4D08"/>
    <w:rsid w:val="00DA504C"/>
    <w:rsid w:val="00DA5151"/>
    <w:rsid w:val="00DA536E"/>
    <w:rsid w:val="00DA53A3"/>
    <w:rsid w:val="00DA53FB"/>
    <w:rsid w:val="00DA568B"/>
    <w:rsid w:val="00DA56F9"/>
    <w:rsid w:val="00DA57B5"/>
    <w:rsid w:val="00DA5898"/>
    <w:rsid w:val="00DA611B"/>
    <w:rsid w:val="00DA624E"/>
    <w:rsid w:val="00DA63BF"/>
    <w:rsid w:val="00DA65DC"/>
    <w:rsid w:val="00DA66B4"/>
    <w:rsid w:val="00DA66CF"/>
    <w:rsid w:val="00DA67F8"/>
    <w:rsid w:val="00DA6A4D"/>
    <w:rsid w:val="00DA6CB2"/>
    <w:rsid w:val="00DA6CDC"/>
    <w:rsid w:val="00DA6DD8"/>
    <w:rsid w:val="00DA6E3D"/>
    <w:rsid w:val="00DA718E"/>
    <w:rsid w:val="00DA7368"/>
    <w:rsid w:val="00DA73F5"/>
    <w:rsid w:val="00DA7524"/>
    <w:rsid w:val="00DA757A"/>
    <w:rsid w:val="00DA79CB"/>
    <w:rsid w:val="00DA7A5A"/>
    <w:rsid w:val="00DA7B3A"/>
    <w:rsid w:val="00DA7BEE"/>
    <w:rsid w:val="00DA7C2E"/>
    <w:rsid w:val="00DA7D25"/>
    <w:rsid w:val="00DA7E62"/>
    <w:rsid w:val="00DB0473"/>
    <w:rsid w:val="00DB0E15"/>
    <w:rsid w:val="00DB0E9C"/>
    <w:rsid w:val="00DB0EB3"/>
    <w:rsid w:val="00DB0EBD"/>
    <w:rsid w:val="00DB0EE3"/>
    <w:rsid w:val="00DB0F6D"/>
    <w:rsid w:val="00DB0FBC"/>
    <w:rsid w:val="00DB16DF"/>
    <w:rsid w:val="00DB181A"/>
    <w:rsid w:val="00DB19B9"/>
    <w:rsid w:val="00DB25BD"/>
    <w:rsid w:val="00DB2956"/>
    <w:rsid w:val="00DB2BE4"/>
    <w:rsid w:val="00DB2EED"/>
    <w:rsid w:val="00DB301F"/>
    <w:rsid w:val="00DB3105"/>
    <w:rsid w:val="00DB39D4"/>
    <w:rsid w:val="00DB3A9C"/>
    <w:rsid w:val="00DB3B0C"/>
    <w:rsid w:val="00DB3B5D"/>
    <w:rsid w:val="00DB3C6D"/>
    <w:rsid w:val="00DB4040"/>
    <w:rsid w:val="00DB4570"/>
    <w:rsid w:val="00DB4755"/>
    <w:rsid w:val="00DB4875"/>
    <w:rsid w:val="00DB4931"/>
    <w:rsid w:val="00DB4BF9"/>
    <w:rsid w:val="00DB4CA8"/>
    <w:rsid w:val="00DB4D60"/>
    <w:rsid w:val="00DB4F01"/>
    <w:rsid w:val="00DB5147"/>
    <w:rsid w:val="00DB5244"/>
    <w:rsid w:val="00DB56CE"/>
    <w:rsid w:val="00DB5A57"/>
    <w:rsid w:val="00DB5C0C"/>
    <w:rsid w:val="00DB5C14"/>
    <w:rsid w:val="00DB5DE5"/>
    <w:rsid w:val="00DB5EE2"/>
    <w:rsid w:val="00DB5FFC"/>
    <w:rsid w:val="00DB61D2"/>
    <w:rsid w:val="00DB667C"/>
    <w:rsid w:val="00DB6714"/>
    <w:rsid w:val="00DB6809"/>
    <w:rsid w:val="00DB6976"/>
    <w:rsid w:val="00DB7185"/>
    <w:rsid w:val="00DB7393"/>
    <w:rsid w:val="00DB74B3"/>
    <w:rsid w:val="00DB7C6C"/>
    <w:rsid w:val="00DC041D"/>
    <w:rsid w:val="00DC1006"/>
    <w:rsid w:val="00DC1013"/>
    <w:rsid w:val="00DC10DC"/>
    <w:rsid w:val="00DC1131"/>
    <w:rsid w:val="00DC145B"/>
    <w:rsid w:val="00DC15F3"/>
    <w:rsid w:val="00DC19EB"/>
    <w:rsid w:val="00DC1A29"/>
    <w:rsid w:val="00DC1EF4"/>
    <w:rsid w:val="00DC21F0"/>
    <w:rsid w:val="00DC22B2"/>
    <w:rsid w:val="00DC2637"/>
    <w:rsid w:val="00DC2930"/>
    <w:rsid w:val="00DC2B95"/>
    <w:rsid w:val="00DC2FA2"/>
    <w:rsid w:val="00DC33C7"/>
    <w:rsid w:val="00DC358B"/>
    <w:rsid w:val="00DC368B"/>
    <w:rsid w:val="00DC3856"/>
    <w:rsid w:val="00DC3BEC"/>
    <w:rsid w:val="00DC41CA"/>
    <w:rsid w:val="00DC460F"/>
    <w:rsid w:val="00DC4689"/>
    <w:rsid w:val="00DC47FB"/>
    <w:rsid w:val="00DC4A82"/>
    <w:rsid w:val="00DC4D04"/>
    <w:rsid w:val="00DC522D"/>
    <w:rsid w:val="00DC52CB"/>
    <w:rsid w:val="00DC547A"/>
    <w:rsid w:val="00DC6158"/>
    <w:rsid w:val="00DC6211"/>
    <w:rsid w:val="00DC64A6"/>
    <w:rsid w:val="00DC6802"/>
    <w:rsid w:val="00DC68F6"/>
    <w:rsid w:val="00DC69C7"/>
    <w:rsid w:val="00DC69F5"/>
    <w:rsid w:val="00DC6E56"/>
    <w:rsid w:val="00DC7040"/>
    <w:rsid w:val="00DC70C0"/>
    <w:rsid w:val="00DC71D9"/>
    <w:rsid w:val="00DC7288"/>
    <w:rsid w:val="00DC7301"/>
    <w:rsid w:val="00DC74C2"/>
    <w:rsid w:val="00DC7C28"/>
    <w:rsid w:val="00DD00EC"/>
    <w:rsid w:val="00DD0298"/>
    <w:rsid w:val="00DD02D3"/>
    <w:rsid w:val="00DD06C4"/>
    <w:rsid w:val="00DD0C84"/>
    <w:rsid w:val="00DD0F76"/>
    <w:rsid w:val="00DD10B7"/>
    <w:rsid w:val="00DD189D"/>
    <w:rsid w:val="00DD1C20"/>
    <w:rsid w:val="00DD1C57"/>
    <w:rsid w:val="00DD1D56"/>
    <w:rsid w:val="00DD1DFD"/>
    <w:rsid w:val="00DD1E20"/>
    <w:rsid w:val="00DD2984"/>
    <w:rsid w:val="00DD2A29"/>
    <w:rsid w:val="00DD2E65"/>
    <w:rsid w:val="00DD36A9"/>
    <w:rsid w:val="00DD3834"/>
    <w:rsid w:val="00DD3CD0"/>
    <w:rsid w:val="00DD3D4C"/>
    <w:rsid w:val="00DD41C6"/>
    <w:rsid w:val="00DD42BF"/>
    <w:rsid w:val="00DD48CE"/>
    <w:rsid w:val="00DD49CA"/>
    <w:rsid w:val="00DD4D70"/>
    <w:rsid w:val="00DD543D"/>
    <w:rsid w:val="00DD576D"/>
    <w:rsid w:val="00DD59D8"/>
    <w:rsid w:val="00DD5B43"/>
    <w:rsid w:val="00DD5C1B"/>
    <w:rsid w:val="00DD5DBC"/>
    <w:rsid w:val="00DD68AC"/>
    <w:rsid w:val="00DD6AFB"/>
    <w:rsid w:val="00DD6B4F"/>
    <w:rsid w:val="00DD6D03"/>
    <w:rsid w:val="00DD6E09"/>
    <w:rsid w:val="00DD7461"/>
    <w:rsid w:val="00DD7477"/>
    <w:rsid w:val="00DD752A"/>
    <w:rsid w:val="00DD782D"/>
    <w:rsid w:val="00DD7AED"/>
    <w:rsid w:val="00DE0045"/>
    <w:rsid w:val="00DE026C"/>
    <w:rsid w:val="00DE0354"/>
    <w:rsid w:val="00DE0592"/>
    <w:rsid w:val="00DE05A5"/>
    <w:rsid w:val="00DE078F"/>
    <w:rsid w:val="00DE0852"/>
    <w:rsid w:val="00DE096C"/>
    <w:rsid w:val="00DE0B0F"/>
    <w:rsid w:val="00DE0B86"/>
    <w:rsid w:val="00DE0EEA"/>
    <w:rsid w:val="00DE0FCB"/>
    <w:rsid w:val="00DE11E4"/>
    <w:rsid w:val="00DE17CB"/>
    <w:rsid w:val="00DE181C"/>
    <w:rsid w:val="00DE191F"/>
    <w:rsid w:val="00DE1F7F"/>
    <w:rsid w:val="00DE26B0"/>
    <w:rsid w:val="00DE2733"/>
    <w:rsid w:val="00DE27C7"/>
    <w:rsid w:val="00DE2849"/>
    <w:rsid w:val="00DE2A5D"/>
    <w:rsid w:val="00DE2E02"/>
    <w:rsid w:val="00DE2E33"/>
    <w:rsid w:val="00DE3324"/>
    <w:rsid w:val="00DE34B7"/>
    <w:rsid w:val="00DE36B6"/>
    <w:rsid w:val="00DE37E3"/>
    <w:rsid w:val="00DE3A27"/>
    <w:rsid w:val="00DE3C99"/>
    <w:rsid w:val="00DE3D14"/>
    <w:rsid w:val="00DE3DC4"/>
    <w:rsid w:val="00DE4073"/>
    <w:rsid w:val="00DE41C1"/>
    <w:rsid w:val="00DE429B"/>
    <w:rsid w:val="00DE443B"/>
    <w:rsid w:val="00DE4902"/>
    <w:rsid w:val="00DE4A06"/>
    <w:rsid w:val="00DE4B2C"/>
    <w:rsid w:val="00DE5203"/>
    <w:rsid w:val="00DE53C8"/>
    <w:rsid w:val="00DE543E"/>
    <w:rsid w:val="00DE5999"/>
    <w:rsid w:val="00DE5F32"/>
    <w:rsid w:val="00DE60E3"/>
    <w:rsid w:val="00DE67F0"/>
    <w:rsid w:val="00DE69EC"/>
    <w:rsid w:val="00DE6B67"/>
    <w:rsid w:val="00DE6BDC"/>
    <w:rsid w:val="00DE6D08"/>
    <w:rsid w:val="00DE6DE0"/>
    <w:rsid w:val="00DE723C"/>
    <w:rsid w:val="00DE75B9"/>
    <w:rsid w:val="00DE7752"/>
    <w:rsid w:val="00DE775E"/>
    <w:rsid w:val="00DE7BD6"/>
    <w:rsid w:val="00DE7C11"/>
    <w:rsid w:val="00DE7CCE"/>
    <w:rsid w:val="00DF0BD4"/>
    <w:rsid w:val="00DF0D0B"/>
    <w:rsid w:val="00DF149A"/>
    <w:rsid w:val="00DF18EF"/>
    <w:rsid w:val="00DF1A11"/>
    <w:rsid w:val="00DF1B72"/>
    <w:rsid w:val="00DF1CE2"/>
    <w:rsid w:val="00DF2205"/>
    <w:rsid w:val="00DF2385"/>
    <w:rsid w:val="00DF277C"/>
    <w:rsid w:val="00DF2868"/>
    <w:rsid w:val="00DF2D3D"/>
    <w:rsid w:val="00DF2E71"/>
    <w:rsid w:val="00DF2F0C"/>
    <w:rsid w:val="00DF2FDF"/>
    <w:rsid w:val="00DF35D6"/>
    <w:rsid w:val="00DF37C5"/>
    <w:rsid w:val="00DF3B9E"/>
    <w:rsid w:val="00DF407E"/>
    <w:rsid w:val="00DF422D"/>
    <w:rsid w:val="00DF47DC"/>
    <w:rsid w:val="00DF48AF"/>
    <w:rsid w:val="00DF498C"/>
    <w:rsid w:val="00DF4D08"/>
    <w:rsid w:val="00DF4EEC"/>
    <w:rsid w:val="00DF4F16"/>
    <w:rsid w:val="00DF5062"/>
    <w:rsid w:val="00DF5069"/>
    <w:rsid w:val="00DF5359"/>
    <w:rsid w:val="00DF5B1F"/>
    <w:rsid w:val="00DF5CE8"/>
    <w:rsid w:val="00DF5D6C"/>
    <w:rsid w:val="00DF5E1B"/>
    <w:rsid w:val="00DF5EB4"/>
    <w:rsid w:val="00DF5EDA"/>
    <w:rsid w:val="00DF601B"/>
    <w:rsid w:val="00DF6396"/>
    <w:rsid w:val="00DF64F6"/>
    <w:rsid w:val="00DF6E68"/>
    <w:rsid w:val="00DF6EB2"/>
    <w:rsid w:val="00DF6F97"/>
    <w:rsid w:val="00DF7300"/>
    <w:rsid w:val="00DF77E1"/>
    <w:rsid w:val="00DF7930"/>
    <w:rsid w:val="00DF79B3"/>
    <w:rsid w:val="00DF7B52"/>
    <w:rsid w:val="00DF7BB2"/>
    <w:rsid w:val="00E00033"/>
    <w:rsid w:val="00E00558"/>
    <w:rsid w:val="00E00575"/>
    <w:rsid w:val="00E00651"/>
    <w:rsid w:val="00E0079F"/>
    <w:rsid w:val="00E00802"/>
    <w:rsid w:val="00E00835"/>
    <w:rsid w:val="00E00B13"/>
    <w:rsid w:val="00E00C27"/>
    <w:rsid w:val="00E00DB0"/>
    <w:rsid w:val="00E0107A"/>
    <w:rsid w:val="00E011ED"/>
    <w:rsid w:val="00E0134F"/>
    <w:rsid w:val="00E015AC"/>
    <w:rsid w:val="00E01972"/>
    <w:rsid w:val="00E01A0B"/>
    <w:rsid w:val="00E01AE9"/>
    <w:rsid w:val="00E01B38"/>
    <w:rsid w:val="00E01D0A"/>
    <w:rsid w:val="00E01D86"/>
    <w:rsid w:val="00E01FD5"/>
    <w:rsid w:val="00E021AA"/>
    <w:rsid w:val="00E0263A"/>
    <w:rsid w:val="00E02884"/>
    <w:rsid w:val="00E02892"/>
    <w:rsid w:val="00E0297F"/>
    <w:rsid w:val="00E029C0"/>
    <w:rsid w:val="00E02A6C"/>
    <w:rsid w:val="00E02C47"/>
    <w:rsid w:val="00E02CE9"/>
    <w:rsid w:val="00E02D7A"/>
    <w:rsid w:val="00E02E10"/>
    <w:rsid w:val="00E02F71"/>
    <w:rsid w:val="00E02FF2"/>
    <w:rsid w:val="00E03962"/>
    <w:rsid w:val="00E039DA"/>
    <w:rsid w:val="00E039E8"/>
    <w:rsid w:val="00E039F7"/>
    <w:rsid w:val="00E042E3"/>
    <w:rsid w:val="00E045E3"/>
    <w:rsid w:val="00E0465F"/>
    <w:rsid w:val="00E04985"/>
    <w:rsid w:val="00E049CD"/>
    <w:rsid w:val="00E04CA4"/>
    <w:rsid w:val="00E04D16"/>
    <w:rsid w:val="00E04D23"/>
    <w:rsid w:val="00E04DA5"/>
    <w:rsid w:val="00E053A7"/>
    <w:rsid w:val="00E05520"/>
    <w:rsid w:val="00E05D4B"/>
    <w:rsid w:val="00E05D61"/>
    <w:rsid w:val="00E0635E"/>
    <w:rsid w:val="00E06480"/>
    <w:rsid w:val="00E06704"/>
    <w:rsid w:val="00E069E5"/>
    <w:rsid w:val="00E06AEE"/>
    <w:rsid w:val="00E06C04"/>
    <w:rsid w:val="00E06DC0"/>
    <w:rsid w:val="00E06FD1"/>
    <w:rsid w:val="00E071AC"/>
    <w:rsid w:val="00E07530"/>
    <w:rsid w:val="00E07734"/>
    <w:rsid w:val="00E077BA"/>
    <w:rsid w:val="00E07CA2"/>
    <w:rsid w:val="00E07F72"/>
    <w:rsid w:val="00E108E0"/>
    <w:rsid w:val="00E109AA"/>
    <w:rsid w:val="00E10AD9"/>
    <w:rsid w:val="00E11322"/>
    <w:rsid w:val="00E1140F"/>
    <w:rsid w:val="00E11F6B"/>
    <w:rsid w:val="00E12215"/>
    <w:rsid w:val="00E130CA"/>
    <w:rsid w:val="00E1310B"/>
    <w:rsid w:val="00E13201"/>
    <w:rsid w:val="00E134B4"/>
    <w:rsid w:val="00E13841"/>
    <w:rsid w:val="00E13B00"/>
    <w:rsid w:val="00E13B6B"/>
    <w:rsid w:val="00E13DC4"/>
    <w:rsid w:val="00E14188"/>
    <w:rsid w:val="00E14417"/>
    <w:rsid w:val="00E1468E"/>
    <w:rsid w:val="00E147DE"/>
    <w:rsid w:val="00E14FC4"/>
    <w:rsid w:val="00E15658"/>
    <w:rsid w:val="00E158C5"/>
    <w:rsid w:val="00E1593A"/>
    <w:rsid w:val="00E15C80"/>
    <w:rsid w:val="00E16134"/>
    <w:rsid w:val="00E163AA"/>
    <w:rsid w:val="00E16405"/>
    <w:rsid w:val="00E1648D"/>
    <w:rsid w:val="00E164CB"/>
    <w:rsid w:val="00E16567"/>
    <w:rsid w:val="00E1658B"/>
    <w:rsid w:val="00E16646"/>
    <w:rsid w:val="00E16A07"/>
    <w:rsid w:val="00E16E75"/>
    <w:rsid w:val="00E1716A"/>
    <w:rsid w:val="00E17393"/>
    <w:rsid w:val="00E17787"/>
    <w:rsid w:val="00E20753"/>
    <w:rsid w:val="00E20899"/>
    <w:rsid w:val="00E209EB"/>
    <w:rsid w:val="00E20B21"/>
    <w:rsid w:val="00E20B37"/>
    <w:rsid w:val="00E20CF4"/>
    <w:rsid w:val="00E20D9C"/>
    <w:rsid w:val="00E20E64"/>
    <w:rsid w:val="00E215E1"/>
    <w:rsid w:val="00E218AF"/>
    <w:rsid w:val="00E21941"/>
    <w:rsid w:val="00E21DA1"/>
    <w:rsid w:val="00E225AA"/>
    <w:rsid w:val="00E225B2"/>
    <w:rsid w:val="00E2267D"/>
    <w:rsid w:val="00E228FF"/>
    <w:rsid w:val="00E2295D"/>
    <w:rsid w:val="00E22A7F"/>
    <w:rsid w:val="00E22AAF"/>
    <w:rsid w:val="00E22C3A"/>
    <w:rsid w:val="00E231D7"/>
    <w:rsid w:val="00E2352F"/>
    <w:rsid w:val="00E236CF"/>
    <w:rsid w:val="00E23966"/>
    <w:rsid w:val="00E23A0A"/>
    <w:rsid w:val="00E23ACC"/>
    <w:rsid w:val="00E23F57"/>
    <w:rsid w:val="00E24441"/>
    <w:rsid w:val="00E246B9"/>
    <w:rsid w:val="00E24759"/>
    <w:rsid w:val="00E2478B"/>
    <w:rsid w:val="00E24D70"/>
    <w:rsid w:val="00E24F48"/>
    <w:rsid w:val="00E25603"/>
    <w:rsid w:val="00E25681"/>
    <w:rsid w:val="00E256BB"/>
    <w:rsid w:val="00E2570A"/>
    <w:rsid w:val="00E2578D"/>
    <w:rsid w:val="00E259F4"/>
    <w:rsid w:val="00E25B01"/>
    <w:rsid w:val="00E25C09"/>
    <w:rsid w:val="00E25F80"/>
    <w:rsid w:val="00E261B7"/>
    <w:rsid w:val="00E261F7"/>
    <w:rsid w:val="00E26588"/>
    <w:rsid w:val="00E26C77"/>
    <w:rsid w:val="00E26D21"/>
    <w:rsid w:val="00E27197"/>
    <w:rsid w:val="00E275E1"/>
    <w:rsid w:val="00E27AB9"/>
    <w:rsid w:val="00E27ABE"/>
    <w:rsid w:val="00E27C42"/>
    <w:rsid w:val="00E27E33"/>
    <w:rsid w:val="00E27FD8"/>
    <w:rsid w:val="00E300AA"/>
    <w:rsid w:val="00E3058B"/>
    <w:rsid w:val="00E30E60"/>
    <w:rsid w:val="00E30E88"/>
    <w:rsid w:val="00E30EC3"/>
    <w:rsid w:val="00E30F2F"/>
    <w:rsid w:val="00E312F0"/>
    <w:rsid w:val="00E31452"/>
    <w:rsid w:val="00E31E42"/>
    <w:rsid w:val="00E31E49"/>
    <w:rsid w:val="00E31ED3"/>
    <w:rsid w:val="00E32074"/>
    <w:rsid w:val="00E323CB"/>
    <w:rsid w:val="00E3247D"/>
    <w:rsid w:val="00E32B5A"/>
    <w:rsid w:val="00E32C4D"/>
    <w:rsid w:val="00E32DA3"/>
    <w:rsid w:val="00E33085"/>
    <w:rsid w:val="00E3308C"/>
    <w:rsid w:val="00E33702"/>
    <w:rsid w:val="00E33CC0"/>
    <w:rsid w:val="00E33F4D"/>
    <w:rsid w:val="00E34062"/>
    <w:rsid w:val="00E346BA"/>
    <w:rsid w:val="00E34717"/>
    <w:rsid w:val="00E34909"/>
    <w:rsid w:val="00E349F6"/>
    <w:rsid w:val="00E34C4C"/>
    <w:rsid w:val="00E34D16"/>
    <w:rsid w:val="00E34F19"/>
    <w:rsid w:val="00E355CB"/>
    <w:rsid w:val="00E35643"/>
    <w:rsid w:val="00E3577C"/>
    <w:rsid w:val="00E35A73"/>
    <w:rsid w:val="00E35A90"/>
    <w:rsid w:val="00E35B26"/>
    <w:rsid w:val="00E35FBF"/>
    <w:rsid w:val="00E361EC"/>
    <w:rsid w:val="00E36439"/>
    <w:rsid w:val="00E365F8"/>
    <w:rsid w:val="00E366A1"/>
    <w:rsid w:val="00E367E1"/>
    <w:rsid w:val="00E36F35"/>
    <w:rsid w:val="00E371A2"/>
    <w:rsid w:val="00E37B84"/>
    <w:rsid w:val="00E37D88"/>
    <w:rsid w:val="00E37D98"/>
    <w:rsid w:val="00E37DB1"/>
    <w:rsid w:val="00E37FC8"/>
    <w:rsid w:val="00E401CB"/>
    <w:rsid w:val="00E4022B"/>
    <w:rsid w:val="00E40313"/>
    <w:rsid w:val="00E406DB"/>
    <w:rsid w:val="00E4074B"/>
    <w:rsid w:val="00E409EE"/>
    <w:rsid w:val="00E40ADD"/>
    <w:rsid w:val="00E40E46"/>
    <w:rsid w:val="00E40E4A"/>
    <w:rsid w:val="00E40FAB"/>
    <w:rsid w:val="00E41073"/>
    <w:rsid w:val="00E41176"/>
    <w:rsid w:val="00E41585"/>
    <w:rsid w:val="00E41976"/>
    <w:rsid w:val="00E419D1"/>
    <w:rsid w:val="00E41A93"/>
    <w:rsid w:val="00E4228E"/>
    <w:rsid w:val="00E42315"/>
    <w:rsid w:val="00E427B3"/>
    <w:rsid w:val="00E42A94"/>
    <w:rsid w:val="00E42B10"/>
    <w:rsid w:val="00E42B2A"/>
    <w:rsid w:val="00E42EF1"/>
    <w:rsid w:val="00E430A1"/>
    <w:rsid w:val="00E432A8"/>
    <w:rsid w:val="00E43844"/>
    <w:rsid w:val="00E43AF2"/>
    <w:rsid w:val="00E43D23"/>
    <w:rsid w:val="00E43FF4"/>
    <w:rsid w:val="00E4416C"/>
    <w:rsid w:val="00E44213"/>
    <w:rsid w:val="00E44294"/>
    <w:rsid w:val="00E4468F"/>
    <w:rsid w:val="00E44B7C"/>
    <w:rsid w:val="00E44BC4"/>
    <w:rsid w:val="00E4503B"/>
    <w:rsid w:val="00E4526F"/>
    <w:rsid w:val="00E45662"/>
    <w:rsid w:val="00E4580B"/>
    <w:rsid w:val="00E45D3C"/>
    <w:rsid w:val="00E45EF5"/>
    <w:rsid w:val="00E4612B"/>
    <w:rsid w:val="00E46171"/>
    <w:rsid w:val="00E464A3"/>
    <w:rsid w:val="00E46646"/>
    <w:rsid w:val="00E46860"/>
    <w:rsid w:val="00E46872"/>
    <w:rsid w:val="00E46912"/>
    <w:rsid w:val="00E46AD1"/>
    <w:rsid w:val="00E46FDB"/>
    <w:rsid w:val="00E474D1"/>
    <w:rsid w:val="00E47505"/>
    <w:rsid w:val="00E47C51"/>
    <w:rsid w:val="00E47CA2"/>
    <w:rsid w:val="00E47E0D"/>
    <w:rsid w:val="00E47F2D"/>
    <w:rsid w:val="00E47F7A"/>
    <w:rsid w:val="00E47F7B"/>
    <w:rsid w:val="00E5094B"/>
    <w:rsid w:val="00E509F8"/>
    <w:rsid w:val="00E50AC6"/>
    <w:rsid w:val="00E50B57"/>
    <w:rsid w:val="00E50C71"/>
    <w:rsid w:val="00E50FC2"/>
    <w:rsid w:val="00E5106E"/>
    <w:rsid w:val="00E5127E"/>
    <w:rsid w:val="00E514CA"/>
    <w:rsid w:val="00E514F6"/>
    <w:rsid w:val="00E5198E"/>
    <w:rsid w:val="00E51E55"/>
    <w:rsid w:val="00E522FA"/>
    <w:rsid w:val="00E52B45"/>
    <w:rsid w:val="00E52FA7"/>
    <w:rsid w:val="00E53853"/>
    <w:rsid w:val="00E53A88"/>
    <w:rsid w:val="00E53F25"/>
    <w:rsid w:val="00E53F89"/>
    <w:rsid w:val="00E5442E"/>
    <w:rsid w:val="00E54696"/>
    <w:rsid w:val="00E549B6"/>
    <w:rsid w:val="00E54A69"/>
    <w:rsid w:val="00E54B51"/>
    <w:rsid w:val="00E54C8D"/>
    <w:rsid w:val="00E554A4"/>
    <w:rsid w:val="00E556A1"/>
    <w:rsid w:val="00E55904"/>
    <w:rsid w:val="00E55FB6"/>
    <w:rsid w:val="00E55FFF"/>
    <w:rsid w:val="00E56087"/>
    <w:rsid w:val="00E56124"/>
    <w:rsid w:val="00E5675F"/>
    <w:rsid w:val="00E56E20"/>
    <w:rsid w:val="00E56EB1"/>
    <w:rsid w:val="00E5713B"/>
    <w:rsid w:val="00E57275"/>
    <w:rsid w:val="00E57375"/>
    <w:rsid w:val="00E575EE"/>
    <w:rsid w:val="00E57963"/>
    <w:rsid w:val="00E57AB8"/>
    <w:rsid w:val="00E57C0C"/>
    <w:rsid w:val="00E57CDA"/>
    <w:rsid w:val="00E57E31"/>
    <w:rsid w:val="00E60062"/>
    <w:rsid w:val="00E600FD"/>
    <w:rsid w:val="00E60588"/>
    <w:rsid w:val="00E605E4"/>
    <w:rsid w:val="00E60744"/>
    <w:rsid w:val="00E60854"/>
    <w:rsid w:val="00E60FA7"/>
    <w:rsid w:val="00E61096"/>
    <w:rsid w:val="00E6116C"/>
    <w:rsid w:val="00E6187A"/>
    <w:rsid w:val="00E6190F"/>
    <w:rsid w:val="00E6198D"/>
    <w:rsid w:val="00E61BD2"/>
    <w:rsid w:val="00E61C83"/>
    <w:rsid w:val="00E61E51"/>
    <w:rsid w:val="00E62219"/>
    <w:rsid w:val="00E62368"/>
    <w:rsid w:val="00E62596"/>
    <w:rsid w:val="00E628DF"/>
    <w:rsid w:val="00E62A25"/>
    <w:rsid w:val="00E62FA5"/>
    <w:rsid w:val="00E630C1"/>
    <w:rsid w:val="00E6316B"/>
    <w:rsid w:val="00E634B4"/>
    <w:rsid w:val="00E63EF1"/>
    <w:rsid w:val="00E6408D"/>
    <w:rsid w:val="00E640F4"/>
    <w:rsid w:val="00E64382"/>
    <w:rsid w:val="00E64714"/>
    <w:rsid w:val="00E647E6"/>
    <w:rsid w:val="00E64BE7"/>
    <w:rsid w:val="00E655B6"/>
    <w:rsid w:val="00E656A9"/>
    <w:rsid w:val="00E657C7"/>
    <w:rsid w:val="00E65A41"/>
    <w:rsid w:val="00E65A5E"/>
    <w:rsid w:val="00E65DEF"/>
    <w:rsid w:val="00E65FCA"/>
    <w:rsid w:val="00E6603E"/>
    <w:rsid w:val="00E66ED6"/>
    <w:rsid w:val="00E67048"/>
    <w:rsid w:val="00E672D6"/>
    <w:rsid w:val="00E67627"/>
    <w:rsid w:val="00E676C2"/>
    <w:rsid w:val="00E67767"/>
    <w:rsid w:val="00E679D3"/>
    <w:rsid w:val="00E67E3B"/>
    <w:rsid w:val="00E70113"/>
    <w:rsid w:val="00E70265"/>
    <w:rsid w:val="00E702C3"/>
    <w:rsid w:val="00E70591"/>
    <w:rsid w:val="00E7099C"/>
    <w:rsid w:val="00E70A0B"/>
    <w:rsid w:val="00E70AF0"/>
    <w:rsid w:val="00E70C1A"/>
    <w:rsid w:val="00E70DC8"/>
    <w:rsid w:val="00E70F39"/>
    <w:rsid w:val="00E7106E"/>
    <w:rsid w:val="00E7111F"/>
    <w:rsid w:val="00E7115C"/>
    <w:rsid w:val="00E711BD"/>
    <w:rsid w:val="00E71393"/>
    <w:rsid w:val="00E7141E"/>
    <w:rsid w:val="00E71501"/>
    <w:rsid w:val="00E71724"/>
    <w:rsid w:val="00E71B2B"/>
    <w:rsid w:val="00E71B45"/>
    <w:rsid w:val="00E7232E"/>
    <w:rsid w:val="00E72456"/>
    <w:rsid w:val="00E72557"/>
    <w:rsid w:val="00E7264E"/>
    <w:rsid w:val="00E728B5"/>
    <w:rsid w:val="00E72A77"/>
    <w:rsid w:val="00E72B9C"/>
    <w:rsid w:val="00E72F4E"/>
    <w:rsid w:val="00E73361"/>
    <w:rsid w:val="00E73388"/>
    <w:rsid w:val="00E73734"/>
    <w:rsid w:val="00E739F3"/>
    <w:rsid w:val="00E73CC0"/>
    <w:rsid w:val="00E740DE"/>
    <w:rsid w:val="00E741A4"/>
    <w:rsid w:val="00E74345"/>
    <w:rsid w:val="00E7493C"/>
    <w:rsid w:val="00E74A22"/>
    <w:rsid w:val="00E74ED3"/>
    <w:rsid w:val="00E752B6"/>
    <w:rsid w:val="00E7540C"/>
    <w:rsid w:val="00E75ABA"/>
    <w:rsid w:val="00E75B76"/>
    <w:rsid w:val="00E75BAA"/>
    <w:rsid w:val="00E75C26"/>
    <w:rsid w:val="00E75D23"/>
    <w:rsid w:val="00E75F03"/>
    <w:rsid w:val="00E760DD"/>
    <w:rsid w:val="00E76134"/>
    <w:rsid w:val="00E766F9"/>
    <w:rsid w:val="00E76957"/>
    <w:rsid w:val="00E76B68"/>
    <w:rsid w:val="00E76E79"/>
    <w:rsid w:val="00E7724C"/>
    <w:rsid w:val="00E772E0"/>
    <w:rsid w:val="00E77362"/>
    <w:rsid w:val="00E77543"/>
    <w:rsid w:val="00E775BF"/>
    <w:rsid w:val="00E77AD4"/>
    <w:rsid w:val="00E77B94"/>
    <w:rsid w:val="00E80029"/>
    <w:rsid w:val="00E800E0"/>
    <w:rsid w:val="00E8038D"/>
    <w:rsid w:val="00E8052E"/>
    <w:rsid w:val="00E807A4"/>
    <w:rsid w:val="00E8094E"/>
    <w:rsid w:val="00E80992"/>
    <w:rsid w:val="00E809BB"/>
    <w:rsid w:val="00E80A48"/>
    <w:rsid w:val="00E80B2B"/>
    <w:rsid w:val="00E80C75"/>
    <w:rsid w:val="00E80D74"/>
    <w:rsid w:val="00E80F7A"/>
    <w:rsid w:val="00E81139"/>
    <w:rsid w:val="00E813F7"/>
    <w:rsid w:val="00E814A8"/>
    <w:rsid w:val="00E8156E"/>
    <w:rsid w:val="00E81587"/>
    <w:rsid w:val="00E81C54"/>
    <w:rsid w:val="00E81D61"/>
    <w:rsid w:val="00E8227A"/>
    <w:rsid w:val="00E82686"/>
    <w:rsid w:val="00E8279D"/>
    <w:rsid w:val="00E82854"/>
    <w:rsid w:val="00E82A43"/>
    <w:rsid w:val="00E82B97"/>
    <w:rsid w:val="00E82C28"/>
    <w:rsid w:val="00E83188"/>
    <w:rsid w:val="00E836C6"/>
    <w:rsid w:val="00E83D49"/>
    <w:rsid w:val="00E8414A"/>
    <w:rsid w:val="00E84342"/>
    <w:rsid w:val="00E84824"/>
    <w:rsid w:val="00E84CAA"/>
    <w:rsid w:val="00E84D10"/>
    <w:rsid w:val="00E84D55"/>
    <w:rsid w:val="00E84DA1"/>
    <w:rsid w:val="00E84E26"/>
    <w:rsid w:val="00E8502C"/>
    <w:rsid w:val="00E85214"/>
    <w:rsid w:val="00E8541A"/>
    <w:rsid w:val="00E85422"/>
    <w:rsid w:val="00E85710"/>
    <w:rsid w:val="00E85C6D"/>
    <w:rsid w:val="00E85D27"/>
    <w:rsid w:val="00E85D51"/>
    <w:rsid w:val="00E85F49"/>
    <w:rsid w:val="00E86072"/>
    <w:rsid w:val="00E862ED"/>
    <w:rsid w:val="00E866B9"/>
    <w:rsid w:val="00E8670C"/>
    <w:rsid w:val="00E86E9E"/>
    <w:rsid w:val="00E87019"/>
    <w:rsid w:val="00E87B87"/>
    <w:rsid w:val="00E87DD2"/>
    <w:rsid w:val="00E90083"/>
    <w:rsid w:val="00E900C0"/>
    <w:rsid w:val="00E90137"/>
    <w:rsid w:val="00E90167"/>
    <w:rsid w:val="00E90230"/>
    <w:rsid w:val="00E906DA"/>
    <w:rsid w:val="00E906ED"/>
    <w:rsid w:val="00E90EB1"/>
    <w:rsid w:val="00E91605"/>
    <w:rsid w:val="00E9171F"/>
    <w:rsid w:val="00E9196B"/>
    <w:rsid w:val="00E919A7"/>
    <w:rsid w:val="00E91DE5"/>
    <w:rsid w:val="00E91F82"/>
    <w:rsid w:val="00E9236B"/>
    <w:rsid w:val="00E927CB"/>
    <w:rsid w:val="00E92A01"/>
    <w:rsid w:val="00E92CF5"/>
    <w:rsid w:val="00E92E45"/>
    <w:rsid w:val="00E92E8F"/>
    <w:rsid w:val="00E93169"/>
    <w:rsid w:val="00E932FA"/>
    <w:rsid w:val="00E9360F"/>
    <w:rsid w:val="00E93806"/>
    <w:rsid w:val="00E9385A"/>
    <w:rsid w:val="00E93B3A"/>
    <w:rsid w:val="00E93E3C"/>
    <w:rsid w:val="00E947A1"/>
    <w:rsid w:val="00E950C6"/>
    <w:rsid w:val="00E950E0"/>
    <w:rsid w:val="00E952AF"/>
    <w:rsid w:val="00E95A24"/>
    <w:rsid w:val="00E95A97"/>
    <w:rsid w:val="00E95AD7"/>
    <w:rsid w:val="00E95B9D"/>
    <w:rsid w:val="00E95D92"/>
    <w:rsid w:val="00E95E36"/>
    <w:rsid w:val="00E960B9"/>
    <w:rsid w:val="00E963F0"/>
    <w:rsid w:val="00E9650C"/>
    <w:rsid w:val="00E96545"/>
    <w:rsid w:val="00E96648"/>
    <w:rsid w:val="00E966B2"/>
    <w:rsid w:val="00E96A41"/>
    <w:rsid w:val="00E96F75"/>
    <w:rsid w:val="00E97071"/>
    <w:rsid w:val="00E97190"/>
    <w:rsid w:val="00E97465"/>
    <w:rsid w:val="00E976C8"/>
    <w:rsid w:val="00E977E6"/>
    <w:rsid w:val="00E97C09"/>
    <w:rsid w:val="00E97E62"/>
    <w:rsid w:val="00E97EA0"/>
    <w:rsid w:val="00EA0484"/>
    <w:rsid w:val="00EA04A6"/>
    <w:rsid w:val="00EA06BA"/>
    <w:rsid w:val="00EA07D1"/>
    <w:rsid w:val="00EA0897"/>
    <w:rsid w:val="00EA0A0F"/>
    <w:rsid w:val="00EA0A16"/>
    <w:rsid w:val="00EA0BB0"/>
    <w:rsid w:val="00EA0D65"/>
    <w:rsid w:val="00EA0EC8"/>
    <w:rsid w:val="00EA0F22"/>
    <w:rsid w:val="00EA12F3"/>
    <w:rsid w:val="00EA157F"/>
    <w:rsid w:val="00EA15F5"/>
    <w:rsid w:val="00EA19B3"/>
    <w:rsid w:val="00EA1AB6"/>
    <w:rsid w:val="00EA1E3E"/>
    <w:rsid w:val="00EA1E6C"/>
    <w:rsid w:val="00EA20BC"/>
    <w:rsid w:val="00EA2446"/>
    <w:rsid w:val="00EA28EB"/>
    <w:rsid w:val="00EA2AEB"/>
    <w:rsid w:val="00EA2BF3"/>
    <w:rsid w:val="00EA2CA1"/>
    <w:rsid w:val="00EA2D6E"/>
    <w:rsid w:val="00EA2EB1"/>
    <w:rsid w:val="00EA32C3"/>
    <w:rsid w:val="00EA35D1"/>
    <w:rsid w:val="00EA35E4"/>
    <w:rsid w:val="00EA3757"/>
    <w:rsid w:val="00EA38FA"/>
    <w:rsid w:val="00EA3A2E"/>
    <w:rsid w:val="00EA3E97"/>
    <w:rsid w:val="00EA41C8"/>
    <w:rsid w:val="00EA439B"/>
    <w:rsid w:val="00EA4801"/>
    <w:rsid w:val="00EA4B52"/>
    <w:rsid w:val="00EA4BB1"/>
    <w:rsid w:val="00EA55AA"/>
    <w:rsid w:val="00EA5730"/>
    <w:rsid w:val="00EA5736"/>
    <w:rsid w:val="00EA58AD"/>
    <w:rsid w:val="00EA5A9B"/>
    <w:rsid w:val="00EA5B3C"/>
    <w:rsid w:val="00EA5CC4"/>
    <w:rsid w:val="00EA5D8F"/>
    <w:rsid w:val="00EA5EFB"/>
    <w:rsid w:val="00EA5F3F"/>
    <w:rsid w:val="00EA5F8E"/>
    <w:rsid w:val="00EA5FC4"/>
    <w:rsid w:val="00EA6186"/>
    <w:rsid w:val="00EA627B"/>
    <w:rsid w:val="00EA643B"/>
    <w:rsid w:val="00EA6472"/>
    <w:rsid w:val="00EA660A"/>
    <w:rsid w:val="00EA69F4"/>
    <w:rsid w:val="00EA719F"/>
    <w:rsid w:val="00EA77C6"/>
    <w:rsid w:val="00EA7851"/>
    <w:rsid w:val="00EA7AC7"/>
    <w:rsid w:val="00EA7AF1"/>
    <w:rsid w:val="00EA7C69"/>
    <w:rsid w:val="00EA7CAF"/>
    <w:rsid w:val="00EA7CDB"/>
    <w:rsid w:val="00EB0540"/>
    <w:rsid w:val="00EB06D8"/>
    <w:rsid w:val="00EB0717"/>
    <w:rsid w:val="00EB0971"/>
    <w:rsid w:val="00EB0FBD"/>
    <w:rsid w:val="00EB1B43"/>
    <w:rsid w:val="00EB1F81"/>
    <w:rsid w:val="00EB232E"/>
    <w:rsid w:val="00EB2577"/>
    <w:rsid w:val="00EB293A"/>
    <w:rsid w:val="00EB2ABC"/>
    <w:rsid w:val="00EB2CDB"/>
    <w:rsid w:val="00EB2D3C"/>
    <w:rsid w:val="00EB30BF"/>
    <w:rsid w:val="00EB313C"/>
    <w:rsid w:val="00EB321F"/>
    <w:rsid w:val="00EB322E"/>
    <w:rsid w:val="00EB3345"/>
    <w:rsid w:val="00EB3667"/>
    <w:rsid w:val="00EB373D"/>
    <w:rsid w:val="00EB39BF"/>
    <w:rsid w:val="00EB3D76"/>
    <w:rsid w:val="00EB3E67"/>
    <w:rsid w:val="00EB489A"/>
    <w:rsid w:val="00EB4C8D"/>
    <w:rsid w:val="00EB52DB"/>
    <w:rsid w:val="00EB54B1"/>
    <w:rsid w:val="00EB56BF"/>
    <w:rsid w:val="00EB5C60"/>
    <w:rsid w:val="00EB6280"/>
    <w:rsid w:val="00EB62C6"/>
    <w:rsid w:val="00EB63C3"/>
    <w:rsid w:val="00EB63F5"/>
    <w:rsid w:val="00EB6442"/>
    <w:rsid w:val="00EB6A97"/>
    <w:rsid w:val="00EB6EF1"/>
    <w:rsid w:val="00EB6F11"/>
    <w:rsid w:val="00EB709D"/>
    <w:rsid w:val="00EB7175"/>
    <w:rsid w:val="00EB7331"/>
    <w:rsid w:val="00EB76FD"/>
    <w:rsid w:val="00EB7AD5"/>
    <w:rsid w:val="00EB7C53"/>
    <w:rsid w:val="00EB7DB4"/>
    <w:rsid w:val="00EB7E18"/>
    <w:rsid w:val="00EC00FA"/>
    <w:rsid w:val="00EC0314"/>
    <w:rsid w:val="00EC0A15"/>
    <w:rsid w:val="00EC0D40"/>
    <w:rsid w:val="00EC1011"/>
    <w:rsid w:val="00EC1398"/>
    <w:rsid w:val="00EC181B"/>
    <w:rsid w:val="00EC1DC1"/>
    <w:rsid w:val="00EC1EC0"/>
    <w:rsid w:val="00EC2070"/>
    <w:rsid w:val="00EC265F"/>
    <w:rsid w:val="00EC2AE4"/>
    <w:rsid w:val="00EC2BAB"/>
    <w:rsid w:val="00EC2CB8"/>
    <w:rsid w:val="00EC2EDF"/>
    <w:rsid w:val="00EC2F38"/>
    <w:rsid w:val="00EC3226"/>
    <w:rsid w:val="00EC3305"/>
    <w:rsid w:val="00EC3399"/>
    <w:rsid w:val="00EC340C"/>
    <w:rsid w:val="00EC3877"/>
    <w:rsid w:val="00EC3DB6"/>
    <w:rsid w:val="00EC3E79"/>
    <w:rsid w:val="00EC3FF4"/>
    <w:rsid w:val="00EC43B1"/>
    <w:rsid w:val="00EC44D0"/>
    <w:rsid w:val="00EC4AA5"/>
    <w:rsid w:val="00EC4D22"/>
    <w:rsid w:val="00EC4E05"/>
    <w:rsid w:val="00EC5507"/>
    <w:rsid w:val="00EC59FC"/>
    <w:rsid w:val="00EC5A10"/>
    <w:rsid w:val="00EC5A3D"/>
    <w:rsid w:val="00EC5EFF"/>
    <w:rsid w:val="00EC627C"/>
    <w:rsid w:val="00EC65C1"/>
    <w:rsid w:val="00EC69CF"/>
    <w:rsid w:val="00EC69D1"/>
    <w:rsid w:val="00EC6B0F"/>
    <w:rsid w:val="00EC6D92"/>
    <w:rsid w:val="00EC6FD2"/>
    <w:rsid w:val="00EC721F"/>
    <w:rsid w:val="00EC72EE"/>
    <w:rsid w:val="00EC759A"/>
    <w:rsid w:val="00EC767A"/>
    <w:rsid w:val="00EC7753"/>
    <w:rsid w:val="00EC7870"/>
    <w:rsid w:val="00EC799D"/>
    <w:rsid w:val="00EC7AAA"/>
    <w:rsid w:val="00EC7DB0"/>
    <w:rsid w:val="00EC7EDE"/>
    <w:rsid w:val="00EC7F82"/>
    <w:rsid w:val="00ED0180"/>
    <w:rsid w:val="00ED057B"/>
    <w:rsid w:val="00ED06E0"/>
    <w:rsid w:val="00ED0E1E"/>
    <w:rsid w:val="00ED0F64"/>
    <w:rsid w:val="00ED1106"/>
    <w:rsid w:val="00ED17B7"/>
    <w:rsid w:val="00ED1B96"/>
    <w:rsid w:val="00ED1C29"/>
    <w:rsid w:val="00ED2010"/>
    <w:rsid w:val="00ED2307"/>
    <w:rsid w:val="00ED241E"/>
    <w:rsid w:val="00ED2486"/>
    <w:rsid w:val="00ED26F0"/>
    <w:rsid w:val="00ED2712"/>
    <w:rsid w:val="00ED2A43"/>
    <w:rsid w:val="00ED2CEE"/>
    <w:rsid w:val="00ED30FF"/>
    <w:rsid w:val="00ED3373"/>
    <w:rsid w:val="00ED375E"/>
    <w:rsid w:val="00ED3839"/>
    <w:rsid w:val="00ED39D9"/>
    <w:rsid w:val="00ED3CE1"/>
    <w:rsid w:val="00ED3D32"/>
    <w:rsid w:val="00ED3DA0"/>
    <w:rsid w:val="00ED4275"/>
    <w:rsid w:val="00ED4579"/>
    <w:rsid w:val="00ED468C"/>
    <w:rsid w:val="00ED4C6A"/>
    <w:rsid w:val="00ED5B56"/>
    <w:rsid w:val="00ED5BF9"/>
    <w:rsid w:val="00ED5E8F"/>
    <w:rsid w:val="00ED5E98"/>
    <w:rsid w:val="00ED60B7"/>
    <w:rsid w:val="00ED64EB"/>
    <w:rsid w:val="00ED6905"/>
    <w:rsid w:val="00ED6985"/>
    <w:rsid w:val="00ED6A6F"/>
    <w:rsid w:val="00ED6CB1"/>
    <w:rsid w:val="00ED6D54"/>
    <w:rsid w:val="00ED70DF"/>
    <w:rsid w:val="00ED71F4"/>
    <w:rsid w:val="00ED74F6"/>
    <w:rsid w:val="00ED75DC"/>
    <w:rsid w:val="00ED78B3"/>
    <w:rsid w:val="00ED7AD8"/>
    <w:rsid w:val="00ED7BFA"/>
    <w:rsid w:val="00ED7D6D"/>
    <w:rsid w:val="00ED7F24"/>
    <w:rsid w:val="00EE0033"/>
    <w:rsid w:val="00EE013E"/>
    <w:rsid w:val="00EE0191"/>
    <w:rsid w:val="00EE02A2"/>
    <w:rsid w:val="00EE0309"/>
    <w:rsid w:val="00EE0354"/>
    <w:rsid w:val="00EE0854"/>
    <w:rsid w:val="00EE1C4F"/>
    <w:rsid w:val="00EE1C60"/>
    <w:rsid w:val="00EE1EA8"/>
    <w:rsid w:val="00EE2075"/>
    <w:rsid w:val="00EE241F"/>
    <w:rsid w:val="00EE25D4"/>
    <w:rsid w:val="00EE2ABC"/>
    <w:rsid w:val="00EE2EA2"/>
    <w:rsid w:val="00EE2F70"/>
    <w:rsid w:val="00EE306D"/>
    <w:rsid w:val="00EE36A1"/>
    <w:rsid w:val="00EE373B"/>
    <w:rsid w:val="00EE3A39"/>
    <w:rsid w:val="00EE4555"/>
    <w:rsid w:val="00EE4621"/>
    <w:rsid w:val="00EE4850"/>
    <w:rsid w:val="00EE4B86"/>
    <w:rsid w:val="00EE4C90"/>
    <w:rsid w:val="00EE4D5B"/>
    <w:rsid w:val="00EE4D7A"/>
    <w:rsid w:val="00EE4E0E"/>
    <w:rsid w:val="00EE4F7F"/>
    <w:rsid w:val="00EE4FA8"/>
    <w:rsid w:val="00EE5105"/>
    <w:rsid w:val="00EE5EF3"/>
    <w:rsid w:val="00EE5FF3"/>
    <w:rsid w:val="00EE602C"/>
    <w:rsid w:val="00EE6269"/>
    <w:rsid w:val="00EE6381"/>
    <w:rsid w:val="00EE65D0"/>
    <w:rsid w:val="00EE67C0"/>
    <w:rsid w:val="00EE6DF2"/>
    <w:rsid w:val="00EE6E52"/>
    <w:rsid w:val="00EE71E5"/>
    <w:rsid w:val="00EE72BF"/>
    <w:rsid w:val="00EE7DE7"/>
    <w:rsid w:val="00EE7FA9"/>
    <w:rsid w:val="00EF01C5"/>
    <w:rsid w:val="00EF0300"/>
    <w:rsid w:val="00EF031F"/>
    <w:rsid w:val="00EF09CE"/>
    <w:rsid w:val="00EF0B05"/>
    <w:rsid w:val="00EF0B26"/>
    <w:rsid w:val="00EF0C78"/>
    <w:rsid w:val="00EF0FE9"/>
    <w:rsid w:val="00EF0FFB"/>
    <w:rsid w:val="00EF11A7"/>
    <w:rsid w:val="00EF13DB"/>
    <w:rsid w:val="00EF141A"/>
    <w:rsid w:val="00EF15FB"/>
    <w:rsid w:val="00EF160E"/>
    <w:rsid w:val="00EF1766"/>
    <w:rsid w:val="00EF1A8E"/>
    <w:rsid w:val="00EF1BC4"/>
    <w:rsid w:val="00EF1CEF"/>
    <w:rsid w:val="00EF1D50"/>
    <w:rsid w:val="00EF1D74"/>
    <w:rsid w:val="00EF1DFA"/>
    <w:rsid w:val="00EF2518"/>
    <w:rsid w:val="00EF251A"/>
    <w:rsid w:val="00EF2527"/>
    <w:rsid w:val="00EF263D"/>
    <w:rsid w:val="00EF267D"/>
    <w:rsid w:val="00EF2EAE"/>
    <w:rsid w:val="00EF3213"/>
    <w:rsid w:val="00EF36D5"/>
    <w:rsid w:val="00EF375B"/>
    <w:rsid w:val="00EF3ECD"/>
    <w:rsid w:val="00EF4074"/>
    <w:rsid w:val="00EF42ED"/>
    <w:rsid w:val="00EF4452"/>
    <w:rsid w:val="00EF487C"/>
    <w:rsid w:val="00EF4936"/>
    <w:rsid w:val="00EF4A31"/>
    <w:rsid w:val="00EF4AFC"/>
    <w:rsid w:val="00EF4CE3"/>
    <w:rsid w:val="00EF56C3"/>
    <w:rsid w:val="00EF56F3"/>
    <w:rsid w:val="00EF599A"/>
    <w:rsid w:val="00EF6713"/>
    <w:rsid w:val="00EF69D8"/>
    <w:rsid w:val="00EF735B"/>
    <w:rsid w:val="00EF76FC"/>
    <w:rsid w:val="00EF790F"/>
    <w:rsid w:val="00EF7A54"/>
    <w:rsid w:val="00EF7AB8"/>
    <w:rsid w:val="00F00064"/>
    <w:rsid w:val="00F0079C"/>
    <w:rsid w:val="00F00A17"/>
    <w:rsid w:val="00F00E03"/>
    <w:rsid w:val="00F0159B"/>
    <w:rsid w:val="00F01621"/>
    <w:rsid w:val="00F01AF5"/>
    <w:rsid w:val="00F021D4"/>
    <w:rsid w:val="00F02314"/>
    <w:rsid w:val="00F02830"/>
    <w:rsid w:val="00F02A4D"/>
    <w:rsid w:val="00F02D67"/>
    <w:rsid w:val="00F02FC5"/>
    <w:rsid w:val="00F0313D"/>
    <w:rsid w:val="00F034EF"/>
    <w:rsid w:val="00F0360A"/>
    <w:rsid w:val="00F037EA"/>
    <w:rsid w:val="00F03879"/>
    <w:rsid w:val="00F04814"/>
    <w:rsid w:val="00F05384"/>
    <w:rsid w:val="00F053C5"/>
    <w:rsid w:val="00F0559A"/>
    <w:rsid w:val="00F05E7B"/>
    <w:rsid w:val="00F05FF9"/>
    <w:rsid w:val="00F062E8"/>
    <w:rsid w:val="00F0636E"/>
    <w:rsid w:val="00F065D8"/>
    <w:rsid w:val="00F0687C"/>
    <w:rsid w:val="00F0696A"/>
    <w:rsid w:val="00F0715B"/>
    <w:rsid w:val="00F07274"/>
    <w:rsid w:val="00F0761D"/>
    <w:rsid w:val="00F0771E"/>
    <w:rsid w:val="00F07781"/>
    <w:rsid w:val="00F07A0F"/>
    <w:rsid w:val="00F100F0"/>
    <w:rsid w:val="00F104FD"/>
    <w:rsid w:val="00F10901"/>
    <w:rsid w:val="00F10A55"/>
    <w:rsid w:val="00F10CCD"/>
    <w:rsid w:val="00F10CFC"/>
    <w:rsid w:val="00F11087"/>
    <w:rsid w:val="00F110D8"/>
    <w:rsid w:val="00F11478"/>
    <w:rsid w:val="00F114A5"/>
    <w:rsid w:val="00F114EF"/>
    <w:rsid w:val="00F11671"/>
    <w:rsid w:val="00F1184F"/>
    <w:rsid w:val="00F11950"/>
    <w:rsid w:val="00F11ACD"/>
    <w:rsid w:val="00F11F0F"/>
    <w:rsid w:val="00F1204C"/>
    <w:rsid w:val="00F12601"/>
    <w:rsid w:val="00F128AC"/>
    <w:rsid w:val="00F129DF"/>
    <w:rsid w:val="00F12D1E"/>
    <w:rsid w:val="00F12ED3"/>
    <w:rsid w:val="00F12EE1"/>
    <w:rsid w:val="00F1354A"/>
    <w:rsid w:val="00F138E3"/>
    <w:rsid w:val="00F13A42"/>
    <w:rsid w:val="00F13B65"/>
    <w:rsid w:val="00F13F3C"/>
    <w:rsid w:val="00F1423C"/>
    <w:rsid w:val="00F14653"/>
    <w:rsid w:val="00F14704"/>
    <w:rsid w:val="00F14D72"/>
    <w:rsid w:val="00F14E55"/>
    <w:rsid w:val="00F1537C"/>
    <w:rsid w:val="00F156A2"/>
    <w:rsid w:val="00F15A60"/>
    <w:rsid w:val="00F15BEF"/>
    <w:rsid w:val="00F15EFC"/>
    <w:rsid w:val="00F15F7D"/>
    <w:rsid w:val="00F15FFA"/>
    <w:rsid w:val="00F1651D"/>
    <w:rsid w:val="00F166B2"/>
    <w:rsid w:val="00F16856"/>
    <w:rsid w:val="00F16B72"/>
    <w:rsid w:val="00F16E27"/>
    <w:rsid w:val="00F16F7C"/>
    <w:rsid w:val="00F1726D"/>
    <w:rsid w:val="00F1766B"/>
    <w:rsid w:val="00F2000E"/>
    <w:rsid w:val="00F20161"/>
    <w:rsid w:val="00F207CD"/>
    <w:rsid w:val="00F208A6"/>
    <w:rsid w:val="00F20A7C"/>
    <w:rsid w:val="00F20C41"/>
    <w:rsid w:val="00F20D16"/>
    <w:rsid w:val="00F20EEA"/>
    <w:rsid w:val="00F211F2"/>
    <w:rsid w:val="00F212C1"/>
    <w:rsid w:val="00F212FF"/>
    <w:rsid w:val="00F216BA"/>
    <w:rsid w:val="00F21B25"/>
    <w:rsid w:val="00F21D43"/>
    <w:rsid w:val="00F22578"/>
    <w:rsid w:val="00F226A6"/>
    <w:rsid w:val="00F22B93"/>
    <w:rsid w:val="00F22E63"/>
    <w:rsid w:val="00F22F37"/>
    <w:rsid w:val="00F22F4B"/>
    <w:rsid w:val="00F23030"/>
    <w:rsid w:val="00F232E2"/>
    <w:rsid w:val="00F236A9"/>
    <w:rsid w:val="00F23977"/>
    <w:rsid w:val="00F23C60"/>
    <w:rsid w:val="00F24033"/>
    <w:rsid w:val="00F241FD"/>
    <w:rsid w:val="00F247FA"/>
    <w:rsid w:val="00F24AF0"/>
    <w:rsid w:val="00F24BDD"/>
    <w:rsid w:val="00F24DD1"/>
    <w:rsid w:val="00F24E8D"/>
    <w:rsid w:val="00F24EB7"/>
    <w:rsid w:val="00F24F41"/>
    <w:rsid w:val="00F25580"/>
    <w:rsid w:val="00F2559A"/>
    <w:rsid w:val="00F257C9"/>
    <w:rsid w:val="00F26349"/>
    <w:rsid w:val="00F263B1"/>
    <w:rsid w:val="00F26503"/>
    <w:rsid w:val="00F26AF6"/>
    <w:rsid w:val="00F26C7A"/>
    <w:rsid w:val="00F26D3C"/>
    <w:rsid w:val="00F2705C"/>
    <w:rsid w:val="00F273AC"/>
    <w:rsid w:val="00F274A0"/>
    <w:rsid w:val="00F27650"/>
    <w:rsid w:val="00F278BE"/>
    <w:rsid w:val="00F2799F"/>
    <w:rsid w:val="00F27AA4"/>
    <w:rsid w:val="00F27BBF"/>
    <w:rsid w:val="00F27CFE"/>
    <w:rsid w:val="00F27E73"/>
    <w:rsid w:val="00F27E7E"/>
    <w:rsid w:val="00F30245"/>
    <w:rsid w:val="00F304A0"/>
    <w:rsid w:val="00F3083A"/>
    <w:rsid w:val="00F30929"/>
    <w:rsid w:val="00F30963"/>
    <w:rsid w:val="00F30AF2"/>
    <w:rsid w:val="00F30E01"/>
    <w:rsid w:val="00F31206"/>
    <w:rsid w:val="00F31526"/>
    <w:rsid w:val="00F316C0"/>
    <w:rsid w:val="00F31947"/>
    <w:rsid w:val="00F32150"/>
    <w:rsid w:val="00F32244"/>
    <w:rsid w:val="00F32429"/>
    <w:rsid w:val="00F326C0"/>
    <w:rsid w:val="00F32A28"/>
    <w:rsid w:val="00F32DEF"/>
    <w:rsid w:val="00F32EE6"/>
    <w:rsid w:val="00F33047"/>
    <w:rsid w:val="00F33696"/>
    <w:rsid w:val="00F33C43"/>
    <w:rsid w:val="00F33E68"/>
    <w:rsid w:val="00F33ECB"/>
    <w:rsid w:val="00F33FD8"/>
    <w:rsid w:val="00F3408A"/>
    <w:rsid w:val="00F34221"/>
    <w:rsid w:val="00F343A3"/>
    <w:rsid w:val="00F34DE0"/>
    <w:rsid w:val="00F34E23"/>
    <w:rsid w:val="00F34E88"/>
    <w:rsid w:val="00F351B3"/>
    <w:rsid w:val="00F35EE8"/>
    <w:rsid w:val="00F3636D"/>
    <w:rsid w:val="00F36420"/>
    <w:rsid w:val="00F36553"/>
    <w:rsid w:val="00F36793"/>
    <w:rsid w:val="00F3691D"/>
    <w:rsid w:val="00F36FB1"/>
    <w:rsid w:val="00F370FE"/>
    <w:rsid w:val="00F37634"/>
    <w:rsid w:val="00F3765D"/>
    <w:rsid w:val="00F377D9"/>
    <w:rsid w:val="00F37974"/>
    <w:rsid w:val="00F3799D"/>
    <w:rsid w:val="00F37B55"/>
    <w:rsid w:val="00F37B9D"/>
    <w:rsid w:val="00F37C4F"/>
    <w:rsid w:val="00F37C79"/>
    <w:rsid w:val="00F37D8D"/>
    <w:rsid w:val="00F37E24"/>
    <w:rsid w:val="00F4044C"/>
    <w:rsid w:val="00F40639"/>
    <w:rsid w:val="00F409B3"/>
    <w:rsid w:val="00F40F6F"/>
    <w:rsid w:val="00F4154C"/>
    <w:rsid w:val="00F41B95"/>
    <w:rsid w:val="00F42149"/>
    <w:rsid w:val="00F42C42"/>
    <w:rsid w:val="00F42CC8"/>
    <w:rsid w:val="00F43084"/>
    <w:rsid w:val="00F432C8"/>
    <w:rsid w:val="00F4354C"/>
    <w:rsid w:val="00F43741"/>
    <w:rsid w:val="00F43B63"/>
    <w:rsid w:val="00F44A54"/>
    <w:rsid w:val="00F44B47"/>
    <w:rsid w:val="00F44D52"/>
    <w:rsid w:val="00F45137"/>
    <w:rsid w:val="00F45171"/>
    <w:rsid w:val="00F4520E"/>
    <w:rsid w:val="00F452FC"/>
    <w:rsid w:val="00F4540C"/>
    <w:rsid w:val="00F454A4"/>
    <w:rsid w:val="00F455B9"/>
    <w:rsid w:val="00F45F9F"/>
    <w:rsid w:val="00F460F9"/>
    <w:rsid w:val="00F4614C"/>
    <w:rsid w:val="00F46615"/>
    <w:rsid w:val="00F46662"/>
    <w:rsid w:val="00F46F6D"/>
    <w:rsid w:val="00F47207"/>
    <w:rsid w:val="00F47576"/>
    <w:rsid w:val="00F475BB"/>
    <w:rsid w:val="00F476BF"/>
    <w:rsid w:val="00F476DF"/>
    <w:rsid w:val="00F47877"/>
    <w:rsid w:val="00F47ACC"/>
    <w:rsid w:val="00F47C8F"/>
    <w:rsid w:val="00F50284"/>
    <w:rsid w:val="00F503FD"/>
    <w:rsid w:val="00F505CC"/>
    <w:rsid w:val="00F50B69"/>
    <w:rsid w:val="00F50F0D"/>
    <w:rsid w:val="00F50F31"/>
    <w:rsid w:val="00F50F3C"/>
    <w:rsid w:val="00F51049"/>
    <w:rsid w:val="00F5106F"/>
    <w:rsid w:val="00F5185A"/>
    <w:rsid w:val="00F51990"/>
    <w:rsid w:val="00F51AFF"/>
    <w:rsid w:val="00F520A3"/>
    <w:rsid w:val="00F521D6"/>
    <w:rsid w:val="00F52425"/>
    <w:rsid w:val="00F52938"/>
    <w:rsid w:val="00F52A14"/>
    <w:rsid w:val="00F52A34"/>
    <w:rsid w:val="00F52B1D"/>
    <w:rsid w:val="00F52E9A"/>
    <w:rsid w:val="00F52ED1"/>
    <w:rsid w:val="00F530B7"/>
    <w:rsid w:val="00F532FF"/>
    <w:rsid w:val="00F53395"/>
    <w:rsid w:val="00F535E1"/>
    <w:rsid w:val="00F536D3"/>
    <w:rsid w:val="00F539BD"/>
    <w:rsid w:val="00F53EFE"/>
    <w:rsid w:val="00F53FD3"/>
    <w:rsid w:val="00F54069"/>
    <w:rsid w:val="00F5439B"/>
    <w:rsid w:val="00F544AC"/>
    <w:rsid w:val="00F54758"/>
    <w:rsid w:val="00F54826"/>
    <w:rsid w:val="00F54848"/>
    <w:rsid w:val="00F5488B"/>
    <w:rsid w:val="00F548D4"/>
    <w:rsid w:val="00F548F0"/>
    <w:rsid w:val="00F549B0"/>
    <w:rsid w:val="00F54AF7"/>
    <w:rsid w:val="00F54C65"/>
    <w:rsid w:val="00F54D43"/>
    <w:rsid w:val="00F5524F"/>
    <w:rsid w:val="00F55355"/>
    <w:rsid w:val="00F553C8"/>
    <w:rsid w:val="00F55511"/>
    <w:rsid w:val="00F5576B"/>
    <w:rsid w:val="00F55F76"/>
    <w:rsid w:val="00F5649B"/>
    <w:rsid w:val="00F5663F"/>
    <w:rsid w:val="00F5668C"/>
    <w:rsid w:val="00F56739"/>
    <w:rsid w:val="00F567E9"/>
    <w:rsid w:val="00F56A1C"/>
    <w:rsid w:val="00F56B4B"/>
    <w:rsid w:val="00F56CA8"/>
    <w:rsid w:val="00F574C0"/>
    <w:rsid w:val="00F578F8"/>
    <w:rsid w:val="00F57992"/>
    <w:rsid w:val="00F57AFD"/>
    <w:rsid w:val="00F60190"/>
    <w:rsid w:val="00F60615"/>
    <w:rsid w:val="00F60683"/>
    <w:rsid w:val="00F606ED"/>
    <w:rsid w:val="00F6098C"/>
    <w:rsid w:val="00F60D68"/>
    <w:rsid w:val="00F61520"/>
    <w:rsid w:val="00F61AFB"/>
    <w:rsid w:val="00F61D02"/>
    <w:rsid w:val="00F61DB5"/>
    <w:rsid w:val="00F61F86"/>
    <w:rsid w:val="00F621E7"/>
    <w:rsid w:val="00F62272"/>
    <w:rsid w:val="00F6294A"/>
    <w:rsid w:val="00F629EF"/>
    <w:rsid w:val="00F62A1B"/>
    <w:rsid w:val="00F62ADB"/>
    <w:rsid w:val="00F62B7A"/>
    <w:rsid w:val="00F63025"/>
    <w:rsid w:val="00F635AC"/>
    <w:rsid w:val="00F63D61"/>
    <w:rsid w:val="00F642E6"/>
    <w:rsid w:val="00F6457D"/>
    <w:rsid w:val="00F64588"/>
    <w:rsid w:val="00F64664"/>
    <w:rsid w:val="00F64916"/>
    <w:rsid w:val="00F64A0D"/>
    <w:rsid w:val="00F64B9D"/>
    <w:rsid w:val="00F64BDC"/>
    <w:rsid w:val="00F6546E"/>
    <w:rsid w:val="00F656EC"/>
    <w:rsid w:val="00F65723"/>
    <w:rsid w:val="00F659B0"/>
    <w:rsid w:val="00F659E6"/>
    <w:rsid w:val="00F65A06"/>
    <w:rsid w:val="00F65AD1"/>
    <w:rsid w:val="00F65C2A"/>
    <w:rsid w:val="00F65CCF"/>
    <w:rsid w:val="00F65E67"/>
    <w:rsid w:val="00F65E95"/>
    <w:rsid w:val="00F6649A"/>
    <w:rsid w:val="00F66756"/>
    <w:rsid w:val="00F668B1"/>
    <w:rsid w:val="00F669B7"/>
    <w:rsid w:val="00F669F6"/>
    <w:rsid w:val="00F66BB6"/>
    <w:rsid w:val="00F66CF9"/>
    <w:rsid w:val="00F66E32"/>
    <w:rsid w:val="00F66E38"/>
    <w:rsid w:val="00F67301"/>
    <w:rsid w:val="00F673EA"/>
    <w:rsid w:val="00F67434"/>
    <w:rsid w:val="00F6773E"/>
    <w:rsid w:val="00F678BF"/>
    <w:rsid w:val="00F67BA0"/>
    <w:rsid w:val="00F67C26"/>
    <w:rsid w:val="00F67FF2"/>
    <w:rsid w:val="00F706C9"/>
    <w:rsid w:val="00F70E1F"/>
    <w:rsid w:val="00F70EA2"/>
    <w:rsid w:val="00F70F87"/>
    <w:rsid w:val="00F71084"/>
    <w:rsid w:val="00F711F0"/>
    <w:rsid w:val="00F71455"/>
    <w:rsid w:val="00F71949"/>
    <w:rsid w:val="00F71BE0"/>
    <w:rsid w:val="00F7209D"/>
    <w:rsid w:val="00F721FE"/>
    <w:rsid w:val="00F72240"/>
    <w:rsid w:val="00F723BA"/>
    <w:rsid w:val="00F72687"/>
    <w:rsid w:val="00F72697"/>
    <w:rsid w:val="00F7289D"/>
    <w:rsid w:val="00F72EF0"/>
    <w:rsid w:val="00F731B3"/>
    <w:rsid w:val="00F733A7"/>
    <w:rsid w:val="00F73489"/>
    <w:rsid w:val="00F734C6"/>
    <w:rsid w:val="00F739C2"/>
    <w:rsid w:val="00F73D15"/>
    <w:rsid w:val="00F73EE9"/>
    <w:rsid w:val="00F74175"/>
    <w:rsid w:val="00F74276"/>
    <w:rsid w:val="00F748EB"/>
    <w:rsid w:val="00F74BF3"/>
    <w:rsid w:val="00F74F23"/>
    <w:rsid w:val="00F75097"/>
    <w:rsid w:val="00F7513C"/>
    <w:rsid w:val="00F75214"/>
    <w:rsid w:val="00F7561F"/>
    <w:rsid w:val="00F756DE"/>
    <w:rsid w:val="00F75707"/>
    <w:rsid w:val="00F757A4"/>
    <w:rsid w:val="00F75D6A"/>
    <w:rsid w:val="00F75ED5"/>
    <w:rsid w:val="00F75F37"/>
    <w:rsid w:val="00F762DF"/>
    <w:rsid w:val="00F76371"/>
    <w:rsid w:val="00F76792"/>
    <w:rsid w:val="00F768B8"/>
    <w:rsid w:val="00F769D4"/>
    <w:rsid w:val="00F76B4A"/>
    <w:rsid w:val="00F76C93"/>
    <w:rsid w:val="00F76CD5"/>
    <w:rsid w:val="00F76CE8"/>
    <w:rsid w:val="00F77293"/>
    <w:rsid w:val="00F773BB"/>
    <w:rsid w:val="00F77584"/>
    <w:rsid w:val="00F777A6"/>
    <w:rsid w:val="00F7781C"/>
    <w:rsid w:val="00F778C6"/>
    <w:rsid w:val="00F77C5B"/>
    <w:rsid w:val="00F77EC4"/>
    <w:rsid w:val="00F77EDF"/>
    <w:rsid w:val="00F77EE0"/>
    <w:rsid w:val="00F77FEC"/>
    <w:rsid w:val="00F801C5"/>
    <w:rsid w:val="00F80555"/>
    <w:rsid w:val="00F81002"/>
    <w:rsid w:val="00F8125B"/>
    <w:rsid w:val="00F813E2"/>
    <w:rsid w:val="00F81781"/>
    <w:rsid w:val="00F818D7"/>
    <w:rsid w:val="00F81B7D"/>
    <w:rsid w:val="00F81BCE"/>
    <w:rsid w:val="00F81EC2"/>
    <w:rsid w:val="00F82325"/>
    <w:rsid w:val="00F8253F"/>
    <w:rsid w:val="00F82628"/>
    <w:rsid w:val="00F829D9"/>
    <w:rsid w:val="00F82BE9"/>
    <w:rsid w:val="00F82CE9"/>
    <w:rsid w:val="00F82DB8"/>
    <w:rsid w:val="00F82FE6"/>
    <w:rsid w:val="00F83550"/>
    <w:rsid w:val="00F83559"/>
    <w:rsid w:val="00F836B0"/>
    <w:rsid w:val="00F836DE"/>
    <w:rsid w:val="00F839B5"/>
    <w:rsid w:val="00F83BBF"/>
    <w:rsid w:val="00F83C68"/>
    <w:rsid w:val="00F83F28"/>
    <w:rsid w:val="00F83FAE"/>
    <w:rsid w:val="00F83FC0"/>
    <w:rsid w:val="00F84169"/>
    <w:rsid w:val="00F843CA"/>
    <w:rsid w:val="00F84413"/>
    <w:rsid w:val="00F846F3"/>
    <w:rsid w:val="00F84A05"/>
    <w:rsid w:val="00F84B8B"/>
    <w:rsid w:val="00F85041"/>
    <w:rsid w:val="00F85277"/>
    <w:rsid w:val="00F8527B"/>
    <w:rsid w:val="00F85286"/>
    <w:rsid w:val="00F85DAB"/>
    <w:rsid w:val="00F86253"/>
    <w:rsid w:val="00F8661C"/>
    <w:rsid w:val="00F86C03"/>
    <w:rsid w:val="00F87100"/>
    <w:rsid w:val="00F8710B"/>
    <w:rsid w:val="00F877BD"/>
    <w:rsid w:val="00F87A9C"/>
    <w:rsid w:val="00F90A72"/>
    <w:rsid w:val="00F90C71"/>
    <w:rsid w:val="00F91178"/>
    <w:rsid w:val="00F91533"/>
    <w:rsid w:val="00F9173E"/>
    <w:rsid w:val="00F9180F"/>
    <w:rsid w:val="00F91BB1"/>
    <w:rsid w:val="00F91C5C"/>
    <w:rsid w:val="00F91C63"/>
    <w:rsid w:val="00F91E3F"/>
    <w:rsid w:val="00F91F62"/>
    <w:rsid w:val="00F9233A"/>
    <w:rsid w:val="00F92D80"/>
    <w:rsid w:val="00F93598"/>
    <w:rsid w:val="00F935CE"/>
    <w:rsid w:val="00F93C89"/>
    <w:rsid w:val="00F93F56"/>
    <w:rsid w:val="00F94318"/>
    <w:rsid w:val="00F944C5"/>
    <w:rsid w:val="00F944E1"/>
    <w:rsid w:val="00F949B1"/>
    <w:rsid w:val="00F94B0A"/>
    <w:rsid w:val="00F94D20"/>
    <w:rsid w:val="00F9502D"/>
    <w:rsid w:val="00F95357"/>
    <w:rsid w:val="00F953BE"/>
    <w:rsid w:val="00F95509"/>
    <w:rsid w:val="00F95814"/>
    <w:rsid w:val="00F958B2"/>
    <w:rsid w:val="00F95CA8"/>
    <w:rsid w:val="00F95EEC"/>
    <w:rsid w:val="00F960D5"/>
    <w:rsid w:val="00F96399"/>
    <w:rsid w:val="00F96449"/>
    <w:rsid w:val="00F9682F"/>
    <w:rsid w:val="00F968BD"/>
    <w:rsid w:val="00F969F6"/>
    <w:rsid w:val="00F96BB4"/>
    <w:rsid w:val="00F96BFB"/>
    <w:rsid w:val="00F96D21"/>
    <w:rsid w:val="00F96EFB"/>
    <w:rsid w:val="00F9715B"/>
    <w:rsid w:val="00F97374"/>
    <w:rsid w:val="00F975C4"/>
    <w:rsid w:val="00F97C42"/>
    <w:rsid w:val="00F97C60"/>
    <w:rsid w:val="00FA0267"/>
    <w:rsid w:val="00FA0506"/>
    <w:rsid w:val="00FA0599"/>
    <w:rsid w:val="00FA06E5"/>
    <w:rsid w:val="00FA07B8"/>
    <w:rsid w:val="00FA0EB9"/>
    <w:rsid w:val="00FA0F64"/>
    <w:rsid w:val="00FA0FFF"/>
    <w:rsid w:val="00FA13AC"/>
    <w:rsid w:val="00FA155A"/>
    <w:rsid w:val="00FA19BD"/>
    <w:rsid w:val="00FA1D0E"/>
    <w:rsid w:val="00FA2172"/>
    <w:rsid w:val="00FA223F"/>
    <w:rsid w:val="00FA276E"/>
    <w:rsid w:val="00FA2917"/>
    <w:rsid w:val="00FA296B"/>
    <w:rsid w:val="00FA2A49"/>
    <w:rsid w:val="00FA2DC3"/>
    <w:rsid w:val="00FA2E75"/>
    <w:rsid w:val="00FA34A4"/>
    <w:rsid w:val="00FA3514"/>
    <w:rsid w:val="00FA44CE"/>
    <w:rsid w:val="00FA45F5"/>
    <w:rsid w:val="00FA491A"/>
    <w:rsid w:val="00FA4CFA"/>
    <w:rsid w:val="00FA4E37"/>
    <w:rsid w:val="00FA51BE"/>
    <w:rsid w:val="00FA5581"/>
    <w:rsid w:val="00FA6050"/>
    <w:rsid w:val="00FA63D2"/>
    <w:rsid w:val="00FA682A"/>
    <w:rsid w:val="00FA6D62"/>
    <w:rsid w:val="00FA6E7B"/>
    <w:rsid w:val="00FA7590"/>
    <w:rsid w:val="00FA77F1"/>
    <w:rsid w:val="00FA78F7"/>
    <w:rsid w:val="00FA7AB5"/>
    <w:rsid w:val="00FB0124"/>
    <w:rsid w:val="00FB026F"/>
    <w:rsid w:val="00FB02EB"/>
    <w:rsid w:val="00FB04E0"/>
    <w:rsid w:val="00FB0984"/>
    <w:rsid w:val="00FB09BD"/>
    <w:rsid w:val="00FB14F4"/>
    <w:rsid w:val="00FB1780"/>
    <w:rsid w:val="00FB18B4"/>
    <w:rsid w:val="00FB19E1"/>
    <w:rsid w:val="00FB1B73"/>
    <w:rsid w:val="00FB1D4B"/>
    <w:rsid w:val="00FB1D74"/>
    <w:rsid w:val="00FB1DFF"/>
    <w:rsid w:val="00FB25FD"/>
    <w:rsid w:val="00FB26BA"/>
    <w:rsid w:val="00FB28D4"/>
    <w:rsid w:val="00FB28E8"/>
    <w:rsid w:val="00FB2EE3"/>
    <w:rsid w:val="00FB2EE4"/>
    <w:rsid w:val="00FB3161"/>
    <w:rsid w:val="00FB331C"/>
    <w:rsid w:val="00FB34F4"/>
    <w:rsid w:val="00FB3681"/>
    <w:rsid w:val="00FB3A79"/>
    <w:rsid w:val="00FB3F45"/>
    <w:rsid w:val="00FB428C"/>
    <w:rsid w:val="00FB44DE"/>
    <w:rsid w:val="00FB45D6"/>
    <w:rsid w:val="00FB47A1"/>
    <w:rsid w:val="00FB47C1"/>
    <w:rsid w:val="00FB4A1B"/>
    <w:rsid w:val="00FB4F35"/>
    <w:rsid w:val="00FB4F61"/>
    <w:rsid w:val="00FB5031"/>
    <w:rsid w:val="00FB52A8"/>
    <w:rsid w:val="00FB52E8"/>
    <w:rsid w:val="00FB5604"/>
    <w:rsid w:val="00FB5ACC"/>
    <w:rsid w:val="00FB5BA6"/>
    <w:rsid w:val="00FB5BC5"/>
    <w:rsid w:val="00FB66D9"/>
    <w:rsid w:val="00FB6905"/>
    <w:rsid w:val="00FB69F5"/>
    <w:rsid w:val="00FB6BA7"/>
    <w:rsid w:val="00FB6C34"/>
    <w:rsid w:val="00FB7520"/>
    <w:rsid w:val="00FB757F"/>
    <w:rsid w:val="00FB7604"/>
    <w:rsid w:val="00FB763C"/>
    <w:rsid w:val="00FB76DD"/>
    <w:rsid w:val="00FB7F13"/>
    <w:rsid w:val="00FC0031"/>
    <w:rsid w:val="00FC009D"/>
    <w:rsid w:val="00FC01EE"/>
    <w:rsid w:val="00FC02FD"/>
    <w:rsid w:val="00FC03B8"/>
    <w:rsid w:val="00FC08DC"/>
    <w:rsid w:val="00FC0F57"/>
    <w:rsid w:val="00FC0F59"/>
    <w:rsid w:val="00FC13BA"/>
    <w:rsid w:val="00FC1870"/>
    <w:rsid w:val="00FC1FC8"/>
    <w:rsid w:val="00FC2146"/>
    <w:rsid w:val="00FC262F"/>
    <w:rsid w:val="00FC2C0A"/>
    <w:rsid w:val="00FC2CC4"/>
    <w:rsid w:val="00FC2F67"/>
    <w:rsid w:val="00FC3112"/>
    <w:rsid w:val="00FC3160"/>
    <w:rsid w:val="00FC3287"/>
    <w:rsid w:val="00FC32FF"/>
    <w:rsid w:val="00FC33E5"/>
    <w:rsid w:val="00FC346C"/>
    <w:rsid w:val="00FC36FF"/>
    <w:rsid w:val="00FC3707"/>
    <w:rsid w:val="00FC393C"/>
    <w:rsid w:val="00FC3A53"/>
    <w:rsid w:val="00FC3DC5"/>
    <w:rsid w:val="00FC42CB"/>
    <w:rsid w:val="00FC435B"/>
    <w:rsid w:val="00FC4392"/>
    <w:rsid w:val="00FC45D1"/>
    <w:rsid w:val="00FC46CE"/>
    <w:rsid w:val="00FC46F8"/>
    <w:rsid w:val="00FC498E"/>
    <w:rsid w:val="00FC49EC"/>
    <w:rsid w:val="00FC4CBD"/>
    <w:rsid w:val="00FC4D0E"/>
    <w:rsid w:val="00FC50F3"/>
    <w:rsid w:val="00FC52B4"/>
    <w:rsid w:val="00FC5538"/>
    <w:rsid w:val="00FC575F"/>
    <w:rsid w:val="00FC5774"/>
    <w:rsid w:val="00FC5D80"/>
    <w:rsid w:val="00FC5E4A"/>
    <w:rsid w:val="00FC6180"/>
    <w:rsid w:val="00FC61DA"/>
    <w:rsid w:val="00FC62B1"/>
    <w:rsid w:val="00FC637F"/>
    <w:rsid w:val="00FC6516"/>
    <w:rsid w:val="00FC6535"/>
    <w:rsid w:val="00FC65E2"/>
    <w:rsid w:val="00FC6641"/>
    <w:rsid w:val="00FC68C7"/>
    <w:rsid w:val="00FC6A1F"/>
    <w:rsid w:val="00FC76B4"/>
    <w:rsid w:val="00FC7EFE"/>
    <w:rsid w:val="00FD022F"/>
    <w:rsid w:val="00FD02A1"/>
    <w:rsid w:val="00FD0A27"/>
    <w:rsid w:val="00FD0AFA"/>
    <w:rsid w:val="00FD0BDF"/>
    <w:rsid w:val="00FD0C97"/>
    <w:rsid w:val="00FD0DE2"/>
    <w:rsid w:val="00FD1367"/>
    <w:rsid w:val="00FD1544"/>
    <w:rsid w:val="00FD173F"/>
    <w:rsid w:val="00FD1806"/>
    <w:rsid w:val="00FD1C5D"/>
    <w:rsid w:val="00FD1E18"/>
    <w:rsid w:val="00FD2200"/>
    <w:rsid w:val="00FD25F9"/>
    <w:rsid w:val="00FD26BC"/>
    <w:rsid w:val="00FD2E89"/>
    <w:rsid w:val="00FD34D6"/>
    <w:rsid w:val="00FD3D16"/>
    <w:rsid w:val="00FD3D4D"/>
    <w:rsid w:val="00FD43FC"/>
    <w:rsid w:val="00FD4571"/>
    <w:rsid w:val="00FD4B72"/>
    <w:rsid w:val="00FD5515"/>
    <w:rsid w:val="00FD58CC"/>
    <w:rsid w:val="00FD5951"/>
    <w:rsid w:val="00FD5CBC"/>
    <w:rsid w:val="00FD6346"/>
    <w:rsid w:val="00FD637D"/>
    <w:rsid w:val="00FD6D6B"/>
    <w:rsid w:val="00FD7052"/>
    <w:rsid w:val="00FD7166"/>
    <w:rsid w:val="00FD72EC"/>
    <w:rsid w:val="00FD74DA"/>
    <w:rsid w:val="00FD7FC6"/>
    <w:rsid w:val="00FE02CF"/>
    <w:rsid w:val="00FE06A5"/>
    <w:rsid w:val="00FE088A"/>
    <w:rsid w:val="00FE1012"/>
    <w:rsid w:val="00FE105B"/>
    <w:rsid w:val="00FE1558"/>
    <w:rsid w:val="00FE15D7"/>
    <w:rsid w:val="00FE15F8"/>
    <w:rsid w:val="00FE1AF4"/>
    <w:rsid w:val="00FE2192"/>
    <w:rsid w:val="00FE234E"/>
    <w:rsid w:val="00FE25E0"/>
    <w:rsid w:val="00FE265E"/>
    <w:rsid w:val="00FE26EE"/>
    <w:rsid w:val="00FE29A0"/>
    <w:rsid w:val="00FE2CA9"/>
    <w:rsid w:val="00FE30C0"/>
    <w:rsid w:val="00FE32B9"/>
    <w:rsid w:val="00FE3701"/>
    <w:rsid w:val="00FE37F7"/>
    <w:rsid w:val="00FE38D0"/>
    <w:rsid w:val="00FE3B6D"/>
    <w:rsid w:val="00FE3F99"/>
    <w:rsid w:val="00FE41CC"/>
    <w:rsid w:val="00FE41F4"/>
    <w:rsid w:val="00FE430D"/>
    <w:rsid w:val="00FE4313"/>
    <w:rsid w:val="00FE459D"/>
    <w:rsid w:val="00FE4654"/>
    <w:rsid w:val="00FE47BC"/>
    <w:rsid w:val="00FE4ADE"/>
    <w:rsid w:val="00FE4B26"/>
    <w:rsid w:val="00FE4BD0"/>
    <w:rsid w:val="00FE4DC2"/>
    <w:rsid w:val="00FE51E6"/>
    <w:rsid w:val="00FE53DE"/>
    <w:rsid w:val="00FE552B"/>
    <w:rsid w:val="00FE571D"/>
    <w:rsid w:val="00FE5AA7"/>
    <w:rsid w:val="00FE5FB2"/>
    <w:rsid w:val="00FE6098"/>
    <w:rsid w:val="00FE60ED"/>
    <w:rsid w:val="00FE65DB"/>
    <w:rsid w:val="00FE6878"/>
    <w:rsid w:val="00FE690E"/>
    <w:rsid w:val="00FE6DEA"/>
    <w:rsid w:val="00FE74AF"/>
    <w:rsid w:val="00FE7544"/>
    <w:rsid w:val="00FE75A0"/>
    <w:rsid w:val="00FE7D88"/>
    <w:rsid w:val="00FE7F1F"/>
    <w:rsid w:val="00FE7FE7"/>
    <w:rsid w:val="00FF052B"/>
    <w:rsid w:val="00FF05AC"/>
    <w:rsid w:val="00FF068B"/>
    <w:rsid w:val="00FF0696"/>
    <w:rsid w:val="00FF06EA"/>
    <w:rsid w:val="00FF0A8D"/>
    <w:rsid w:val="00FF1107"/>
    <w:rsid w:val="00FF1B8F"/>
    <w:rsid w:val="00FF1EAC"/>
    <w:rsid w:val="00FF1F66"/>
    <w:rsid w:val="00FF1FF2"/>
    <w:rsid w:val="00FF273C"/>
    <w:rsid w:val="00FF2778"/>
    <w:rsid w:val="00FF2DFD"/>
    <w:rsid w:val="00FF302F"/>
    <w:rsid w:val="00FF30F1"/>
    <w:rsid w:val="00FF3116"/>
    <w:rsid w:val="00FF37EC"/>
    <w:rsid w:val="00FF396C"/>
    <w:rsid w:val="00FF39A8"/>
    <w:rsid w:val="00FF39CB"/>
    <w:rsid w:val="00FF3F52"/>
    <w:rsid w:val="00FF4173"/>
    <w:rsid w:val="00FF42AF"/>
    <w:rsid w:val="00FF44DE"/>
    <w:rsid w:val="00FF4902"/>
    <w:rsid w:val="00FF4C94"/>
    <w:rsid w:val="00FF5676"/>
    <w:rsid w:val="00FF5959"/>
    <w:rsid w:val="00FF5BE0"/>
    <w:rsid w:val="00FF5C50"/>
    <w:rsid w:val="00FF5DF9"/>
    <w:rsid w:val="00FF648F"/>
    <w:rsid w:val="00FF674F"/>
    <w:rsid w:val="00FF68FB"/>
    <w:rsid w:val="00FF695D"/>
    <w:rsid w:val="00FF6B26"/>
    <w:rsid w:val="00FF6D98"/>
    <w:rsid w:val="00FF6F9E"/>
    <w:rsid w:val="00FF714F"/>
    <w:rsid w:val="00FF7500"/>
    <w:rsid w:val="00FF751A"/>
    <w:rsid w:val="00FF7537"/>
    <w:rsid w:val="00FF794B"/>
    <w:rsid w:val="00FF7C70"/>
    <w:rsid w:val="00FF7D28"/>
    <w:rsid w:val="00FF7F6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AFDA1"/>
  <w15:docId w15:val="{6712B993-15FE-4EE7-B0D2-C16AF9E71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00FA"/>
    <w:pPr>
      <w:spacing w:after="240" w:line="360" w:lineRule="auto"/>
    </w:pPr>
  </w:style>
  <w:style w:type="paragraph" w:styleId="Heading1">
    <w:name w:val="heading 1"/>
    <w:basedOn w:val="Normal"/>
    <w:next w:val="Normal"/>
    <w:link w:val="Heading1Char"/>
    <w:uiPriority w:val="9"/>
    <w:qFormat/>
    <w:rsid w:val="00213A08"/>
    <w:pPr>
      <w:tabs>
        <w:tab w:val="center" w:pos="4680"/>
        <w:tab w:val="right" w:pos="9360"/>
      </w:tabs>
      <w:spacing w:before="480" w:after="0"/>
      <w:contextualSpacing/>
      <w:jc w:val="center"/>
      <w:outlineLvl w:val="0"/>
    </w:pPr>
    <w:rPr>
      <w:rFonts w:ascii="Calibri Light" w:eastAsiaTheme="majorEastAsia" w:hAnsi="Calibri Light" w:cstheme="majorBidi"/>
      <w:b/>
      <w:bCs/>
      <w:sz w:val="28"/>
      <w:szCs w:val="28"/>
    </w:rPr>
  </w:style>
  <w:style w:type="paragraph" w:styleId="Heading2">
    <w:name w:val="heading 2"/>
    <w:basedOn w:val="Normal"/>
    <w:next w:val="Normal"/>
    <w:link w:val="Heading2Char"/>
    <w:uiPriority w:val="9"/>
    <w:unhideWhenUsed/>
    <w:qFormat/>
    <w:rsid w:val="00213A08"/>
    <w:pPr>
      <w:tabs>
        <w:tab w:val="right" w:pos="9360"/>
      </w:tabs>
      <w:spacing w:before="200" w:after="120" w:line="480" w:lineRule="auto"/>
      <w:outlineLvl w:val="1"/>
    </w:pPr>
    <w:rPr>
      <w:rFonts w:ascii="Calibri Light" w:eastAsiaTheme="majorEastAsia" w:hAnsi="Calibri Light" w:cstheme="majorBidi"/>
      <w:b/>
      <w:bCs/>
      <w:sz w:val="26"/>
      <w:szCs w:val="26"/>
    </w:rPr>
  </w:style>
  <w:style w:type="paragraph" w:styleId="Heading3">
    <w:name w:val="heading 3"/>
    <w:basedOn w:val="Normal"/>
    <w:next w:val="Normal"/>
    <w:link w:val="Heading3Char"/>
    <w:uiPriority w:val="9"/>
    <w:unhideWhenUsed/>
    <w:qFormat/>
    <w:rsid w:val="00213A08"/>
    <w:pPr>
      <w:spacing w:before="120" w:after="120" w:line="480" w:lineRule="auto"/>
      <w:outlineLvl w:val="2"/>
    </w:pPr>
    <w:rPr>
      <w:rFonts w:ascii="Calibri Light" w:eastAsiaTheme="majorEastAsia" w:hAnsi="Calibri Light" w:cstheme="majorBidi"/>
      <w:b/>
      <w:bCs/>
    </w:rPr>
  </w:style>
  <w:style w:type="paragraph" w:styleId="Heading4">
    <w:name w:val="heading 4"/>
    <w:basedOn w:val="Normal"/>
    <w:next w:val="Normal"/>
    <w:link w:val="Heading4Char"/>
    <w:uiPriority w:val="9"/>
    <w:unhideWhenUsed/>
    <w:qFormat/>
    <w:rsid w:val="007C0309"/>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700F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700F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700F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00F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700F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0FA"/>
    <w:pPr>
      <w:ind w:left="720"/>
      <w:contextualSpacing/>
    </w:pPr>
  </w:style>
  <w:style w:type="paragraph" w:styleId="BalloonText">
    <w:name w:val="Balloon Text"/>
    <w:basedOn w:val="Normal"/>
    <w:link w:val="BalloonTextChar"/>
    <w:uiPriority w:val="99"/>
    <w:semiHidden/>
    <w:unhideWhenUsed/>
    <w:rsid w:val="00AB0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7F7"/>
    <w:rPr>
      <w:rFonts w:ascii="Tahoma" w:hAnsi="Tahoma" w:cs="Tahoma"/>
      <w:sz w:val="16"/>
      <w:szCs w:val="16"/>
    </w:rPr>
  </w:style>
  <w:style w:type="table" w:styleId="TableGrid">
    <w:name w:val="Table Grid"/>
    <w:basedOn w:val="TableNormal"/>
    <w:uiPriority w:val="59"/>
    <w:rsid w:val="00367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677E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A179D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Heading1Char">
    <w:name w:val="Heading 1 Char"/>
    <w:basedOn w:val="DefaultParagraphFont"/>
    <w:link w:val="Heading1"/>
    <w:uiPriority w:val="9"/>
    <w:rsid w:val="00213A08"/>
    <w:rPr>
      <w:rFonts w:ascii="Calibri Light" w:eastAsiaTheme="majorEastAsia" w:hAnsi="Calibri Light" w:cstheme="majorBidi"/>
      <w:b/>
      <w:bCs/>
      <w:sz w:val="28"/>
      <w:szCs w:val="28"/>
    </w:rPr>
  </w:style>
  <w:style w:type="character" w:customStyle="1" w:styleId="Heading2Char">
    <w:name w:val="Heading 2 Char"/>
    <w:basedOn w:val="DefaultParagraphFont"/>
    <w:link w:val="Heading2"/>
    <w:uiPriority w:val="9"/>
    <w:rsid w:val="00213A08"/>
    <w:rPr>
      <w:rFonts w:ascii="Calibri Light" w:eastAsiaTheme="majorEastAsia" w:hAnsi="Calibri Light" w:cstheme="majorBidi"/>
      <w:b/>
      <w:bCs/>
      <w:sz w:val="26"/>
      <w:szCs w:val="26"/>
    </w:rPr>
  </w:style>
  <w:style w:type="character" w:customStyle="1" w:styleId="Heading3Char">
    <w:name w:val="Heading 3 Char"/>
    <w:basedOn w:val="DefaultParagraphFont"/>
    <w:link w:val="Heading3"/>
    <w:uiPriority w:val="9"/>
    <w:rsid w:val="00213A08"/>
    <w:rPr>
      <w:rFonts w:ascii="Calibri Light" w:eastAsiaTheme="majorEastAsia" w:hAnsi="Calibri Light" w:cstheme="majorBidi"/>
      <w:b/>
      <w:bCs/>
    </w:rPr>
  </w:style>
  <w:style w:type="character" w:customStyle="1" w:styleId="Heading4Char">
    <w:name w:val="Heading 4 Char"/>
    <w:basedOn w:val="DefaultParagraphFont"/>
    <w:link w:val="Heading4"/>
    <w:uiPriority w:val="9"/>
    <w:rsid w:val="007C030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700F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700F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700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00F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700F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1700F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700F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700F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700FA"/>
    <w:rPr>
      <w:rFonts w:asciiTheme="majorHAnsi" w:eastAsiaTheme="majorEastAsia" w:hAnsiTheme="majorHAnsi" w:cstheme="majorBidi"/>
      <w:i/>
      <w:iCs/>
      <w:spacing w:val="13"/>
      <w:sz w:val="24"/>
      <w:szCs w:val="24"/>
    </w:rPr>
  </w:style>
  <w:style w:type="character" w:styleId="Strong">
    <w:name w:val="Strong"/>
    <w:uiPriority w:val="22"/>
    <w:qFormat/>
    <w:rsid w:val="001700FA"/>
    <w:rPr>
      <w:b/>
      <w:bCs/>
    </w:rPr>
  </w:style>
  <w:style w:type="character" w:styleId="Emphasis">
    <w:name w:val="Emphasis"/>
    <w:uiPriority w:val="20"/>
    <w:qFormat/>
    <w:rsid w:val="001700FA"/>
    <w:rPr>
      <w:b/>
      <w:bCs/>
      <w:i/>
      <w:iCs/>
      <w:spacing w:val="10"/>
      <w:bdr w:val="none" w:sz="0" w:space="0" w:color="auto"/>
      <w:shd w:val="clear" w:color="auto" w:fill="auto"/>
    </w:rPr>
  </w:style>
  <w:style w:type="paragraph" w:styleId="NoSpacing">
    <w:name w:val="No Spacing"/>
    <w:basedOn w:val="Normal"/>
    <w:uiPriority w:val="1"/>
    <w:qFormat/>
    <w:rsid w:val="001700FA"/>
    <w:pPr>
      <w:spacing w:after="0" w:line="240" w:lineRule="auto"/>
    </w:pPr>
  </w:style>
  <w:style w:type="paragraph" w:styleId="Quote">
    <w:name w:val="Quote"/>
    <w:basedOn w:val="Normal"/>
    <w:next w:val="Normal"/>
    <w:link w:val="QuoteChar"/>
    <w:uiPriority w:val="29"/>
    <w:qFormat/>
    <w:rsid w:val="001700FA"/>
    <w:pPr>
      <w:spacing w:before="200" w:after="0"/>
      <w:ind w:left="360" w:right="360"/>
    </w:pPr>
    <w:rPr>
      <w:i/>
      <w:iCs/>
    </w:rPr>
  </w:style>
  <w:style w:type="character" w:customStyle="1" w:styleId="QuoteChar">
    <w:name w:val="Quote Char"/>
    <w:basedOn w:val="DefaultParagraphFont"/>
    <w:link w:val="Quote"/>
    <w:uiPriority w:val="29"/>
    <w:rsid w:val="001700FA"/>
    <w:rPr>
      <w:i/>
      <w:iCs/>
    </w:rPr>
  </w:style>
  <w:style w:type="paragraph" w:styleId="IntenseQuote">
    <w:name w:val="Intense Quote"/>
    <w:basedOn w:val="Normal"/>
    <w:next w:val="Normal"/>
    <w:link w:val="IntenseQuoteChar"/>
    <w:uiPriority w:val="30"/>
    <w:qFormat/>
    <w:rsid w:val="001700F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700FA"/>
    <w:rPr>
      <w:b/>
      <w:bCs/>
      <w:i/>
      <w:iCs/>
    </w:rPr>
  </w:style>
  <w:style w:type="character" w:styleId="SubtleEmphasis">
    <w:name w:val="Subtle Emphasis"/>
    <w:uiPriority w:val="19"/>
    <w:qFormat/>
    <w:rsid w:val="001700FA"/>
    <w:rPr>
      <w:i/>
      <w:iCs/>
    </w:rPr>
  </w:style>
  <w:style w:type="character" w:styleId="IntenseEmphasis">
    <w:name w:val="Intense Emphasis"/>
    <w:uiPriority w:val="21"/>
    <w:qFormat/>
    <w:rsid w:val="001700FA"/>
    <w:rPr>
      <w:b/>
      <w:bCs/>
    </w:rPr>
  </w:style>
  <w:style w:type="character" w:styleId="SubtleReference">
    <w:name w:val="Subtle Reference"/>
    <w:uiPriority w:val="31"/>
    <w:qFormat/>
    <w:rsid w:val="001700FA"/>
    <w:rPr>
      <w:smallCaps/>
    </w:rPr>
  </w:style>
  <w:style w:type="character" w:styleId="IntenseReference">
    <w:name w:val="Intense Reference"/>
    <w:uiPriority w:val="32"/>
    <w:qFormat/>
    <w:rsid w:val="001700FA"/>
    <w:rPr>
      <w:smallCaps/>
      <w:spacing w:val="5"/>
      <w:u w:val="single"/>
    </w:rPr>
  </w:style>
  <w:style w:type="character" w:styleId="BookTitle">
    <w:name w:val="Book Title"/>
    <w:uiPriority w:val="33"/>
    <w:qFormat/>
    <w:rsid w:val="001700FA"/>
    <w:rPr>
      <w:i/>
      <w:iCs/>
      <w:smallCaps/>
      <w:spacing w:val="5"/>
    </w:rPr>
  </w:style>
  <w:style w:type="paragraph" w:styleId="TOCHeading">
    <w:name w:val="TOC Heading"/>
    <w:basedOn w:val="Heading1"/>
    <w:next w:val="Normal"/>
    <w:uiPriority w:val="39"/>
    <w:semiHidden/>
    <w:unhideWhenUsed/>
    <w:qFormat/>
    <w:rsid w:val="001700FA"/>
    <w:pPr>
      <w:outlineLvl w:val="9"/>
    </w:pPr>
    <w:rPr>
      <w:lang w:bidi="en-US"/>
    </w:rPr>
  </w:style>
  <w:style w:type="paragraph" w:styleId="Header">
    <w:name w:val="header"/>
    <w:basedOn w:val="Normal"/>
    <w:link w:val="HeaderChar"/>
    <w:uiPriority w:val="99"/>
    <w:unhideWhenUsed/>
    <w:rsid w:val="007C03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309"/>
  </w:style>
  <w:style w:type="paragraph" w:styleId="Footer">
    <w:name w:val="footer"/>
    <w:basedOn w:val="Normal"/>
    <w:link w:val="FooterChar"/>
    <w:uiPriority w:val="99"/>
    <w:unhideWhenUsed/>
    <w:rsid w:val="007C03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309"/>
  </w:style>
  <w:style w:type="paragraph" w:customStyle="1" w:styleId="Tableleft">
    <w:name w:val="Table left"/>
    <w:link w:val="TableleftChar"/>
    <w:qFormat/>
    <w:rsid w:val="000A3E7E"/>
    <w:pPr>
      <w:spacing w:before="20" w:after="20" w:line="240" w:lineRule="auto"/>
    </w:pPr>
    <w:rPr>
      <w:rFonts w:ascii="Calibri" w:eastAsia="Calibri" w:hAnsi="Calibri" w:cstheme="minorHAnsi"/>
      <w:szCs w:val="20"/>
      <w:lang w:eastAsia="en-GB"/>
    </w:rPr>
  </w:style>
  <w:style w:type="paragraph" w:customStyle="1" w:styleId="Tablecentre">
    <w:name w:val="Table centre"/>
    <w:link w:val="TablecentreChar"/>
    <w:qFormat/>
    <w:rsid w:val="000A3E7E"/>
    <w:pPr>
      <w:spacing w:before="20" w:after="20" w:line="240" w:lineRule="auto"/>
      <w:jc w:val="center"/>
    </w:pPr>
    <w:rPr>
      <w:rFonts w:ascii="Calibri" w:eastAsia="Calibri" w:hAnsi="Calibri" w:cstheme="minorHAnsi"/>
      <w:szCs w:val="20"/>
      <w:lang w:eastAsia="en-GB"/>
    </w:rPr>
  </w:style>
  <w:style w:type="character" w:customStyle="1" w:styleId="TableleftChar">
    <w:name w:val="Table left Char"/>
    <w:basedOn w:val="DefaultParagraphFont"/>
    <w:link w:val="Tableleft"/>
    <w:rsid w:val="000A3E7E"/>
    <w:rPr>
      <w:rFonts w:ascii="Calibri" w:eastAsia="Calibri" w:hAnsi="Calibri" w:cstheme="minorHAnsi"/>
      <w:szCs w:val="20"/>
      <w:lang w:eastAsia="en-GB"/>
    </w:rPr>
  </w:style>
  <w:style w:type="paragraph" w:customStyle="1" w:styleId="Tableheading">
    <w:name w:val="Table heading"/>
    <w:basedOn w:val="Tablecentre"/>
    <w:link w:val="TableheadingChar"/>
    <w:qFormat/>
    <w:rsid w:val="000A3E7E"/>
    <w:rPr>
      <w:b/>
    </w:rPr>
  </w:style>
  <w:style w:type="character" w:customStyle="1" w:styleId="TablecentreChar">
    <w:name w:val="Table centre Char"/>
    <w:basedOn w:val="TableleftChar"/>
    <w:link w:val="Tablecentre"/>
    <w:rsid w:val="000A3E7E"/>
    <w:rPr>
      <w:rFonts w:ascii="Calibri" w:eastAsia="Calibri" w:hAnsi="Calibri" w:cstheme="minorHAnsi"/>
      <w:szCs w:val="20"/>
      <w:lang w:eastAsia="en-GB"/>
    </w:rPr>
  </w:style>
  <w:style w:type="character" w:customStyle="1" w:styleId="TableheadingChar">
    <w:name w:val="Table heading Char"/>
    <w:basedOn w:val="TablecentreChar"/>
    <w:link w:val="Tableheading"/>
    <w:rsid w:val="000A3E7E"/>
    <w:rPr>
      <w:rFonts w:ascii="Calibri" w:eastAsia="Calibri" w:hAnsi="Calibri" w:cstheme="minorHAnsi"/>
      <w:b/>
      <w:szCs w:val="20"/>
      <w:lang w:eastAsia="en-GB"/>
    </w:rPr>
  </w:style>
  <w:style w:type="paragraph" w:styleId="DocumentMap">
    <w:name w:val="Document Map"/>
    <w:basedOn w:val="Normal"/>
    <w:link w:val="DocumentMapChar"/>
    <w:uiPriority w:val="99"/>
    <w:semiHidden/>
    <w:unhideWhenUsed/>
    <w:rsid w:val="00F15BE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15BEF"/>
    <w:rPr>
      <w:rFonts w:ascii="Tahoma" w:hAnsi="Tahoma" w:cs="Tahoma"/>
      <w:sz w:val="16"/>
      <w:szCs w:val="16"/>
    </w:rPr>
  </w:style>
  <w:style w:type="character" w:customStyle="1" w:styleId="apple-converted-space">
    <w:name w:val="apple-converted-space"/>
    <w:basedOn w:val="DefaultParagraphFont"/>
    <w:rsid w:val="003F7BE5"/>
  </w:style>
  <w:style w:type="character" w:styleId="CommentReference">
    <w:name w:val="annotation reference"/>
    <w:basedOn w:val="DefaultParagraphFont"/>
    <w:uiPriority w:val="99"/>
    <w:semiHidden/>
    <w:unhideWhenUsed/>
    <w:rsid w:val="008D030E"/>
    <w:rPr>
      <w:sz w:val="16"/>
      <w:szCs w:val="16"/>
    </w:rPr>
  </w:style>
  <w:style w:type="paragraph" w:styleId="CommentText">
    <w:name w:val="annotation text"/>
    <w:basedOn w:val="Normal"/>
    <w:link w:val="CommentTextChar"/>
    <w:uiPriority w:val="99"/>
    <w:unhideWhenUsed/>
    <w:rsid w:val="008D030E"/>
    <w:pPr>
      <w:spacing w:line="240" w:lineRule="auto"/>
    </w:pPr>
    <w:rPr>
      <w:sz w:val="20"/>
      <w:szCs w:val="20"/>
    </w:rPr>
  </w:style>
  <w:style w:type="character" w:customStyle="1" w:styleId="CommentTextChar">
    <w:name w:val="Comment Text Char"/>
    <w:basedOn w:val="DefaultParagraphFont"/>
    <w:link w:val="CommentText"/>
    <w:uiPriority w:val="99"/>
    <w:rsid w:val="008D030E"/>
    <w:rPr>
      <w:sz w:val="20"/>
      <w:szCs w:val="20"/>
    </w:rPr>
  </w:style>
  <w:style w:type="paragraph" w:styleId="CommentSubject">
    <w:name w:val="annotation subject"/>
    <w:basedOn w:val="CommentText"/>
    <w:next w:val="CommentText"/>
    <w:link w:val="CommentSubjectChar"/>
    <w:uiPriority w:val="99"/>
    <w:semiHidden/>
    <w:unhideWhenUsed/>
    <w:rsid w:val="008D030E"/>
    <w:rPr>
      <w:b/>
      <w:bCs/>
    </w:rPr>
  </w:style>
  <w:style w:type="character" w:customStyle="1" w:styleId="CommentSubjectChar">
    <w:name w:val="Comment Subject Char"/>
    <w:basedOn w:val="CommentTextChar"/>
    <w:link w:val="CommentSubject"/>
    <w:uiPriority w:val="99"/>
    <w:semiHidden/>
    <w:rsid w:val="008D030E"/>
    <w:rPr>
      <w:b/>
      <w:bCs/>
      <w:sz w:val="20"/>
      <w:szCs w:val="20"/>
    </w:rPr>
  </w:style>
  <w:style w:type="character" w:styleId="Hyperlink">
    <w:name w:val="Hyperlink"/>
    <w:basedOn w:val="DefaultParagraphFont"/>
    <w:uiPriority w:val="99"/>
    <w:unhideWhenUsed/>
    <w:rsid w:val="000D4374"/>
    <w:rPr>
      <w:color w:val="0000FF"/>
      <w:u w:val="single"/>
    </w:rPr>
  </w:style>
  <w:style w:type="character" w:customStyle="1" w:styleId="interref">
    <w:name w:val="interref"/>
    <w:basedOn w:val="DefaultParagraphFont"/>
    <w:rsid w:val="000D4374"/>
  </w:style>
  <w:style w:type="paragraph" w:styleId="Bibliography">
    <w:name w:val="Bibliography"/>
    <w:basedOn w:val="Normal"/>
    <w:next w:val="Normal"/>
    <w:uiPriority w:val="37"/>
    <w:unhideWhenUsed/>
    <w:rsid w:val="00C64A2B"/>
    <w:pPr>
      <w:tabs>
        <w:tab w:val="left" w:pos="384"/>
      </w:tabs>
      <w:spacing w:line="240" w:lineRule="auto"/>
      <w:ind w:left="384" w:hanging="384"/>
    </w:pPr>
  </w:style>
  <w:style w:type="paragraph" w:styleId="FootnoteText">
    <w:name w:val="footnote text"/>
    <w:basedOn w:val="Normal"/>
    <w:link w:val="FootnoteTextChar"/>
    <w:uiPriority w:val="99"/>
    <w:semiHidden/>
    <w:unhideWhenUsed/>
    <w:rsid w:val="003F2E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2E"/>
    <w:rPr>
      <w:sz w:val="20"/>
      <w:szCs w:val="20"/>
    </w:rPr>
  </w:style>
  <w:style w:type="character" w:styleId="FootnoteReference">
    <w:name w:val="footnote reference"/>
    <w:basedOn w:val="DefaultParagraphFont"/>
    <w:uiPriority w:val="99"/>
    <w:semiHidden/>
    <w:unhideWhenUsed/>
    <w:rsid w:val="003F2E2E"/>
    <w:rPr>
      <w:vertAlign w:val="superscript"/>
    </w:rPr>
  </w:style>
  <w:style w:type="character" w:styleId="PlaceholderText">
    <w:name w:val="Placeholder Text"/>
    <w:basedOn w:val="DefaultParagraphFont"/>
    <w:uiPriority w:val="99"/>
    <w:semiHidden/>
    <w:rsid w:val="00ED1C29"/>
    <w:rPr>
      <w:color w:val="808080"/>
    </w:rPr>
  </w:style>
  <w:style w:type="paragraph" w:styleId="NormalWeb">
    <w:name w:val="Normal (Web)"/>
    <w:basedOn w:val="Normal"/>
    <w:uiPriority w:val="99"/>
    <w:unhideWhenUsed/>
    <w:rsid w:val="00DA515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DA5151"/>
    <w:pPr>
      <w:spacing w:after="0" w:line="240" w:lineRule="auto"/>
    </w:pPr>
  </w:style>
  <w:style w:type="paragraph" w:customStyle="1" w:styleId="last">
    <w:name w:val="last"/>
    <w:basedOn w:val="Normal"/>
    <w:rsid w:val="00712D0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6E14B5"/>
    <w:rPr>
      <w:i/>
      <w:iCs/>
    </w:rPr>
  </w:style>
  <w:style w:type="character" w:customStyle="1" w:styleId="paragraph">
    <w:name w:val="paragraph"/>
    <w:basedOn w:val="DefaultParagraphFont"/>
    <w:rsid w:val="00B43A21"/>
  </w:style>
  <w:style w:type="character" w:customStyle="1" w:styleId="abstract">
    <w:name w:val="abstract"/>
    <w:basedOn w:val="DefaultParagraphFont"/>
    <w:rsid w:val="00B43A21"/>
  </w:style>
  <w:style w:type="character" w:customStyle="1" w:styleId="mb">
    <w:name w:val="mb"/>
    <w:basedOn w:val="DefaultParagraphFont"/>
    <w:rsid w:val="00B43A21"/>
  </w:style>
  <w:style w:type="paragraph" w:customStyle="1" w:styleId="Beforetables">
    <w:name w:val="Before tables"/>
    <w:basedOn w:val="Normal"/>
    <w:link w:val="BeforetablesChar"/>
    <w:qFormat/>
    <w:rsid w:val="00B92662"/>
    <w:pPr>
      <w:spacing w:after="0"/>
    </w:pPr>
    <w:rPr>
      <w:sz w:val="8"/>
      <w:szCs w:val="8"/>
    </w:rPr>
  </w:style>
  <w:style w:type="paragraph" w:customStyle="1" w:styleId="Aftertables">
    <w:name w:val="After tables"/>
    <w:basedOn w:val="Normal"/>
    <w:link w:val="AftertablesChar"/>
    <w:qFormat/>
    <w:rsid w:val="007B3B22"/>
    <w:pPr>
      <w:spacing w:after="0"/>
    </w:pPr>
  </w:style>
  <w:style w:type="character" w:customStyle="1" w:styleId="BeforetablesChar">
    <w:name w:val="Before tables Char"/>
    <w:basedOn w:val="DefaultParagraphFont"/>
    <w:link w:val="Beforetables"/>
    <w:rsid w:val="00B92662"/>
    <w:rPr>
      <w:sz w:val="8"/>
      <w:szCs w:val="8"/>
    </w:rPr>
  </w:style>
  <w:style w:type="character" w:customStyle="1" w:styleId="AftertablesChar">
    <w:name w:val="After tables Char"/>
    <w:basedOn w:val="DefaultParagraphFont"/>
    <w:link w:val="Aftertables"/>
    <w:rsid w:val="007B3B22"/>
  </w:style>
  <w:style w:type="character" w:customStyle="1" w:styleId="scp">
    <w:name w:val="scp"/>
    <w:basedOn w:val="DefaultParagraphFont"/>
    <w:rsid w:val="00C574AA"/>
  </w:style>
  <w:style w:type="paragraph" w:customStyle="1" w:styleId="follows-h4">
    <w:name w:val="follows-h4"/>
    <w:basedOn w:val="Normal"/>
    <w:rsid w:val="00C574A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
    <w:name w:val="p"/>
    <w:basedOn w:val="Normal"/>
    <w:rsid w:val="0063487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
    <w:name w:val="norm"/>
    <w:basedOn w:val="Normal"/>
    <w:rsid w:val="00D620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071925"/>
    <w:rPr>
      <w:color w:val="800080" w:themeColor="followedHyperlink"/>
      <w:u w:val="single"/>
    </w:rPr>
  </w:style>
  <w:style w:type="paragraph" w:customStyle="1" w:styleId="Body">
    <w:name w:val="Body"/>
    <w:rsid w:val="00FB4A1B"/>
    <w:pPr>
      <w:pBdr>
        <w:top w:val="nil"/>
        <w:left w:val="nil"/>
        <w:bottom w:val="nil"/>
        <w:right w:val="nil"/>
        <w:between w:val="nil"/>
        <w:bar w:val="nil"/>
      </w:pBdr>
      <w:spacing w:after="240" w:line="360" w:lineRule="auto"/>
    </w:pPr>
    <w:rPr>
      <w:rFonts w:ascii="Calibri" w:eastAsia="Calibri" w:hAnsi="Calibri" w:cs="Calibri"/>
      <w:color w:val="000000"/>
      <w:u w:color="000000"/>
      <w:bdr w:val="nil"/>
      <w:lang w:val="en-US" w:eastAsia="en-GB"/>
    </w:rPr>
  </w:style>
  <w:style w:type="character" w:customStyle="1" w:styleId="None">
    <w:name w:val="None"/>
    <w:rsid w:val="004F101F"/>
  </w:style>
  <w:style w:type="character" w:customStyle="1" w:styleId="UnresolvedMention1">
    <w:name w:val="Unresolved Mention1"/>
    <w:basedOn w:val="DefaultParagraphFont"/>
    <w:uiPriority w:val="99"/>
    <w:semiHidden/>
    <w:unhideWhenUsed/>
    <w:rsid w:val="000F7D25"/>
    <w:rPr>
      <w:color w:val="808080"/>
      <w:shd w:val="clear" w:color="auto" w:fill="E6E6E6"/>
    </w:rPr>
  </w:style>
  <w:style w:type="character" w:customStyle="1" w:styleId="UnresolvedMention2">
    <w:name w:val="Unresolved Mention2"/>
    <w:basedOn w:val="DefaultParagraphFont"/>
    <w:uiPriority w:val="99"/>
    <w:rsid w:val="003222DD"/>
    <w:rPr>
      <w:color w:val="605E5C"/>
      <w:shd w:val="clear" w:color="auto" w:fill="E1DFDD"/>
    </w:rPr>
  </w:style>
  <w:style w:type="character" w:styleId="LineNumber">
    <w:name w:val="line number"/>
    <w:basedOn w:val="DefaultParagraphFont"/>
    <w:uiPriority w:val="99"/>
    <w:semiHidden/>
    <w:unhideWhenUsed/>
    <w:rsid w:val="00543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7113">
      <w:bodyDiv w:val="1"/>
      <w:marLeft w:val="0"/>
      <w:marRight w:val="0"/>
      <w:marTop w:val="0"/>
      <w:marBottom w:val="0"/>
      <w:divBdr>
        <w:top w:val="none" w:sz="0" w:space="0" w:color="auto"/>
        <w:left w:val="none" w:sz="0" w:space="0" w:color="auto"/>
        <w:bottom w:val="none" w:sz="0" w:space="0" w:color="auto"/>
        <w:right w:val="none" w:sz="0" w:space="0" w:color="auto"/>
      </w:divBdr>
    </w:div>
    <w:div w:id="156115429">
      <w:bodyDiv w:val="1"/>
      <w:marLeft w:val="0"/>
      <w:marRight w:val="0"/>
      <w:marTop w:val="0"/>
      <w:marBottom w:val="0"/>
      <w:divBdr>
        <w:top w:val="none" w:sz="0" w:space="0" w:color="auto"/>
        <w:left w:val="none" w:sz="0" w:space="0" w:color="auto"/>
        <w:bottom w:val="none" w:sz="0" w:space="0" w:color="auto"/>
        <w:right w:val="none" w:sz="0" w:space="0" w:color="auto"/>
      </w:divBdr>
    </w:div>
    <w:div w:id="184562450">
      <w:bodyDiv w:val="1"/>
      <w:marLeft w:val="0"/>
      <w:marRight w:val="0"/>
      <w:marTop w:val="0"/>
      <w:marBottom w:val="0"/>
      <w:divBdr>
        <w:top w:val="none" w:sz="0" w:space="0" w:color="auto"/>
        <w:left w:val="none" w:sz="0" w:space="0" w:color="auto"/>
        <w:bottom w:val="none" w:sz="0" w:space="0" w:color="auto"/>
        <w:right w:val="none" w:sz="0" w:space="0" w:color="auto"/>
      </w:divBdr>
      <w:divsChild>
        <w:div w:id="172036291">
          <w:marLeft w:val="0"/>
          <w:marRight w:val="0"/>
          <w:marTop w:val="0"/>
          <w:marBottom w:val="0"/>
          <w:divBdr>
            <w:top w:val="none" w:sz="0" w:space="0" w:color="auto"/>
            <w:left w:val="none" w:sz="0" w:space="0" w:color="auto"/>
            <w:bottom w:val="none" w:sz="0" w:space="0" w:color="auto"/>
            <w:right w:val="none" w:sz="0" w:space="0" w:color="auto"/>
          </w:divBdr>
          <w:divsChild>
            <w:div w:id="163984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2210">
      <w:bodyDiv w:val="1"/>
      <w:marLeft w:val="0"/>
      <w:marRight w:val="0"/>
      <w:marTop w:val="0"/>
      <w:marBottom w:val="0"/>
      <w:divBdr>
        <w:top w:val="none" w:sz="0" w:space="0" w:color="auto"/>
        <w:left w:val="none" w:sz="0" w:space="0" w:color="auto"/>
        <w:bottom w:val="none" w:sz="0" w:space="0" w:color="auto"/>
        <w:right w:val="none" w:sz="0" w:space="0" w:color="auto"/>
      </w:divBdr>
      <w:divsChild>
        <w:div w:id="688916467">
          <w:marLeft w:val="0"/>
          <w:marRight w:val="0"/>
          <w:marTop w:val="0"/>
          <w:marBottom w:val="0"/>
          <w:divBdr>
            <w:top w:val="none" w:sz="0" w:space="0" w:color="auto"/>
            <w:left w:val="none" w:sz="0" w:space="0" w:color="auto"/>
            <w:bottom w:val="none" w:sz="0" w:space="0" w:color="auto"/>
            <w:right w:val="none" w:sz="0" w:space="0" w:color="auto"/>
          </w:divBdr>
        </w:div>
        <w:div w:id="1533568332">
          <w:marLeft w:val="0"/>
          <w:marRight w:val="0"/>
          <w:marTop w:val="0"/>
          <w:marBottom w:val="0"/>
          <w:divBdr>
            <w:top w:val="none" w:sz="0" w:space="0" w:color="auto"/>
            <w:left w:val="none" w:sz="0" w:space="0" w:color="auto"/>
            <w:bottom w:val="none" w:sz="0" w:space="0" w:color="auto"/>
            <w:right w:val="none" w:sz="0" w:space="0" w:color="auto"/>
          </w:divBdr>
        </w:div>
      </w:divsChild>
    </w:div>
    <w:div w:id="261035681">
      <w:bodyDiv w:val="1"/>
      <w:marLeft w:val="0"/>
      <w:marRight w:val="0"/>
      <w:marTop w:val="0"/>
      <w:marBottom w:val="0"/>
      <w:divBdr>
        <w:top w:val="none" w:sz="0" w:space="0" w:color="auto"/>
        <w:left w:val="none" w:sz="0" w:space="0" w:color="auto"/>
        <w:bottom w:val="none" w:sz="0" w:space="0" w:color="auto"/>
        <w:right w:val="none" w:sz="0" w:space="0" w:color="auto"/>
      </w:divBdr>
      <w:divsChild>
        <w:div w:id="601036047">
          <w:marLeft w:val="0"/>
          <w:marRight w:val="0"/>
          <w:marTop w:val="240"/>
          <w:marBottom w:val="0"/>
          <w:divBdr>
            <w:top w:val="none" w:sz="0" w:space="0" w:color="auto"/>
            <w:left w:val="none" w:sz="0" w:space="0" w:color="auto"/>
            <w:bottom w:val="none" w:sz="0" w:space="0" w:color="auto"/>
            <w:right w:val="none" w:sz="0" w:space="0" w:color="auto"/>
          </w:divBdr>
        </w:div>
        <w:div w:id="1390955878">
          <w:marLeft w:val="0"/>
          <w:marRight w:val="0"/>
          <w:marTop w:val="240"/>
          <w:marBottom w:val="0"/>
          <w:divBdr>
            <w:top w:val="none" w:sz="0" w:space="0" w:color="auto"/>
            <w:left w:val="none" w:sz="0" w:space="0" w:color="auto"/>
            <w:bottom w:val="none" w:sz="0" w:space="0" w:color="auto"/>
            <w:right w:val="none" w:sz="0" w:space="0" w:color="auto"/>
          </w:divBdr>
        </w:div>
        <w:div w:id="1706372710">
          <w:marLeft w:val="0"/>
          <w:marRight w:val="0"/>
          <w:marTop w:val="240"/>
          <w:marBottom w:val="0"/>
          <w:divBdr>
            <w:top w:val="none" w:sz="0" w:space="0" w:color="auto"/>
            <w:left w:val="none" w:sz="0" w:space="0" w:color="auto"/>
            <w:bottom w:val="none" w:sz="0" w:space="0" w:color="auto"/>
            <w:right w:val="none" w:sz="0" w:space="0" w:color="auto"/>
          </w:divBdr>
        </w:div>
        <w:div w:id="1812940100">
          <w:marLeft w:val="0"/>
          <w:marRight w:val="0"/>
          <w:marTop w:val="240"/>
          <w:marBottom w:val="0"/>
          <w:divBdr>
            <w:top w:val="none" w:sz="0" w:space="0" w:color="auto"/>
            <w:left w:val="none" w:sz="0" w:space="0" w:color="auto"/>
            <w:bottom w:val="none" w:sz="0" w:space="0" w:color="auto"/>
            <w:right w:val="none" w:sz="0" w:space="0" w:color="auto"/>
          </w:divBdr>
        </w:div>
      </w:divsChild>
    </w:div>
    <w:div w:id="310522309">
      <w:bodyDiv w:val="1"/>
      <w:marLeft w:val="0"/>
      <w:marRight w:val="0"/>
      <w:marTop w:val="0"/>
      <w:marBottom w:val="0"/>
      <w:divBdr>
        <w:top w:val="none" w:sz="0" w:space="0" w:color="auto"/>
        <w:left w:val="none" w:sz="0" w:space="0" w:color="auto"/>
        <w:bottom w:val="none" w:sz="0" w:space="0" w:color="auto"/>
        <w:right w:val="none" w:sz="0" w:space="0" w:color="auto"/>
      </w:divBdr>
    </w:div>
    <w:div w:id="321545172">
      <w:bodyDiv w:val="1"/>
      <w:marLeft w:val="0"/>
      <w:marRight w:val="0"/>
      <w:marTop w:val="0"/>
      <w:marBottom w:val="0"/>
      <w:divBdr>
        <w:top w:val="none" w:sz="0" w:space="0" w:color="auto"/>
        <w:left w:val="none" w:sz="0" w:space="0" w:color="auto"/>
        <w:bottom w:val="none" w:sz="0" w:space="0" w:color="auto"/>
        <w:right w:val="none" w:sz="0" w:space="0" w:color="auto"/>
      </w:divBdr>
      <w:divsChild>
        <w:div w:id="1202132517">
          <w:marLeft w:val="0"/>
          <w:marRight w:val="0"/>
          <w:marTop w:val="0"/>
          <w:marBottom w:val="0"/>
          <w:divBdr>
            <w:top w:val="none" w:sz="0" w:space="0" w:color="auto"/>
            <w:left w:val="none" w:sz="0" w:space="0" w:color="auto"/>
            <w:bottom w:val="none" w:sz="0" w:space="0" w:color="auto"/>
            <w:right w:val="none" w:sz="0" w:space="0" w:color="auto"/>
          </w:divBdr>
          <w:divsChild>
            <w:div w:id="7219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4398">
      <w:bodyDiv w:val="1"/>
      <w:marLeft w:val="0"/>
      <w:marRight w:val="0"/>
      <w:marTop w:val="0"/>
      <w:marBottom w:val="0"/>
      <w:divBdr>
        <w:top w:val="none" w:sz="0" w:space="0" w:color="auto"/>
        <w:left w:val="none" w:sz="0" w:space="0" w:color="auto"/>
        <w:bottom w:val="none" w:sz="0" w:space="0" w:color="auto"/>
        <w:right w:val="none" w:sz="0" w:space="0" w:color="auto"/>
      </w:divBdr>
    </w:div>
    <w:div w:id="411392673">
      <w:bodyDiv w:val="1"/>
      <w:marLeft w:val="0"/>
      <w:marRight w:val="0"/>
      <w:marTop w:val="0"/>
      <w:marBottom w:val="0"/>
      <w:divBdr>
        <w:top w:val="none" w:sz="0" w:space="0" w:color="auto"/>
        <w:left w:val="none" w:sz="0" w:space="0" w:color="auto"/>
        <w:bottom w:val="none" w:sz="0" w:space="0" w:color="auto"/>
        <w:right w:val="none" w:sz="0" w:space="0" w:color="auto"/>
      </w:divBdr>
    </w:div>
    <w:div w:id="531965485">
      <w:bodyDiv w:val="1"/>
      <w:marLeft w:val="0"/>
      <w:marRight w:val="0"/>
      <w:marTop w:val="0"/>
      <w:marBottom w:val="0"/>
      <w:divBdr>
        <w:top w:val="none" w:sz="0" w:space="0" w:color="auto"/>
        <w:left w:val="none" w:sz="0" w:space="0" w:color="auto"/>
        <w:bottom w:val="none" w:sz="0" w:space="0" w:color="auto"/>
        <w:right w:val="none" w:sz="0" w:space="0" w:color="auto"/>
      </w:divBdr>
    </w:div>
    <w:div w:id="586427571">
      <w:bodyDiv w:val="1"/>
      <w:marLeft w:val="0"/>
      <w:marRight w:val="0"/>
      <w:marTop w:val="0"/>
      <w:marBottom w:val="0"/>
      <w:divBdr>
        <w:top w:val="none" w:sz="0" w:space="0" w:color="auto"/>
        <w:left w:val="none" w:sz="0" w:space="0" w:color="auto"/>
        <w:bottom w:val="none" w:sz="0" w:space="0" w:color="auto"/>
        <w:right w:val="none" w:sz="0" w:space="0" w:color="auto"/>
      </w:divBdr>
      <w:divsChild>
        <w:div w:id="49965286">
          <w:marLeft w:val="0"/>
          <w:marRight w:val="0"/>
          <w:marTop w:val="0"/>
          <w:marBottom w:val="0"/>
          <w:divBdr>
            <w:top w:val="none" w:sz="0" w:space="0" w:color="auto"/>
            <w:left w:val="none" w:sz="0" w:space="0" w:color="auto"/>
            <w:bottom w:val="none" w:sz="0" w:space="0" w:color="auto"/>
            <w:right w:val="none" w:sz="0" w:space="0" w:color="auto"/>
          </w:divBdr>
        </w:div>
        <w:div w:id="347291936">
          <w:marLeft w:val="0"/>
          <w:marRight w:val="0"/>
          <w:marTop w:val="0"/>
          <w:marBottom w:val="0"/>
          <w:divBdr>
            <w:top w:val="none" w:sz="0" w:space="0" w:color="auto"/>
            <w:left w:val="none" w:sz="0" w:space="0" w:color="auto"/>
            <w:bottom w:val="none" w:sz="0" w:space="0" w:color="auto"/>
            <w:right w:val="none" w:sz="0" w:space="0" w:color="auto"/>
          </w:divBdr>
        </w:div>
        <w:div w:id="535043269">
          <w:marLeft w:val="0"/>
          <w:marRight w:val="0"/>
          <w:marTop w:val="0"/>
          <w:marBottom w:val="0"/>
          <w:divBdr>
            <w:top w:val="none" w:sz="0" w:space="0" w:color="auto"/>
            <w:left w:val="none" w:sz="0" w:space="0" w:color="auto"/>
            <w:bottom w:val="none" w:sz="0" w:space="0" w:color="auto"/>
            <w:right w:val="none" w:sz="0" w:space="0" w:color="auto"/>
          </w:divBdr>
        </w:div>
        <w:div w:id="539248809">
          <w:marLeft w:val="0"/>
          <w:marRight w:val="0"/>
          <w:marTop w:val="0"/>
          <w:marBottom w:val="0"/>
          <w:divBdr>
            <w:top w:val="none" w:sz="0" w:space="0" w:color="auto"/>
            <w:left w:val="none" w:sz="0" w:space="0" w:color="auto"/>
            <w:bottom w:val="none" w:sz="0" w:space="0" w:color="auto"/>
            <w:right w:val="none" w:sz="0" w:space="0" w:color="auto"/>
          </w:divBdr>
        </w:div>
        <w:div w:id="594098895">
          <w:marLeft w:val="0"/>
          <w:marRight w:val="0"/>
          <w:marTop w:val="0"/>
          <w:marBottom w:val="0"/>
          <w:divBdr>
            <w:top w:val="none" w:sz="0" w:space="0" w:color="auto"/>
            <w:left w:val="none" w:sz="0" w:space="0" w:color="auto"/>
            <w:bottom w:val="none" w:sz="0" w:space="0" w:color="auto"/>
            <w:right w:val="none" w:sz="0" w:space="0" w:color="auto"/>
          </w:divBdr>
        </w:div>
        <w:div w:id="730037435">
          <w:marLeft w:val="0"/>
          <w:marRight w:val="0"/>
          <w:marTop w:val="0"/>
          <w:marBottom w:val="0"/>
          <w:divBdr>
            <w:top w:val="none" w:sz="0" w:space="0" w:color="auto"/>
            <w:left w:val="none" w:sz="0" w:space="0" w:color="auto"/>
            <w:bottom w:val="none" w:sz="0" w:space="0" w:color="auto"/>
            <w:right w:val="none" w:sz="0" w:space="0" w:color="auto"/>
          </w:divBdr>
        </w:div>
        <w:div w:id="807086024">
          <w:marLeft w:val="0"/>
          <w:marRight w:val="0"/>
          <w:marTop w:val="0"/>
          <w:marBottom w:val="0"/>
          <w:divBdr>
            <w:top w:val="none" w:sz="0" w:space="0" w:color="auto"/>
            <w:left w:val="none" w:sz="0" w:space="0" w:color="auto"/>
            <w:bottom w:val="none" w:sz="0" w:space="0" w:color="auto"/>
            <w:right w:val="none" w:sz="0" w:space="0" w:color="auto"/>
          </w:divBdr>
        </w:div>
        <w:div w:id="847407036">
          <w:marLeft w:val="0"/>
          <w:marRight w:val="0"/>
          <w:marTop w:val="0"/>
          <w:marBottom w:val="0"/>
          <w:divBdr>
            <w:top w:val="none" w:sz="0" w:space="0" w:color="auto"/>
            <w:left w:val="none" w:sz="0" w:space="0" w:color="auto"/>
            <w:bottom w:val="none" w:sz="0" w:space="0" w:color="auto"/>
            <w:right w:val="none" w:sz="0" w:space="0" w:color="auto"/>
          </w:divBdr>
        </w:div>
        <w:div w:id="894974300">
          <w:marLeft w:val="0"/>
          <w:marRight w:val="0"/>
          <w:marTop w:val="0"/>
          <w:marBottom w:val="0"/>
          <w:divBdr>
            <w:top w:val="none" w:sz="0" w:space="0" w:color="auto"/>
            <w:left w:val="none" w:sz="0" w:space="0" w:color="auto"/>
            <w:bottom w:val="none" w:sz="0" w:space="0" w:color="auto"/>
            <w:right w:val="none" w:sz="0" w:space="0" w:color="auto"/>
          </w:divBdr>
        </w:div>
        <w:div w:id="911499752">
          <w:marLeft w:val="0"/>
          <w:marRight w:val="0"/>
          <w:marTop w:val="0"/>
          <w:marBottom w:val="0"/>
          <w:divBdr>
            <w:top w:val="none" w:sz="0" w:space="0" w:color="auto"/>
            <w:left w:val="none" w:sz="0" w:space="0" w:color="auto"/>
            <w:bottom w:val="none" w:sz="0" w:space="0" w:color="auto"/>
            <w:right w:val="none" w:sz="0" w:space="0" w:color="auto"/>
          </w:divBdr>
        </w:div>
        <w:div w:id="1008798136">
          <w:marLeft w:val="0"/>
          <w:marRight w:val="0"/>
          <w:marTop w:val="0"/>
          <w:marBottom w:val="0"/>
          <w:divBdr>
            <w:top w:val="none" w:sz="0" w:space="0" w:color="auto"/>
            <w:left w:val="none" w:sz="0" w:space="0" w:color="auto"/>
            <w:bottom w:val="none" w:sz="0" w:space="0" w:color="auto"/>
            <w:right w:val="none" w:sz="0" w:space="0" w:color="auto"/>
          </w:divBdr>
        </w:div>
        <w:div w:id="1115633325">
          <w:marLeft w:val="0"/>
          <w:marRight w:val="0"/>
          <w:marTop w:val="0"/>
          <w:marBottom w:val="0"/>
          <w:divBdr>
            <w:top w:val="none" w:sz="0" w:space="0" w:color="auto"/>
            <w:left w:val="none" w:sz="0" w:space="0" w:color="auto"/>
            <w:bottom w:val="none" w:sz="0" w:space="0" w:color="auto"/>
            <w:right w:val="none" w:sz="0" w:space="0" w:color="auto"/>
          </w:divBdr>
        </w:div>
        <w:div w:id="1149513066">
          <w:marLeft w:val="0"/>
          <w:marRight w:val="0"/>
          <w:marTop w:val="0"/>
          <w:marBottom w:val="0"/>
          <w:divBdr>
            <w:top w:val="none" w:sz="0" w:space="0" w:color="auto"/>
            <w:left w:val="none" w:sz="0" w:space="0" w:color="auto"/>
            <w:bottom w:val="none" w:sz="0" w:space="0" w:color="auto"/>
            <w:right w:val="none" w:sz="0" w:space="0" w:color="auto"/>
          </w:divBdr>
        </w:div>
        <w:div w:id="1335645611">
          <w:marLeft w:val="0"/>
          <w:marRight w:val="0"/>
          <w:marTop w:val="0"/>
          <w:marBottom w:val="0"/>
          <w:divBdr>
            <w:top w:val="none" w:sz="0" w:space="0" w:color="auto"/>
            <w:left w:val="none" w:sz="0" w:space="0" w:color="auto"/>
            <w:bottom w:val="none" w:sz="0" w:space="0" w:color="auto"/>
            <w:right w:val="none" w:sz="0" w:space="0" w:color="auto"/>
          </w:divBdr>
        </w:div>
        <w:div w:id="1374379965">
          <w:marLeft w:val="0"/>
          <w:marRight w:val="0"/>
          <w:marTop w:val="0"/>
          <w:marBottom w:val="0"/>
          <w:divBdr>
            <w:top w:val="none" w:sz="0" w:space="0" w:color="auto"/>
            <w:left w:val="none" w:sz="0" w:space="0" w:color="auto"/>
            <w:bottom w:val="none" w:sz="0" w:space="0" w:color="auto"/>
            <w:right w:val="none" w:sz="0" w:space="0" w:color="auto"/>
          </w:divBdr>
        </w:div>
        <w:div w:id="1504979038">
          <w:marLeft w:val="0"/>
          <w:marRight w:val="0"/>
          <w:marTop w:val="0"/>
          <w:marBottom w:val="0"/>
          <w:divBdr>
            <w:top w:val="none" w:sz="0" w:space="0" w:color="auto"/>
            <w:left w:val="none" w:sz="0" w:space="0" w:color="auto"/>
            <w:bottom w:val="none" w:sz="0" w:space="0" w:color="auto"/>
            <w:right w:val="none" w:sz="0" w:space="0" w:color="auto"/>
          </w:divBdr>
        </w:div>
        <w:div w:id="1702247060">
          <w:marLeft w:val="0"/>
          <w:marRight w:val="0"/>
          <w:marTop w:val="0"/>
          <w:marBottom w:val="0"/>
          <w:divBdr>
            <w:top w:val="none" w:sz="0" w:space="0" w:color="auto"/>
            <w:left w:val="none" w:sz="0" w:space="0" w:color="auto"/>
            <w:bottom w:val="none" w:sz="0" w:space="0" w:color="auto"/>
            <w:right w:val="none" w:sz="0" w:space="0" w:color="auto"/>
          </w:divBdr>
        </w:div>
        <w:div w:id="1793403269">
          <w:marLeft w:val="0"/>
          <w:marRight w:val="0"/>
          <w:marTop w:val="0"/>
          <w:marBottom w:val="0"/>
          <w:divBdr>
            <w:top w:val="none" w:sz="0" w:space="0" w:color="auto"/>
            <w:left w:val="none" w:sz="0" w:space="0" w:color="auto"/>
            <w:bottom w:val="none" w:sz="0" w:space="0" w:color="auto"/>
            <w:right w:val="none" w:sz="0" w:space="0" w:color="auto"/>
          </w:divBdr>
        </w:div>
        <w:div w:id="1822190006">
          <w:marLeft w:val="0"/>
          <w:marRight w:val="0"/>
          <w:marTop w:val="0"/>
          <w:marBottom w:val="0"/>
          <w:divBdr>
            <w:top w:val="none" w:sz="0" w:space="0" w:color="auto"/>
            <w:left w:val="none" w:sz="0" w:space="0" w:color="auto"/>
            <w:bottom w:val="none" w:sz="0" w:space="0" w:color="auto"/>
            <w:right w:val="none" w:sz="0" w:space="0" w:color="auto"/>
          </w:divBdr>
        </w:div>
        <w:div w:id="1947152790">
          <w:marLeft w:val="0"/>
          <w:marRight w:val="0"/>
          <w:marTop w:val="0"/>
          <w:marBottom w:val="0"/>
          <w:divBdr>
            <w:top w:val="none" w:sz="0" w:space="0" w:color="auto"/>
            <w:left w:val="none" w:sz="0" w:space="0" w:color="auto"/>
            <w:bottom w:val="none" w:sz="0" w:space="0" w:color="auto"/>
            <w:right w:val="none" w:sz="0" w:space="0" w:color="auto"/>
          </w:divBdr>
        </w:div>
        <w:div w:id="2036687354">
          <w:marLeft w:val="0"/>
          <w:marRight w:val="0"/>
          <w:marTop w:val="0"/>
          <w:marBottom w:val="0"/>
          <w:divBdr>
            <w:top w:val="none" w:sz="0" w:space="0" w:color="auto"/>
            <w:left w:val="none" w:sz="0" w:space="0" w:color="auto"/>
            <w:bottom w:val="none" w:sz="0" w:space="0" w:color="auto"/>
            <w:right w:val="none" w:sz="0" w:space="0" w:color="auto"/>
          </w:divBdr>
        </w:div>
        <w:div w:id="2043896907">
          <w:marLeft w:val="0"/>
          <w:marRight w:val="0"/>
          <w:marTop w:val="0"/>
          <w:marBottom w:val="0"/>
          <w:divBdr>
            <w:top w:val="none" w:sz="0" w:space="0" w:color="auto"/>
            <w:left w:val="none" w:sz="0" w:space="0" w:color="auto"/>
            <w:bottom w:val="none" w:sz="0" w:space="0" w:color="auto"/>
            <w:right w:val="none" w:sz="0" w:space="0" w:color="auto"/>
          </w:divBdr>
        </w:div>
      </w:divsChild>
    </w:div>
    <w:div w:id="629242253">
      <w:bodyDiv w:val="1"/>
      <w:marLeft w:val="0"/>
      <w:marRight w:val="0"/>
      <w:marTop w:val="0"/>
      <w:marBottom w:val="0"/>
      <w:divBdr>
        <w:top w:val="none" w:sz="0" w:space="0" w:color="auto"/>
        <w:left w:val="none" w:sz="0" w:space="0" w:color="auto"/>
        <w:bottom w:val="none" w:sz="0" w:space="0" w:color="auto"/>
        <w:right w:val="none" w:sz="0" w:space="0" w:color="auto"/>
      </w:divBdr>
      <w:divsChild>
        <w:div w:id="1914774244">
          <w:marLeft w:val="0"/>
          <w:marRight w:val="0"/>
          <w:marTop w:val="0"/>
          <w:marBottom w:val="0"/>
          <w:divBdr>
            <w:top w:val="none" w:sz="0" w:space="0" w:color="auto"/>
            <w:left w:val="none" w:sz="0" w:space="0" w:color="auto"/>
            <w:bottom w:val="none" w:sz="0" w:space="0" w:color="auto"/>
            <w:right w:val="none" w:sz="0" w:space="0" w:color="auto"/>
          </w:divBdr>
          <w:divsChild>
            <w:div w:id="63753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09967">
      <w:bodyDiv w:val="1"/>
      <w:marLeft w:val="0"/>
      <w:marRight w:val="0"/>
      <w:marTop w:val="0"/>
      <w:marBottom w:val="0"/>
      <w:divBdr>
        <w:top w:val="none" w:sz="0" w:space="0" w:color="auto"/>
        <w:left w:val="none" w:sz="0" w:space="0" w:color="auto"/>
        <w:bottom w:val="none" w:sz="0" w:space="0" w:color="auto"/>
        <w:right w:val="none" w:sz="0" w:space="0" w:color="auto"/>
      </w:divBdr>
    </w:div>
    <w:div w:id="696077880">
      <w:bodyDiv w:val="1"/>
      <w:marLeft w:val="0"/>
      <w:marRight w:val="0"/>
      <w:marTop w:val="0"/>
      <w:marBottom w:val="0"/>
      <w:divBdr>
        <w:top w:val="none" w:sz="0" w:space="0" w:color="auto"/>
        <w:left w:val="none" w:sz="0" w:space="0" w:color="auto"/>
        <w:bottom w:val="none" w:sz="0" w:space="0" w:color="auto"/>
        <w:right w:val="none" w:sz="0" w:space="0" w:color="auto"/>
      </w:divBdr>
    </w:div>
    <w:div w:id="717315685">
      <w:bodyDiv w:val="1"/>
      <w:marLeft w:val="0"/>
      <w:marRight w:val="0"/>
      <w:marTop w:val="0"/>
      <w:marBottom w:val="0"/>
      <w:divBdr>
        <w:top w:val="none" w:sz="0" w:space="0" w:color="auto"/>
        <w:left w:val="none" w:sz="0" w:space="0" w:color="auto"/>
        <w:bottom w:val="none" w:sz="0" w:space="0" w:color="auto"/>
        <w:right w:val="none" w:sz="0" w:space="0" w:color="auto"/>
      </w:divBdr>
    </w:div>
    <w:div w:id="726420716">
      <w:bodyDiv w:val="1"/>
      <w:marLeft w:val="0"/>
      <w:marRight w:val="0"/>
      <w:marTop w:val="0"/>
      <w:marBottom w:val="0"/>
      <w:divBdr>
        <w:top w:val="none" w:sz="0" w:space="0" w:color="auto"/>
        <w:left w:val="none" w:sz="0" w:space="0" w:color="auto"/>
        <w:bottom w:val="none" w:sz="0" w:space="0" w:color="auto"/>
        <w:right w:val="none" w:sz="0" w:space="0" w:color="auto"/>
      </w:divBdr>
    </w:div>
    <w:div w:id="776945318">
      <w:bodyDiv w:val="1"/>
      <w:marLeft w:val="0"/>
      <w:marRight w:val="0"/>
      <w:marTop w:val="0"/>
      <w:marBottom w:val="0"/>
      <w:divBdr>
        <w:top w:val="none" w:sz="0" w:space="0" w:color="auto"/>
        <w:left w:val="none" w:sz="0" w:space="0" w:color="auto"/>
        <w:bottom w:val="none" w:sz="0" w:space="0" w:color="auto"/>
        <w:right w:val="none" w:sz="0" w:space="0" w:color="auto"/>
      </w:divBdr>
      <w:divsChild>
        <w:div w:id="386537868">
          <w:marLeft w:val="0"/>
          <w:marRight w:val="0"/>
          <w:marTop w:val="0"/>
          <w:marBottom w:val="0"/>
          <w:divBdr>
            <w:top w:val="none" w:sz="0" w:space="0" w:color="auto"/>
            <w:left w:val="none" w:sz="0" w:space="0" w:color="auto"/>
            <w:bottom w:val="none" w:sz="0" w:space="0" w:color="auto"/>
            <w:right w:val="none" w:sz="0" w:space="0" w:color="auto"/>
          </w:divBdr>
          <w:divsChild>
            <w:div w:id="49912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0496">
      <w:bodyDiv w:val="1"/>
      <w:marLeft w:val="0"/>
      <w:marRight w:val="0"/>
      <w:marTop w:val="0"/>
      <w:marBottom w:val="0"/>
      <w:divBdr>
        <w:top w:val="none" w:sz="0" w:space="0" w:color="auto"/>
        <w:left w:val="none" w:sz="0" w:space="0" w:color="auto"/>
        <w:bottom w:val="none" w:sz="0" w:space="0" w:color="auto"/>
        <w:right w:val="none" w:sz="0" w:space="0" w:color="auto"/>
      </w:divBdr>
    </w:div>
    <w:div w:id="1045258360">
      <w:bodyDiv w:val="1"/>
      <w:marLeft w:val="0"/>
      <w:marRight w:val="0"/>
      <w:marTop w:val="0"/>
      <w:marBottom w:val="0"/>
      <w:divBdr>
        <w:top w:val="none" w:sz="0" w:space="0" w:color="auto"/>
        <w:left w:val="none" w:sz="0" w:space="0" w:color="auto"/>
        <w:bottom w:val="none" w:sz="0" w:space="0" w:color="auto"/>
        <w:right w:val="none" w:sz="0" w:space="0" w:color="auto"/>
      </w:divBdr>
    </w:div>
    <w:div w:id="1119031460">
      <w:bodyDiv w:val="1"/>
      <w:marLeft w:val="0"/>
      <w:marRight w:val="0"/>
      <w:marTop w:val="0"/>
      <w:marBottom w:val="0"/>
      <w:divBdr>
        <w:top w:val="none" w:sz="0" w:space="0" w:color="auto"/>
        <w:left w:val="none" w:sz="0" w:space="0" w:color="auto"/>
        <w:bottom w:val="none" w:sz="0" w:space="0" w:color="auto"/>
        <w:right w:val="none" w:sz="0" w:space="0" w:color="auto"/>
      </w:divBdr>
    </w:div>
    <w:div w:id="1128282702">
      <w:bodyDiv w:val="1"/>
      <w:marLeft w:val="0"/>
      <w:marRight w:val="0"/>
      <w:marTop w:val="0"/>
      <w:marBottom w:val="0"/>
      <w:divBdr>
        <w:top w:val="none" w:sz="0" w:space="0" w:color="auto"/>
        <w:left w:val="none" w:sz="0" w:space="0" w:color="auto"/>
        <w:bottom w:val="none" w:sz="0" w:space="0" w:color="auto"/>
        <w:right w:val="none" w:sz="0" w:space="0" w:color="auto"/>
      </w:divBdr>
      <w:divsChild>
        <w:div w:id="1565139375">
          <w:marLeft w:val="0"/>
          <w:marRight w:val="0"/>
          <w:marTop w:val="0"/>
          <w:marBottom w:val="0"/>
          <w:divBdr>
            <w:top w:val="none" w:sz="0" w:space="0" w:color="auto"/>
            <w:left w:val="none" w:sz="0" w:space="0" w:color="auto"/>
            <w:bottom w:val="none" w:sz="0" w:space="0" w:color="auto"/>
            <w:right w:val="none" w:sz="0" w:space="0" w:color="auto"/>
          </w:divBdr>
          <w:divsChild>
            <w:div w:id="1673988773">
              <w:marLeft w:val="0"/>
              <w:marRight w:val="0"/>
              <w:marTop w:val="0"/>
              <w:marBottom w:val="0"/>
              <w:divBdr>
                <w:top w:val="none" w:sz="0" w:space="0" w:color="auto"/>
                <w:left w:val="none" w:sz="0" w:space="0" w:color="auto"/>
                <w:bottom w:val="none" w:sz="0" w:space="0" w:color="auto"/>
                <w:right w:val="none" w:sz="0" w:space="0" w:color="auto"/>
              </w:divBdr>
              <w:divsChild>
                <w:div w:id="547911804">
                  <w:marLeft w:val="0"/>
                  <w:marRight w:val="0"/>
                  <w:marTop w:val="0"/>
                  <w:marBottom w:val="0"/>
                  <w:divBdr>
                    <w:top w:val="none" w:sz="0" w:space="0" w:color="auto"/>
                    <w:left w:val="none" w:sz="0" w:space="0" w:color="auto"/>
                    <w:bottom w:val="none" w:sz="0" w:space="0" w:color="auto"/>
                    <w:right w:val="none" w:sz="0" w:space="0" w:color="auto"/>
                  </w:divBdr>
                </w:div>
                <w:div w:id="576136028">
                  <w:marLeft w:val="0"/>
                  <w:marRight w:val="0"/>
                  <w:marTop w:val="0"/>
                  <w:marBottom w:val="0"/>
                  <w:divBdr>
                    <w:top w:val="none" w:sz="0" w:space="0" w:color="auto"/>
                    <w:left w:val="none" w:sz="0" w:space="0" w:color="auto"/>
                    <w:bottom w:val="none" w:sz="0" w:space="0" w:color="auto"/>
                    <w:right w:val="none" w:sz="0" w:space="0" w:color="auto"/>
                  </w:divBdr>
                </w:div>
                <w:div w:id="946235228">
                  <w:marLeft w:val="0"/>
                  <w:marRight w:val="0"/>
                  <w:marTop w:val="0"/>
                  <w:marBottom w:val="0"/>
                  <w:divBdr>
                    <w:top w:val="none" w:sz="0" w:space="0" w:color="auto"/>
                    <w:left w:val="none" w:sz="0" w:space="0" w:color="auto"/>
                    <w:bottom w:val="none" w:sz="0" w:space="0" w:color="auto"/>
                    <w:right w:val="none" w:sz="0" w:space="0" w:color="auto"/>
                  </w:divBdr>
                </w:div>
                <w:div w:id="977224297">
                  <w:marLeft w:val="0"/>
                  <w:marRight w:val="0"/>
                  <w:marTop w:val="0"/>
                  <w:marBottom w:val="0"/>
                  <w:divBdr>
                    <w:top w:val="none" w:sz="0" w:space="0" w:color="auto"/>
                    <w:left w:val="none" w:sz="0" w:space="0" w:color="auto"/>
                    <w:bottom w:val="none" w:sz="0" w:space="0" w:color="auto"/>
                    <w:right w:val="none" w:sz="0" w:space="0" w:color="auto"/>
                  </w:divBdr>
                </w:div>
                <w:div w:id="1000356918">
                  <w:marLeft w:val="0"/>
                  <w:marRight w:val="0"/>
                  <w:marTop w:val="0"/>
                  <w:marBottom w:val="0"/>
                  <w:divBdr>
                    <w:top w:val="none" w:sz="0" w:space="0" w:color="auto"/>
                    <w:left w:val="none" w:sz="0" w:space="0" w:color="auto"/>
                    <w:bottom w:val="none" w:sz="0" w:space="0" w:color="auto"/>
                    <w:right w:val="none" w:sz="0" w:space="0" w:color="auto"/>
                  </w:divBdr>
                </w:div>
                <w:div w:id="1052999327">
                  <w:marLeft w:val="0"/>
                  <w:marRight w:val="0"/>
                  <w:marTop w:val="0"/>
                  <w:marBottom w:val="0"/>
                  <w:divBdr>
                    <w:top w:val="none" w:sz="0" w:space="0" w:color="auto"/>
                    <w:left w:val="none" w:sz="0" w:space="0" w:color="auto"/>
                    <w:bottom w:val="none" w:sz="0" w:space="0" w:color="auto"/>
                    <w:right w:val="none" w:sz="0" w:space="0" w:color="auto"/>
                  </w:divBdr>
                </w:div>
                <w:div w:id="1210916323">
                  <w:marLeft w:val="0"/>
                  <w:marRight w:val="0"/>
                  <w:marTop w:val="0"/>
                  <w:marBottom w:val="0"/>
                  <w:divBdr>
                    <w:top w:val="none" w:sz="0" w:space="0" w:color="auto"/>
                    <w:left w:val="none" w:sz="0" w:space="0" w:color="auto"/>
                    <w:bottom w:val="none" w:sz="0" w:space="0" w:color="auto"/>
                    <w:right w:val="none" w:sz="0" w:space="0" w:color="auto"/>
                  </w:divBdr>
                </w:div>
                <w:div w:id="1328090455">
                  <w:marLeft w:val="0"/>
                  <w:marRight w:val="0"/>
                  <w:marTop w:val="0"/>
                  <w:marBottom w:val="0"/>
                  <w:divBdr>
                    <w:top w:val="none" w:sz="0" w:space="0" w:color="auto"/>
                    <w:left w:val="none" w:sz="0" w:space="0" w:color="auto"/>
                    <w:bottom w:val="none" w:sz="0" w:space="0" w:color="auto"/>
                    <w:right w:val="none" w:sz="0" w:space="0" w:color="auto"/>
                  </w:divBdr>
                </w:div>
                <w:div w:id="1366101245">
                  <w:marLeft w:val="0"/>
                  <w:marRight w:val="0"/>
                  <w:marTop w:val="0"/>
                  <w:marBottom w:val="0"/>
                  <w:divBdr>
                    <w:top w:val="none" w:sz="0" w:space="0" w:color="auto"/>
                    <w:left w:val="none" w:sz="0" w:space="0" w:color="auto"/>
                    <w:bottom w:val="none" w:sz="0" w:space="0" w:color="auto"/>
                    <w:right w:val="none" w:sz="0" w:space="0" w:color="auto"/>
                  </w:divBdr>
                </w:div>
                <w:div w:id="1394160261">
                  <w:marLeft w:val="0"/>
                  <w:marRight w:val="0"/>
                  <w:marTop w:val="0"/>
                  <w:marBottom w:val="0"/>
                  <w:divBdr>
                    <w:top w:val="none" w:sz="0" w:space="0" w:color="auto"/>
                    <w:left w:val="none" w:sz="0" w:space="0" w:color="auto"/>
                    <w:bottom w:val="none" w:sz="0" w:space="0" w:color="auto"/>
                    <w:right w:val="none" w:sz="0" w:space="0" w:color="auto"/>
                  </w:divBdr>
                </w:div>
                <w:div w:id="1509061522">
                  <w:marLeft w:val="0"/>
                  <w:marRight w:val="0"/>
                  <w:marTop w:val="0"/>
                  <w:marBottom w:val="0"/>
                  <w:divBdr>
                    <w:top w:val="none" w:sz="0" w:space="0" w:color="auto"/>
                    <w:left w:val="none" w:sz="0" w:space="0" w:color="auto"/>
                    <w:bottom w:val="none" w:sz="0" w:space="0" w:color="auto"/>
                    <w:right w:val="none" w:sz="0" w:space="0" w:color="auto"/>
                  </w:divBdr>
                </w:div>
                <w:div w:id="1583025084">
                  <w:marLeft w:val="0"/>
                  <w:marRight w:val="0"/>
                  <w:marTop w:val="0"/>
                  <w:marBottom w:val="0"/>
                  <w:divBdr>
                    <w:top w:val="none" w:sz="0" w:space="0" w:color="auto"/>
                    <w:left w:val="none" w:sz="0" w:space="0" w:color="auto"/>
                    <w:bottom w:val="none" w:sz="0" w:space="0" w:color="auto"/>
                    <w:right w:val="none" w:sz="0" w:space="0" w:color="auto"/>
                  </w:divBdr>
                </w:div>
                <w:div w:id="1585608252">
                  <w:marLeft w:val="0"/>
                  <w:marRight w:val="0"/>
                  <w:marTop w:val="0"/>
                  <w:marBottom w:val="0"/>
                  <w:divBdr>
                    <w:top w:val="none" w:sz="0" w:space="0" w:color="auto"/>
                    <w:left w:val="none" w:sz="0" w:space="0" w:color="auto"/>
                    <w:bottom w:val="none" w:sz="0" w:space="0" w:color="auto"/>
                    <w:right w:val="none" w:sz="0" w:space="0" w:color="auto"/>
                  </w:divBdr>
                </w:div>
                <w:div w:id="1598292777">
                  <w:marLeft w:val="0"/>
                  <w:marRight w:val="0"/>
                  <w:marTop w:val="0"/>
                  <w:marBottom w:val="0"/>
                  <w:divBdr>
                    <w:top w:val="none" w:sz="0" w:space="0" w:color="auto"/>
                    <w:left w:val="none" w:sz="0" w:space="0" w:color="auto"/>
                    <w:bottom w:val="none" w:sz="0" w:space="0" w:color="auto"/>
                    <w:right w:val="none" w:sz="0" w:space="0" w:color="auto"/>
                  </w:divBdr>
                </w:div>
                <w:div w:id="1790053022">
                  <w:marLeft w:val="0"/>
                  <w:marRight w:val="0"/>
                  <w:marTop w:val="0"/>
                  <w:marBottom w:val="0"/>
                  <w:divBdr>
                    <w:top w:val="none" w:sz="0" w:space="0" w:color="auto"/>
                    <w:left w:val="none" w:sz="0" w:space="0" w:color="auto"/>
                    <w:bottom w:val="none" w:sz="0" w:space="0" w:color="auto"/>
                    <w:right w:val="none" w:sz="0" w:space="0" w:color="auto"/>
                  </w:divBdr>
                </w:div>
                <w:div w:id="1799376453">
                  <w:marLeft w:val="0"/>
                  <w:marRight w:val="0"/>
                  <w:marTop w:val="0"/>
                  <w:marBottom w:val="0"/>
                  <w:divBdr>
                    <w:top w:val="none" w:sz="0" w:space="0" w:color="auto"/>
                    <w:left w:val="none" w:sz="0" w:space="0" w:color="auto"/>
                    <w:bottom w:val="none" w:sz="0" w:space="0" w:color="auto"/>
                    <w:right w:val="none" w:sz="0" w:space="0" w:color="auto"/>
                  </w:divBdr>
                </w:div>
                <w:div w:id="1849178983">
                  <w:marLeft w:val="0"/>
                  <w:marRight w:val="0"/>
                  <w:marTop w:val="0"/>
                  <w:marBottom w:val="0"/>
                  <w:divBdr>
                    <w:top w:val="none" w:sz="0" w:space="0" w:color="auto"/>
                    <w:left w:val="none" w:sz="0" w:space="0" w:color="auto"/>
                    <w:bottom w:val="none" w:sz="0" w:space="0" w:color="auto"/>
                    <w:right w:val="none" w:sz="0" w:space="0" w:color="auto"/>
                  </w:divBdr>
                </w:div>
                <w:div w:id="1984773776">
                  <w:marLeft w:val="0"/>
                  <w:marRight w:val="0"/>
                  <w:marTop w:val="0"/>
                  <w:marBottom w:val="0"/>
                  <w:divBdr>
                    <w:top w:val="none" w:sz="0" w:space="0" w:color="auto"/>
                    <w:left w:val="none" w:sz="0" w:space="0" w:color="auto"/>
                    <w:bottom w:val="none" w:sz="0" w:space="0" w:color="auto"/>
                    <w:right w:val="none" w:sz="0" w:space="0" w:color="auto"/>
                  </w:divBdr>
                </w:div>
                <w:div w:id="210996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56471">
          <w:marLeft w:val="0"/>
          <w:marRight w:val="0"/>
          <w:marTop w:val="0"/>
          <w:marBottom w:val="0"/>
          <w:divBdr>
            <w:top w:val="none" w:sz="0" w:space="0" w:color="auto"/>
            <w:left w:val="none" w:sz="0" w:space="0" w:color="auto"/>
            <w:bottom w:val="none" w:sz="0" w:space="0" w:color="auto"/>
            <w:right w:val="none" w:sz="0" w:space="0" w:color="auto"/>
          </w:divBdr>
          <w:divsChild>
            <w:div w:id="1178882433">
              <w:marLeft w:val="0"/>
              <w:marRight w:val="0"/>
              <w:marTop w:val="0"/>
              <w:marBottom w:val="0"/>
              <w:divBdr>
                <w:top w:val="none" w:sz="0" w:space="0" w:color="auto"/>
                <w:left w:val="none" w:sz="0" w:space="0" w:color="auto"/>
                <w:bottom w:val="none" w:sz="0" w:space="0" w:color="auto"/>
                <w:right w:val="none" w:sz="0" w:space="0" w:color="auto"/>
              </w:divBdr>
              <w:divsChild>
                <w:div w:id="41368298">
                  <w:marLeft w:val="0"/>
                  <w:marRight w:val="0"/>
                  <w:marTop w:val="0"/>
                  <w:marBottom w:val="0"/>
                  <w:divBdr>
                    <w:top w:val="none" w:sz="0" w:space="0" w:color="auto"/>
                    <w:left w:val="none" w:sz="0" w:space="0" w:color="auto"/>
                    <w:bottom w:val="none" w:sz="0" w:space="0" w:color="auto"/>
                    <w:right w:val="none" w:sz="0" w:space="0" w:color="auto"/>
                  </w:divBdr>
                </w:div>
                <w:div w:id="116683969">
                  <w:marLeft w:val="0"/>
                  <w:marRight w:val="0"/>
                  <w:marTop w:val="0"/>
                  <w:marBottom w:val="0"/>
                  <w:divBdr>
                    <w:top w:val="none" w:sz="0" w:space="0" w:color="auto"/>
                    <w:left w:val="none" w:sz="0" w:space="0" w:color="auto"/>
                    <w:bottom w:val="none" w:sz="0" w:space="0" w:color="auto"/>
                    <w:right w:val="none" w:sz="0" w:space="0" w:color="auto"/>
                  </w:divBdr>
                </w:div>
                <w:div w:id="173350860">
                  <w:marLeft w:val="0"/>
                  <w:marRight w:val="0"/>
                  <w:marTop w:val="0"/>
                  <w:marBottom w:val="0"/>
                  <w:divBdr>
                    <w:top w:val="none" w:sz="0" w:space="0" w:color="auto"/>
                    <w:left w:val="none" w:sz="0" w:space="0" w:color="auto"/>
                    <w:bottom w:val="none" w:sz="0" w:space="0" w:color="auto"/>
                    <w:right w:val="none" w:sz="0" w:space="0" w:color="auto"/>
                  </w:divBdr>
                </w:div>
                <w:div w:id="217324773">
                  <w:marLeft w:val="0"/>
                  <w:marRight w:val="0"/>
                  <w:marTop w:val="0"/>
                  <w:marBottom w:val="0"/>
                  <w:divBdr>
                    <w:top w:val="none" w:sz="0" w:space="0" w:color="auto"/>
                    <w:left w:val="none" w:sz="0" w:space="0" w:color="auto"/>
                    <w:bottom w:val="none" w:sz="0" w:space="0" w:color="auto"/>
                    <w:right w:val="none" w:sz="0" w:space="0" w:color="auto"/>
                  </w:divBdr>
                </w:div>
                <w:div w:id="329866295">
                  <w:marLeft w:val="0"/>
                  <w:marRight w:val="0"/>
                  <w:marTop w:val="0"/>
                  <w:marBottom w:val="0"/>
                  <w:divBdr>
                    <w:top w:val="none" w:sz="0" w:space="0" w:color="auto"/>
                    <w:left w:val="none" w:sz="0" w:space="0" w:color="auto"/>
                    <w:bottom w:val="none" w:sz="0" w:space="0" w:color="auto"/>
                    <w:right w:val="none" w:sz="0" w:space="0" w:color="auto"/>
                  </w:divBdr>
                </w:div>
                <w:div w:id="430006259">
                  <w:marLeft w:val="0"/>
                  <w:marRight w:val="0"/>
                  <w:marTop w:val="0"/>
                  <w:marBottom w:val="0"/>
                  <w:divBdr>
                    <w:top w:val="none" w:sz="0" w:space="0" w:color="auto"/>
                    <w:left w:val="none" w:sz="0" w:space="0" w:color="auto"/>
                    <w:bottom w:val="none" w:sz="0" w:space="0" w:color="auto"/>
                    <w:right w:val="none" w:sz="0" w:space="0" w:color="auto"/>
                  </w:divBdr>
                </w:div>
                <w:div w:id="528567832">
                  <w:marLeft w:val="0"/>
                  <w:marRight w:val="0"/>
                  <w:marTop w:val="0"/>
                  <w:marBottom w:val="0"/>
                  <w:divBdr>
                    <w:top w:val="none" w:sz="0" w:space="0" w:color="auto"/>
                    <w:left w:val="none" w:sz="0" w:space="0" w:color="auto"/>
                    <w:bottom w:val="none" w:sz="0" w:space="0" w:color="auto"/>
                    <w:right w:val="none" w:sz="0" w:space="0" w:color="auto"/>
                  </w:divBdr>
                </w:div>
                <w:div w:id="1156217441">
                  <w:marLeft w:val="0"/>
                  <w:marRight w:val="0"/>
                  <w:marTop w:val="0"/>
                  <w:marBottom w:val="0"/>
                  <w:divBdr>
                    <w:top w:val="none" w:sz="0" w:space="0" w:color="auto"/>
                    <w:left w:val="none" w:sz="0" w:space="0" w:color="auto"/>
                    <w:bottom w:val="none" w:sz="0" w:space="0" w:color="auto"/>
                    <w:right w:val="none" w:sz="0" w:space="0" w:color="auto"/>
                  </w:divBdr>
                </w:div>
                <w:div w:id="1161771459">
                  <w:marLeft w:val="0"/>
                  <w:marRight w:val="0"/>
                  <w:marTop w:val="0"/>
                  <w:marBottom w:val="0"/>
                  <w:divBdr>
                    <w:top w:val="none" w:sz="0" w:space="0" w:color="auto"/>
                    <w:left w:val="none" w:sz="0" w:space="0" w:color="auto"/>
                    <w:bottom w:val="none" w:sz="0" w:space="0" w:color="auto"/>
                    <w:right w:val="none" w:sz="0" w:space="0" w:color="auto"/>
                  </w:divBdr>
                </w:div>
                <w:div w:id="1199666460">
                  <w:marLeft w:val="0"/>
                  <w:marRight w:val="0"/>
                  <w:marTop w:val="0"/>
                  <w:marBottom w:val="0"/>
                  <w:divBdr>
                    <w:top w:val="none" w:sz="0" w:space="0" w:color="auto"/>
                    <w:left w:val="none" w:sz="0" w:space="0" w:color="auto"/>
                    <w:bottom w:val="none" w:sz="0" w:space="0" w:color="auto"/>
                    <w:right w:val="none" w:sz="0" w:space="0" w:color="auto"/>
                  </w:divBdr>
                </w:div>
                <w:div w:id="1404718176">
                  <w:marLeft w:val="0"/>
                  <w:marRight w:val="0"/>
                  <w:marTop w:val="0"/>
                  <w:marBottom w:val="0"/>
                  <w:divBdr>
                    <w:top w:val="none" w:sz="0" w:space="0" w:color="auto"/>
                    <w:left w:val="none" w:sz="0" w:space="0" w:color="auto"/>
                    <w:bottom w:val="none" w:sz="0" w:space="0" w:color="auto"/>
                    <w:right w:val="none" w:sz="0" w:space="0" w:color="auto"/>
                  </w:divBdr>
                </w:div>
                <w:div w:id="1445005111">
                  <w:marLeft w:val="0"/>
                  <w:marRight w:val="0"/>
                  <w:marTop w:val="0"/>
                  <w:marBottom w:val="0"/>
                  <w:divBdr>
                    <w:top w:val="none" w:sz="0" w:space="0" w:color="auto"/>
                    <w:left w:val="none" w:sz="0" w:space="0" w:color="auto"/>
                    <w:bottom w:val="none" w:sz="0" w:space="0" w:color="auto"/>
                    <w:right w:val="none" w:sz="0" w:space="0" w:color="auto"/>
                  </w:divBdr>
                </w:div>
                <w:div w:id="1473600579">
                  <w:marLeft w:val="0"/>
                  <w:marRight w:val="0"/>
                  <w:marTop w:val="0"/>
                  <w:marBottom w:val="0"/>
                  <w:divBdr>
                    <w:top w:val="none" w:sz="0" w:space="0" w:color="auto"/>
                    <w:left w:val="none" w:sz="0" w:space="0" w:color="auto"/>
                    <w:bottom w:val="none" w:sz="0" w:space="0" w:color="auto"/>
                    <w:right w:val="none" w:sz="0" w:space="0" w:color="auto"/>
                  </w:divBdr>
                </w:div>
                <w:div w:id="189072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1254">
      <w:bodyDiv w:val="1"/>
      <w:marLeft w:val="0"/>
      <w:marRight w:val="0"/>
      <w:marTop w:val="0"/>
      <w:marBottom w:val="0"/>
      <w:divBdr>
        <w:top w:val="none" w:sz="0" w:space="0" w:color="auto"/>
        <w:left w:val="none" w:sz="0" w:space="0" w:color="auto"/>
        <w:bottom w:val="none" w:sz="0" w:space="0" w:color="auto"/>
        <w:right w:val="none" w:sz="0" w:space="0" w:color="auto"/>
      </w:divBdr>
      <w:divsChild>
        <w:div w:id="459223383">
          <w:marLeft w:val="0"/>
          <w:marRight w:val="0"/>
          <w:marTop w:val="0"/>
          <w:marBottom w:val="0"/>
          <w:divBdr>
            <w:top w:val="none" w:sz="0" w:space="0" w:color="auto"/>
            <w:left w:val="none" w:sz="0" w:space="0" w:color="auto"/>
            <w:bottom w:val="none" w:sz="0" w:space="0" w:color="auto"/>
            <w:right w:val="none" w:sz="0" w:space="0" w:color="auto"/>
          </w:divBdr>
        </w:div>
        <w:div w:id="763232991">
          <w:marLeft w:val="0"/>
          <w:marRight w:val="0"/>
          <w:marTop w:val="0"/>
          <w:marBottom w:val="0"/>
          <w:divBdr>
            <w:top w:val="none" w:sz="0" w:space="0" w:color="auto"/>
            <w:left w:val="none" w:sz="0" w:space="0" w:color="auto"/>
            <w:bottom w:val="none" w:sz="0" w:space="0" w:color="auto"/>
            <w:right w:val="none" w:sz="0" w:space="0" w:color="auto"/>
          </w:divBdr>
        </w:div>
        <w:div w:id="1682852808">
          <w:marLeft w:val="0"/>
          <w:marRight w:val="0"/>
          <w:marTop w:val="0"/>
          <w:marBottom w:val="0"/>
          <w:divBdr>
            <w:top w:val="none" w:sz="0" w:space="0" w:color="auto"/>
            <w:left w:val="none" w:sz="0" w:space="0" w:color="auto"/>
            <w:bottom w:val="none" w:sz="0" w:space="0" w:color="auto"/>
            <w:right w:val="none" w:sz="0" w:space="0" w:color="auto"/>
          </w:divBdr>
        </w:div>
      </w:divsChild>
    </w:div>
    <w:div w:id="1218513408">
      <w:bodyDiv w:val="1"/>
      <w:marLeft w:val="0"/>
      <w:marRight w:val="0"/>
      <w:marTop w:val="0"/>
      <w:marBottom w:val="0"/>
      <w:divBdr>
        <w:top w:val="none" w:sz="0" w:space="0" w:color="auto"/>
        <w:left w:val="none" w:sz="0" w:space="0" w:color="auto"/>
        <w:bottom w:val="none" w:sz="0" w:space="0" w:color="auto"/>
        <w:right w:val="none" w:sz="0" w:space="0" w:color="auto"/>
      </w:divBdr>
    </w:div>
    <w:div w:id="1397167325">
      <w:bodyDiv w:val="1"/>
      <w:marLeft w:val="0"/>
      <w:marRight w:val="0"/>
      <w:marTop w:val="0"/>
      <w:marBottom w:val="0"/>
      <w:divBdr>
        <w:top w:val="none" w:sz="0" w:space="0" w:color="auto"/>
        <w:left w:val="none" w:sz="0" w:space="0" w:color="auto"/>
        <w:bottom w:val="none" w:sz="0" w:space="0" w:color="auto"/>
        <w:right w:val="none" w:sz="0" w:space="0" w:color="auto"/>
      </w:divBdr>
    </w:div>
    <w:div w:id="1578438214">
      <w:bodyDiv w:val="1"/>
      <w:marLeft w:val="0"/>
      <w:marRight w:val="0"/>
      <w:marTop w:val="0"/>
      <w:marBottom w:val="0"/>
      <w:divBdr>
        <w:top w:val="none" w:sz="0" w:space="0" w:color="auto"/>
        <w:left w:val="none" w:sz="0" w:space="0" w:color="auto"/>
        <w:bottom w:val="none" w:sz="0" w:space="0" w:color="auto"/>
        <w:right w:val="none" w:sz="0" w:space="0" w:color="auto"/>
      </w:divBdr>
    </w:div>
    <w:div w:id="1610551040">
      <w:bodyDiv w:val="1"/>
      <w:marLeft w:val="0"/>
      <w:marRight w:val="0"/>
      <w:marTop w:val="0"/>
      <w:marBottom w:val="0"/>
      <w:divBdr>
        <w:top w:val="none" w:sz="0" w:space="0" w:color="auto"/>
        <w:left w:val="none" w:sz="0" w:space="0" w:color="auto"/>
        <w:bottom w:val="none" w:sz="0" w:space="0" w:color="auto"/>
        <w:right w:val="none" w:sz="0" w:space="0" w:color="auto"/>
      </w:divBdr>
    </w:div>
    <w:div w:id="1652909889">
      <w:bodyDiv w:val="1"/>
      <w:marLeft w:val="0"/>
      <w:marRight w:val="0"/>
      <w:marTop w:val="0"/>
      <w:marBottom w:val="0"/>
      <w:divBdr>
        <w:top w:val="none" w:sz="0" w:space="0" w:color="auto"/>
        <w:left w:val="none" w:sz="0" w:space="0" w:color="auto"/>
        <w:bottom w:val="none" w:sz="0" w:space="0" w:color="auto"/>
        <w:right w:val="none" w:sz="0" w:space="0" w:color="auto"/>
      </w:divBdr>
    </w:div>
    <w:div w:id="1754929792">
      <w:bodyDiv w:val="1"/>
      <w:marLeft w:val="0"/>
      <w:marRight w:val="0"/>
      <w:marTop w:val="0"/>
      <w:marBottom w:val="0"/>
      <w:divBdr>
        <w:top w:val="none" w:sz="0" w:space="0" w:color="auto"/>
        <w:left w:val="none" w:sz="0" w:space="0" w:color="auto"/>
        <w:bottom w:val="none" w:sz="0" w:space="0" w:color="auto"/>
        <w:right w:val="none" w:sz="0" w:space="0" w:color="auto"/>
      </w:divBdr>
    </w:div>
    <w:div w:id="1894660896">
      <w:bodyDiv w:val="1"/>
      <w:marLeft w:val="0"/>
      <w:marRight w:val="0"/>
      <w:marTop w:val="0"/>
      <w:marBottom w:val="0"/>
      <w:divBdr>
        <w:top w:val="none" w:sz="0" w:space="0" w:color="auto"/>
        <w:left w:val="none" w:sz="0" w:space="0" w:color="auto"/>
        <w:bottom w:val="none" w:sz="0" w:space="0" w:color="auto"/>
        <w:right w:val="none" w:sz="0" w:space="0" w:color="auto"/>
      </w:divBdr>
      <w:divsChild>
        <w:div w:id="131599727">
          <w:marLeft w:val="0"/>
          <w:marRight w:val="0"/>
          <w:marTop w:val="0"/>
          <w:marBottom w:val="0"/>
          <w:divBdr>
            <w:top w:val="none" w:sz="0" w:space="0" w:color="auto"/>
            <w:left w:val="none" w:sz="0" w:space="0" w:color="auto"/>
            <w:bottom w:val="none" w:sz="0" w:space="0" w:color="auto"/>
            <w:right w:val="none" w:sz="0" w:space="0" w:color="auto"/>
          </w:divBdr>
          <w:divsChild>
            <w:div w:id="16017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7448">
      <w:bodyDiv w:val="1"/>
      <w:marLeft w:val="0"/>
      <w:marRight w:val="0"/>
      <w:marTop w:val="0"/>
      <w:marBottom w:val="0"/>
      <w:divBdr>
        <w:top w:val="none" w:sz="0" w:space="0" w:color="auto"/>
        <w:left w:val="none" w:sz="0" w:space="0" w:color="auto"/>
        <w:bottom w:val="none" w:sz="0" w:space="0" w:color="auto"/>
        <w:right w:val="none" w:sz="0" w:space="0" w:color="auto"/>
      </w:divBdr>
      <w:divsChild>
        <w:div w:id="1097824915">
          <w:marLeft w:val="0"/>
          <w:marRight w:val="0"/>
          <w:marTop w:val="0"/>
          <w:marBottom w:val="0"/>
          <w:divBdr>
            <w:top w:val="none" w:sz="0" w:space="0" w:color="auto"/>
            <w:left w:val="none" w:sz="0" w:space="0" w:color="auto"/>
            <w:bottom w:val="none" w:sz="0" w:space="0" w:color="auto"/>
            <w:right w:val="none" w:sz="0" w:space="0" w:color="auto"/>
          </w:divBdr>
          <w:divsChild>
            <w:div w:id="171030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Smith@anglia.ac.uk" TargetMode="External"/><Relationship Id="rId13" Type="http://schemas.openxmlformats.org/officeDocument/2006/relationships/hyperlink" Target="mailto:j.firth@westernsydney.edu.au" TargetMode="External"/><Relationship Id="rId18" Type="http://schemas.openxmlformats.org/officeDocument/2006/relationships/hyperlink" Target="mailto:s.e.jackson@ucl.ac.u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ames.johnstone@anglia.ac.uk" TargetMode="External"/><Relationship Id="rId17" Type="http://schemas.openxmlformats.org/officeDocument/2006/relationships/hyperlink" Target="mailto:s.e.jackson@ucl.ac.uk" TargetMode="External"/><Relationship Id="rId2" Type="http://schemas.openxmlformats.org/officeDocument/2006/relationships/numbering" Target="numbering.xml"/><Relationship Id="rId16" Type="http://schemas.openxmlformats.org/officeDocument/2006/relationships/hyperlink" Target="mailto:dr.pinarsoysal@hotmail.com" TargetMode="External"/><Relationship Id="rId20" Type="http://schemas.openxmlformats.org/officeDocument/2006/relationships/hyperlink" Target="https://www.nature.com/articles/ijo20141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oller@shp.org.uk" TargetMode="External"/><Relationship Id="rId5" Type="http://schemas.openxmlformats.org/officeDocument/2006/relationships/webSettings" Target="webSettings.xml"/><Relationship Id="rId15" Type="http://schemas.openxmlformats.org/officeDocument/2006/relationships/hyperlink" Target="mailto:Lin.yang@muv.ac.at" TargetMode="External"/><Relationship Id="rId23" Type="http://schemas.openxmlformats.org/officeDocument/2006/relationships/theme" Target="theme/theme1.xml"/><Relationship Id="rId10" Type="http://schemas.openxmlformats.org/officeDocument/2006/relationships/hyperlink" Target="mailto:gfls@um.es" TargetMode="External"/><Relationship Id="rId19" Type="http://schemas.openxmlformats.org/officeDocument/2006/relationships/hyperlink" Target="mailto:lee.smith@anglia.ac.uk" TargetMode="External"/><Relationship Id="rId4" Type="http://schemas.openxmlformats.org/officeDocument/2006/relationships/settings" Target="settings.xml"/><Relationship Id="rId9" Type="http://schemas.openxmlformats.org/officeDocument/2006/relationships/hyperlink" Target="mailto:ilmannato@gmail.com" TargetMode="External"/><Relationship Id="rId14" Type="http://schemas.openxmlformats.org/officeDocument/2006/relationships/hyperlink" Target="mailto:igor.grabovac@meduniwien.ac.a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90D91-F9E6-4616-8F70-1F4B234C3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18851</Words>
  <Characters>107454</Characters>
  <Application>Microsoft Office Word</Application>
  <DocSecurity>0</DocSecurity>
  <Lines>895</Lines>
  <Paragraphs>252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UCL</Company>
  <LinksUpToDate>false</LinksUpToDate>
  <CharactersWithSpaces>126053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Jackson</dc:creator>
  <cp:keywords/>
  <dc:description/>
  <cp:lastModifiedBy>Lee Smith</cp:lastModifiedBy>
  <cp:revision>2</cp:revision>
  <cp:lastPrinted>2018-08-27T15:43:00Z</cp:lastPrinted>
  <dcterms:created xsi:type="dcterms:W3CDTF">2019-03-26T20:23:00Z</dcterms:created>
  <dcterms:modified xsi:type="dcterms:W3CDTF">2019-03-26T20:23:00Z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id="FaGTnPic"/&gt;&lt;style id="http://www.zotero.org/styles/bmj" hasBibliography="1" bibliographyStyleHasBeenSet="1"/&gt;&lt;prefs&gt;&lt;pref name="fieldType" value="Field"/&gt;&lt;pref name="storeReferences" value="true"</vt:lpwstr>
  </property>
  <property fmtid="{D5CDD505-2E9C-101B-9397-08002B2CF9AE}" pid="3" name="ZOTERO_PREF_2">
    <vt:lpwstr>/&gt;&lt;pref name="automaticJournalAbbreviations" value="true"/&gt;&lt;/prefs&gt;&lt;/data&gt;</vt:lpwstr>
  </property>
</Properties>
</file>