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AC2FD32" w14:textId="77777777" w:rsidR="00E90BB4" w:rsidRPr="00E90BB4" w:rsidRDefault="00E90BB4" w:rsidP="00E90BB4">
      <w:pPr>
        <w:spacing w:after="0" w:line="480" w:lineRule="auto"/>
        <w:rPr>
          <w:rFonts w:ascii="Times New Roman" w:hAnsi="Times New Roman" w:cs="Times New Roman"/>
          <w:sz w:val="24"/>
          <w:szCs w:val="24"/>
        </w:rPr>
      </w:pPr>
      <w:r w:rsidRPr="005A0D49">
        <w:rPr>
          <w:rFonts w:ascii="Times New Roman" w:hAnsi="Times New Roman" w:cs="Times New Roman"/>
          <w:b/>
          <w:sz w:val="24"/>
          <w:szCs w:val="24"/>
        </w:rPr>
        <w:t>Table 1: Summa</w:t>
      </w:r>
      <w:r w:rsidR="0097369A">
        <w:rPr>
          <w:rFonts w:ascii="Times New Roman" w:hAnsi="Times New Roman" w:cs="Times New Roman"/>
          <w:b/>
          <w:sz w:val="24"/>
          <w:szCs w:val="24"/>
        </w:rPr>
        <w:t>ry of comparative sport policy c</w:t>
      </w:r>
      <w:r w:rsidRPr="005A0D49">
        <w:rPr>
          <w:rFonts w:ascii="Times New Roman" w:hAnsi="Times New Roman" w:cs="Times New Roman"/>
          <w:b/>
          <w:sz w:val="24"/>
          <w:szCs w:val="24"/>
        </w:rPr>
        <w:t>hallenges</w:t>
      </w:r>
      <w:r w:rsidR="0097369A">
        <w:rPr>
          <w:rFonts w:ascii="Times New Roman" w:hAnsi="Times New Roman" w:cs="Times New Roman"/>
          <w:b/>
          <w:sz w:val="24"/>
          <w:szCs w:val="24"/>
        </w:rPr>
        <w:t>, l</w:t>
      </w:r>
      <w:r w:rsidRPr="005A0D49">
        <w:rPr>
          <w:rFonts w:ascii="Times New Roman" w:hAnsi="Times New Roman" w:cs="Times New Roman"/>
          <w:b/>
          <w:sz w:val="24"/>
          <w:szCs w:val="24"/>
        </w:rPr>
        <w:t xml:space="preserve">imitations </w:t>
      </w:r>
      <w:r w:rsidR="0097369A">
        <w:rPr>
          <w:rFonts w:ascii="Times New Roman" w:hAnsi="Times New Roman" w:cs="Times New Roman"/>
          <w:b/>
          <w:sz w:val="24"/>
          <w:szCs w:val="24"/>
        </w:rPr>
        <w:t>and strategies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141"/>
        <w:gridCol w:w="4561"/>
        <w:gridCol w:w="2605"/>
        <w:gridCol w:w="4651"/>
      </w:tblGrid>
      <w:tr w:rsidR="00F00AF8" w:rsidRPr="00B87CCB" w14:paraId="0763F327" w14:textId="77777777" w:rsidTr="00FF3502">
        <w:trPr>
          <w:trHeight w:val="491"/>
        </w:trPr>
        <w:tc>
          <w:tcPr>
            <w:tcW w:w="0" w:type="auto"/>
            <w:tcBorders>
              <w:top w:val="single" w:sz="12" w:space="0" w:color="auto"/>
              <w:bottom w:val="single" w:sz="8" w:space="0" w:color="auto"/>
            </w:tcBorders>
          </w:tcPr>
          <w:p w14:paraId="65782C9F" w14:textId="77777777" w:rsidR="00B87CCB" w:rsidRPr="00BA522D" w:rsidRDefault="00B87CCB" w:rsidP="00C201D2">
            <w:pPr>
              <w:rPr>
                <w:rFonts w:ascii="Times New Roman" w:hAnsi="Times New Roman" w:cs="Times New Roman"/>
                <w:b/>
              </w:rPr>
            </w:pPr>
            <w:r w:rsidRPr="00BA522D">
              <w:rPr>
                <w:rFonts w:ascii="Times New Roman" w:hAnsi="Times New Roman" w:cs="Times New Roman"/>
                <w:b/>
              </w:rPr>
              <w:t>Issue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8" w:space="0" w:color="auto"/>
            </w:tcBorders>
          </w:tcPr>
          <w:p w14:paraId="4E54B836" w14:textId="77777777" w:rsidR="00B87CCB" w:rsidRPr="00BA522D" w:rsidRDefault="00B87CCB" w:rsidP="00C201D2">
            <w:pPr>
              <w:rPr>
                <w:rFonts w:ascii="Times New Roman" w:hAnsi="Times New Roman" w:cs="Times New Roman"/>
                <w:b/>
              </w:rPr>
            </w:pPr>
            <w:r w:rsidRPr="00BA522D">
              <w:rPr>
                <w:rFonts w:ascii="Times New Roman" w:hAnsi="Times New Roman" w:cs="Times New Roman"/>
                <w:b/>
              </w:rPr>
              <w:t>Description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8" w:space="0" w:color="auto"/>
            </w:tcBorders>
          </w:tcPr>
          <w:p w14:paraId="232BD167" w14:textId="77777777" w:rsidR="00B87CCB" w:rsidRPr="00BA522D" w:rsidRDefault="00B87CCB" w:rsidP="00C201D2">
            <w:pPr>
              <w:rPr>
                <w:rFonts w:ascii="Times New Roman" w:hAnsi="Times New Roman" w:cs="Times New Roman"/>
                <w:b/>
              </w:rPr>
            </w:pPr>
            <w:r w:rsidRPr="00BA522D">
              <w:rPr>
                <w:rFonts w:ascii="Times New Roman" w:hAnsi="Times New Roman" w:cs="Times New Roman"/>
                <w:b/>
              </w:rPr>
              <w:t xml:space="preserve">Example Authors </w:t>
            </w:r>
          </w:p>
        </w:tc>
        <w:tc>
          <w:tcPr>
            <w:tcW w:w="0" w:type="auto"/>
            <w:tcBorders>
              <w:top w:val="single" w:sz="12" w:space="0" w:color="auto"/>
              <w:bottom w:val="single" w:sz="8" w:space="0" w:color="auto"/>
            </w:tcBorders>
          </w:tcPr>
          <w:p w14:paraId="630D1177" w14:textId="77777777" w:rsidR="00B87CCB" w:rsidRPr="00BA522D" w:rsidRDefault="00B87CCB" w:rsidP="00C201D2">
            <w:pPr>
              <w:rPr>
                <w:rFonts w:ascii="Times New Roman" w:hAnsi="Times New Roman" w:cs="Times New Roman"/>
                <w:b/>
              </w:rPr>
            </w:pPr>
            <w:r w:rsidRPr="00BA522D">
              <w:rPr>
                <w:rFonts w:ascii="Times New Roman" w:hAnsi="Times New Roman" w:cs="Times New Roman"/>
                <w:b/>
              </w:rPr>
              <w:t>Strategies</w:t>
            </w:r>
          </w:p>
        </w:tc>
      </w:tr>
      <w:tr w:rsidR="00F00AF8" w:rsidRPr="00B87CCB" w14:paraId="49B35593" w14:textId="77777777" w:rsidTr="00FF3502">
        <w:trPr>
          <w:trHeight w:val="1336"/>
        </w:trPr>
        <w:tc>
          <w:tcPr>
            <w:tcW w:w="0" w:type="auto"/>
            <w:tcBorders>
              <w:top w:val="single" w:sz="8" w:space="0" w:color="auto"/>
            </w:tcBorders>
          </w:tcPr>
          <w:p w14:paraId="2073C861" w14:textId="77777777" w:rsidR="00B87CCB" w:rsidRPr="00BA522D" w:rsidRDefault="00B87CCB" w:rsidP="00C201D2">
            <w:pPr>
              <w:rPr>
                <w:rFonts w:ascii="Times New Roman" w:hAnsi="Times New Roman" w:cs="Times New Roman"/>
                <w:b/>
              </w:rPr>
            </w:pPr>
            <w:r w:rsidRPr="00BA522D">
              <w:rPr>
                <w:rFonts w:ascii="Times New Roman" w:hAnsi="Times New Roman" w:cs="Times New Roman"/>
                <w:b/>
              </w:rPr>
              <w:t>Philosophical assumptions</w:t>
            </w:r>
          </w:p>
        </w:tc>
        <w:tc>
          <w:tcPr>
            <w:tcW w:w="0" w:type="auto"/>
            <w:tcBorders>
              <w:top w:val="single" w:sz="8" w:space="0" w:color="auto"/>
            </w:tcBorders>
          </w:tcPr>
          <w:p w14:paraId="14DB0755" w14:textId="77777777" w:rsidR="00B87CCB" w:rsidRPr="00BA522D" w:rsidRDefault="00B87CCB" w:rsidP="00B87CCB">
            <w:pPr>
              <w:rPr>
                <w:rFonts w:ascii="Times New Roman" w:hAnsi="Times New Roman" w:cs="Times New Roman"/>
              </w:rPr>
            </w:pPr>
            <w:r w:rsidRPr="00BA522D">
              <w:rPr>
                <w:rFonts w:ascii="Times New Roman" w:hAnsi="Times New Roman" w:cs="Times New Roman"/>
              </w:rPr>
              <w:t xml:space="preserve">The need to explicitly articulate the ontological and epistemological assumptions that underpin comparative studies in order to ensure scholars do not talk past one another. </w:t>
            </w:r>
          </w:p>
        </w:tc>
        <w:tc>
          <w:tcPr>
            <w:tcW w:w="0" w:type="auto"/>
            <w:tcBorders>
              <w:top w:val="single" w:sz="8" w:space="0" w:color="auto"/>
            </w:tcBorders>
          </w:tcPr>
          <w:p w14:paraId="31B51668" w14:textId="1022F0AD" w:rsidR="00B87CCB" w:rsidRPr="00BA522D" w:rsidRDefault="00F00AF8" w:rsidP="00C201D2">
            <w:r>
              <w:rPr>
                <w:rFonts w:ascii="Times New Roman" w:hAnsi="Times New Roman" w:cs="Times New Roman"/>
                <w:color w:val="000000" w:themeColor="text1"/>
              </w:rPr>
              <w:t xml:space="preserve">Øyen 1990, Henry </w:t>
            </w:r>
            <w:r w:rsidRPr="00F00AF8">
              <w:rPr>
                <w:rFonts w:ascii="Times New Roman" w:hAnsi="Times New Roman" w:cs="Times New Roman"/>
                <w:i/>
                <w:color w:val="000000" w:themeColor="text1"/>
              </w:rPr>
              <w:t>et al.</w:t>
            </w:r>
            <w:r w:rsidR="00B87CCB" w:rsidRPr="00BA522D">
              <w:rPr>
                <w:rFonts w:ascii="Times New Roman" w:hAnsi="Times New Roman" w:cs="Times New Roman"/>
                <w:color w:val="000000" w:themeColor="text1"/>
              </w:rPr>
              <w:t xml:space="preserve"> 2005</w:t>
            </w:r>
            <w:r>
              <w:t>,</w:t>
            </w:r>
            <w:r w:rsidR="00B87CCB" w:rsidRPr="00BA522D">
              <w:t xml:space="preserve"> </w:t>
            </w:r>
            <w:r>
              <w:rPr>
                <w:rFonts w:ascii="Times New Roman" w:hAnsi="Times New Roman" w:cs="Times New Roman"/>
              </w:rPr>
              <w:t>Landman and Carvalho</w:t>
            </w:r>
            <w:r w:rsidR="00B87CCB" w:rsidRPr="00BA522D">
              <w:rPr>
                <w:rFonts w:ascii="Times New Roman" w:hAnsi="Times New Roman" w:cs="Times New Roman"/>
              </w:rPr>
              <w:t xml:space="preserve"> 2017.</w:t>
            </w:r>
          </w:p>
          <w:p w14:paraId="0B29550C" w14:textId="77777777" w:rsidR="00B87CCB" w:rsidRPr="00BA522D" w:rsidRDefault="00B87CCB" w:rsidP="00C201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top w:val="single" w:sz="8" w:space="0" w:color="auto"/>
            </w:tcBorders>
          </w:tcPr>
          <w:p w14:paraId="4BB068DA" w14:textId="0F61745F" w:rsidR="00B87CCB" w:rsidRPr="00BA522D" w:rsidRDefault="00B87CCB" w:rsidP="00C201D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A522D">
              <w:rPr>
                <w:rFonts w:ascii="Times New Roman" w:hAnsi="Times New Roman" w:cs="Times New Roman"/>
                <w:color w:val="000000" w:themeColor="text1"/>
              </w:rPr>
              <w:t>Explicit articulation of ontological and epistemo</w:t>
            </w:r>
            <w:r w:rsidR="00F00AF8">
              <w:rPr>
                <w:rFonts w:ascii="Times New Roman" w:hAnsi="Times New Roman" w:cs="Times New Roman"/>
                <w:color w:val="000000" w:themeColor="text1"/>
              </w:rPr>
              <w:t>logical assumptions and recognis</w:t>
            </w:r>
            <w:r w:rsidRPr="00BA522D">
              <w:rPr>
                <w:rFonts w:ascii="Times New Roman" w:hAnsi="Times New Roman" w:cs="Times New Roman"/>
                <w:color w:val="000000" w:themeColor="text1"/>
              </w:rPr>
              <w:t>e limits of knowledge claims</w:t>
            </w:r>
            <w:r w:rsidR="00B5463A" w:rsidRPr="00BA522D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F00AF8" w:rsidRPr="00B87CCB" w14:paraId="1123BFF0" w14:textId="77777777" w:rsidTr="00FF3502">
        <w:trPr>
          <w:trHeight w:val="2273"/>
        </w:trPr>
        <w:tc>
          <w:tcPr>
            <w:tcW w:w="0" w:type="auto"/>
          </w:tcPr>
          <w:p w14:paraId="7FE6D532" w14:textId="77777777" w:rsidR="00B87CCB" w:rsidRPr="00BA522D" w:rsidRDefault="00B87CCB" w:rsidP="00C201D2">
            <w:pPr>
              <w:rPr>
                <w:rFonts w:ascii="Times New Roman" w:hAnsi="Times New Roman" w:cs="Times New Roman"/>
                <w:b/>
              </w:rPr>
            </w:pPr>
            <w:r w:rsidRPr="00BA522D">
              <w:rPr>
                <w:rFonts w:ascii="Times New Roman" w:hAnsi="Times New Roman" w:cs="Times New Roman"/>
                <w:b/>
              </w:rPr>
              <w:t>Purpose/goals</w:t>
            </w:r>
          </w:p>
        </w:tc>
        <w:tc>
          <w:tcPr>
            <w:tcW w:w="0" w:type="auto"/>
          </w:tcPr>
          <w:p w14:paraId="558DD57A" w14:textId="28BA13D7" w:rsidR="00B87CCB" w:rsidRPr="00BA522D" w:rsidRDefault="00B87CCB" w:rsidP="00C201D2">
            <w:pPr>
              <w:rPr>
                <w:rFonts w:ascii="Times New Roman" w:hAnsi="Times New Roman" w:cs="Times New Roman"/>
              </w:rPr>
            </w:pPr>
            <w:r w:rsidRPr="00BA522D">
              <w:rPr>
                <w:rFonts w:ascii="Times New Roman" w:hAnsi="Times New Roman" w:cs="Times New Roman"/>
              </w:rPr>
              <w:t>The need to clarify the overall purpose and intent of comparative analysis (i.e. descriptive, classification, hyp</w:t>
            </w:r>
            <w:r w:rsidR="00F00AF8">
              <w:rPr>
                <w:rFonts w:ascii="Times New Roman" w:hAnsi="Times New Roman" w:cs="Times New Roman"/>
              </w:rPr>
              <w:t>othesis and predictive) recognis</w:t>
            </w:r>
            <w:r w:rsidRPr="00BA522D">
              <w:rPr>
                <w:rFonts w:ascii="Times New Roman" w:hAnsi="Times New Roman" w:cs="Times New Roman"/>
              </w:rPr>
              <w:t>ing that each of these purposes has its own advantages and disadvantages and unique set of challenges and limitations that need to be overcome.</w:t>
            </w:r>
          </w:p>
        </w:tc>
        <w:tc>
          <w:tcPr>
            <w:tcW w:w="0" w:type="auto"/>
          </w:tcPr>
          <w:p w14:paraId="3D437BF7" w14:textId="72CDFE04" w:rsidR="00B87CCB" w:rsidRPr="00BA522D" w:rsidRDefault="00F00AF8" w:rsidP="00C201D2">
            <w:r>
              <w:rPr>
                <w:rFonts w:ascii="Times New Roman" w:hAnsi="Times New Roman" w:cs="Times New Roman"/>
                <w:color w:val="000000" w:themeColor="text1"/>
              </w:rPr>
              <w:t>Øyen 1990, Dogan and Pélassy</w:t>
            </w:r>
            <w:r w:rsidR="00B87CCB" w:rsidRPr="00BA522D">
              <w:rPr>
                <w:rFonts w:ascii="Times New Roman" w:hAnsi="Times New Roman" w:cs="Times New Roman"/>
                <w:color w:val="000000" w:themeColor="text1"/>
              </w:rPr>
              <w:t xml:space="preserve"> 1990</w:t>
            </w:r>
            <w:r>
              <w:t>,</w:t>
            </w:r>
            <w:r w:rsidR="00B87CCB" w:rsidRPr="00BA522D"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Henry </w:t>
            </w:r>
            <w:r w:rsidRPr="00F00AF8">
              <w:rPr>
                <w:rFonts w:ascii="Times New Roman" w:hAnsi="Times New Roman" w:cs="Times New Roman"/>
                <w:i/>
                <w:color w:val="000000" w:themeColor="text1"/>
              </w:rPr>
              <w:t>et al.</w:t>
            </w:r>
            <w:r w:rsidR="00B87CCB" w:rsidRPr="00F00AF8">
              <w:rPr>
                <w:rFonts w:ascii="Times New Roman" w:hAnsi="Times New Roman" w:cs="Times New Roman"/>
                <w:i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2005,</w:t>
            </w:r>
            <w:r w:rsidR="00B87CCB" w:rsidRPr="00BA522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Landman and Carvalho</w:t>
            </w:r>
            <w:r w:rsidR="00B87CCB" w:rsidRPr="00BA522D">
              <w:rPr>
                <w:rFonts w:ascii="Times New Roman" w:hAnsi="Times New Roman" w:cs="Times New Roman"/>
              </w:rPr>
              <w:t xml:space="preserve"> 2017.</w:t>
            </w:r>
            <w:r w:rsidR="00B87CCB" w:rsidRPr="00BA522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60F799FB" w14:textId="77777777" w:rsidR="00B87CCB" w:rsidRPr="00BA522D" w:rsidRDefault="00B87CCB" w:rsidP="00C201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</w:tcPr>
          <w:p w14:paraId="15DB1791" w14:textId="505BA723" w:rsidR="00B87CCB" w:rsidRPr="00BA522D" w:rsidRDefault="00F00AF8" w:rsidP="00C201D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Acknowledge and recognis</w:t>
            </w:r>
            <w:r w:rsidR="00B87CCB" w:rsidRPr="00BA522D">
              <w:rPr>
                <w:rFonts w:ascii="Times New Roman" w:hAnsi="Times New Roman" w:cs="Times New Roman"/>
                <w:color w:val="000000" w:themeColor="text1"/>
              </w:rPr>
              <w:t>e the limitations of each comparative approach: Descriptive accounts avoid over description; classification avoid reducing variables to meaningless categories; hypothesis and prediction should clearly delineate relationship between variables</w:t>
            </w:r>
            <w:r w:rsidR="00B5463A" w:rsidRPr="00BA522D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F00AF8" w:rsidRPr="00BA522D" w14:paraId="5E0C0A0E" w14:textId="77777777" w:rsidTr="00FF3502">
        <w:trPr>
          <w:trHeight w:val="1560"/>
        </w:trPr>
        <w:tc>
          <w:tcPr>
            <w:tcW w:w="0" w:type="auto"/>
          </w:tcPr>
          <w:p w14:paraId="23871EC0" w14:textId="77777777" w:rsidR="001952D3" w:rsidRPr="00BA522D" w:rsidRDefault="001952D3" w:rsidP="009258CF">
            <w:pPr>
              <w:rPr>
                <w:rFonts w:ascii="Times New Roman" w:hAnsi="Times New Roman" w:cs="Times New Roman"/>
                <w:b/>
              </w:rPr>
            </w:pPr>
            <w:r w:rsidRPr="00BA522D">
              <w:rPr>
                <w:rFonts w:ascii="Times New Roman" w:hAnsi="Times New Roman" w:cs="Times New Roman"/>
                <w:b/>
              </w:rPr>
              <w:t>Unit of Analysis</w:t>
            </w:r>
          </w:p>
        </w:tc>
        <w:tc>
          <w:tcPr>
            <w:tcW w:w="0" w:type="auto"/>
          </w:tcPr>
          <w:p w14:paraId="11B366F2" w14:textId="107B80D8" w:rsidR="001952D3" w:rsidRPr="00BA522D" w:rsidRDefault="00F00AF8" w:rsidP="00F00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Pr="00BA522D">
              <w:rPr>
                <w:rFonts w:ascii="Times New Roman" w:hAnsi="Times New Roman" w:cs="Times New Roman"/>
              </w:rPr>
              <w:t>he decision of whether to focus on macro, meso or micr</w:t>
            </w:r>
            <w:r>
              <w:rPr>
                <w:rFonts w:ascii="Times New Roman" w:hAnsi="Times New Roman" w:cs="Times New Roman"/>
              </w:rPr>
              <w:t>o level policy related concerns and t</w:t>
            </w:r>
            <w:r w:rsidR="001952D3" w:rsidRPr="00BA522D">
              <w:rPr>
                <w:rFonts w:ascii="Times New Roman" w:hAnsi="Times New Roman" w:cs="Times New Roman"/>
              </w:rPr>
              <w:t xml:space="preserve">he assumption that the nation state is the most appropriate level </w:t>
            </w:r>
            <w:r>
              <w:rPr>
                <w:rFonts w:ascii="Times New Roman" w:hAnsi="Times New Roman" w:cs="Times New Roman"/>
              </w:rPr>
              <w:t>in which to make comparisons</w:t>
            </w:r>
            <w:r w:rsidR="001952D3" w:rsidRPr="00BA522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0" w:type="auto"/>
          </w:tcPr>
          <w:p w14:paraId="2A81186C" w14:textId="5A4770CA" w:rsidR="001952D3" w:rsidRPr="00BA522D" w:rsidRDefault="001952D3" w:rsidP="009258CF">
            <w:r w:rsidRPr="00BA522D">
              <w:rPr>
                <w:rFonts w:ascii="Times New Roman" w:hAnsi="Times New Roman" w:cs="Times New Roman"/>
                <w:color w:val="000000" w:themeColor="text1"/>
              </w:rPr>
              <w:t>Ø</w:t>
            </w:r>
            <w:r w:rsidR="00F00AF8">
              <w:rPr>
                <w:rFonts w:ascii="Times New Roman" w:hAnsi="Times New Roman" w:cs="Times New Roman"/>
                <w:color w:val="000000" w:themeColor="text1"/>
              </w:rPr>
              <w:t>yen 1990, Baistow</w:t>
            </w:r>
            <w:r w:rsidRPr="00BA522D">
              <w:rPr>
                <w:rFonts w:ascii="Times New Roman" w:hAnsi="Times New Roman" w:cs="Times New Roman"/>
                <w:color w:val="000000" w:themeColor="text1"/>
              </w:rPr>
              <w:t xml:space="preserve"> 2000</w:t>
            </w:r>
            <w:r w:rsidR="00F00AF8">
              <w:t>,</w:t>
            </w:r>
            <w:r w:rsidRPr="00BA522D">
              <w:t xml:space="preserve"> </w:t>
            </w:r>
            <w:r w:rsidR="00F00AF8">
              <w:rPr>
                <w:rFonts w:ascii="Times New Roman" w:hAnsi="Times New Roman" w:cs="Times New Roman"/>
                <w:color w:val="000000" w:themeColor="text1"/>
              </w:rPr>
              <w:t>Dogan and Pélassy 1990, Hantrais 2009,</w:t>
            </w:r>
            <w:r w:rsidRPr="00BA522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F00AF8">
              <w:rPr>
                <w:rFonts w:ascii="Times New Roman" w:hAnsi="Times New Roman" w:cs="Times New Roman"/>
                <w:color w:val="000000" w:themeColor="text1"/>
              </w:rPr>
              <w:t>Jowell</w:t>
            </w:r>
            <w:r w:rsidRPr="00BA522D">
              <w:rPr>
                <w:rFonts w:ascii="Times New Roman" w:hAnsi="Times New Roman" w:cs="Times New Roman"/>
                <w:color w:val="000000" w:themeColor="text1"/>
              </w:rPr>
              <w:t xml:space="preserve"> 1998</w:t>
            </w:r>
            <w:r w:rsidR="00F00AF8">
              <w:t>,</w:t>
            </w:r>
            <w:r w:rsidRPr="00BA522D">
              <w:t xml:space="preserve"> </w:t>
            </w:r>
            <w:r w:rsidR="00F00AF8">
              <w:rPr>
                <w:rFonts w:ascii="Times New Roman" w:hAnsi="Times New Roman" w:cs="Times New Roman"/>
                <w:color w:val="000000" w:themeColor="text1"/>
              </w:rPr>
              <w:t>Kohn 1987,</w:t>
            </w:r>
            <w:r w:rsidRPr="00BA522D">
              <w:t xml:space="preserve"> </w:t>
            </w:r>
            <w:r w:rsidR="00F00AF8">
              <w:rPr>
                <w:rFonts w:ascii="Times New Roman" w:hAnsi="Times New Roman" w:cs="Times New Roman"/>
                <w:color w:val="000000" w:themeColor="text1"/>
              </w:rPr>
              <w:t xml:space="preserve">Mills </w:t>
            </w:r>
            <w:r w:rsidR="00F00AF8" w:rsidRPr="00F00AF8">
              <w:rPr>
                <w:rFonts w:ascii="Times New Roman" w:hAnsi="Times New Roman" w:cs="Times New Roman"/>
                <w:i/>
                <w:color w:val="000000" w:themeColor="text1"/>
              </w:rPr>
              <w:t>et al.</w:t>
            </w:r>
            <w:r w:rsidR="00F00AF8">
              <w:rPr>
                <w:rFonts w:ascii="Times New Roman" w:hAnsi="Times New Roman" w:cs="Times New Roman"/>
                <w:color w:val="000000" w:themeColor="text1"/>
              </w:rPr>
              <w:t xml:space="preserve"> 2006, Ragin</w:t>
            </w:r>
            <w:r w:rsidRPr="00BA522D">
              <w:rPr>
                <w:rFonts w:ascii="Times New Roman" w:hAnsi="Times New Roman" w:cs="Times New Roman"/>
                <w:color w:val="000000" w:themeColor="text1"/>
              </w:rPr>
              <w:t xml:space="preserve"> 2014. </w:t>
            </w:r>
          </w:p>
        </w:tc>
        <w:tc>
          <w:tcPr>
            <w:tcW w:w="0" w:type="auto"/>
          </w:tcPr>
          <w:p w14:paraId="3592BE27" w14:textId="5E840BA4" w:rsidR="001952D3" w:rsidRPr="00BA522D" w:rsidRDefault="001952D3" w:rsidP="009258C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A522D">
              <w:rPr>
                <w:rFonts w:ascii="Times New Roman" w:hAnsi="Times New Roman" w:cs="Times New Roman"/>
                <w:color w:val="000000" w:themeColor="text1"/>
              </w:rPr>
              <w:t>Clearly articulate and justify choi</w:t>
            </w:r>
            <w:r w:rsidR="00F00AF8">
              <w:rPr>
                <w:rFonts w:ascii="Times New Roman" w:hAnsi="Times New Roman" w:cs="Times New Roman"/>
                <w:color w:val="000000" w:themeColor="text1"/>
              </w:rPr>
              <w:t>ce of unit of analysis. Recognis</w:t>
            </w:r>
            <w:r w:rsidRPr="00BA522D">
              <w:rPr>
                <w:rFonts w:ascii="Times New Roman" w:hAnsi="Times New Roman" w:cs="Times New Roman"/>
                <w:color w:val="000000" w:themeColor="text1"/>
              </w:rPr>
              <w:t>e the limitations of this methodological decision.</w:t>
            </w:r>
          </w:p>
          <w:p w14:paraId="5995AC9E" w14:textId="77777777" w:rsidR="001952D3" w:rsidRPr="00BA522D" w:rsidRDefault="001952D3" w:rsidP="009258CF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00AF8" w:rsidRPr="00BA522D" w14:paraId="2DAB88F7" w14:textId="77777777" w:rsidTr="00FF3502">
        <w:trPr>
          <w:trHeight w:val="1753"/>
        </w:trPr>
        <w:tc>
          <w:tcPr>
            <w:tcW w:w="0" w:type="auto"/>
          </w:tcPr>
          <w:p w14:paraId="0EEAA111" w14:textId="77777777" w:rsidR="001952D3" w:rsidRPr="00BA522D" w:rsidRDefault="001952D3" w:rsidP="009258CF">
            <w:pPr>
              <w:rPr>
                <w:rFonts w:ascii="Times New Roman" w:hAnsi="Times New Roman" w:cs="Times New Roman"/>
                <w:b/>
              </w:rPr>
            </w:pPr>
            <w:r w:rsidRPr="00BA522D">
              <w:rPr>
                <w:rFonts w:ascii="Times New Roman" w:hAnsi="Times New Roman" w:cs="Times New Roman"/>
                <w:b/>
              </w:rPr>
              <w:t>Selecting Countries (sample)</w:t>
            </w:r>
          </w:p>
        </w:tc>
        <w:tc>
          <w:tcPr>
            <w:tcW w:w="0" w:type="auto"/>
          </w:tcPr>
          <w:p w14:paraId="5A31C4D1" w14:textId="77777777" w:rsidR="001952D3" w:rsidRPr="00BA522D" w:rsidRDefault="001952D3" w:rsidP="009258CF">
            <w:pPr>
              <w:rPr>
                <w:rFonts w:ascii="Times New Roman" w:hAnsi="Times New Roman" w:cs="Times New Roman"/>
              </w:rPr>
            </w:pPr>
            <w:r w:rsidRPr="00BA522D">
              <w:rPr>
                <w:rFonts w:ascii="Times New Roman" w:hAnsi="Times New Roman" w:cs="Times New Roman"/>
              </w:rPr>
              <w:t xml:space="preserve">Deciding on how many countries to compare (i.e. small-N or large N type comparative studies) with either one, few, or many cases.   </w:t>
            </w:r>
          </w:p>
        </w:tc>
        <w:tc>
          <w:tcPr>
            <w:tcW w:w="0" w:type="auto"/>
          </w:tcPr>
          <w:p w14:paraId="4258763E" w14:textId="032B0E28" w:rsidR="001952D3" w:rsidRPr="00BA522D" w:rsidRDefault="00F00AF8" w:rsidP="009258CF">
            <w:r>
              <w:rPr>
                <w:rFonts w:ascii="Times New Roman" w:hAnsi="Times New Roman" w:cs="Times New Roman"/>
                <w:color w:val="000000" w:themeColor="text1"/>
              </w:rPr>
              <w:t>Ebbinghaus</w:t>
            </w:r>
            <w:r w:rsidR="001952D3" w:rsidRPr="00BA522D">
              <w:rPr>
                <w:rFonts w:ascii="Times New Roman" w:hAnsi="Times New Roman" w:cs="Times New Roman"/>
                <w:color w:val="000000" w:themeColor="text1"/>
              </w:rPr>
              <w:t xml:space="preserve"> 2005</w:t>
            </w:r>
            <w:r>
              <w:rPr>
                <w:rFonts w:ascii="Times New Roman" w:hAnsi="Times New Roman" w:cs="Times New Roman"/>
              </w:rPr>
              <w:t xml:space="preserve">, Henry </w:t>
            </w:r>
            <w:r w:rsidRPr="00F00AF8">
              <w:rPr>
                <w:rFonts w:ascii="Times New Roman" w:hAnsi="Times New Roman" w:cs="Times New Roman"/>
                <w:i/>
              </w:rPr>
              <w:t>et al.</w:t>
            </w:r>
            <w:r>
              <w:rPr>
                <w:rFonts w:ascii="Times New Roman" w:hAnsi="Times New Roman" w:cs="Times New Roman"/>
              </w:rPr>
              <w:t xml:space="preserve"> 2005,</w:t>
            </w:r>
            <w:r w:rsidR="001952D3" w:rsidRPr="00BA52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Hantrais 2009, Jowell 1998, </w:t>
            </w:r>
            <w:r>
              <w:rPr>
                <w:rFonts w:ascii="Times New Roman" w:hAnsi="Times New Roman" w:cs="Times New Roman"/>
              </w:rPr>
              <w:t>Landman and Carvalho 2017,</w:t>
            </w:r>
            <w:r w:rsidR="00573104" w:rsidRPr="00BA522D">
              <w:rPr>
                <w:rFonts w:ascii="Times New Roman" w:hAnsi="Times New Roman" w:cs="Times New Roman"/>
              </w:rPr>
              <w:t xml:space="preserve"> </w:t>
            </w:r>
            <w:r w:rsidR="00573104" w:rsidRPr="00BA522D">
              <w:rPr>
                <w:rFonts w:ascii="Times New Roman" w:hAnsi="Times New Roman" w:cs="Times New Roman"/>
                <w:color w:val="000000" w:themeColor="text1"/>
              </w:rPr>
              <w:t>Lij</w:t>
            </w:r>
            <w:r w:rsidR="00573104">
              <w:rPr>
                <w:rFonts w:ascii="Times New Roman" w:hAnsi="Times New Roman" w:cs="Times New Roman"/>
                <w:color w:val="000000" w:themeColor="text1"/>
              </w:rPr>
              <w:t xml:space="preserve">phart 1971, </w:t>
            </w:r>
            <w:r>
              <w:rPr>
                <w:rFonts w:ascii="Times New Roman" w:hAnsi="Times New Roman" w:cs="Times New Roman"/>
                <w:color w:val="000000" w:themeColor="text1"/>
              </w:rPr>
              <w:t>Ragin</w:t>
            </w:r>
            <w:r w:rsidR="001952D3" w:rsidRPr="00BA522D">
              <w:rPr>
                <w:rFonts w:ascii="Times New Roman" w:hAnsi="Times New Roman" w:cs="Times New Roman"/>
                <w:color w:val="000000" w:themeColor="text1"/>
              </w:rPr>
              <w:t xml:space="preserve"> 2006, 2014.</w:t>
            </w:r>
          </w:p>
        </w:tc>
        <w:tc>
          <w:tcPr>
            <w:tcW w:w="0" w:type="auto"/>
          </w:tcPr>
          <w:p w14:paraId="56BD0D13" w14:textId="409BB28C" w:rsidR="001952D3" w:rsidRPr="00BA522D" w:rsidRDefault="001952D3" w:rsidP="009258CF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A522D">
              <w:rPr>
                <w:rFonts w:ascii="Times New Roman" w:hAnsi="Times New Roman" w:cs="Times New Roman"/>
                <w:color w:val="000000" w:themeColor="text1"/>
              </w:rPr>
              <w:t>Acknowledge methodological trade-off. Strike balance between too few and too many countries.</w:t>
            </w:r>
            <w:r w:rsidR="00F00AF8">
              <w:rPr>
                <w:rFonts w:ascii="Times New Roman" w:hAnsi="Times New Roman" w:cs="Times New Roman"/>
                <w:color w:val="000000" w:themeColor="text1"/>
              </w:rPr>
              <w:t xml:space="preserve"> More countries is not necessarily better</w:t>
            </w:r>
            <w:r w:rsidRPr="00BA522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F00AF8" w:rsidRPr="00B87CCB" w14:paraId="4D1C296A" w14:textId="77777777" w:rsidTr="00FF3502">
        <w:trPr>
          <w:trHeight w:val="1483"/>
        </w:trPr>
        <w:tc>
          <w:tcPr>
            <w:tcW w:w="0" w:type="auto"/>
          </w:tcPr>
          <w:p w14:paraId="28B23743" w14:textId="77777777" w:rsidR="00B87CCB" w:rsidRPr="00BA522D" w:rsidRDefault="00B87CCB" w:rsidP="00C201D2">
            <w:pPr>
              <w:rPr>
                <w:rFonts w:ascii="Times New Roman" w:hAnsi="Times New Roman" w:cs="Times New Roman"/>
                <w:b/>
              </w:rPr>
            </w:pPr>
            <w:r w:rsidRPr="00BA522D">
              <w:rPr>
                <w:rFonts w:ascii="Times New Roman" w:hAnsi="Times New Roman" w:cs="Times New Roman"/>
                <w:b/>
              </w:rPr>
              <w:lastRenderedPageBreak/>
              <w:t>Construct Equivalence</w:t>
            </w:r>
          </w:p>
        </w:tc>
        <w:tc>
          <w:tcPr>
            <w:tcW w:w="0" w:type="auto"/>
          </w:tcPr>
          <w:p w14:paraId="57FEBC69" w14:textId="77777777" w:rsidR="00B87CCB" w:rsidRPr="00BA522D" w:rsidRDefault="00B87CCB" w:rsidP="00C201D2">
            <w:pPr>
              <w:rPr>
                <w:rFonts w:ascii="Times New Roman" w:hAnsi="Times New Roman" w:cs="Times New Roman"/>
              </w:rPr>
            </w:pPr>
            <w:r w:rsidRPr="00BA522D">
              <w:rPr>
                <w:rFonts w:ascii="Times New Roman" w:hAnsi="Times New Roman" w:cs="Times New Roman"/>
              </w:rPr>
              <w:t xml:space="preserve">Ensuring that the instruments employed measure the same (i.e. equivalent) constructs across selected cases. </w:t>
            </w:r>
          </w:p>
        </w:tc>
        <w:tc>
          <w:tcPr>
            <w:tcW w:w="0" w:type="auto"/>
          </w:tcPr>
          <w:p w14:paraId="628EF563" w14:textId="1464AFAF" w:rsidR="00B87CCB" w:rsidRPr="00BA522D" w:rsidRDefault="00F00AF8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Øyen 1990, 2004, Baistow 2000, Hantrais 2009, Jowell 1998,</w:t>
            </w:r>
            <w:r w:rsidR="00B87CCB" w:rsidRPr="00BA522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Landman and Carvalho</w:t>
            </w:r>
            <w:r w:rsidR="00B87CCB" w:rsidRPr="00BA522D">
              <w:rPr>
                <w:rFonts w:ascii="Times New Roman" w:hAnsi="Times New Roman" w:cs="Times New Roman"/>
              </w:rPr>
              <w:t xml:space="preserve"> 2017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, Mills </w:t>
            </w:r>
            <w:r w:rsidRPr="00F00AF8">
              <w:rPr>
                <w:rFonts w:ascii="Times New Roman" w:hAnsi="Times New Roman" w:cs="Times New Roman"/>
                <w:i/>
                <w:color w:val="000000" w:themeColor="text1"/>
              </w:rPr>
              <w:t>et al.</w:t>
            </w:r>
            <w:r w:rsidR="00B87CCB" w:rsidRPr="00BA522D">
              <w:rPr>
                <w:rFonts w:ascii="Times New Roman" w:hAnsi="Times New Roman" w:cs="Times New Roman"/>
                <w:color w:val="000000" w:themeColor="text1"/>
              </w:rPr>
              <w:t xml:space="preserve"> 2006</w:t>
            </w:r>
            <w:r>
              <w:rPr>
                <w:rFonts w:ascii="Times New Roman" w:hAnsi="Times New Roman" w:cs="Times New Roman"/>
                <w:color w:val="000000" w:themeColor="text1"/>
              </w:rPr>
              <w:t>, Schuster</w:t>
            </w:r>
            <w:r w:rsidR="00034272" w:rsidRPr="00BA522D">
              <w:rPr>
                <w:rFonts w:ascii="Times New Roman" w:hAnsi="Times New Roman" w:cs="Times New Roman"/>
                <w:color w:val="000000" w:themeColor="text1"/>
              </w:rPr>
              <w:t xml:space="preserve"> 2007.</w:t>
            </w:r>
          </w:p>
        </w:tc>
        <w:tc>
          <w:tcPr>
            <w:tcW w:w="0" w:type="auto"/>
          </w:tcPr>
          <w:p w14:paraId="2168D0BA" w14:textId="77777777" w:rsidR="00B87CCB" w:rsidRPr="00BA522D" w:rsidRDefault="00B87CCB" w:rsidP="00C201D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A522D">
              <w:rPr>
                <w:rFonts w:ascii="Times New Roman" w:hAnsi="Times New Roman" w:cs="Times New Roman"/>
                <w:color w:val="000000" w:themeColor="text1"/>
              </w:rPr>
              <w:t>Always translate and pilot test comparative instruments using native speakers</w:t>
            </w:r>
            <w:r w:rsidR="00B5463A" w:rsidRPr="00BA522D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Pr="00BA522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</w:tr>
      <w:tr w:rsidR="00F00AF8" w:rsidRPr="00B87CCB" w14:paraId="52416E29" w14:textId="77777777" w:rsidTr="00FF3502">
        <w:trPr>
          <w:trHeight w:val="1248"/>
        </w:trPr>
        <w:tc>
          <w:tcPr>
            <w:tcW w:w="0" w:type="auto"/>
          </w:tcPr>
          <w:p w14:paraId="4C6DAA0A" w14:textId="77777777" w:rsidR="00B87CCB" w:rsidRPr="00BA522D" w:rsidRDefault="00B87CCB" w:rsidP="00C201D2">
            <w:pPr>
              <w:rPr>
                <w:rFonts w:ascii="Times New Roman" w:hAnsi="Times New Roman" w:cs="Times New Roman"/>
                <w:b/>
              </w:rPr>
            </w:pPr>
            <w:r w:rsidRPr="00BA522D">
              <w:rPr>
                <w:rFonts w:ascii="Times New Roman" w:hAnsi="Times New Roman" w:cs="Times New Roman"/>
                <w:b/>
              </w:rPr>
              <w:t>Sample Equivalence</w:t>
            </w:r>
          </w:p>
        </w:tc>
        <w:tc>
          <w:tcPr>
            <w:tcW w:w="0" w:type="auto"/>
          </w:tcPr>
          <w:p w14:paraId="26211601" w14:textId="071CFBBA" w:rsidR="00B87CCB" w:rsidRPr="00BA522D" w:rsidRDefault="00F00AF8" w:rsidP="00C201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Deciding on which countries to include and why. </w:t>
            </w:r>
            <w:r w:rsidR="00B87CCB" w:rsidRPr="00BA522D">
              <w:rPr>
                <w:rFonts w:ascii="Times New Roman" w:hAnsi="Times New Roman" w:cs="Times New Roman"/>
              </w:rPr>
              <w:t xml:space="preserve">Often due to practical and historical reasons case selection are often subject to ‘selection bias’ i.e. </w:t>
            </w:r>
            <w:r w:rsidR="00B87CCB" w:rsidRPr="00BA522D">
              <w:rPr>
                <w:rFonts w:ascii="Times New Roman" w:hAnsi="Times New Roman" w:cs="Times New Roman"/>
                <w:color w:val="000000" w:themeColor="text1"/>
              </w:rPr>
              <w:t>the selection of cases based on a positive outcome resulting in false inferences</w:t>
            </w:r>
          </w:p>
        </w:tc>
        <w:tc>
          <w:tcPr>
            <w:tcW w:w="0" w:type="auto"/>
          </w:tcPr>
          <w:p w14:paraId="5E55EC11" w14:textId="1EF272F1" w:rsidR="00B87CCB" w:rsidRPr="00BA522D" w:rsidRDefault="00F00AF8" w:rsidP="00C201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Øyen 1990, Ebbinghaus 2005, Hantrais 2009, Jowell 1998, Kohn 1987, Schuster</w:t>
            </w:r>
            <w:r w:rsidR="00B87CCB" w:rsidRPr="00BA522D">
              <w:rPr>
                <w:rFonts w:ascii="Times New Roman" w:hAnsi="Times New Roman" w:cs="Times New Roman"/>
                <w:color w:val="000000" w:themeColor="text1"/>
              </w:rPr>
              <w:t xml:space="preserve"> 2007.</w:t>
            </w:r>
          </w:p>
        </w:tc>
        <w:tc>
          <w:tcPr>
            <w:tcW w:w="0" w:type="auto"/>
          </w:tcPr>
          <w:p w14:paraId="214E41DD" w14:textId="77777777" w:rsidR="00B87CCB" w:rsidRPr="00BA522D" w:rsidRDefault="00B87CCB" w:rsidP="00C201D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A522D">
              <w:rPr>
                <w:rFonts w:ascii="Times New Roman" w:hAnsi="Times New Roman" w:cs="Times New Roman"/>
                <w:color w:val="000000" w:themeColor="text1"/>
              </w:rPr>
              <w:t>Explicit articulation of case selection/sample strategy to avoid selection bias and illusion of random sampling</w:t>
            </w:r>
            <w:r w:rsidR="00B5463A" w:rsidRPr="00BA522D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</w:tc>
      </w:tr>
      <w:tr w:rsidR="00F00AF8" w:rsidRPr="00B87CCB" w14:paraId="74DE480D" w14:textId="77777777" w:rsidTr="00FF3502">
        <w:trPr>
          <w:trHeight w:val="1276"/>
        </w:trPr>
        <w:tc>
          <w:tcPr>
            <w:tcW w:w="0" w:type="auto"/>
          </w:tcPr>
          <w:p w14:paraId="332C018C" w14:textId="77777777" w:rsidR="00B87CCB" w:rsidRPr="00BA522D" w:rsidRDefault="00B87CCB" w:rsidP="00C201D2">
            <w:pPr>
              <w:rPr>
                <w:rFonts w:ascii="Times New Roman" w:hAnsi="Times New Roman" w:cs="Times New Roman"/>
                <w:b/>
              </w:rPr>
            </w:pPr>
            <w:r w:rsidRPr="00BA522D">
              <w:rPr>
                <w:rFonts w:ascii="Times New Roman" w:hAnsi="Times New Roman" w:cs="Times New Roman"/>
                <w:b/>
              </w:rPr>
              <w:t>Functional Equivalence</w:t>
            </w:r>
          </w:p>
        </w:tc>
        <w:tc>
          <w:tcPr>
            <w:tcW w:w="0" w:type="auto"/>
          </w:tcPr>
          <w:p w14:paraId="3A442BDB" w14:textId="62062026" w:rsidR="00B87CCB" w:rsidRPr="00BA522D" w:rsidRDefault="00B87CCB" w:rsidP="00C201D2">
            <w:pPr>
              <w:rPr>
                <w:rFonts w:ascii="Times New Roman" w:hAnsi="Times New Roman" w:cs="Times New Roman"/>
              </w:rPr>
            </w:pPr>
            <w:r w:rsidRPr="00BA522D">
              <w:rPr>
                <w:rFonts w:ascii="Times New Roman" w:hAnsi="Times New Roman" w:cs="Times New Roman"/>
              </w:rPr>
              <w:t xml:space="preserve">The issue of ensuring that data (particularly secondary data) collected </w:t>
            </w:r>
            <w:r w:rsidR="00F00AF8">
              <w:rPr>
                <w:rFonts w:ascii="Times New Roman" w:hAnsi="Times New Roman" w:cs="Times New Roman"/>
              </w:rPr>
              <w:t>is standardized and contextualis</w:t>
            </w:r>
            <w:r w:rsidRPr="00BA522D">
              <w:rPr>
                <w:rFonts w:ascii="Times New Roman" w:hAnsi="Times New Roman" w:cs="Times New Roman"/>
              </w:rPr>
              <w:t xml:space="preserve">ed </w:t>
            </w:r>
            <w:r w:rsidR="00B5463A" w:rsidRPr="00BA522D">
              <w:rPr>
                <w:rFonts w:ascii="Times New Roman" w:hAnsi="Times New Roman" w:cs="Times New Roman"/>
              </w:rPr>
              <w:t xml:space="preserve">(if this is possible) </w:t>
            </w:r>
            <w:r w:rsidRPr="00BA522D">
              <w:rPr>
                <w:rFonts w:ascii="Times New Roman" w:hAnsi="Times New Roman" w:cs="Times New Roman"/>
              </w:rPr>
              <w:t>to allow for meaningful comparisons.</w:t>
            </w:r>
          </w:p>
        </w:tc>
        <w:tc>
          <w:tcPr>
            <w:tcW w:w="0" w:type="auto"/>
          </w:tcPr>
          <w:p w14:paraId="64533BC9" w14:textId="67E77C91" w:rsidR="00B87CCB" w:rsidRPr="00BA522D" w:rsidRDefault="00F00AF8" w:rsidP="00F00AF8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Øyen 2004, Dogan and Pélassy 1990, Ebbinghaus 2005,</w:t>
            </w:r>
            <w:r w:rsidR="00B87CCB" w:rsidRPr="00BA522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Hantrais 2009, Jowell, 1998,</w:t>
            </w:r>
            <w:r w:rsidR="00B87CCB" w:rsidRPr="00BA522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573104">
              <w:rPr>
                <w:rFonts w:ascii="Times New Roman" w:hAnsi="Times New Roman" w:cs="Times New Roman"/>
              </w:rPr>
              <w:t xml:space="preserve">Landman and Carvalho 2017, </w:t>
            </w:r>
            <w:r w:rsidR="00573104">
              <w:rPr>
                <w:rFonts w:ascii="Times New Roman" w:hAnsi="Times New Roman" w:cs="Times New Roman"/>
                <w:color w:val="000000" w:themeColor="text1"/>
              </w:rPr>
              <w:t>Schuster 2007.</w:t>
            </w:r>
            <w:r w:rsidR="00B5463A" w:rsidRPr="00BA522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</w:tc>
        <w:tc>
          <w:tcPr>
            <w:tcW w:w="0" w:type="auto"/>
          </w:tcPr>
          <w:p w14:paraId="682975F1" w14:textId="4DFADC88" w:rsidR="00B87CCB" w:rsidRPr="00BA522D" w:rsidRDefault="00F00AF8" w:rsidP="00C201D2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Ideally standardis</w:t>
            </w:r>
            <w:r w:rsidR="00B87CCB" w:rsidRPr="00BA522D">
              <w:rPr>
                <w:rFonts w:ascii="Times New Roman" w:hAnsi="Times New Roman" w:cs="Times New Roman"/>
                <w:color w:val="000000" w:themeColor="text1"/>
              </w:rPr>
              <w:t>e all data sets. Avoid using secondary data (where possible) or at least acknowledge limitations of inferences that can be made</w:t>
            </w:r>
            <w:r w:rsidR="00B5463A" w:rsidRPr="00BA522D">
              <w:rPr>
                <w:rFonts w:ascii="Times New Roman" w:hAnsi="Times New Roman" w:cs="Times New Roman"/>
                <w:color w:val="000000" w:themeColor="text1"/>
              </w:rPr>
              <w:t>.</w:t>
            </w:r>
            <w:r w:rsidR="00B87CCB" w:rsidRPr="00BA522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</w:p>
          <w:p w14:paraId="199E9C48" w14:textId="77777777" w:rsidR="00B87CCB" w:rsidRPr="00BA522D" w:rsidRDefault="00B87CCB" w:rsidP="00C201D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00AF8" w:rsidRPr="00B87CCB" w14:paraId="4CDED48D" w14:textId="77777777" w:rsidTr="00FF3502">
        <w:trPr>
          <w:trHeight w:val="1511"/>
        </w:trPr>
        <w:tc>
          <w:tcPr>
            <w:tcW w:w="0" w:type="auto"/>
          </w:tcPr>
          <w:p w14:paraId="0E7F0905" w14:textId="77777777" w:rsidR="00B87CCB" w:rsidRPr="00BA522D" w:rsidRDefault="001952D3" w:rsidP="00C201D2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Data collection – access and analysis</w:t>
            </w:r>
          </w:p>
        </w:tc>
        <w:tc>
          <w:tcPr>
            <w:tcW w:w="0" w:type="auto"/>
          </w:tcPr>
          <w:p w14:paraId="3A89C6AE" w14:textId="77777777" w:rsidR="00B87CCB" w:rsidRPr="00BA522D" w:rsidRDefault="00B87CCB" w:rsidP="00C201D2">
            <w:pPr>
              <w:rPr>
                <w:rFonts w:ascii="Times New Roman" w:hAnsi="Times New Roman" w:cs="Times New Roman"/>
              </w:rPr>
            </w:pPr>
            <w:r w:rsidRPr="00BA522D">
              <w:rPr>
                <w:rFonts w:ascii="Times New Roman" w:hAnsi="Times New Roman" w:cs="Times New Roman"/>
                <w:color w:val="000000" w:themeColor="text1"/>
              </w:rPr>
              <w:t>The methodological trade-off between selecting variables that sufficiently capture the phenomenon in question versus the number of cases and the feasibility and practicality of data collection.</w:t>
            </w:r>
          </w:p>
        </w:tc>
        <w:tc>
          <w:tcPr>
            <w:tcW w:w="0" w:type="auto"/>
          </w:tcPr>
          <w:p w14:paraId="5297CE16" w14:textId="09202693" w:rsidR="00B87CCB" w:rsidRPr="00BA522D" w:rsidRDefault="00CE0C11" w:rsidP="00C201D2">
            <w:r>
              <w:rPr>
                <w:rFonts w:ascii="Times New Roman" w:hAnsi="Times New Roman" w:cs="Times New Roman"/>
                <w:color w:val="000000" w:themeColor="text1"/>
              </w:rPr>
              <w:t>Øyen 1990,</w:t>
            </w:r>
            <w:r w:rsidR="00573104">
              <w:rPr>
                <w:rFonts w:ascii="Times New Roman" w:hAnsi="Times New Roman" w:cs="Times New Roman"/>
                <w:color w:val="000000" w:themeColor="text1"/>
              </w:rPr>
              <w:t xml:space="preserve"> Ebbinghaus 2005,</w:t>
            </w:r>
            <w:r w:rsidR="00B87CCB" w:rsidRPr="00BA522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Landman and Carvalho</w:t>
            </w:r>
            <w:r w:rsidR="00573104">
              <w:rPr>
                <w:rFonts w:ascii="Times New Roman" w:hAnsi="Times New Roman" w:cs="Times New Roman"/>
              </w:rPr>
              <w:t xml:space="preserve"> 2017,</w:t>
            </w:r>
            <w:r w:rsidR="00B87CCB" w:rsidRPr="00BA522D">
              <w:rPr>
                <w:rFonts w:ascii="Times New Roman" w:hAnsi="Times New Roman" w:cs="Times New Roman"/>
              </w:rPr>
              <w:t xml:space="preserve"> </w:t>
            </w:r>
            <w:r w:rsidR="00B87CCB" w:rsidRPr="00BA522D">
              <w:rPr>
                <w:rFonts w:ascii="Times New Roman" w:hAnsi="Times New Roman" w:cs="Times New Roman"/>
                <w:color w:val="000000" w:themeColor="text1"/>
              </w:rPr>
              <w:t>Lij</w:t>
            </w:r>
            <w:r w:rsidR="00573104">
              <w:rPr>
                <w:rFonts w:ascii="Times New Roman" w:hAnsi="Times New Roman" w:cs="Times New Roman"/>
                <w:color w:val="000000" w:themeColor="text1"/>
              </w:rPr>
              <w:t>phart</w:t>
            </w:r>
            <w:r w:rsidR="00B87CCB" w:rsidRPr="00BA522D">
              <w:rPr>
                <w:rFonts w:ascii="Times New Roman" w:hAnsi="Times New Roman" w:cs="Times New Roman"/>
                <w:color w:val="000000" w:themeColor="text1"/>
              </w:rPr>
              <w:t xml:space="preserve"> 1971.</w:t>
            </w:r>
            <w:r w:rsidR="00B87CCB" w:rsidRPr="00BA522D">
              <w:rPr>
                <w:rFonts w:ascii="Times New Roman" w:hAnsi="Times New Roman" w:cs="Times New Roman"/>
              </w:rPr>
              <w:t xml:space="preserve"> </w:t>
            </w:r>
          </w:p>
          <w:p w14:paraId="24CA09C5" w14:textId="77777777" w:rsidR="00B87CCB" w:rsidRPr="00BA522D" w:rsidRDefault="00B87CCB" w:rsidP="00C201D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0" w:type="auto"/>
          </w:tcPr>
          <w:p w14:paraId="75E593FE" w14:textId="68062C03" w:rsidR="00B87CCB" w:rsidRPr="00BA522D" w:rsidRDefault="00B87CCB" w:rsidP="00C201D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A522D">
              <w:rPr>
                <w:rFonts w:ascii="Times New Roman" w:hAnsi="Times New Roman" w:cs="Times New Roman"/>
                <w:color w:val="000000" w:themeColor="text1"/>
              </w:rPr>
              <w:t>Avoid using too many variables in instruments</w:t>
            </w:r>
            <w:r w:rsidR="00F00AF8">
              <w:rPr>
                <w:rFonts w:ascii="Times New Roman" w:hAnsi="Times New Roman" w:cs="Times New Roman"/>
                <w:color w:val="000000" w:themeColor="text1"/>
              </w:rPr>
              <w:t xml:space="preserve"> to avoid becoming meaningless</w:t>
            </w:r>
          </w:p>
          <w:p w14:paraId="036B77C8" w14:textId="77777777" w:rsidR="00B87CCB" w:rsidRPr="00BA522D" w:rsidRDefault="00B87CC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A522D">
              <w:rPr>
                <w:rFonts w:ascii="Times New Roman" w:hAnsi="Times New Roman" w:cs="Times New Roman"/>
                <w:color w:val="000000" w:themeColor="text1"/>
              </w:rPr>
              <w:t>Identify researcher or research team and develop</w:t>
            </w:r>
            <w:r w:rsidR="00034272" w:rsidRPr="00BA522D">
              <w:rPr>
                <w:rFonts w:ascii="Times New Roman" w:hAnsi="Times New Roman" w:cs="Times New Roman"/>
                <w:color w:val="000000" w:themeColor="text1"/>
              </w:rPr>
              <w:t xml:space="preserve"> agreed operational protocols.</w:t>
            </w:r>
          </w:p>
        </w:tc>
      </w:tr>
      <w:tr w:rsidR="00F00AF8" w:rsidRPr="00B87CCB" w14:paraId="3D5D1C44" w14:textId="77777777" w:rsidTr="00FF3502">
        <w:trPr>
          <w:trHeight w:val="1830"/>
        </w:trPr>
        <w:tc>
          <w:tcPr>
            <w:tcW w:w="0" w:type="auto"/>
          </w:tcPr>
          <w:p w14:paraId="1B8CF519" w14:textId="77777777" w:rsidR="00B87CCB" w:rsidRPr="00BA522D" w:rsidRDefault="001952D3" w:rsidP="001952D3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Data output – presentation and dissemination</w:t>
            </w:r>
          </w:p>
        </w:tc>
        <w:tc>
          <w:tcPr>
            <w:tcW w:w="0" w:type="auto"/>
          </w:tcPr>
          <w:p w14:paraId="09A38BB0" w14:textId="33A88DC2" w:rsidR="00B87CCB" w:rsidRPr="00BA522D" w:rsidRDefault="00B87CCB" w:rsidP="00C201D2">
            <w:pPr>
              <w:rPr>
                <w:rFonts w:ascii="Times New Roman" w:hAnsi="Times New Roman" w:cs="Times New Roman"/>
              </w:rPr>
            </w:pPr>
            <w:r w:rsidRPr="00BA522D">
              <w:rPr>
                <w:rFonts w:ascii="Times New Roman" w:hAnsi="Times New Roman" w:cs="Times New Roman"/>
              </w:rPr>
              <w:t>A series of practical issues relating to the reliability and validity of</w:t>
            </w:r>
            <w:r w:rsidR="00F00AF8">
              <w:rPr>
                <w:rFonts w:ascii="Times New Roman" w:hAnsi="Times New Roman" w:cs="Times New Roman"/>
              </w:rPr>
              <w:t xml:space="preserve"> data (e.g., ensuring standardis</w:t>
            </w:r>
            <w:r w:rsidRPr="00BA522D">
              <w:rPr>
                <w:rFonts w:ascii="Times New Roman" w:hAnsi="Times New Roman" w:cs="Times New Roman"/>
              </w:rPr>
              <w:t>ed protocol, issues of time-lag, and limitations of using single point data) and the willingness of stakeholders to share sensitive information.</w:t>
            </w:r>
          </w:p>
        </w:tc>
        <w:tc>
          <w:tcPr>
            <w:tcW w:w="0" w:type="auto"/>
          </w:tcPr>
          <w:p w14:paraId="62329CFA" w14:textId="36968DF3" w:rsidR="00B87CCB" w:rsidRPr="00BA522D" w:rsidRDefault="00CE0C11" w:rsidP="00C201D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Øyen 1990, Hantrais 2009,</w:t>
            </w:r>
            <w:r w:rsidR="00B87CCB" w:rsidRPr="00BA522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Landman and Carvalho 2017,</w:t>
            </w:r>
            <w:r w:rsidR="00B87CCB" w:rsidRPr="00BA522D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</w:rPr>
              <w:t>Schuster</w:t>
            </w:r>
            <w:r w:rsidR="00B87CCB" w:rsidRPr="00BA522D">
              <w:rPr>
                <w:rFonts w:ascii="Times New Roman" w:hAnsi="Times New Roman" w:cs="Times New Roman"/>
                <w:color w:val="000000" w:themeColor="text1"/>
              </w:rPr>
              <w:t xml:space="preserve"> 2007.</w:t>
            </w:r>
          </w:p>
        </w:tc>
        <w:tc>
          <w:tcPr>
            <w:tcW w:w="0" w:type="auto"/>
          </w:tcPr>
          <w:p w14:paraId="4ABD0BF2" w14:textId="77777777" w:rsidR="00B87CCB" w:rsidRPr="00BA522D" w:rsidRDefault="00B87CCB" w:rsidP="00C201D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A522D">
              <w:rPr>
                <w:rFonts w:ascii="Times New Roman" w:hAnsi="Times New Roman" w:cs="Times New Roman"/>
                <w:color w:val="000000" w:themeColor="text1"/>
              </w:rPr>
              <w:t>Use multiple data collection strategies</w:t>
            </w:r>
            <w:r w:rsidR="00034272" w:rsidRPr="00BA522D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518016AF" w14:textId="77777777" w:rsidR="00B87CCB" w:rsidRPr="00BA522D" w:rsidRDefault="00B87CCB" w:rsidP="00C201D2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A522D">
              <w:rPr>
                <w:rFonts w:ascii="Times New Roman" w:hAnsi="Times New Roman" w:cs="Times New Roman"/>
                <w:color w:val="000000" w:themeColor="text1"/>
              </w:rPr>
              <w:t>Keep period from data collection to publication as short as possible</w:t>
            </w:r>
            <w:r w:rsidR="00B5463A" w:rsidRPr="00BA522D">
              <w:rPr>
                <w:rFonts w:ascii="Times New Roman" w:hAnsi="Times New Roman" w:cs="Times New Roman"/>
                <w:color w:val="000000" w:themeColor="text1"/>
              </w:rPr>
              <w:t>.</w:t>
            </w:r>
          </w:p>
          <w:p w14:paraId="39F31443" w14:textId="77777777" w:rsidR="00B87CCB" w:rsidRPr="00BA522D" w:rsidRDefault="00B87CCB" w:rsidP="00C201D2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</w:tr>
      <w:tr w:rsidR="00F00AF8" w:rsidRPr="00B87CCB" w14:paraId="7093FC2D" w14:textId="77777777" w:rsidTr="00FF3502">
        <w:tc>
          <w:tcPr>
            <w:tcW w:w="0" w:type="auto"/>
            <w:tcBorders>
              <w:bottom w:val="single" w:sz="12" w:space="0" w:color="auto"/>
            </w:tcBorders>
          </w:tcPr>
          <w:p w14:paraId="381232F2" w14:textId="6CFAAC0D" w:rsidR="00B87CCB" w:rsidRPr="00BA522D" w:rsidRDefault="00B87CCB" w:rsidP="00C201D2">
            <w:pPr>
              <w:rPr>
                <w:rFonts w:ascii="Times New Roman" w:hAnsi="Times New Roman" w:cs="Times New Roman"/>
                <w:b/>
              </w:rPr>
            </w:pPr>
            <w:r w:rsidRPr="00BA522D">
              <w:rPr>
                <w:rFonts w:ascii="Times New Roman" w:hAnsi="Times New Roman" w:cs="Times New Roman"/>
                <w:b/>
              </w:rPr>
              <w:lastRenderedPageBreak/>
              <w:t>Data output</w:t>
            </w:r>
            <w:r w:rsidR="008F0187" w:rsidRPr="00BA522D">
              <w:rPr>
                <w:rFonts w:ascii="Times New Roman" w:hAnsi="Times New Roman" w:cs="Times New Roman"/>
                <w:b/>
              </w:rPr>
              <w:t xml:space="preserve"> (interpretation</w:t>
            </w:r>
            <w:r w:rsidR="00F00AF8">
              <w:rPr>
                <w:rFonts w:ascii="Times New Roman" w:hAnsi="Times New Roman" w:cs="Times New Roman"/>
                <w:b/>
              </w:rPr>
              <w:t>/ generalis</w:t>
            </w:r>
            <w:r w:rsidR="00D65193" w:rsidRPr="00BA522D">
              <w:rPr>
                <w:rFonts w:ascii="Times New Roman" w:hAnsi="Times New Roman" w:cs="Times New Roman"/>
                <w:b/>
              </w:rPr>
              <w:t>ation</w:t>
            </w:r>
            <w:r w:rsidR="008F0187" w:rsidRPr="00BA522D">
              <w:rPr>
                <w:rFonts w:ascii="Times New Roman" w:hAnsi="Times New Roman" w:cs="Times New Roman"/>
                <w:b/>
              </w:rPr>
              <w:t>)</w:t>
            </w:r>
            <w:r w:rsidRPr="00BA522D">
              <w:rPr>
                <w:rFonts w:ascii="Times New Roman" w:hAnsi="Times New Roman" w:cs="Times New Roman"/>
                <w:b/>
              </w:rPr>
              <w:t xml:space="preserve"> 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2D394A61" w14:textId="77777777" w:rsidR="00B87CCB" w:rsidRPr="00BA522D" w:rsidRDefault="00B87CCB" w:rsidP="008F0187">
            <w:pPr>
              <w:rPr>
                <w:rFonts w:ascii="Times New Roman" w:hAnsi="Times New Roman" w:cs="Times New Roman"/>
              </w:rPr>
            </w:pPr>
            <w:r w:rsidRPr="00BA522D">
              <w:rPr>
                <w:rFonts w:ascii="Times New Roman" w:hAnsi="Times New Roman" w:cs="Times New Roman"/>
              </w:rPr>
              <w:t>A number of issues surrounding how</w:t>
            </w:r>
            <w:r w:rsidR="008F0187" w:rsidRPr="00BA522D">
              <w:rPr>
                <w:rFonts w:ascii="Times New Roman" w:hAnsi="Times New Roman" w:cs="Times New Roman"/>
              </w:rPr>
              <w:t xml:space="preserve"> data is interpreted and</w:t>
            </w:r>
            <w:r w:rsidRPr="00BA522D">
              <w:rPr>
                <w:rFonts w:ascii="Times New Roman" w:hAnsi="Times New Roman" w:cs="Times New Roman"/>
              </w:rPr>
              <w:t xml:space="preserve"> findings are presented and disseminated</w:t>
            </w:r>
            <w:r w:rsidR="00DF5517" w:rsidRPr="00BA522D">
              <w:rPr>
                <w:rFonts w:ascii="Times New Roman" w:hAnsi="Times New Roman" w:cs="Times New Roman"/>
              </w:rPr>
              <w:t>, to which audiences,</w:t>
            </w:r>
            <w:r w:rsidRPr="00BA522D">
              <w:rPr>
                <w:rFonts w:ascii="Times New Roman" w:hAnsi="Times New Roman" w:cs="Times New Roman"/>
              </w:rPr>
              <w:t xml:space="preserve"> and how (if at all) this information is used by decision-makers to inform sport policy in practice.</w:t>
            </w: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09E72443" w14:textId="1997AFC1" w:rsidR="00B87CCB" w:rsidRPr="00BA522D" w:rsidRDefault="00CE0C11" w:rsidP="00C201D2">
            <w:r>
              <w:rPr>
                <w:rFonts w:ascii="Times New Roman" w:hAnsi="Times New Roman" w:cs="Times New Roman"/>
                <w:color w:val="000000" w:themeColor="text1"/>
              </w:rPr>
              <w:t>Øyen 1990, Hantrais 2009,</w:t>
            </w:r>
            <w:r w:rsidR="00B87CCB" w:rsidRPr="00BA522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>
              <w:rPr>
                <w:rFonts w:ascii="Times New Roman" w:hAnsi="Times New Roman" w:cs="Times New Roman"/>
              </w:rPr>
              <w:t>Landman and Carvalho 2017,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Schuster</w:t>
            </w:r>
            <w:r w:rsidR="00B87CCB" w:rsidRPr="00BA522D">
              <w:rPr>
                <w:rFonts w:ascii="Times New Roman" w:hAnsi="Times New Roman" w:cs="Times New Roman"/>
                <w:color w:val="000000" w:themeColor="text1"/>
              </w:rPr>
              <w:t xml:space="preserve"> 2007</w:t>
            </w:r>
            <w:r w:rsidR="00B87CCB" w:rsidRPr="00BA522D">
              <w:t>.</w:t>
            </w:r>
          </w:p>
          <w:p w14:paraId="0366DA96" w14:textId="77777777" w:rsidR="00B87CCB" w:rsidRPr="00BA522D" w:rsidRDefault="00B87CCB" w:rsidP="00C201D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0" w:type="auto"/>
            <w:tcBorders>
              <w:bottom w:val="single" w:sz="12" w:space="0" w:color="auto"/>
            </w:tcBorders>
          </w:tcPr>
          <w:p w14:paraId="1BDC6178" w14:textId="0260B486" w:rsidR="00B87CCB" w:rsidRPr="00BA522D" w:rsidRDefault="00B87CCB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BA522D">
              <w:rPr>
                <w:rFonts w:ascii="Times New Roman" w:hAnsi="Times New Roman" w:cs="Times New Roman"/>
                <w:color w:val="000000" w:themeColor="text1"/>
              </w:rPr>
              <w:t>Avoid oversimplifying presentation of data and acknowledge study limitations to the lay audience</w:t>
            </w:r>
            <w:r w:rsidR="00034272" w:rsidRPr="00BA522D">
              <w:rPr>
                <w:rFonts w:ascii="Times New Roman" w:hAnsi="Times New Roman" w:cs="Times New Roman"/>
                <w:color w:val="000000" w:themeColor="text1"/>
              </w:rPr>
              <w:t>. Consider the balance between the demands of cross comparative research</w:t>
            </w:r>
            <w:r w:rsidR="00DF5517" w:rsidRPr="00BA522D">
              <w:rPr>
                <w:rFonts w:ascii="Times New Roman" w:hAnsi="Times New Roman" w:cs="Times New Roman"/>
                <w:color w:val="000000" w:themeColor="text1"/>
              </w:rPr>
              <w:t xml:space="preserve"> audience</w:t>
            </w:r>
            <w:r w:rsidR="00F00AF8">
              <w:rPr>
                <w:rFonts w:ascii="Times New Roman" w:hAnsi="Times New Roman" w:cs="Times New Roman"/>
                <w:color w:val="000000" w:themeColor="text1"/>
              </w:rPr>
              <w:t xml:space="preserve"> for generalis</w:t>
            </w:r>
            <w:r w:rsidR="00D65193" w:rsidRPr="00BA522D">
              <w:rPr>
                <w:rFonts w:ascii="Times New Roman" w:hAnsi="Times New Roman" w:cs="Times New Roman"/>
                <w:color w:val="000000" w:themeColor="text1"/>
              </w:rPr>
              <w:t>able outcomes</w:t>
            </w:r>
            <w:r w:rsidR="00DF5517" w:rsidRPr="00BA522D">
              <w:rPr>
                <w:rFonts w:ascii="Times New Roman" w:hAnsi="Times New Roman" w:cs="Times New Roman"/>
                <w:color w:val="000000" w:themeColor="text1"/>
              </w:rPr>
              <w:t>,</w:t>
            </w:r>
            <w:r w:rsidR="00034272" w:rsidRPr="00BA522D">
              <w:rPr>
                <w:rFonts w:ascii="Times New Roman" w:hAnsi="Times New Roman" w:cs="Times New Roman"/>
                <w:color w:val="000000" w:themeColor="text1"/>
              </w:rPr>
              <w:t xml:space="preserve"> and </w:t>
            </w:r>
            <w:r w:rsidR="00DF5517" w:rsidRPr="00BA522D">
              <w:rPr>
                <w:rFonts w:ascii="Times New Roman" w:hAnsi="Times New Roman" w:cs="Times New Roman"/>
                <w:color w:val="000000" w:themeColor="text1"/>
              </w:rPr>
              <w:t>the trade-offs with</w:t>
            </w:r>
            <w:r w:rsidR="00034272" w:rsidRPr="00BA522D">
              <w:rPr>
                <w:rFonts w:ascii="Times New Roman" w:hAnsi="Times New Roman" w:cs="Times New Roman"/>
                <w:color w:val="000000" w:themeColor="text1"/>
              </w:rPr>
              <w:t xml:space="preserve"> </w:t>
            </w:r>
            <w:r w:rsidR="00DF5517" w:rsidRPr="00BA522D">
              <w:rPr>
                <w:rFonts w:ascii="Times New Roman" w:hAnsi="Times New Roman" w:cs="Times New Roman"/>
                <w:color w:val="000000" w:themeColor="text1"/>
              </w:rPr>
              <w:t xml:space="preserve">useful and </w:t>
            </w:r>
            <w:r w:rsidR="00034272" w:rsidRPr="00BA522D">
              <w:rPr>
                <w:rFonts w:ascii="Times New Roman" w:hAnsi="Times New Roman" w:cs="Times New Roman"/>
                <w:color w:val="000000" w:themeColor="text1"/>
              </w:rPr>
              <w:t xml:space="preserve">usable </w:t>
            </w:r>
            <w:r w:rsidR="00DF5517" w:rsidRPr="00BA522D">
              <w:rPr>
                <w:rFonts w:ascii="Times New Roman" w:hAnsi="Times New Roman" w:cs="Times New Roman"/>
                <w:color w:val="000000" w:themeColor="text1"/>
              </w:rPr>
              <w:t>local data for individual countries.</w:t>
            </w:r>
          </w:p>
        </w:tc>
      </w:tr>
    </w:tbl>
    <w:p w14:paraId="783E4467" w14:textId="2A436F31" w:rsidR="00A21D35" w:rsidRPr="00CE0C11" w:rsidRDefault="00FF3502">
      <w:pPr>
        <w:rPr>
          <w:rFonts w:ascii="Times New Roman" w:hAnsi="Times New Roman" w:cs="Times New Roman"/>
        </w:rPr>
      </w:pPr>
      <w:r w:rsidRPr="00CE0C11">
        <w:rPr>
          <w:rFonts w:ascii="Times New Roman" w:hAnsi="Times New Roman" w:cs="Times New Roman"/>
        </w:rPr>
        <w:t xml:space="preserve">Adapted from: </w:t>
      </w:r>
      <w:r w:rsidR="00CE0C11" w:rsidRPr="00CE0C11">
        <w:rPr>
          <w:rFonts w:ascii="Times New Roman" w:hAnsi="Times New Roman" w:cs="Times New Roman"/>
          <w:szCs w:val="24"/>
        </w:rPr>
        <w:t>Øyen (1990, 2004), Dowling</w:t>
      </w:r>
      <w:r w:rsidR="00CE0C11" w:rsidRPr="00CE0C11">
        <w:rPr>
          <w:rFonts w:ascii="Times New Roman" w:hAnsi="Times New Roman" w:cs="Times New Roman"/>
          <w:i/>
          <w:szCs w:val="24"/>
        </w:rPr>
        <w:t xml:space="preserve"> et al.</w:t>
      </w:r>
      <w:r w:rsidR="00CE0C11" w:rsidRPr="00CE0C11">
        <w:rPr>
          <w:rFonts w:ascii="Times New Roman" w:hAnsi="Times New Roman" w:cs="Times New Roman"/>
          <w:szCs w:val="24"/>
        </w:rPr>
        <w:t xml:space="preserve"> (2018), Hantrais (2008), Jowell (1998),</w:t>
      </w:r>
      <w:r w:rsidR="00CE0C11">
        <w:rPr>
          <w:rFonts w:ascii="Times New Roman" w:hAnsi="Times New Roman" w:cs="Times New Roman"/>
          <w:szCs w:val="24"/>
        </w:rPr>
        <w:t xml:space="preserve"> Landman and Carvalho 2017,</w:t>
      </w:r>
      <w:r w:rsidR="00CE0C11" w:rsidRPr="00CE0C11">
        <w:rPr>
          <w:rFonts w:ascii="Times New Roman" w:hAnsi="Times New Roman" w:cs="Times New Roman"/>
          <w:szCs w:val="24"/>
        </w:rPr>
        <w:t xml:space="preserve"> Mills </w:t>
      </w:r>
      <w:r w:rsidR="00CE0C11" w:rsidRPr="00CE0C11">
        <w:rPr>
          <w:rFonts w:ascii="Times New Roman" w:hAnsi="Times New Roman" w:cs="Times New Roman"/>
          <w:i/>
          <w:szCs w:val="24"/>
        </w:rPr>
        <w:t>et al.</w:t>
      </w:r>
      <w:r w:rsidR="00CE0C11" w:rsidRPr="00CE0C11">
        <w:rPr>
          <w:rFonts w:ascii="Times New Roman" w:hAnsi="Times New Roman" w:cs="Times New Roman"/>
          <w:szCs w:val="24"/>
        </w:rPr>
        <w:t xml:space="preserve"> (2006), Schuster (2007).</w:t>
      </w:r>
    </w:p>
    <w:p w14:paraId="07D31F94" w14:textId="77777777" w:rsidR="009E6CC4" w:rsidRDefault="009E6CC4"/>
    <w:p w14:paraId="496F237E" w14:textId="237E4C19" w:rsidR="009E6CC4" w:rsidRDefault="009E6CC4"/>
    <w:p w14:paraId="3F3A300D" w14:textId="36523BD0" w:rsidR="00771BEC" w:rsidRDefault="00771BEC"/>
    <w:p w14:paraId="0BCD7348" w14:textId="63CC4707" w:rsidR="00771BEC" w:rsidRDefault="00771BEC"/>
    <w:p w14:paraId="2ECDC863" w14:textId="278D4692" w:rsidR="00771BEC" w:rsidRDefault="00771BEC"/>
    <w:p w14:paraId="71D92940" w14:textId="331070C4" w:rsidR="00771BEC" w:rsidRDefault="00771BEC"/>
    <w:p w14:paraId="18C2D411" w14:textId="054E40E2" w:rsidR="00771BEC" w:rsidRDefault="00771BEC"/>
    <w:p w14:paraId="261BD420" w14:textId="14A5A80B" w:rsidR="00771BEC" w:rsidRDefault="00771BEC"/>
    <w:p w14:paraId="322C6E5C" w14:textId="6D929A62" w:rsidR="00771BEC" w:rsidRDefault="00771BEC"/>
    <w:p w14:paraId="2C398F13" w14:textId="37328DEA" w:rsidR="00771BEC" w:rsidRDefault="00771BEC"/>
    <w:p w14:paraId="297B24D3" w14:textId="74406BD2" w:rsidR="00771BEC" w:rsidRDefault="00771BEC"/>
    <w:p w14:paraId="667547D4" w14:textId="3C5189A0" w:rsidR="00771BEC" w:rsidRDefault="00771BEC"/>
    <w:p w14:paraId="1F199166" w14:textId="32EBBA77" w:rsidR="00771BEC" w:rsidRDefault="00771BEC"/>
    <w:p w14:paraId="185D3ADA" w14:textId="4BA78BF2" w:rsidR="00771BEC" w:rsidRDefault="00771BEC"/>
    <w:p w14:paraId="75B09914" w14:textId="12ED9020" w:rsidR="00771BEC" w:rsidRDefault="00771BEC"/>
    <w:p w14:paraId="5D5C370B" w14:textId="77777777" w:rsidR="00771BEC" w:rsidRPr="002B33CE" w:rsidRDefault="00771BEC" w:rsidP="00771BEC">
      <w:pPr>
        <w:rPr>
          <w:rFonts w:ascii="Times New Roman" w:hAnsi="Times New Roman" w:cs="Times New Roman"/>
          <w:b/>
          <w:sz w:val="24"/>
        </w:rPr>
      </w:pPr>
      <w:r w:rsidRPr="002B33CE">
        <w:rPr>
          <w:rFonts w:ascii="Times New Roman" w:hAnsi="Times New Roman" w:cs="Times New Roman"/>
          <w:b/>
          <w:sz w:val="24"/>
        </w:rPr>
        <w:lastRenderedPageBreak/>
        <w:t xml:space="preserve">Table 2: </w:t>
      </w:r>
      <w:r>
        <w:rPr>
          <w:rFonts w:ascii="Times New Roman" w:hAnsi="Times New Roman" w:cs="Times New Roman"/>
          <w:b/>
          <w:sz w:val="24"/>
        </w:rPr>
        <w:t>Philosophical assumptions and methodological approaches of</w:t>
      </w:r>
      <w:r w:rsidRPr="002B33CE">
        <w:rPr>
          <w:rFonts w:ascii="Times New Roman" w:hAnsi="Times New Roman" w:cs="Times New Roman"/>
          <w:b/>
          <w:sz w:val="24"/>
        </w:rPr>
        <w:t xml:space="preserve"> comparative elite sport policy studies</w:t>
      </w: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3"/>
        <w:gridCol w:w="1976"/>
        <w:gridCol w:w="2236"/>
        <w:gridCol w:w="1976"/>
        <w:gridCol w:w="1907"/>
        <w:gridCol w:w="1953"/>
        <w:gridCol w:w="1957"/>
      </w:tblGrid>
      <w:tr w:rsidR="00771BEC" w:rsidRPr="00CE7ACE" w14:paraId="1838223B" w14:textId="77777777" w:rsidTr="006245E4">
        <w:trPr>
          <w:trHeight w:val="491"/>
        </w:trPr>
        <w:tc>
          <w:tcPr>
            <w:tcW w:w="714" w:type="pct"/>
            <w:tcBorders>
              <w:top w:val="single" w:sz="12" w:space="0" w:color="auto"/>
              <w:bottom w:val="single" w:sz="8" w:space="0" w:color="auto"/>
            </w:tcBorders>
          </w:tcPr>
          <w:p w14:paraId="35B881A8" w14:textId="77777777" w:rsidR="00771BEC" w:rsidRPr="00CE7ACE" w:rsidRDefault="00771BEC" w:rsidP="006245E4">
            <w:pPr>
              <w:rPr>
                <w:rFonts w:ascii="Times New Roman" w:hAnsi="Times New Roman" w:cs="Times New Roman"/>
                <w:b/>
              </w:rPr>
            </w:pPr>
            <w:r w:rsidRPr="00CE7ACE">
              <w:rPr>
                <w:rFonts w:ascii="Times New Roman" w:hAnsi="Times New Roman" w:cs="Times New Roman"/>
                <w:b/>
              </w:rPr>
              <w:t>Issue</w:t>
            </w:r>
          </w:p>
          <w:p w14:paraId="0252C9A6" w14:textId="77777777" w:rsidR="00771BEC" w:rsidRPr="00CE7ACE" w:rsidRDefault="00771BEC" w:rsidP="006245E4">
            <w:pPr>
              <w:rPr>
                <w:rFonts w:ascii="Times New Roman" w:hAnsi="Times New Roman" w:cs="Times New Roman"/>
                <w:b/>
              </w:rPr>
            </w:pPr>
            <w:r w:rsidRPr="00CE7ACE">
              <w:rPr>
                <w:rFonts w:ascii="Times New Roman" w:hAnsi="Times New Roman" w:cs="Times New Roman"/>
                <w:b/>
              </w:rPr>
              <w:t>Study characteristics/</w:t>
            </w:r>
          </w:p>
          <w:p w14:paraId="3D0EA0F3" w14:textId="77777777" w:rsidR="00771BEC" w:rsidRPr="00CE7ACE" w:rsidRDefault="00771BEC" w:rsidP="006245E4">
            <w:pPr>
              <w:rPr>
                <w:rFonts w:ascii="Times New Roman" w:hAnsi="Times New Roman" w:cs="Times New Roman"/>
                <w:b/>
              </w:rPr>
            </w:pPr>
            <w:r w:rsidRPr="00CE7ACE">
              <w:rPr>
                <w:rFonts w:ascii="Times New Roman" w:hAnsi="Times New Roman" w:cs="Times New Roman"/>
                <w:b/>
              </w:rPr>
              <w:t>strategies</w:t>
            </w:r>
          </w:p>
        </w:tc>
        <w:tc>
          <w:tcPr>
            <w:tcW w:w="714" w:type="pct"/>
            <w:tcBorders>
              <w:top w:val="single" w:sz="12" w:space="0" w:color="auto"/>
              <w:bottom w:val="single" w:sz="8" w:space="0" w:color="auto"/>
            </w:tcBorders>
          </w:tcPr>
          <w:p w14:paraId="7541543B" w14:textId="77777777" w:rsidR="00771BEC" w:rsidRPr="00CE7ACE" w:rsidRDefault="00771BEC" w:rsidP="006245E4">
            <w:pPr>
              <w:rPr>
                <w:rFonts w:ascii="Times New Roman" w:hAnsi="Times New Roman" w:cs="Times New Roman"/>
                <w:b/>
              </w:rPr>
            </w:pPr>
            <w:r w:rsidRPr="00CE7ACE">
              <w:rPr>
                <w:rFonts w:ascii="Times New Roman" w:hAnsi="Times New Roman" w:cs="Times New Roman"/>
                <w:b/>
              </w:rPr>
              <w:t>Green and Houlihan (2005)</w:t>
            </w:r>
          </w:p>
        </w:tc>
        <w:tc>
          <w:tcPr>
            <w:tcW w:w="714" w:type="pct"/>
            <w:tcBorders>
              <w:top w:val="single" w:sz="12" w:space="0" w:color="auto"/>
              <w:bottom w:val="single" w:sz="8" w:space="0" w:color="auto"/>
            </w:tcBorders>
          </w:tcPr>
          <w:p w14:paraId="664956FD" w14:textId="77777777" w:rsidR="00771BEC" w:rsidRPr="00CE7ACE" w:rsidRDefault="00771BEC" w:rsidP="006245E4">
            <w:pPr>
              <w:rPr>
                <w:rFonts w:ascii="Times New Roman" w:hAnsi="Times New Roman" w:cs="Times New Roman"/>
                <w:b/>
              </w:rPr>
            </w:pPr>
            <w:r w:rsidRPr="00CE7ACE">
              <w:rPr>
                <w:rFonts w:ascii="Times New Roman" w:hAnsi="Times New Roman" w:cs="Times New Roman"/>
                <w:b/>
              </w:rPr>
              <w:t xml:space="preserve">Bergsgard </w:t>
            </w:r>
            <w:r w:rsidRPr="00EC62AE">
              <w:rPr>
                <w:rFonts w:ascii="Times New Roman" w:hAnsi="Times New Roman" w:cs="Times New Roman"/>
                <w:b/>
                <w:i/>
              </w:rPr>
              <w:t>et al.</w:t>
            </w:r>
            <w:r w:rsidRPr="00CE7ACE">
              <w:rPr>
                <w:rFonts w:ascii="Times New Roman" w:hAnsi="Times New Roman" w:cs="Times New Roman"/>
                <w:b/>
              </w:rPr>
              <w:t xml:space="preserve"> (2007)</w:t>
            </w:r>
          </w:p>
        </w:tc>
        <w:tc>
          <w:tcPr>
            <w:tcW w:w="714" w:type="pct"/>
            <w:tcBorders>
              <w:top w:val="single" w:sz="12" w:space="0" w:color="auto"/>
              <w:bottom w:val="single" w:sz="8" w:space="0" w:color="auto"/>
            </w:tcBorders>
          </w:tcPr>
          <w:p w14:paraId="269B15FB" w14:textId="77777777" w:rsidR="00771BEC" w:rsidRPr="00CE7ACE" w:rsidRDefault="00771BEC" w:rsidP="006245E4">
            <w:pPr>
              <w:rPr>
                <w:rFonts w:ascii="Times New Roman" w:hAnsi="Times New Roman" w:cs="Times New Roman"/>
                <w:b/>
              </w:rPr>
            </w:pPr>
            <w:r w:rsidRPr="00CE7ACE">
              <w:rPr>
                <w:rFonts w:ascii="Times New Roman" w:hAnsi="Times New Roman" w:cs="Times New Roman"/>
                <w:b/>
              </w:rPr>
              <w:t>Houlihan and Green (2008)</w:t>
            </w:r>
          </w:p>
        </w:tc>
        <w:tc>
          <w:tcPr>
            <w:tcW w:w="714" w:type="pct"/>
            <w:tcBorders>
              <w:top w:val="single" w:sz="12" w:space="0" w:color="auto"/>
              <w:bottom w:val="single" w:sz="8" w:space="0" w:color="auto"/>
            </w:tcBorders>
          </w:tcPr>
          <w:p w14:paraId="26A71181" w14:textId="77777777" w:rsidR="00771BEC" w:rsidRPr="00CE7ACE" w:rsidRDefault="00771BEC" w:rsidP="006245E4">
            <w:pPr>
              <w:rPr>
                <w:rFonts w:ascii="Times New Roman" w:hAnsi="Times New Roman" w:cs="Times New Roman"/>
                <w:b/>
              </w:rPr>
            </w:pPr>
            <w:r w:rsidRPr="00CE7ACE">
              <w:rPr>
                <w:rFonts w:ascii="Times New Roman" w:hAnsi="Times New Roman" w:cs="Times New Roman"/>
                <w:b/>
              </w:rPr>
              <w:t xml:space="preserve">De Bosscher </w:t>
            </w:r>
            <w:r w:rsidRPr="00EC62AE">
              <w:rPr>
                <w:rFonts w:ascii="Times New Roman" w:hAnsi="Times New Roman" w:cs="Times New Roman"/>
                <w:b/>
                <w:i/>
              </w:rPr>
              <w:t>et al.</w:t>
            </w:r>
            <w:r w:rsidRPr="00CE7ACE">
              <w:rPr>
                <w:rFonts w:ascii="Times New Roman" w:hAnsi="Times New Roman" w:cs="Times New Roman"/>
                <w:b/>
              </w:rPr>
              <w:t xml:space="preserve"> (2008)</w:t>
            </w:r>
          </w:p>
        </w:tc>
        <w:tc>
          <w:tcPr>
            <w:tcW w:w="714" w:type="pct"/>
            <w:tcBorders>
              <w:top w:val="single" w:sz="12" w:space="0" w:color="auto"/>
              <w:bottom w:val="single" w:sz="8" w:space="0" w:color="auto"/>
            </w:tcBorders>
          </w:tcPr>
          <w:p w14:paraId="72575B1A" w14:textId="77777777" w:rsidR="00771BEC" w:rsidRPr="00CE7ACE" w:rsidRDefault="00771BEC" w:rsidP="006245E4">
            <w:pPr>
              <w:rPr>
                <w:rFonts w:ascii="Times New Roman" w:hAnsi="Times New Roman" w:cs="Times New Roman"/>
                <w:b/>
              </w:rPr>
            </w:pPr>
            <w:r w:rsidRPr="00CE7ACE">
              <w:rPr>
                <w:rFonts w:ascii="Times New Roman" w:hAnsi="Times New Roman" w:cs="Times New Roman"/>
                <w:b/>
              </w:rPr>
              <w:t>Andersen and Ronglan (2012)</w:t>
            </w:r>
          </w:p>
        </w:tc>
        <w:tc>
          <w:tcPr>
            <w:tcW w:w="715" w:type="pct"/>
            <w:tcBorders>
              <w:top w:val="single" w:sz="12" w:space="0" w:color="auto"/>
              <w:bottom w:val="single" w:sz="8" w:space="0" w:color="auto"/>
            </w:tcBorders>
          </w:tcPr>
          <w:p w14:paraId="1C4EDB19" w14:textId="77777777" w:rsidR="00771BEC" w:rsidRPr="00CE7ACE" w:rsidRDefault="00771BEC" w:rsidP="006245E4">
            <w:pPr>
              <w:rPr>
                <w:rFonts w:ascii="Times New Roman" w:hAnsi="Times New Roman" w:cs="Times New Roman"/>
                <w:b/>
              </w:rPr>
            </w:pPr>
            <w:r w:rsidRPr="00CE7ACE">
              <w:rPr>
                <w:rFonts w:ascii="Times New Roman" w:hAnsi="Times New Roman" w:cs="Times New Roman"/>
                <w:b/>
              </w:rPr>
              <w:t xml:space="preserve">De Bosscher </w:t>
            </w:r>
            <w:r w:rsidRPr="00EC62AE">
              <w:rPr>
                <w:rFonts w:ascii="Times New Roman" w:hAnsi="Times New Roman" w:cs="Times New Roman"/>
                <w:b/>
                <w:i/>
              </w:rPr>
              <w:t>et al.</w:t>
            </w:r>
            <w:r w:rsidRPr="00CE7ACE">
              <w:rPr>
                <w:rFonts w:ascii="Times New Roman" w:hAnsi="Times New Roman" w:cs="Times New Roman"/>
                <w:b/>
              </w:rPr>
              <w:t xml:space="preserve"> (2015)</w:t>
            </w:r>
          </w:p>
        </w:tc>
      </w:tr>
      <w:tr w:rsidR="00771BEC" w:rsidRPr="00CE7ACE" w14:paraId="3D6EF36C" w14:textId="77777777" w:rsidTr="006245E4">
        <w:trPr>
          <w:trHeight w:val="1104"/>
        </w:trPr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3C85E43C" w14:textId="77777777" w:rsidR="00771BEC" w:rsidRPr="00CE7ACE" w:rsidRDefault="00771BEC" w:rsidP="006245E4">
            <w:pPr>
              <w:rPr>
                <w:rFonts w:ascii="Times New Roman" w:hAnsi="Times New Roman" w:cs="Times New Roman"/>
                <w:b/>
              </w:rPr>
            </w:pPr>
            <w:r w:rsidRPr="00CE7ACE">
              <w:rPr>
                <w:rFonts w:ascii="Times New Roman" w:hAnsi="Times New Roman" w:cs="Times New Roman"/>
                <w:b/>
              </w:rPr>
              <w:t>Philosophical assumptions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7791B17A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 xml:space="preserve">Post-positivism </w:t>
            </w:r>
          </w:p>
          <w:p w14:paraId="2B5293CD" w14:textId="77777777" w:rsidR="00771BEC" w:rsidRPr="00CE7ACE" w:rsidRDefault="00771BEC" w:rsidP="006245E4">
            <w:pPr>
              <w:rPr>
                <w:rFonts w:ascii="Times New Roman" w:hAnsi="Times New Roman" w:cs="Times New Roman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Critical Realism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19FCEA54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Post-positivism</w:t>
            </w:r>
          </w:p>
          <w:p w14:paraId="16B65D9A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Epistemology not explicitly stated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6D31A28D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Post-positivism</w:t>
            </w:r>
          </w:p>
          <w:p w14:paraId="2435F19D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Critical Realism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4482C736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Positivism</w:t>
            </w:r>
          </w:p>
          <w:p w14:paraId="68213EC7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Realism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5E72422A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Post-positivism</w:t>
            </w:r>
          </w:p>
          <w:p w14:paraId="60613859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Epistemology not explicitly stated</w:t>
            </w:r>
          </w:p>
        </w:tc>
        <w:tc>
          <w:tcPr>
            <w:tcW w:w="715" w:type="pct"/>
            <w:tcBorders>
              <w:top w:val="single" w:sz="8" w:space="0" w:color="auto"/>
              <w:bottom w:val="single" w:sz="8" w:space="0" w:color="auto"/>
            </w:tcBorders>
          </w:tcPr>
          <w:p w14:paraId="0CBB882D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Positivism</w:t>
            </w:r>
          </w:p>
          <w:p w14:paraId="1163D1A9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Realism</w:t>
            </w:r>
          </w:p>
        </w:tc>
      </w:tr>
      <w:tr w:rsidR="00771BEC" w:rsidRPr="00CE7ACE" w14:paraId="65EFE8E2" w14:textId="77777777" w:rsidTr="006245E4">
        <w:trPr>
          <w:trHeight w:val="1535"/>
        </w:trPr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647D4475" w14:textId="77777777" w:rsidR="00771BEC" w:rsidRPr="00CE7ACE" w:rsidRDefault="00771BEC" w:rsidP="006245E4">
            <w:pPr>
              <w:rPr>
                <w:rFonts w:ascii="Times New Roman" w:hAnsi="Times New Roman" w:cs="Times New Roman"/>
                <w:b/>
              </w:rPr>
            </w:pPr>
            <w:r w:rsidRPr="00CE7ACE">
              <w:rPr>
                <w:rFonts w:ascii="Times New Roman" w:hAnsi="Times New Roman" w:cs="Times New Roman"/>
                <w:b/>
              </w:rPr>
              <w:t>Purpose/goals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34B82E9F" w14:textId="77777777" w:rsidR="00771BEC" w:rsidRPr="00CE7ACE" w:rsidRDefault="00771BEC" w:rsidP="006245E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To analys</w:t>
            </w:r>
            <w:r w:rsidRPr="00CE7ACE">
              <w:rPr>
                <w:rFonts w:ascii="Times New Roman" w:hAnsi="Times New Roman" w:cs="Times New Roman"/>
              </w:rPr>
              <w:t>e the process of elite sport policy change in three countries (UK, Canada and Australia)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18E155BE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</w:rPr>
              <w:t>To identify the characteristics of sport policy in four countries (Canada, England, Germany and Norway)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17A3148C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To examine elite sport policy development in nine countries (China, Japan, Singapore, Germany, France, Poland, Norway, New Zealand, and the United States)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6657ED03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To benchmark the sport policy factors leading to international sporting success in six countries – experimental pilot study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562C8818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To examine the similarities and differences of elite sport development in four Nordic countries (Norway, Sweden, Finland, Denmark)</w:t>
            </w:r>
          </w:p>
        </w:tc>
        <w:tc>
          <w:tcPr>
            <w:tcW w:w="715" w:type="pct"/>
            <w:tcBorders>
              <w:top w:val="single" w:sz="8" w:space="0" w:color="auto"/>
              <w:bottom w:val="single" w:sz="8" w:space="0" w:color="auto"/>
            </w:tcBorders>
          </w:tcPr>
          <w:p w14:paraId="056DF22A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To better understand which (and how) sport policies lead to international sporting success in 13 nations and 3 regions.</w:t>
            </w:r>
          </w:p>
        </w:tc>
      </w:tr>
      <w:tr w:rsidR="00771BEC" w:rsidRPr="00CE7ACE" w14:paraId="5B1F56C1" w14:textId="77777777" w:rsidTr="006245E4">
        <w:trPr>
          <w:trHeight w:val="1535"/>
        </w:trPr>
        <w:tc>
          <w:tcPr>
            <w:tcW w:w="714" w:type="pct"/>
            <w:tcBorders>
              <w:bottom w:val="single" w:sz="8" w:space="0" w:color="auto"/>
            </w:tcBorders>
          </w:tcPr>
          <w:p w14:paraId="3FC605B6" w14:textId="77777777" w:rsidR="00771BEC" w:rsidRPr="00EC62AE" w:rsidRDefault="00771BEC" w:rsidP="006245E4">
            <w:pPr>
              <w:rPr>
                <w:rFonts w:ascii="Times New Roman" w:hAnsi="Times New Roman" w:cs="Times New Roman"/>
                <w:b/>
                <w:lang w:val="en-GB"/>
              </w:rPr>
            </w:pPr>
            <w:r w:rsidRPr="00CE7ACE">
              <w:rPr>
                <w:rFonts w:ascii="Times New Roman" w:hAnsi="Times New Roman" w:cs="Times New Roman"/>
                <w:b/>
              </w:rPr>
              <w:t>Unit of Analysis</w:t>
            </w:r>
          </w:p>
        </w:tc>
        <w:tc>
          <w:tcPr>
            <w:tcW w:w="714" w:type="pct"/>
            <w:tcBorders>
              <w:bottom w:val="single" w:sz="8" w:space="0" w:color="auto"/>
            </w:tcBorders>
          </w:tcPr>
          <w:p w14:paraId="2AD5E844" w14:textId="77777777" w:rsidR="00771BEC" w:rsidRPr="00CE7ACE" w:rsidRDefault="00771BEC" w:rsidP="006245E4">
            <w:pPr>
              <w:rPr>
                <w:rFonts w:ascii="Times New Roman" w:hAnsi="Times New Roman" w:cs="Times New Roman"/>
              </w:rPr>
            </w:pPr>
            <w:r w:rsidRPr="00EC62AE">
              <w:rPr>
                <w:rFonts w:ascii="Times New Roman" w:hAnsi="Times New Roman" w:cs="Times New Roman"/>
                <w:lang w:val="en-GB"/>
              </w:rPr>
              <w:t>Meso</w:t>
            </w:r>
            <w:r w:rsidRPr="00CE7ACE">
              <w:rPr>
                <w:rFonts w:ascii="Times New Roman" w:hAnsi="Times New Roman" w:cs="Times New Roman"/>
              </w:rPr>
              <w:t xml:space="preserve"> and macro level – not possible to separate them.</w:t>
            </w:r>
          </w:p>
        </w:tc>
        <w:tc>
          <w:tcPr>
            <w:tcW w:w="714" w:type="pct"/>
            <w:tcBorders>
              <w:bottom w:val="single" w:sz="8" w:space="0" w:color="auto"/>
            </w:tcBorders>
          </w:tcPr>
          <w:p w14:paraId="6B3C47AD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</w:rPr>
              <w:t>Meso and macro level – not possible to separate them.</w:t>
            </w:r>
          </w:p>
        </w:tc>
        <w:tc>
          <w:tcPr>
            <w:tcW w:w="714" w:type="pct"/>
            <w:tcBorders>
              <w:bottom w:val="single" w:sz="8" w:space="0" w:color="auto"/>
            </w:tcBorders>
          </w:tcPr>
          <w:p w14:paraId="0296A2ED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</w:rPr>
              <w:t>Meso and macro level – not possible to separate them.</w:t>
            </w:r>
          </w:p>
        </w:tc>
        <w:tc>
          <w:tcPr>
            <w:tcW w:w="714" w:type="pct"/>
            <w:tcBorders>
              <w:bottom w:val="single" w:sz="8" w:space="0" w:color="auto"/>
            </w:tcBorders>
          </w:tcPr>
          <w:p w14:paraId="67F500F0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Meso – as this is the only level in control of decision/ policy makers – causal modelling</w:t>
            </w:r>
          </w:p>
        </w:tc>
        <w:tc>
          <w:tcPr>
            <w:tcW w:w="714" w:type="pct"/>
            <w:tcBorders>
              <w:bottom w:val="single" w:sz="8" w:space="0" w:color="auto"/>
            </w:tcBorders>
          </w:tcPr>
          <w:p w14:paraId="3D31E2CA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Meso and macro – not appropriate to separate them – focuses on inter-organizational arrangements</w:t>
            </w:r>
          </w:p>
        </w:tc>
        <w:tc>
          <w:tcPr>
            <w:tcW w:w="715" w:type="pct"/>
            <w:tcBorders>
              <w:bottom w:val="single" w:sz="8" w:space="0" w:color="auto"/>
            </w:tcBorders>
          </w:tcPr>
          <w:p w14:paraId="3DD62391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Meso – as this is the only level in control of decision/policy makers – causal modelling</w:t>
            </w:r>
          </w:p>
        </w:tc>
      </w:tr>
      <w:tr w:rsidR="00771BEC" w:rsidRPr="00CE7ACE" w14:paraId="55162B06" w14:textId="77777777" w:rsidTr="006245E4">
        <w:trPr>
          <w:trHeight w:val="1535"/>
        </w:trPr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5C50053A" w14:textId="77777777" w:rsidR="00771BEC" w:rsidRPr="00CE7ACE" w:rsidRDefault="00771BEC" w:rsidP="006245E4">
            <w:pPr>
              <w:rPr>
                <w:rFonts w:ascii="Times New Roman" w:hAnsi="Times New Roman" w:cs="Times New Roman"/>
                <w:b/>
              </w:rPr>
            </w:pPr>
            <w:r w:rsidRPr="00CE7ACE">
              <w:rPr>
                <w:rFonts w:ascii="Times New Roman" w:hAnsi="Times New Roman" w:cs="Times New Roman"/>
                <w:b/>
              </w:rPr>
              <w:t>Selecting Countries (sample)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04E5571E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Most Similar System Design (MSSD) – selected by researchers</w:t>
            </w:r>
          </w:p>
          <w:p w14:paraId="6D4BD397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 </w:t>
            </w:r>
          </w:p>
          <w:p w14:paraId="110142D1" w14:textId="77777777" w:rsidR="00771BEC" w:rsidRPr="00CE7ACE" w:rsidRDefault="00771BEC" w:rsidP="006245E4">
            <w:pPr>
              <w:rPr>
                <w:rFonts w:ascii="Times New Roman" w:hAnsi="Times New Roman" w:cs="Times New Roman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Small-</w:t>
            </w:r>
            <w:r w:rsidRPr="00CE7ACE">
              <w:rPr>
                <w:rFonts w:ascii="Times New Roman" w:hAnsi="Times New Roman" w:cs="Times New Roman"/>
                <w:i/>
                <w:color w:val="000000" w:themeColor="text1"/>
              </w:rPr>
              <w:t>N</w:t>
            </w:r>
            <w:r w:rsidRPr="00CE7ACE">
              <w:rPr>
                <w:rFonts w:ascii="Times New Roman" w:hAnsi="Times New Roman" w:cs="Times New Roman"/>
                <w:color w:val="000000" w:themeColor="text1"/>
              </w:rPr>
              <w:t xml:space="preserve"> – 3 countries  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786D023F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lastRenderedPageBreak/>
              <w:t>Most Similar System Design (MSSD) – selected by researchers</w:t>
            </w:r>
          </w:p>
          <w:p w14:paraId="08FC1F2E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B44D797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lastRenderedPageBreak/>
              <w:t>Small-</w:t>
            </w:r>
            <w:r w:rsidRPr="00CE7ACE">
              <w:rPr>
                <w:rFonts w:ascii="Times New Roman" w:hAnsi="Times New Roman" w:cs="Times New Roman"/>
                <w:i/>
                <w:color w:val="000000" w:themeColor="text1"/>
              </w:rPr>
              <w:t>N</w:t>
            </w:r>
            <w:r w:rsidRPr="00CE7ACE">
              <w:rPr>
                <w:rFonts w:ascii="Times New Roman" w:hAnsi="Times New Roman" w:cs="Times New Roman"/>
                <w:color w:val="000000" w:themeColor="text1"/>
              </w:rPr>
              <w:t xml:space="preserve"> – 4 countries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2B0F9852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lastRenderedPageBreak/>
              <w:t>Most Similar System Design (MSSD) – selected by researchers</w:t>
            </w:r>
          </w:p>
          <w:p w14:paraId="10533AD0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403F9CE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Small-</w:t>
            </w:r>
            <w:r w:rsidRPr="00CE7ACE">
              <w:rPr>
                <w:rFonts w:ascii="Times New Roman" w:hAnsi="Times New Roman" w:cs="Times New Roman"/>
                <w:i/>
                <w:color w:val="000000" w:themeColor="text1"/>
              </w:rPr>
              <w:t>N</w:t>
            </w:r>
            <w:r w:rsidRPr="00CE7ACE">
              <w:rPr>
                <w:rFonts w:ascii="Times New Roman" w:hAnsi="Times New Roman" w:cs="Times New Roman"/>
                <w:color w:val="000000" w:themeColor="text1"/>
              </w:rPr>
              <w:t xml:space="preserve"> – 9 countries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07932F2D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Not explicitly stated </w:t>
            </w:r>
            <w:r w:rsidRPr="00CE7ACE">
              <w:rPr>
                <w:rFonts w:ascii="Times New Roman" w:hAnsi="Times New Roman" w:cs="Times New Roman"/>
                <w:color w:val="000000" w:themeColor="text1"/>
              </w:rPr>
              <w:t xml:space="preserve">–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pragmatically </w:t>
            </w:r>
            <w:r w:rsidRPr="00CE7ACE">
              <w:rPr>
                <w:rFonts w:ascii="Times New Roman" w:hAnsi="Times New Roman" w:cs="Times New Roman"/>
                <w:color w:val="000000" w:themeColor="text1"/>
              </w:rPr>
              <w:t>selected by researchers</w:t>
            </w:r>
          </w:p>
          <w:p w14:paraId="348594EF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03AF6886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Small-</w:t>
            </w:r>
            <w:r w:rsidRPr="00CE7ACE">
              <w:rPr>
                <w:rFonts w:ascii="Times New Roman" w:hAnsi="Times New Roman" w:cs="Times New Roman"/>
                <w:i/>
                <w:color w:val="000000" w:themeColor="text1"/>
              </w:rPr>
              <w:t>N</w:t>
            </w:r>
            <w:r w:rsidRPr="00CE7ACE">
              <w:rPr>
                <w:rFonts w:ascii="Times New Roman" w:hAnsi="Times New Roman" w:cs="Times New Roman"/>
                <w:color w:val="000000" w:themeColor="text1"/>
              </w:rPr>
              <w:t xml:space="preserve"> – 6 countries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7B498C08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lastRenderedPageBreak/>
              <w:t>Most Similar System Design (MSSD) – geographical based</w:t>
            </w:r>
          </w:p>
          <w:p w14:paraId="4F8E0751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16BB845F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Small-</w:t>
            </w:r>
            <w:r w:rsidRPr="00CE7ACE">
              <w:rPr>
                <w:rFonts w:ascii="Times New Roman" w:hAnsi="Times New Roman" w:cs="Times New Roman"/>
                <w:i/>
                <w:color w:val="000000" w:themeColor="text1"/>
              </w:rPr>
              <w:t>N</w:t>
            </w:r>
            <w:r w:rsidRPr="00CE7ACE">
              <w:rPr>
                <w:rFonts w:ascii="Times New Roman" w:hAnsi="Times New Roman" w:cs="Times New Roman"/>
                <w:color w:val="000000" w:themeColor="text1"/>
              </w:rPr>
              <w:t xml:space="preserve"> – 4 countries</w:t>
            </w:r>
          </w:p>
        </w:tc>
        <w:tc>
          <w:tcPr>
            <w:tcW w:w="715" w:type="pct"/>
            <w:tcBorders>
              <w:top w:val="single" w:sz="8" w:space="0" w:color="auto"/>
              <w:bottom w:val="single" w:sz="8" w:space="0" w:color="auto"/>
            </w:tcBorders>
          </w:tcPr>
          <w:p w14:paraId="32D1F11A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Not explicitly stated –</w:t>
            </w:r>
            <w:r w:rsidRPr="00CE7ACE">
              <w:rPr>
                <w:rFonts w:ascii="Times New Roman" w:hAnsi="Times New Roman" w:cs="Times New Roman"/>
                <w:color w:val="000000" w:themeColor="text1"/>
              </w:rPr>
              <w:t xml:space="preserve"> any nation interested invited to participate</w:t>
            </w:r>
          </w:p>
          <w:p w14:paraId="3B1B3BF3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1ED7BA63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Small-</w:t>
            </w:r>
            <w:r w:rsidRPr="00CE7ACE">
              <w:rPr>
                <w:rFonts w:ascii="Times New Roman" w:hAnsi="Times New Roman" w:cs="Times New Roman"/>
                <w:i/>
                <w:color w:val="000000" w:themeColor="text1"/>
              </w:rPr>
              <w:t>N</w:t>
            </w:r>
            <w:r w:rsidRPr="00CE7ACE">
              <w:rPr>
                <w:rFonts w:ascii="Times New Roman" w:hAnsi="Times New Roman" w:cs="Times New Roman"/>
                <w:color w:val="000000" w:themeColor="text1"/>
              </w:rPr>
              <w:t xml:space="preserve"> – 15 countries and 3 regions</w:t>
            </w:r>
          </w:p>
        </w:tc>
      </w:tr>
      <w:tr w:rsidR="00771BEC" w:rsidRPr="00CE7ACE" w14:paraId="7D380691" w14:textId="77777777" w:rsidTr="006245E4">
        <w:trPr>
          <w:trHeight w:val="1125"/>
        </w:trPr>
        <w:tc>
          <w:tcPr>
            <w:tcW w:w="714" w:type="pct"/>
            <w:tcBorders>
              <w:top w:val="single" w:sz="8" w:space="0" w:color="auto"/>
            </w:tcBorders>
          </w:tcPr>
          <w:p w14:paraId="4E7D74D3" w14:textId="77777777" w:rsidR="00771BEC" w:rsidRPr="00CE7ACE" w:rsidRDefault="00771BEC" w:rsidP="006245E4">
            <w:pPr>
              <w:rPr>
                <w:rFonts w:ascii="Times New Roman" w:hAnsi="Times New Roman" w:cs="Times New Roman"/>
                <w:b/>
              </w:rPr>
            </w:pPr>
            <w:r w:rsidRPr="00CE7ACE">
              <w:rPr>
                <w:rFonts w:ascii="Times New Roman" w:hAnsi="Times New Roman" w:cs="Times New Roman"/>
                <w:b/>
              </w:rPr>
              <w:lastRenderedPageBreak/>
              <w:t>Construct Equivalence</w:t>
            </w:r>
          </w:p>
        </w:tc>
        <w:tc>
          <w:tcPr>
            <w:tcW w:w="714" w:type="pct"/>
            <w:tcBorders>
              <w:top w:val="single" w:sz="8" w:space="0" w:color="auto"/>
            </w:tcBorders>
          </w:tcPr>
          <w:p w14:paraId="3DF78EDB" w14:textId="77777777" w:rsidR="00771BEC" w:rsidRPr="00CE7ACE" w:rsidRDefault="00771BEC" w:rsidP="006245E4">
            <w:pPr>
              <w:rPr>
                <w:rFonts w:ascii="Times New Roman" w:hAnsi="Times New Roman" w:cs="Times New Roman"/>
              </w:rPr>
            </w:pPr>
            <w:r w:rsidRPr="00CE7ACE">
              <w:rPr>
                <w:rFonts w:ascii="Times New Roman" w:hAnsi="Times New Roman" w:cs="Times New Roman"/>
              </w:rPr>
              <w:t>English only – construct equivalent assumed</w:t>
            </w:r>
          </w:p>
          <w:p w14:paraId="5D3036FB" w14:textId="77777777" w:rsidR="00771BEC" w:rsidRPr="00CE7ACE" w:rsidRDefault="00771BEC" w:rsidP="006245E4">
            <w:pPr>
              <w:rPr>
                <w:rFonts w:ascii="Times New Roman" w:hAnsi="Times New Roman" w:cs="Times New Roman"/>
              </w:rPr>
            </w:pPr>
          </w:p>
          <w:p w14:paraId="1DBA29B5" w14:textId="77777777" w:rsidR="00771BEC" w:rsidRPr="00CE7ACE" w:rsidRDefault="00771BEC" w:rsidP="006245E4">
            <w:pPr>
              <w:rPr>
                <w:rFonts w:ascii="Times New Roman" w:hAnsi="Times New Roman" w:cs="Times New Roman"/>
              </w:rPr>
            </w:pPr>
            <w:r w:rsidRPr="00CE7ACE">
              <w:rPr>
                <w:rFonts w:ascii="Times New Roman" w:hAnsi="Times New Roman" w:cs="Times New Roman"/>
              </w:rPr>
              <w:t xml:space="preserve">Semi-structured interviews and document analysis carried out by two co-authors </w:t>
            </w:r>
          </w:p>
          <w:p w14:paraId="09DEB529" w14:textId="77777777" w:rsidR="00771BEC" w:rsidRPr="00CE7ACE" w:rsidRDefault="00771BEC" w:rsidP="006245E4">
            <w:pPr>
              <w:rPr>
                <w:rFonts w:ascii="Times New Roman" w:hAnsi="Times New Roman" w:cs="Times New Roman"/>
              </w:rPr>
            </w:pPr>
          </w:p>
          <w:p w14:paraId="3FD8A668" w14:textId="77777777" w:rsidR="00771BEC" w:rsidRPr="00CE7ACE" w:rsidRDefault="00771BEC" w:rsidP="006245E4">
            <w:pPr>
              <w:rPr>
                <w:rFonts w:ascii="Times New Roman" w:hAnsi="Times New Roman" w:cs="Times New Roman"/>
              </w:rPr>
            </w:pPr>
            <w:r w:rsidRPr="00CE7ACE">
              <w:rPr>
                <w:rFonts w:ascii="Times New Roman" w:hAnsi="Times New Roman" w:cs="Times New Roman"/>
              </w:rPr>
              <w:t>Advocacy Coalition Framework employed</w:t>
            </w:r>
          </w:p>
        </w:tc>
        <w:tc>
          <w:tcPr>
            <w:tcW w:w="714" w:type="pct"/>
            <w:tcBorders>
              <w:top w:val="single" w:sz="8" w:space="0" w:color="auto"/>
            </w:tcBorders>
          </w:tcPr>
          <w:p w14:paraId="7574CCAE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 xml:space="preserve">Not explicitly discussed </w:t>
            </w:r>
          </w:p>
          <w:p w14:paraId="1CDD1471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865F5CF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Literature review, document analysis, and 22 semi-structured interviews</w:t>
            </w:r>
          </w:p>
          <w:p w14:paraId="2A940055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0ADD9992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Analytical framework employed – multiple dimensions: welfare regimes, institutionalism, the advocacy coalition framework, and network analysis</w:t>
            </w:r>
          </w:p>
        </w:tc>
        <w:tc>
          <w:tcPr>
            <w:tcW w:w="714" w:type="pct"/>
            <w:tcBorders>
              <w:top w:val="single" w:sz="8" w:space="0" w:color="auto"/>
            </w:tcBorders>
          </w:tcPr>
          <w:p w14:paraId="72591D99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 xml:space="preserve">Not explicitly discussed </w:t>
            </w:r>
          </w:p>
          <w:p w14:paraId="5FD17330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013CD4FA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 xml:space="preserve">Analytical review in response to Green and Houlihan’s (2005) findings by 16 co-authors </w:t>
            </w:r>
          </w:p>
          <w:p w14:paraId="15C33AD0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DB3F5AE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Analytical framework employed</w:t>
            </w:r>
          </w:p>
          <w:p w14:paraId="7BE521C9" w14:textId="77777777" w:rsidR="00771BEC" w:rsidRPr="00CE7ACE" w:rsidRDefault="00771BEC" w:rsidP="006245E4">
            <w:pPr>
              <w:rPr>
                <w:rFonts w:ascii="Times New Roman" w:hAnsi="Times New Roman" w:cs="Times New Roman"/>
              </w:rPr>
            </w:pPr>
          </w:p>
          <w:p w14:paraId="204E1122" w14:textId="77777777" w:rsidR="00771BEC" w:rsidRPr="00CE7ACE" w:rsidRDefault="00771BEC" w:rsidP="006245E4">
            <w:pPr>
              <w:rPr>
                <w:rFonts w:ascii="Times New Roman" w:hAnsi="Times New Roman" w:cs="Times New Roman"/>
              </w:rPr>
            </w:pPr>
          </w:p>
          <w:p w14:paraId="6DF41B97" w14:textId="77777777" w:rsidR="00771BEC" w:rsidRPr="00CE7ACE" w:rsidRDefault="00771BEC" w:rsidP="006245E4">
            <w:pPr>
              <w:rPr>
                <w:rFonts w:ascii="Times New Roman" w:hAnsi="Times New Roman" w:cs="Times New Roman"/>
              </w:rPr>
            </w:pPr>
          </w:p>
          <w:p w14:paraId="48D372AE" w14:textId="77777777" w:rsidR="00771BEC" w:rsidRPr="00CE7ACE" w:rsidRDefault="00771BEC" w:rsidP="006245E4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714" w:type="pct"/>
            <w:tcBorders>
              <w:top w:val="single" w:sz="8" w:space="0" w:color="auto"/>
            </w:tcBorders>
          </w:tcPr>
          <w:p w14:paraId="72E35CBE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Translated into five languages (English, French, Dutch, Norwegian, and Italian)</w:t>
            </w:r>
          </w:p>
          <w:p w14:paraId="1769D592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5232EEEC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Mixed methods – inventory and surveys</w:t>
            </w:r>
          </w:p>
          <w:p w14:paraId="0704A602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58615F23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Econometric and rationalist approach employed</w:t>
            </w:r>
          </w:p>
        </w:tc>
        <w:tc>
          <w:tcPr>
            <w:tcW w:w="714" w:type="pct"/>
            <w:tcBorders>
              <w:top w:val="single" w:sz="8" w:space="0" w:color="auto"/>
            </w:tcBorders>
          </w:tcPr>
          <w:p w14:paraId="2A8B9556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Not explicitly discussed.</w:t>
            </w:r>
          </w:p>
          <w:p w14:paraId="47ECD2FE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3673070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Semi-structured interviews and document analysis (historical and policy documentation)</w:t>
            </w:r>
          </w:p>
          <w:p w14:paraId="08BA348C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A7E9C00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Institutional entrepreneurship perspective employed</w:t>
            </w:r>
          </w:p>
        </w:tc>
        <w:tc>
          <w:tcPr>
            <w:tcW w:w="715" w:type="pct"/>
            <w:tcBorders>
              <w:top w:val="single" w:sz="8" w:space="0" w:color="auto"/>
            </w:tcBorders>
          </w:tcPr>
          <w:p w14:paraId="16338E3C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Translated into 12 languages</w:t>
            </w:r>
          </w:p>
          <w:p w14:paraId="52E44C4B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1B4FB170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Mixed methods – inventory and surveys</w:t>
            </w:r>
          </w:p>
          <w:p w14:paraId="5B56E782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2FFC4D8E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Econometric and rationalist approach employed</w:t>
            </w:r>
          </w:p>
        </w:tc>
      </w:tr>
      <w:tr w:rsidR="00771BEC" w:rsidRPr="00CE7ACE" w14:paraId="2A6F3AB5" w14:textId="77777777" w:rsidTr="006245E4">
        <w:trPr>
          <w:trHeight w:val="735"/>
        </w:trPr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6960DB8A" w14:textId="77777777" w:rsidR="00771BEC" w:rsidRPr="00CE7ACE" w:rsidRDefault="00771BEC" w:rsidP="006245E4">
            <w:pPr>
              <w:rPr>
                <w:rFonts w:ascii="Times New Roman" w:hAnsi="Times New Roman" w:cs="Times New Roman"/>
                <w:b/>
              </w:rPr>
            </w:pPr>
            <w:r w:rsidRPr="00CE7ACE">
              <w:rPr>
                <w:rFonts w:ascii="Times New Roman" w:hAnsi="Times New Roman" w:cs="Times New Roman"/>
                <w:b/>
              </w:rPr>
              <w:t>Sample Equivalence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43D32881" w14:textId="77777777" w:rsidR="00771BEC" w:rsidRPr="00CE7ACE" w:rsidRDefault="00771BEC" w:rsidP="006245E4">
            <w:pPr>
              <w:rPr>
                <w:rFonts w:ascii="Times New Roman" w:hAnsi="Times New Roman" w:cs="Times New Roman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Explicit statement of sample inclusion criteria: sporting culture, elite sport structures, interest group activity and mature economy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16C5C1DF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Explicit statement of sample inclusion criteria: economic development, wealth, and population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3BAB35CB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Explicit statement of sample inclusion criteria: history of Olympic success, government involvement and different socio-</w:t>
            </w:r>
            <w:r w:rsidRPr="00CE7AC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demographic characteristics 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323B85E9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lastRenderedPageBreak/>
              <w:t xml:space="preserve">Sample based upon pre-existing research groups and invited nations. 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308D1B54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Geographical sample. Countries similar in terms of size, socio-economic and political institutions, and strong welfare states</w:t>
            </w:r>
          </w:p>
        </w:tc>
        <w:tc>
          <w:tcPr>
            <w:tcW w:w="715" w:type="pct"/>
            <w:tcBorders>
              <w:top w:val="single" w:sz="8" w:space="0" w:color="auto"/>
              <w:bottom w:val="single" w:sz="8" w:space="0" w:color="auto"/>
            </w:tcBorders>
          </w:tcPr>
          <w:p w14:paraId="305E3DA2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 xml:space="preserve">Any nation interested was invited to participate. Sample represented 8.5% of world population and 10% global </w:t>
            </w:r>
            <w:r w:rsidRPr="00CE7ACE">
              <w:rPr>
                <w:rFonts w:ascii="Times New Roman" w:hAnsi="Times New Roman" w:cs="Times New Roman"/>
                <w:color w:val="000000" w:themeColor="text1"/>
              </w:rPr>
              <w:lastRenderedPageBreak/>
              <w:t>wealth. 23% of total medals at London 2012</w:t>
            </w:r>
          </w:p>
        </w:tc>
      </w:tr>
      <w:tr w:rsidR="00771BEC" w:rsidRPr="00CE7ACE" w14:paraId="55ED0B6F" w14:textId="77777777" w:rsidTr="006245E4">
        <w:trPr>
          <w:trHeight w:val="557"/>
        </w:trPr>
        <w:tc>
          <w:tcPr>
            <w:tcW w:w="714" w:type="pct"/>
            <w:tcBorders>
              <w:top w:val="single" w:sz="8" w:space="0" w:color="auto"/>
            </w:tcBorders>
          </w:tcPr>
          <w:p w14:paraId="082BF6D7" w14:textId="77777777" w:rsidR="00771BEC" w:rsidRPr="00CE7ACE" w:rsidRDefault="00771BEC" w:rsidP="006245E4">
            <w:pPr>
              <w:rPr>
                <w:rFonts w:ascii="Times New Roman" w:hAnsi="Times New Roman" w:cs="Times New Roman"/>
                <w:b/>
              </w:rPr>
            </w:pPr>
            <w:r w:rsidRPr="00CE7ACE">
              <w:rPr>
                <w:rFonts w:ascii="Times New Roman" w:hAnsi="Times New Roman" w:cs="Times New Roman"/>
                <w:b/>
              </w:rPr>
              <w:lastRenderedPageBreak/>
              <w:t>Functional Equivalence</w:t>
            </w:r>
          </w:p>
        </w:tc>
        <w:tc>
          <w:tcPr>
            <w:tcW w:w="714" w:type="pct"/>
            <w:tcBorders>
              <w:top w:val="single" w:sz="8" w:space="0" w:color="auto"/>
            </w:tcBorders>
          </w:tcPr>
          <w:p w14:paraId="19A95BB7" w14:textId="77777777" w:rsidR="00771BEC" w:rsidRPr="00CE7ACE" w:rsidRDefault="00771BEC" w:rsidP="006245E4">
            <w:pPr>
              <w:rPr>
                <w:rFonts w:ascii="Times New Roman" w:hAnsi="Times New Roman" w:cs="Times New Roman"/>
              </w:rPr>
            </w:pPr>
            <w:r w:rsidRPr="00CE7ACE">
              <w:rPr>
                <w:rFonts w:ascii="Times New Roman" w:hAnsi="Times New Roman" w:cs="Times New Roman"/>
              </w:rPr>
              <w:t>No measures evident from review</w:t>
            </w:r>
          </w:p>
        </w:tc>
        <w:tc>
          <w:tcPr>
            <w:tcW w:w="714" w:type="pct"/>
            <w:tcBorders>
              <w:top w:val="single" w:sz="8" w:space="0" w:color="auto"/>
            </w:tcBorders>
          </w:tcPr>
          <w:p w14:paraId="11304B82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No measures evident from review</w:t>
            </w:r>
          </w:p>
        </w:tc>
        <w:tc>
          <w:tcPr>
            <w:tcW w:w="714" w:type="pct"/>
            <w:tcBorders>
              <w:top w:val="single" w:sz="8" w:space="0" w:color="auto"/>
            </w:tcBorders>
          </w:tcPr>
          <w:p w14:paraId="04CD6D68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No measures evident from review</w:t>
            </w:r>
          </w:p>
        </w:tc>
        <w:tc>
          <w:tcPr>
            <w:tcW w:w="714" w:type="pct"/>
            <w:tcBorders>
              <w:top w:val="single" w:sz="8" w:space="0" w:color="auto"/>
            </w:tcBorders>
          </w:tcPr>
          <w:p w14:paraId="57EAE494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 xml:space="preserve">European Social Survey (2002) used to measure participation. </w:t>
            </w:r>
          </w:p>
          <w:p w14:paraId="694FEBA3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3A0FBF4E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Triangulation of data instruments used</w:t>
            </w:r>
          </w:p>
        </w:tc>
        <w:tc>
          <w:tcPr>
            <w:tcW w:w="714" w:type="pct"/>
            <w:tcBorders>
              <w:top w:val="single" w:sz="8" w:space="0" w:color="auto"/>
            </w:tcBorders>
          </w:tcPr>
          <w:p w14:paraId="092AED2E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No measures evident from review</w:t>
            </w:r>
          </w:p>
        </w:tc>
        <w:tc>
          <w:tcPr>
            <w:tcW w:w="715" w:type="pct"/>
            <w:tcBorders>
              <w:top w:val="single" w:sz="8" w:space="0" w:color="auto"/>
            </w:tcBorders>
          </w:tcPr>
          <w:p w14:paraId="4ED9A905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Used International Social Survey Programme (ISSP) and Eurobarometer (EB) surveys to standardize sport participation</w:t>
            </w:r>
          </w:p>
          <w:p w14:paraId="0F35FE36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2566057B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Data excluded if deemed non-equivalent</w:t>
            </w:r>
          </w:p>
        </w:tc>
      </w:tr>
      <w:tr w:rsidR="00771BEC" w:rsidRPr="00CE7ACE" w14:paraId="4733C670" w14:textId="77777777" w:rsidTr="006245E4">
        <w:trPr>
          <w:trHeight w:val="1535"/>
        </w:trPr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01DC93AB" w14:textId="77777777" w:rsidR="00771BEC" w:rsidRPr="00CE7ACE" w:rsidRDefault="00771BEC" w:rsidP="006245E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Data collection – access and analysis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0619C1A5" w14:textId="77777777" w:rsidR="00771BEC" w:rsidRPr="00CE7ACE" w:rsidRDefault="00771BEC" w:rsidP="006245E4">
            <w:pPr>
              <w:rPr>
                <w:rFonts w:ascii="Times New Roman" w:hAnsi="Times New Roman" w:cs="Times New Roman"/>
              </w:rPr>
            </w:pPr>
            <w:r w:rsidRPr="00CE7ACE">
              <w:rPr>
                <w:rFonts w:ascii="Times New Roman" w:hAnsi="Times New Roman" w:cs="Times New Roman"/>
              </w:rPr>
              <w:t xml:space="preserve">Four policy areas: facility development, full-time athlete support, coaching and sport science, and competition 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2526851A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 xml:space="preserve">Focuses on analytical dimensions of welfare/state systems, structure, executive-legislative relations, and coalitions. 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51CCFCB8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</w:rPr>
              <w:t>Four policy areas: facilities, full-time athletes, coaching and sport science, and competition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4007F7F9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Nine policy areas (pillars)</w:t>
            </w:r>
          </w:p>
          <w:p w14:paraId="0CC0D471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5CA2A361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105 critical success factors</w:t>
            </w:r>
          </w:p>
          <w:p w14:paraId="6662A025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70A69876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Established modus operandi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8" w:space="0" w:color="auto"/>
            </w:tcBorders>
          </w:tcPr>
          <w:p w14:paraId="4233CBB9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No specific areas identified – institutional theory constructs employed (e.g., legitimacy, iso</w:t>
            </w:r>
            <w:r>
              <w:rPr>
                <w:rFonts w:ascii="Times New Roman" w:hAnsi="Times New Roman" w:cs="Times New Roman"/>
                <w:color w:val="000000" w:themeColor="text1"/>
              </w:rPr>
              <w:t>morphism, organis</w:t>
            </w:r>
            <w:r w:rsidRPr="00CE7ACE">
              <w:rPr>
                <w:rFonts w:ascii="Times New Roman" w:hAnsi="Times New Roman" w:cs="Times New Roman"/>
                <w:color w:val="000000" w:themeColor="text1"/>
              </w:rPr>
              <w:t>ational field etc)</w:t>
            </w:r>
          </w:p>
        </w:tc>
        <w:tc>
          <w:tcPr>
            <w:tcW w:w="715" w:type="pct"/>
            <w:tcBorders>
              <w:top w:val="single" w:sz="8" w:space="0" w:color="auto"/>
              <w:bottom w:val="single" w:sz="8" w:space="0" w:color="auto"/>
            </w:tcBorders>
          </w:tcPr>
          <w:p w14:paraId="581B3E90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Nine policy areas (pillars)</w:t>
            </w:r>
          </w:p>
          <w:p w14:paraId="283C09A8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224B48BA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96 critical success factors and 750 sub-factors</w:t>
            </w:r>
          </w:p>
          <w:p w14:paraId="3D31C11E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38CA628E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Established modus operandi</w:t>
            </w:r>
          </w:p>
        </w:tc>
      </w:tr>
      <w:tr w:rsidR="00771BEC" w:rsidRPr="00CE7ACE" w14:paraId="0749E3ED" w14:textId="77777777" w:rsidTr="006245E4">
        <w:trPr>
          <w:trHeight w:val="699"/>
        </w:trPr>
        <w:tc>
          <w:tcPr>
            <w:tcW w:w="714" w:type="pct"/>
            <w:tcBorders>
              <w:top w:val="single" w:sz="8" w:space="0" w:color="auto"/>
            </w:tcBorders>
          </w:tcPr>
          <w:p w14:paraId="2850A343" w14:textId="77777777" w:rsidR="00771BEC" w:rsidRPr="00CE7ACE" w:rsidRDefault="00771BEC" w:rsidP="006245E4">
            <w:pPr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Data output – presentation and dissemination</w:t>
            </w:r>
          </w:p>
        </w:tc>
        <w:tc>
          <w:tcPr>
            <w:tcW w:w="714" w:type="pct"/>
            <w:tcBorders>
              <w:top w:val="single" w:sz="8" w:space="0" w:color="auto"/>
            </w:tcBorders>
          </w:tcPr>
          <w:p w14:paraId="3893FC62" w14:textId="77777777" w:rsidR="00771BEC" w:rsidRPr="00CE7ACE" w:rsidRDefault="00771BEC" w:rsidP="006245E4">
            <w:pPr>
              <w:rPr>
                <w:rFonts w:ascii="Times New Roman" w:hAnsi="Times New Roman" w:cs="Times New Roman"/>
              </w:rPr>
            </w:pPr>
            <w:r w:rsidRPr="00CE7ACE">
              <w:rPr>
                <w:rFonts w:ascii="Times New Roman" w:hAnsi="Times New Roman" w:cs="Times New Roman"/>
              </w:rPr>
              <w:t>2 year data collection period</w:t>
            </w:r>
          </w:p>
          <w:p w14:paraId="20461A8A" w14:textId="77777777" w:rsidR="00771BEC" w:rsidRPr="00CE7ACE" w:rsidRDefault="00771BEC" w:rsidP="006245E4">
            <w:pPr>
              <w:rPr>
                <w:rFonts w:ascii="Times New Roman" w:hAnsi="Times New Roman" w:cs="Times New Roman"/>
              </w:rPr>
            </w:pPr>
          </w:p>
          <w:p w14:paraId="3C74D8EE" w14:textId="77777777" w:rsidR="00771BEC" w:rsidRPr="00CE7ACE" w:rsidRDefault="00771BEC" w:rsidP="006245E4">
            <w:pPr>
              <w:rPr>
                <w:rFonts w:ascii="Times New Roman" w:hAnsi="Times New Roman" w:cs="Times New Roman"/>
              </w:rPr>
            </w:pPr>
            <w:r w:rsidRPr="00CE7ACE">
              <w:rPr>
                <w:rFonts w:ascii="Times New Roman" w:hAnsi="Times New Roman" w:cs="Times New Roman"/>
              </w:rPr>
              <w:t>Data collected by authors</w:t>
            </w:r>
          </w:p>
        </w:tc>
        <w:tc>
          <w:tcPr>
            <w:tcW w:w="714" w:type="pct"/>
            <w:tcBorders>
              <w:top w:val="single" w:sz="8" w:space="0" w:color="auto"/>
            </w:tcBorders>
          </w:tcPr>
          <w:p w14:paraId="69B2F029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1 year data collection period</w:t>
            </w:r>
          </w:p>
          <w:p w14:paraId="10B43C99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6D857C0A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Data collected by authors</w:t>
            </w:r>
          </w:p>
        </w:tc>
        <w:tc>
          <w:tcPr>
            <w:tcW w:w="714" w:type="pct"/>
            <w:tcBorders>
              <w:top w:val="single" w:sz="8" w:space="0" w:color="auto"/>
            </w:tcBorders>
          </w:tcPr>
          <w:p w14:paraId="34F49042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No empirical data collected</w:t>
            </w:r>
          </w:p>
          <w:p w14:paraId="254EFAF0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</w:tc>
        <w:tc>
          <w:tcPr>
            <w:tcW w:w="714" w:type="pct"/>
            <w:tcBorders>
              <w:top w:val="single" w:sz="8" w:space="0" w:color="auto"/>
            </w:tcBorders>
          </w:tcPr>
          <w:p w14:paraId="61FD7D30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2 year data collection period</w:t>
            </w:r>
          </w:p>
          <w:p w14:paraId="54B87686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43A7D596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Data collected by local researchers</w:t>
            </w:r>
          </w:p>
        </w:tc>
        <w:tc>
          <w:tcPr>
            <w:tcW w:w="714" w:type="pct"/>
            <w:tcBorders>
              <w:top w:val="single" w:sz="8" w:space="0" w:color="auto"/>
            </w:tcBorders>
          </w:tcPr>
          <w:p w14:paraId="18B9AC58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Empirical data derived from a number of studies – data collection period(s) not explicitly stated.</w:t>
            </w:r>
          </w:p>
          <w:p w14:paraId="26155F12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lastRenderedPageBreak/>
              <w:t>Data collected by local researchers</w:t>
            </w:r>
          </w:p>
        </w:tc>
        <w:tc>
          <w:tcPr>
            <w:tcW w:w="715" w:type="pct"/>
            <w:tcBorders>
              <w:top w:val="single" w:sz="8" w:space="0" w:color="auto"/>
            </w:tcBorders>
          </w:tcPr>
          <w:p w14:paraId="1CED0ABC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lastRenderedPageBreak/>
              <w:t>3 year data collection period</w:t>
            </w:r>
          </w:p>
          <w:p w14:paraId="4CC195EE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39A197D0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Data collected by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 58 researchers </w:t>
            </w:r>
            <w:r>
              <w:rPr>
                <w:rFonts w:ascii="Times New Roman" w:hAnsi="Times New Roman" w:cs="Times New Roman"/>
                <w:color w:val="000000" w:themeColor="text1"/>
              </w:rPr>
              <w:lastRenderedPageBreak/>
              <w:t>and 22 policy makers</w:t>
            </w:r>
          </w:p>
        </w:tc>
      </w:tr>
      <w:tr w:rsidR="00771BEC" w:rsidRPr="00CE7ACE" w14:paraId="1DD96617" w14:textId="77777777" w:rsidTr="006245E4">
        <w:trPr>
          <w:trHeight w:val="1535"/>
        </w:trPr>
        <w:tc>
          <w:tcPr>
            <w:tcW w:w="714" w:type="pct"/>
            <w:tcBorders>
              <w:top w:val="single" w:sz="8" w:space="0" w:color="auto"/>
              <w:bottom w:val="single" w:sz="12" w:space="0" w:color="auto"/>
            </w:tcBorders>
          </w:tcPr>
          <w:p w14:paraId="38B9BB03" w14:textId="77777777" w:rsidR="00771BEC" w:rsidRPr="00CE7ACE" w:rsidRDefault="00771BEC" w:rsidP="006245E4">
            <w:pPr>
              <w:rPr>
                <w:rFonts w:ascii="Times New Roman" w:hAnsi="Times New Roman" w:cs="Times New Roman"/>
                <w:b/>
              </w:rPr>
            </w:pPr>
            <w:r w:rsidRPr="00CE7ACE">
              <w:rPr>
                <w:rFonts w:ascii="Times New Roman" w:hAnsi="Times New Roman" w:cs="Times New Roman"/>
                <w:b/>
              </w:rPr>
              <w:lastRenderedPageBreak/>
              <w:t>Data output</w:t>
            </w:r>
            <w:r>
              <w:rPr>
                <w:rFonts w:ascii="Times New Roman" w:hAnsi="Times New Roman" w:cs="Times New Roman"/>
                <w:b/>
              </w:rPr>
              <w:t xml:space="preserve"> - interpretation/ generalization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12" w:space="0" w:color="auto"/>
            </w:tcBorders>
          </w:tcPr>
          <w:p w14:paraId="4848399B" w14:textId="77777777" w:rsidR="00771BEC" w:rsidRPr="00CE7ACE" w:rsidRDefault="00771BEC" w:rsidP="006245E4">
            <w:pPr>
              <w:rPr>
                <w:rFonts w:ascii="Times New Roman" w:hAnsi="Times New Roman" w:cs="Times New Roman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General conclusion statements</w:t>
            </w:r>
          </w:p>
          <w:p w14:paraId="15D6CF25" w14:textId="77777777" w:rsidR="00771BEC" w:rsidRPr="00CE7ACE" w:rsidRDefault="00771BEC" w:rsidP="006245E4">
            <w:pPr>
              <w:rPr>
                <w:rFonts w:ascii="Times New Roman" w:hAnsi="Times New Roman" w:cs="Times New Roman"/>
              </w:rPr>
            </w:pPr>
          </w:p>
          <w:p w14:paraId="6CD57E21" w14:textId="77777777" w:rsidR="00771BEC" w:rsidRPr="00CE7ACE" w:rsidRDefault="00771BEC" w:rsidP="006245E4">
            <w:pPr>
              <w:rPr>
                <w:rFonts w:ascii="Times New Roman" w:hAnsi="Times New Roman" w:cs="Times New Roman"/>
              </w:rPr>
            </w:pPr>
            <w:r w:rsidRPr="00CE7ACE">
              <w:rPr>
                <w:rFonts w:ascii="Times New Roman" w:hAnsi="Times New Roman" w:cs="Times New Roman"/>
              </w:rPr>
              <w:t>Acknowledged non-representativeness of sample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12" w:space="0" w:color="auto"/>
            </w:tcBorders>
          </w:tcPr>
          <w:p w14:paraId="5554A0F6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 xml:space="preserve">General conclusion statements – commercialisation and governmentalisation. 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12" w:space="0" w:color="auto"/>
            </w:tcBorders>
          </w:tcPr>
          <w:p w14:paraId="2AAFE9A4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General conclusion statements</w:t>
            </w:r>
          </w:p>
          <w:p w14:paraId="39A2FE1D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3CFB6797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</w:rPr>
              <w:t>Acknowledged non-representativeness of sample but firmer conclusions could be drawn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12" w:space="0" w:color="auto"/>
            </w:tcBorders>
          </w:tcPr>
          <w:p w14:paraId="13C1E985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Data presented as a scoring system and presented in a series of graphs and tables</w:t>
            </w:r>
          </w:p>
          <w:p w14:paraId="112848BE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517B680E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Data excluded if findings were insufficient</w:t>
            </w:r>
          </w:p>
        </w:tc>
        <w:tc>
          <w:tcPr>
            <w:tcW w:w="714" w:type="pct"/>
            <w:tcBorders>
              <w:top w:val="single" w:sz="8" w:space="0" w:color="auto"/>
              <w:bottom w:val="single" w:sz="12" w:space="0" w:color="auto"/>
            </w:tcBorders>
          </w:tcPr>
          <w:p w14:paraId="0653C26C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General conclusion statements – similar pressures to converge but different underlying patterns of domestic adaptation</w:t>
            </w:r>
          </w:p>
        </w:tc>
        <w:tc>
          <w:tcPr>
            <w:tcW w:w="715" w:type="pct"/>
            <w:tcBorders>
              <w:top w:val="single" w:sz="8" w:space="0" w:color="auto"/>
              <w:bottom w:val="single" w:sz="12" w:space="0" w:color="auto"/>
            </w:tcBorders>
          </w:tcPr>
          <w:p w14:paraId="56565AD6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Data presented as a scoring system and presented in a series of graphs and tables</w:t>
            </w:r>
          </w:p>
          <w:p w14:paraId="49E7A706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</w:p>
          <w:p w14:paraId="56FF5E81" w14:textId="77777777" w:rsidR="00771BEC" w:rsidRPr="00CE7ACE" w:rsidRDefault="00771BEC" w:rsidP="006245E4">
            <w:pPr>
              <w:rPr>
                <w:rFonts w:ascii="Times New Roman" w:hAnsi="Times New Roman" w:cs="Times New Roman"/>
                <w:color w:val="000000" w:themeColor="text1"/>
              </w:rPr>
            </w:pPr>
            <w:r w:rsidRPr="00CE7ACE">
              <w:rPr>
                <w:rFonts w:ascii="Times New Roman" w:hAnsi="Times New Roman" w:cs="Times New Roman"/>
                <w:color w:val="000000" w:themeColor="text1"/>
              </w:rPr>
              <w:t>Data excluded if findings were insufficient</w:t>
            </w:r>
          </w:p>
        </w:tc>
      </w:tr>
    </w:tbl>
    <w:p w14:paraId="382E310F" w14:textId="77777777" w:rsidR="00771BEC" w:rsidRDefault="00771BEC" w:rsidP="00771BEC"/>
    <w:p w14:paraId="7EB32012" w14:textId="38E25178" w:rsidR="00771BEC" w:rsidRDefault="00771BEC">
      <w:bookmarkStart w:id="0" w:name="_GoBack"/>
      <w:bookmarkEnd w:id="0"/>
    </w:p>
    <w:sectPr w:rsidR="00771BEC" w:rsidSect="001179D9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BDB94A5" w14:textId="77777777" w:rsidR="007D2EF2" w:rsidRDefault="007D2EF2" w:rsidP="007D2EF2">
      <w:pPr>
        <w:spacing w:after="0" w:line="240" w:lineRule="auto"/>
      </w:pPr>
      <w:r>
        <w:separator/>
      </w:r>
    </w:p>
  </w:endnote>
  <w:endnote w:type="continuationSeparator" w:id="0">
    <w:p w14:paraId="563F8385" w14:textId="77777777" w:rsidR="007D2EF2" w:rsidRDefault="007D2EF2" w:rsidP="007D2E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Calibri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1DACD3D" w14:textId="77777777" w:rsidR="007D2EF2" w:rsidRDefault="007D2EF2" w:rsidP="007D2EF2">
      <w:pPr>
        <w:spacing w:after="0" w:line="240" w:lineRule="auto"/>
      </w:pPr>
      <w:r>
        <w:separator/>
      </w:r>
    </w:p>
  </w:footnote>
  <w:footnote w:type="continuationSeparator" w:id="0">
    <w:p w14:paraId="1BA7B5B6" w14:textId="77777777" w:rsidR="007D2EF2" w:rsidRDefault="007D2EF2" w:rsidP="007D2E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CB187B"/>
    <w:multiLevelType w:val="hybridMultilevel"/>
    <w:tmpl w:val="9A563FBE"/>
    <w:lvl w:ilvl="0" w:tplc="6534EFD0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639073E"/>
    <w:multiLevelType w:val="hybridMultilevel"/>
    <w:tmpl w:val="AB8C940C"/>
    <w:lvl w:ilvl="0" w:tplc="6534EFD0"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2D203B"/>
    <w:multiLevelType w:val="hybridMultilevel"/>
    <w:tmpl w:val="BFD00E8A"/>
    <w:lvl w:ilvl="0" w:tplc="6534EFD0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9583AD7"/>
    <w:multiLevelType w:val="hybridMultilevel"/>
    <w:tmpl w:val="02026F06"/>
    <w:lvl w:ilvl="0" w:tplc="6534EFD0">
      <w:numFmt w:val="bullet"/>
      <w:lvlText w:val="-"/>
      <w:lvlJc w:val="left"/>
      <w:pPr>
        <w:ind w:left="360" w:hanging="360"/>
      </w:pPr>
      <w:rPr>
        <w:rFonts w:ascii="Times New Roman" w:eastAsiaTheme="minorEastAsia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0NTMxNbS0MDcyMTM3tTRT0lEKTi0uzszPAykwrgUAF8wE2iwAAAA="/>
  </w:docVars>
  <w:rsids>
    <w:rsidRoot w:val="001179D9"/>
    <w:rsid w:val="00034272"/>
    <w:rsid w:val="000F5A67"/>
    <w:rsid w:val="001179D9"/>
    <w:rsid w:val="001952D3"/>
    <w:rsid w:val="00573104"/>
    <w:rsid w:val="0057709B"/>
    <w:rsid w:val="006349B7"/>
    <w:rsid w:val="00771BEC"/>
    <w:rsid w:val="007D2EF2"/>
    <w:rsid w:val="008F0187"/>
    <w:rsid w:val="0094679B"/>
    <w:rsid w:val="0097369A"/>
    <w:rsid w:val="009C153A"/>
    <w:rsid w:val="009E6CC4"/>
    <w:rsid w:val="009E7E19"/>
    <w:rsid w:val="00A21D35"/>
    <w:rsid w:val="00A23301"/>
    <w:rsid w:val="00A425B7"/>
    <w:rsid w:val="00B5463A"/>
    <w:rsid w:val="00B87CCB"/>
    <w:rsid w:val="00BA522D"/>
    <w:rsid w:val="00C177E1"/>
    <w:rsid w:val="00CE0C11"/>
    <w:rsid w:val="00D65193"/>
    <w:rsid w:val="00DC3C22"/>
    <w:rsid w:val="00DF5517"/>
    <w:rsid w:val="00E04119"/>
    <w:rsid w:val="00E90BB4"/>
    <w:rsid w:val="00EF014D"/>
    <w:rsid w:val="00F00AF8"/>
    <w:rsid w:val="00FF3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CB0627"/>
  <w15:chartTrackingRefBased/>
  <w15:docId w15:val="{BD642CC6-4300-41DB-99CE-9B458CBD05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179D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1179D9"/>
    <w:pPr>
      <w:spacing w:after="0" w:line="240" w:lineRule="auto"/>
    </w:pPr>
    <w:rPr>
      <w:rFonts w:eastAsiaTheme="minorEastAsia"/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04119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9E6CC4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25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25B7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7D2E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D2EF2"/>
  </w:style>
  <w:style w:type="paragraph" w:styleId="Footer">
    <w:name w:val="footer"/>
    <w:basedOn w:val="Normal"/>
    <w:link w:val="FooterChar"/>
    <w:uiPriority w:val="99"/>
    <w:unhideWhenUsed/>
    <w:rsid w:val="007D2EF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D2EF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489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E0856B6E</Template>
  <TotalTime>20</TotalTime>
  <Pages>7</Pages>
  <Words>1689</Words>
  <Characters>9629</Characters>
  <Application>Microsoft Office Word</Application>
  <DocSecurity>0</DocSecurity>
  <Lines>80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Anglia Ruskin University</Company>
  <LinksUpToDate>false</LinksUpToDate>
  <CharactersWithSpaces>11296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Dowling, Mathew</dc:creator>
  <cp:keywords/>
  <dc:description/>
  <cp:lastModifiedBy>Blanshard, Lisa</cp:lastModifiedBy>
  <cp:revision>6</cp:revision>
  <dcterms:created xsi:type="dcterms:W3CDTF">2018-02-15T17:07:00Z</dcterms:created>
  <dcterms:modified xsi:type="dcterms:W3CDTF">2018-09-28T08:45:00Z</dcterms:modified>
</cp:coreProperties>
</file>