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C0DEAA" w14:textId="35F51CF1" w:rsidR="00A13BC6" w:rsidRPr="004B37E9" w:rsidRDefault="004736BE" w:rsidP="00494B2C">
      <w:pPr>
        <w:spacing w:after="0" w:line="480" w:lineRule="auto"/>
        <w:rPr>
          <w:b/>
        </w:rPr>
      </w:pPr>
      <w:r w:rsidRPr="004B37E9">
        <w:rPr>
          <w:b/>
        </w:rPr>
        <w:t xml:space="preserve">Using habitat models to identify marine Important Bird and Biodiversity Areas for </w:t>
      </w:r>
      <w:r w:rsidR="008F72B8" w:rsidRPr="004B37E9">
        <w:rPr>
          <w:b/>
        </w:rPr>
        <w:t xml:space="preserve">Chinstrap </w:t>
      </w:r>
      <w:r w:rsidRPr="004B37E9">
        <w:rPr>
          <w:b/>
        </w:rPr>
        <w:t xml:space="preserve">penguins in </w:t>
      </w:r>
      <w:r w:rsidR="008F72B8" w:rsidRPr="004B37E9">
        <w:rPr>
          <w:b/>
        </w:rPr>
        <w:t>the South Orkney Islands</w:t>
      </w:r>
    </w:p>
    <w:p w14:paraId="0B2ADCD4" w14:textId="77777777" w:rsidR="00A13BC6" w:rsidRPr="004B37E9" w:rsidRDefault="00A13BC6" w:rsidP="00494B2C">
      <w:pPr>
        <w:spacing w:after="120" w:line="480" w:lineRule="auto"/>
      </w:pPr>
    </w:p>
    <w:p w14:paraId="31DD21C5" w14:textId="1AC48265" w:rsidR="002F1F01" w:rsidRPr="004B37E9" w:rsidRDefault="002F1F01" w:rsidP="00494B2C">
      <w:pPr>
        <w:spacing w:after="120" w:line="480" w:lineRule="auto"/>
      </w:pPr>
      <w:r w:rsidRPr="004B37E9">
        <w:t xml:space="preserve">Running title: using </w:t>
      </w:r>
      <w:r w:rsidR="004736BE" w:rsidRPr="004B37E9">
        <w:t>habitat models</w:t>
      </w:r>
      <w:r w:rsidRPr="004B37E9">
        <w:t xml:space="preserve"> to identify IBAs for penguins</w:t>
      </w:r>
    </w:p>
    <w:p w14:paraId="0B654E06" w14:textId="77777777" w:rsidR="002F1F01" w:rsidRPr="004B37E9" w:rsidRDefault="002F1F01" w:rsidP="00494B2C">
      <w:pPr>
        <w:spacing w:after="120" w:line="480" w:lineRule="auto"/>
        <w:jc w:val="center"/>
      </w:pPr>
    </w:p>
    <w:p w14:paraId="1CE4DB81" w14:textId="54F6AE9B" w:rsidR="006649EA" w:rsidRPr="004B37E9" w:rsidRDefault="006649EA" w:rsidP="006649EA">
      <w:pPr>
        <w:spacing w:after="120" w:line="480" w:lineRule="auto"/>
      </w:pPr>
      <w:r w:rsidRPr="004B37E9">
        <w:t>M. P. DIAS</w:t>
      </w:r>
      <w:r w:rsidRPr="004B37E9">
        <w:rPr>
          <w:vertAlign w:val="superscript"/>
        </w:rPr>
        <w:t>1</w:t>
      </w:r>
      <w:r w:rsidRPr="004B37E9">
        <w:t xml:space="preserve">, </w:t>
      </w:r>
      <w:r w:rsidR="00C170FB" w:rsidRPr="004B37E9">
        <w:t>V. WARWICK-EVANS</w:t>
      </w:r>
      <w:r w:rsidR="00C170FB" w:rsidRPr="004B37E9">
        <w:rPr>
          <w:vertAlign w:val="superscript"/>
        </w:rPr>
        <w:t>2</w:t>
      </w:r>
      <w:r w:rsidR="00C170FB" w:rsidRPr="004B37E9">
        <w:t xml:space="preserve">, </w:t>
      </w:r>
      <w:r w:rsidRPr="004B37E9">
        <w:t>A. P.B. CARNEIRO</w:t>
      </w:r>
      <w:r w:rsidRPr="004B37E9">
        <w:rPr>
          <w:vertAlign w:val="superscript"/>
        </w:rPr>
        <w:t>1</w:t>
      </w:r>
      <w:r w:rsidRPr="004B37E9">
        <w:t>, C. HARRIS</w:t>
      </w:r>
      <w:r w:rsidRPr="004B37E9">
        <w:rPr>
          <w:vertAlign w:val="superscript"/>
        </w:rPr>
        <w:t>3</w:t>
      </w:r>
      <w:r w:rsidRPr="004B37E9">
        <w:t>, B. G. LASCELLES</w:t>
      </w:r>
      <w:r w:rsidRPr="004B37E9">
        <w:rPr>
          <w:vertAlign w:val="superscript"/>
        </w:rPr>
        <w:t>1</w:t>
      </w:r>
      <w:r w:rsidRPr="004B37E9">
        <w:t xml:space="preserve">, </w:t>
      </w:r>
      <w:r w:rsidRPr="004B37E9">
        <w:rPr>
          <w:rFonts w:ascii="Calibri" w:eastAsiaTheme="minorEastAsia" w:hAnsi="Calibri" w:cs="Calibri"/>
          <w:noProof/>
        </w:rPr>
        <w:t>H. L. CLEWLOW</w:t>
      </w:r>
      <w:r w:rsidRPr="004B37E9">
        <w:rPr>
          <w:rFonts w:ascii="Calibri" w:eastAsiaTheme="minorEastAsia" w:hAnsi="Calibri" w:cs="Calibri"/>
          <w:noProof/>
          <w:vertAlign w:val="superscript"/>
        </w:rPr>
        <w:t>2,4</w:t>
      </w:r>
      <w:r w:rsidRPr="004B37E9">
        <w:rPr>
          <w:rFonts w:ascii="Calibri" w:eastAsiaTheme="minorEastAsia" w:hAnsi="Calibri" w:cs="Calibri"/>
          <w:noProof/>
        </w:rPr>
        <w:t>, F. MANCO</w:t>
      </w:r>
      <w:r w:rsidR="00F61669" w:rsidRPr="004B37E9">
        <w:rPr>
          <w:rFonts w:ascii="Calibri" w:eastAsiaTheme="minorEastAsia" w:hAnsi="Calibri" w:cs="Calibri"/>
          <w:noProof/>
          <w:vertAlign w:val="superscript"/>
        </w:rPr>
        <w:t>5</w:t>
      </w:r>
      <w:r w:rsidRPr="004B37E9">
        <w:rPr>
          <w:rFonts w:ascii="Calibri" w:eastAsiaTheme="minorEastAsia" w:hAnsi="Calibri" w:cs="Calibri"/>
          <w:noProof/>
        </w:rPr>
        <w:t xml:space="preserve">, </w:t>
      </w:r>
      <w:r w:rsidRPr="004B37E9">
        <w:t>N. RATCLIFFE</w:t>
      </w:r>
      <w:r w:rsidRPr="004B37E9">
        <w:rPr>
          <w:rFonts w:ascii="Calibri" w:eastAsiaTheme="minorEastAsia" w:hAnsi="Calibri" w:cs="Calibri"/>
          <w:noProof/>
          <w:vertAlign w:val="superscript"/>
        </w:rPr>
        <w:t>2</w:t>
      </w:r>
      <w:r w:rsidRPr="004B37E9">
        <w:t xml:space="preserve"> AND P. TRATHAN</w:t>
      </w:r>
      <w:r w:rsidRPr="004B37E9">
        <w:rPr>
          <w:vertAlign w:val="superscript"/>
        </w:rPr>
        <w:t xml:space="preserve">2 </w:t>
      </w:r>
    </w:p>
    <w:p w14:paraId="12C5B6D0" w14:textId="77777777" w:rsidR="006649EA" w:rsidRPr="004B37E9" w:rsidRDefault="006649EA" w:rsidP="006649EA">
      <w:pPr>
        <w:spacing w:after="120" w:line="480" w:lineRule="auto"/>
      </w:pPr>
    </w:p>
    <w:p w14:paraId="4602FFF6" w14:textId="77777777" w:rsidR="006649EA" w:rsidRPr="004B37E9" w:rsidRDefault="006649EA" w:rsidP="006649EA">
      <w:pPr>
        <w:spacing w:after="120" w:line="480" w:lineRule="auto"/>
      </w:pPr>
    </w:p>
    <w:p w14:paraId="7C225542" w14:textId="77777777" w:rsidR="006649EA" w:rsidRPr="004B37E9" w:rsidRDefault="006649EA" w:rsidP="006649EA">
      <w:pPr>
        <w:spacing w:after="120" w:line="480" w:lineRule="auto"/>
        <w:ind w:right="-188"/>
      </w:pPr>
      <w:r w:rsidRPr="004B37E9">
        <w:rPr>
          <w:vertAlign w:val="superscript"/>
        </w:rPr>
        <w:t>1</w:t>
      </w:r>
      <w:r w:rsidRPr="004B37E9">
        <w:t xml:space="preserve"> BirdLife International. The David Attenborough Building, Pembroke Street Cambridge CB2 3QZ, UK</w:t>
      </w:r>
    </w:p>
    <w:p w14:paraId="4C2DBD76" w14:textId="77777777" w:rsidR="006649EA" w:rsidRPr="004B37E9" w:rsidRDefault="006649EA" w:rsidP="006649EA">
      <w:pPr>
        <w:spacing w:after="120" w:line="480" w:lineRule="auto"/>
        <w:ind w:right="-188"/>
      </w:pPr>
      <w:r w:rsidRPr="004B37E9">
        <w:rPr>
          <w:vertAlign w:val="superscript"/>
        </w:rPr>
        <w:t>2</w:t>
      </w:r>
      <w:r w:rsidRPr="004B37E9">
        <w:t xml:space="preserve"> British Antarctic Survey, Natural Environment Research Council, High Cross, Madingley Road, Cambridge CB3 0ET, UK</w:t>
      </w:r>
    </w:p>
    <w:p w14:paraId="11CA34B5" w14:textId="77777777" w:rsidR="006649EA" w:rsidRPr="004B37E9" w:rsidRDefault="006649EA" w:rsidP="006649EA">
      <w:pPr>
        <w:spacing w:after="120" w:line="480" w:lineRule="auto"/>
        <w:ind w:right="-188"/>
      </w:pPr>
      <w:r w:rsidRPr="004B37E9">
        <w:rPr>
          <w:vertAlign w:val="superscript"/>
        </w:rPr>
        <w:t>3</w:t>
      </w:r>
      <w:r w:rsidRPr="004B37E9">
        <w:t xml:space="preserve"> Environmental Research &amp; Assessment (ERA), 12 Silverdale Avenue, Coton, Cambridge CB23 7PP, UK</w:t>
      </w:r>
    </w:p>
    <w:p w14:paraId="1554B941" w14:textId="77777777" w:rsidR="006649EA" w:rsidRPr="004B37E9" w:rsidRDefault="006649EA" w:rsidP="006649EA">
      <w:pPr>
        <w:spacing w:after="120" w:line="480" w:lineRule="auto"/>
        <w:ind w:right="-188"/>
      </w:pPr>
      <w:r w:rsidRPr="004B37E9">
        <w:rPr>
          <w:vertAlign w:val="superscript"/>
        </w:rPr>
        <w:t>4</w:t>
      </w:r>
      <w:r w:rsidRPr="004B37E9">
        <w:t xml:space="preserve"> Centre for Ecology and Conservation, University of Exeter, Penryn Campus, Penryn, Cornwall TR10 9FE, UK</w:t>
      </w:r>
    </w:p>
    <w:p w14:paraId="618C6C61" w14:textId="298A0FE1" w:rsidR="004736BE" w:rsidRPr="004B37E9" w:rsidRDefault="008F6958" w:rsidP="00494B2C">
      <w:pPr>
        <w:pStyle w:val="NoSpacing"/>
        <w:spacing w:line="480" w:lineRule="auto"/>
        <w:rPr>
          <w:lang w:val="es-AR"/>
        </w:rPr>
      </w:pPr>
      <w:r w:rsidRPr="004B37E9">
        <w:rPr>
          <w:vertAlign w:val="superscript"/>
        </w:rPr>
        <w:t>5</w:t>
      </w:r>
      <w:r w:rsidR="004736BE" w:rsidRPr="004B37E9">
        <w:t xml:space="preserve"> Faculty of Science &amp; Technology, Anglia Ruskin University, East Rd, Cambridge CB1 1PT, UK</w:t>
      </w:r>
    </w:p>
    <w:p w14:paraId="6A36D738" w14:textId="77777777" w:rsidR="002F1F01" w:rsidRPr="004B37E9" w:rsidRDefault="002F1F01" w:rsidP="00494B2C">
      <w:pPr>
        <w:spacing w:after="120" w:line="480" w:lineRule="auto"/>
        <w:ind w:right="-188"/>
        <w:rPr>
          <w:lang w:val="es-AR"/>
        </w:rPr>
      </w:pPr>
    </w:p>
    <w:p w14:paraId="3D7F3B3A" w14:textId="47B88AAD" w:rsidR="00A93BB2" w:rsidRPr="004B37E9" w:rsidRDefault="0069662C" w:rsidP="00494B2C">
      <w:pPr>
        <w:spacing w:after="120" w:line="480" w:lineRule="auto"/>
        <w:jc w:val="both"/>
        <w:rPr>
          <w:b/>
        </w:rPr>
      </w:pPr>
      <w:r w:rsidRPr="004B37E9">
        <w:rPr>
          <w:b/>
        </w:rPr>
        <w:t>Abstract</w:t>
      </w:r>
    </w:p>
    <w:p w14:paraId="1FBA4ECC" w14:textId="3BF4DC29" w:rsidR="00942316" w:rsidRPr="004B37E9" w:rsidRDefault="009D219D" w:rsidP="00494B2C">
      <w:pPr>
        <w:spacing w:after="120" w:line="480" w:lineRule="auto"/>
        <w:jc w:val="both"/>
      </w:pPr>
      <w:r w:rsidRPr="004B37E9">
        <w:t>T</w:t>
      </w:r>
      <w:r w:rsidR="00BF1C5C" w:rsidRPr="004B37E9">
        <w:t xml:space="preserve">racking individual </w:t>
      </w:r>
      <w:r w:rsidR="00A73464" w:rsidRPr="004B37E9">
        <w:t xml:space="preserve">marine predators </w:t>
      </w:r>
      <w:r w:rsidR="00A14FA5" w:rsidRPr="004B37E9">
        <w:t>can provide vital</w:t>
      </w:r>
      <w:r w:rsidRPr="004B37E9">
        <w:t xml:space="preserve"> information to aid th</w:t>
      </w:r>
      <w:r w:rsidR="00BF1C5C" w:rsidRPr="004B37E9">
        <w:t xml:space="preserve">e </w:t>
      </w:r>
      <w:r w:rsidR="00977C06" w:rsidRPr="004B37E9">
        <w:t xml:space="preserve">identification </w:t>
      </w:r>
      <w:r w:rsidR="00BF1C5C" w:rsidRPr="004B37E9">
        <w:t xml:space="preserve">of </w:t>
      </w:r>
      <w:r w:rsidR="00A73464" w:rsidRPr="004B37E9">
        <w:t>important activity</w:t>
      </w:r>
      <w:r w:rsidR="0037243C" w:rsidRPr="004B37E9">
        <w:t xml:space="preserve"> (foraging, commuting, rafting, resting</w:t>
      </w:r>
      <w:r w:rsidR="0032032B" w:rsidRPr="004B37E9">
        <w:t>,</w:t>
      </w:r>
      <w:r w:rsidR="0037243C" w:rsidRPr="004B37E9">
        <w:t xml:space="preserve"> etc</w:t>
      </w:r>
      <w:r w:rsidR="0032032B" w:rsidRPr="004B37E9">
        <w:t>.</w:t>
      </w:r>
      <w:r w:rsidR="0037243C" w:rsidRPr="004B37E9">
        <w:t>)</w:t>
      </w:r>
      <w:r w:rsidR="00A73464" w:rsidRPr="004B37E9">
        <w:t xml:space="preserve"> </w:t>
      </w:r>
      <w:r w:rsidR="00BF1C5C" w:rsidRPr="004B37E9">
        <w:t xml:space="preserve">hotspots and </w:t>
      </w:r>
      <w:r w:rsidR="00A73464" w:rsidRPr="004B37E9">
        <w:t xml:space="preserve">therefore </w:t>
      </w:r>
      <w:r w:rsidR="001513AB" w:rsidRPr="004B37E9">
        <w:t xml:space="preserve">also </w:t>
      </w:r>
      <w:r w:rsidR="00A14FA5" w:rsidRPr="004B37E9">
        <w:t>to</w:t>
      </w:r>
      <w:r w:rsidR="00A73464" w:rsidRPr="004B37E9">
        <w:t xml:space="preserve"> </w:t>
      </w:r>
      <w:r w:rsidR="00977C06" w:rsidRPr="004B37E9">
        <w:t>delineat</w:t>
      </w:r>
      <w:r w:rsidR="00A2175A" w:rsidRPr="004B37E9">
        <w:t>e</w:t>
      </w:r>
      <w:r w:rsidR="00977C06" w:rsidRPr="004B37E9">
        <w:t xml:space="preserve"> </w:t>
      </w:r>
      <w:r w:rsidR="00BF1C5C" w:rsidRPr="004B37E9">
        <w:t xml:space="preserve">priority sites for conservation. However, </w:t>
      </w:r>
      <w:r w:rsidRPr="004B37E9">
        <w:t>in certain locations</w:t>
      </w:r>
      <w:r w:rsidR="0047153A" w:rsidRPr="004B37E9">
        <w:t xml:space="preserve"> (e.g. Antarctica)</w:t>
      </w:r>
      <w:r w:rsidRPr="004B37E9">
        <w:t xml:space="preserve"> many </w:t>
      </w:r>
      <w:r w:rsidR="00A73464" w:rsidRPr="004B37E9">
        <w:t xml:space="preserve">marine mammal or seabird </w:t>
      </w:r>
      <w:r w:rsidRPr="004B37E9">
        <w:t xml:space="preserve">colonies remain untracked due to logistical constraints, </w:t>
      </w:r>
      <w:r w:rsidR="006E053E" w:rsidRPr="004B37E9">
        <w:t>and</w:t>
      </w:r>
      <w:r w:rsidRPr="004B37E9">
        <w:t xml:space="preserve"> the colonies </w:t>
      </w:r>
      <w:r w:rsidR="00A73464" w:rsidRPr="004B37E9">
        <w:t>that</w:t>
      </w:r>
      <w:r w:rsidRPr="004B37E9">
        <w:t xml:space="preserve"> ar</w:t>
      </w:r>
      <w:r w:rsidR="0047153A" w:rsidRPr="004B37E9">
        <w:t>e studied</w:t>
      </w:r>
      <w:r w:rsidRPr="004B37E9">
        <w:t xml:space="preserve"> may </w:t>
      </w:r>
      <w:r w:rsidR="004230C3" w:rsidRPr="004B37E9">
        <w:t>not be the most important in terms of conservation priorities</w:t>
      </w:r>
      <w:r w:rsidR="00BF1C5C" w:rsidRPr="004B37E9">
        <w:t xml:space="preserve">. </w:t>
      </w:r>
      <w:r w:rsidR="0032032B" w:rsidRPr="004B37E9">
        <w:t>Using data for</w:t>
      </w:r>
      <w:r w:rsidR="00A73464" w:rsidRPr="004B37E9">
        <w:t xml:space="preserve"> </w:t>
      </w:r>
      <w:r w:rsidR="0032032B" w:rsidRPr="004B37E9">
        <w:t xml:space="preserve">one of </w:t>
      </w:r>
      <w:r w:rsidR="00A73464" w:rsidRPr="004B37E9">
        <w:t xml:space="preserve">the most </w:t>
      </w:r>
      <w:r w:rsidR="00A73464" w:rsidRPr="004B37E9">
        <w:lastRenderedPageBreak/>
        <w:t>abundant seabirds in the Antarctic</w:t>
      </w:r>
      <w:r w:rsidR="0032032B" w:rsidRPr="004B37E9">
        <w:t xml:space="preserve"> </w:t>
      </w:r>
      <w:r w:rsidR="00E72E2C" w:rsidRPr="004B37E9">
        <w:t xml:space="preserve">as a case study </w:t>
      </w:r>
      <w:r w:rsidR="0032032B" w:rsidRPr="004B37E9">
        <w:t xml:space="preserve">(the Chinstrap penguin </w:t>
      </w:r>
      <w:r w:rsidR="0032032B" w:rsidRPr="004B37E9">
        <w:rPr>
          <w:i/>
        </w:rPr>
        <w:t>Pygoscelis antarcticus</w:t>
      </w:r>
      <w:r w:rsidR="0032032B" w:rsidRPr="004B37E9">
        <w:t>)</w:t>
      </w:r>
      <w:r w:rsidR="00A73464" w:rsidRPr="004B37E9">
        <w:t>, w</w:t>
      </w:r>
      <w:r w:rsidR="00BF1C5C" w:rsidRPr="004B37E9">
        <w:t xml:space="preserve">e </w:t>
      </w:r>
      <w:r w:rsidR="006E053E" w:rsidRPr="004B37E9">
        <w:t>tested</w:t>
      </w:r>
      <w:r w:rsidR="00BF1C5C" w:rsidRPr="004B37E9">
        <w:t xml:space="preserve"> </w:t>
      </w:r>
      <w:r w:rsidR="00A2175A" w:rsidRPr="004B37E9">
        <w:t>the use</w:t>
      </w:r>
      <w:r w:rsidR="00A14FA5" w:rsidRPr="004B37E9">
        <w:t xml:space="preserve"> of</w:t>
      </w:r>
      <w:r w:rsidR="00BF1C5C" w:rsidRPr="004B37E9">
        <w:t xml:space="preserve"> </w:t>
      </w:r>
      <w:r w:rsidR="009012FC" w:rsidRPr="004B37E9">
        <w:t xml:space="preserve">correlative </w:t>
      </w:r>
      <w:r w:rsidR="00BF1C5C" w:rsidRPr="004B37E9">
        <w:t>habitat models</w:t>
      </w:r>
      <w:r w:rsidR="0002243E" w:rsidRPr="004B37E9">
        <w:t xml:space="preserve"> (used to predict distribution around untracked colonies)</w:t>
      </w:r>
      <w:r w:rsidR="00BF1C5C" w:rsidRPr="004B37E9">
        <w:t xml:space="preserve"> to overcome this limitation</w:t>
      </w:r>
      <w:r w:rsidR="004230C3" w:rsidRPr="004B37E9">
        <w:t xml:space="preserve">, and to enable the identification of important areas at-sea for colonies where tracking data </w:t>
      </w:r>
      <w:r w:rsidR="001513AB" w:rsidRPr="004B37E9">
        <w:t xml:space="preserve">are </w:t>
      </w:r>
      <w:r w:rsidR="004230C3" w:rsidRPr="004B37E9">
        <w:t>not available</w:t>
      </w:r>
      <w:r w:rsidR="00A2175A" w:rsidRPr="004B37E9">
        <w:t xml:space="preserve">. </w:t>
      </w:r>
      <w:r w:rsidR="00ED1CDA" w:rsidRPr="004B37E9">
        <w:t xml:space="preserve">First, </w:t>
      </w:r>
      <w:r w:rsidR="0032032B" w:rsidRPr="004B37E9">
        <w:t>I</w:t>
      </w:r>
      <w:r w:rsidR="00A2175A" w:rsidRPr="004B37E9">
        <w:t>mportant</w:t>
      </w:r>
      <w:r w:rsidR="00A73464" w:rsidRPr="004B37E9">
        <w:t xml:space="preserve"> </w:t>
      </w:r>
      <w:r w:rsidR="0032032B" w:rsidRPr="004B37E9">
        <w:t>B</w:t>
      </w:r>
      <w:r w:rsidR="00A73464" w:rsidRPr="004B37E9">
        <w:t>ird</w:t>
      </w:r>
      <w:r w:rsidR="00A2175A" w:rsidRPr="004B37E9">
        <w:t xml:space="preserve"> </w:t>
      </w:r>
      <w:r w:rsidR="00A73464" w:rsidRPr="004B37E9">
        <w:t xml:space="preserve">and </w:t>
      </w:r>
      <w:r w:rsidR="0032032B" w:rsidRPr="004B37E9">
        <w:t>B</w:t>
      </w:r>
      <w:r w:rsidR="00A73464" w:rsidRPr="004B37E9">
        <w:t xml:space="preserve">iodiversity </w:t>
      </w:r>
      <w:r w:rsidR="0032032B" w:rsidRPr="004B37E9">
        <w:t>A</w:t>
      </w:r>
      <w:r w:rsidR="00A2175A" w:rsidRPr="004B37E9">
        <w:t>reas</w:t>
      </w:r>
      <w:r w:rsidR="00A73464" w:rsidRPr="004B37E9">
        <w:t xml:space="preserve"> (IBA)</w:t>
      </w:r>
      <w:r w:rsidR="00A2175A" w:rsidRPr="004B37E9">
        <w:t xml:space="preserve"> were </w:t>
      </w:r>
      <w:r w:rsidR="00ED1CDA" w:rsidRPr="004B37E9">
        <w:t>identified using a standardised</w:t>
      </w:r>
      <w:r w:rsidR="00A2175A" w:rsidRPr="004B37E9">
        <w:t xml:space="preserve">, </w:t>
      </w:r>
      <w:r w:rsidR="00F60E66" w:rsidRPr="004B37E9">
        <w:t>published</w:t>
      </w:r>
      <w:r w:rsidR="00A2175A" w:rsidRPr="004B37E9">
        <w:t xml:space="preserve"> approach using empirical</w:t>
      </w:r>
      <w:r w:rsidR="00ED1CDA" w:rsidRPr="004B37E9">
        <w:t xml:space="preserve"> data from </w:t>
      </w:r>
      <w:r w:rsidR="0032032B" w:rsidRPr="004B37E9">
        <w:t xml:space="preserve">birds </w:t>
      </w:r>
      <w:r w:rsidR="00ED1CDA" w:rsidRPr="004B37E9">
        <w:t>tracked</w:t>
      </w:r>
      <w:r w:rsidR="0032032B" w:rsidRPr="004B37E9">
        <w:t xml:space="preserve"> from colonies located in</w:t>
      </w:r>
      <w:r w:rsidR="00B61A05" w:rsidRPr="004B37E9">
        <w:t xml:space="preserve"> the</w:t>
      </w:r>
      <w:r w:rsidR="0032032B" w:rsidRPr="004B37E9">
        <w:t xml:space="preserve"> South Orkney Islands</w:t>
      </w:r>
      <w:r w:rsidR="00ED1CDA" w:rsidRPr="004B37E9">
        <w:t xml:space="preserve">. Subsequently, </w:t>
      </w:r>
      <w:r w:rsidR="004230C3" w:rsidRPr="004B37E9">
        <w:t>novel approaches</w:t>
      </w:r>
      <w:r w:rsidR="00ED1CDA" w:rsidRPr="004B37E9">
        <w:t xml:space="preserve"> </w:t>
      </w:r>
      <w:r w:rsidR="0035335B" w:rsidRPr="004B37E9">
        <w:t>using</w:t>
      </w:r>
      <w:r w:rsidR="0047153A" w:rsidRPr="004B37E9">
        <w:t xml:space="preserve"> predicted distributions </w:t>
      </w:r>
      <w:r w:rsidR="004230C3" w:rsidRPr="004B37E9">
        <w:t>of C</w:t>
      </w:r>
      <w:r w:rsidR="00933E94" w:rsidRPr="004B37E9">
        <w:t xml:space="preserve">hinstrap penguins </w:t>
      </w:r>
      <w:r w:rsidR="00A2175A" w:rsidRPr="004B37E9">
        <w:t xml:space="preserve">derived </w:t>
      </w:r>
      <w:r w:rsidR="00933E94" w:rsidRPr="004B37E9">
        <w:t xml:space="preserve">from </w:t>
      </w:r>
      <w:r w:rsidR="009012FC" w:rsidRPr="004B37E9">
        <w:t>correlative habitat</w:t>
      </w:r>
      <w:r w:rsidR="00933E94" w:rsidRPr="004B37E9">
        <w:t xml:space="preserve"> models</w:t>
      </w:r>
      <w:r w:rsidR="0035335B" w:rsidRPr="004B37E9">
        <w:t xml:space="preserve"> were applied</w:t>
      </w:r>
      <w:r w:rsidR="00ED1CDA" w:rsidRPr="004B37E9">
        <w:t xml:space="preserve"> to identify important marine areas, and the </w:t>
      </w:r>
      <w:r w:rsidR="0035335B" w:rsidRPr="004B37E9">
        <w:t>results compared with the IBAs</w:t>
      </w:r>
      <w:r w:rsidR="00A2175A" w:rsidRPr="004B37E9">
        <w:t>.</w:t>
      </w:r>
      <w:r w:rsidR="00933E94" w:rsidRPr="004B37E9">
        <w:t xml:space="preserve"> </w:t>
      </w:r>
      <w:r w:rsidR="00BF1C5C" w:rsidRPr="004B37E9">
        <w:t xml:space="preserve">Data were collected </w:t>
      </w:r>
      <w:r w:rsidR="0047153A" w:rsidRPr="004B37E9">
        <w:t>from</w:t>
      </w:r>
      <w:r w:rsidR="00BF1C5C" w:rsidRPr="004B37E9">
        <w:t xml:space="preserve"> 4 colonies over </w:t>
      </w:r>
      <w:r w:rsidR="00BD39B5" w:rsidRPr="004B37E9">
        <w:t>4</w:t>
      </w:r>
      <w:r w:rsidR="00BF1C5C" w:rsidRPr="004B37E9">
        <w:t xml:space="preserve"> </w:t>
      </w:r>
      <w:r w:rsidR="00CB5849" w:rsidRPr="004B37E9">
        <w:t>years</w:t>
      </w:r>
      <w:r w:rsidR="00BF1C5C" w:rsidRPr="004B37E9">
        <w:t xml:space="preserve"> and </w:t>
      </w:r>
      <w:r w:rsidR="008F6958" w:rsidRPr="004B37E9">
        <w:t>during</w:t>
      </w:r>
      <w:r w:rsidR="00BF1C5C" w:rsidRPr="004B37E9">
        <w:t xml:space="preserve"> different </w:t>
      </w:r>
      <w:r w:rsidR="00ED1CDA" w:rsidRPr="004B37E9">
        <w:t xml:space="preserve">stages of the </w:t>
      </w:r>
      <w:r w:rsidR="00BF1C5C" w:rsidRPr="004B37E9">
        <w:t xml:space="preserve">breeding </w:t>
      </w:r>
      <w:r w:rsidR="00ED1CDA" w:rsidRPr="004B37E9">
        <w:t>season</w:t>
      </w:r>
      <w:r w:rsidR="00BF1C5C" w:rsidRPr="004B37E9">
        <w:t xml:space="preserve">. </w:t>
      </w:r>
      <w:r w:rsidR="00B61A05" w:rsidRPr="004B37E9">
        <w:t xml:space="preserve">Results showed </w:t>
      </w:r>
      <w:r w:rsidR="00ED1CDA" w:rsidRPr="004B37E9">
        <w:t xml:space="preserve">a high </w:t>
      </w:r>
      <w:r w:rsidR="00E72E2C" w:rsidRPr="004B37E9">
        <w:t>degree</w:t>
      </w:r>
      <w:r w:rsidR="00ED1CDA" w:rsidRPr="004B37E9">
        <w:t xml:space="preserve"> of</w:t>
      </w:r>
      <w:r w:rsidR="00BF1C5C" w:rsidRPr="004B37E9">
        <w:t xml:space="preserve"> overlap between the areas identified </w:t>
      </w:r>
      <w:r w:rsidR="00E72E2C" w:rsidRPr="004B37E9">
        <w:t xml:space="preserve">as important by observed data </w:t>
      </w:r>
      <w:r w:rsidR="0035335B" w:rsidRPr="004B37E9">
        <w:t xml:space="preserve">(IBAs) </w:t>
      </w:r>
      <w:r w:rsidR="00E72E2C" w:rsidRPr="004B37E9">
        <w:t xml:space="preserve">and </w:t>
      </w:r>
      <w:r w:rsidR="00B61A05" w:rsidRPr="004B37E9">
        <w:t xml:space="preserve">by </w:t>
      </w:r>
      <w:r w:rsidR="00E72E2C" w:rsidRPr="004B37E9">
        <w:t>predicted distributions</w:t>
      </w:r>
      <w:r w:rsidR="00BF1C5C" w:rsidRPr="004B37E9">
        <w:t>, revealing that</w:t>
      </w:r>
      <w:r w:rsidR="00ED1CDA" w:rsidRPr="004B37E9">
        <w:t xml:space="preserve"> </w:t>
      </w:r>
      <w:r w:rsidR="00E72E2C" w:rsidRPr="004B37E9">
        <w:t xml:space="preserve">habitat preference models </w:t>
      </w:r>
      <w:r w:rsidR="00942316" w:rsidRPr="004B37E9">
        <w:t xml:space="preserve">can be used to identify marine IBAs for </w:t>
      </w:r>
      <w:r w:rsidR="00B61A05" w:rsidRPr="004B37E9">
        <w:t xml:space="preserve">these </w:t>
      </w:r>
      <w:r w:rsidR="00942316" w:rsidRPr="004B37E9">
        <w:t>penguins</w:t>
      </w:r>
      <w:r w:rsidR="009B2762" w:rsidRPr="004B37E9">
        <w:t xml:space="preserve">. </w:t>
      </w:r>
      <w:r w:rsidR="0022077D" w:rsidRPr="004B37E9">
        <w:t>We</w:t>
      </w:r>
      <w:r w:rsidR="00942316" w:rsidRPr="004B37E9">
        <w:t xml:space="preserve"> </w:t>
      </w:r>
      <w:r w:rsidR="00B017AA" w:rsidRPr="004B37E9">
        <w:t xml:space="preserve">provide </w:t>
      </w:r>
      <w:r w:rsidR="00942316" w:rsidRPr="004B37E9">
        <w:t xml:space="preserve">a new </w:t>
      </w:r>
      <w:r w:rsidR="00B017AA" w:rsidRPr="004B37E9">
        <w:t xml:space="preserve">method </w:t>
      </w:r>
      <w:r w:rsidR="00942316" w:rsidRPr="004B37E9">
        <w:t xml:space="preserve">for </w:t>
      </w:r>
      <w:r w:rsidR="00E72E2C" w:rsidRPr="004B37E9">
        <w:t>designating</w:t>
      </w:r>
      <w:r w:rsidR="00942316" w:rsidRPr="004B37E9">
        <w:t xml:space="preserve"> a network of marine IBAs </w:t>
      </w:r>
      <w:r w:rsidR="0022077D" w:rsidRPr="004B37E9">
        <w:t xml:space="preserve">for penguins </w:t>
      </w:r>
      <w:r w:rsidR="00942316" w:rsidRPr="004B37E9">
        <w:t xml:space="preserve">in Antarctic waters, based </w:t>
      </w:r>
      <w:r w:rsidR="00A41286" w:rsidRPr="004B37E9">
        <w:t>on</w:t>
      </w:r>
      <w:r w:rsidR="00942316" w:rsidRPr="004B37E9">
        <w:t xml:space="preserve"> </w:t>
      </w:r>
      <w:r w:rsidR="0022077D" w:rsidRPr="004B37E9">
        <w:t xml:space="preserve">outputs from </w:t>
      </w:r>
      <w:r w:rsidR="009012FC" w:rsidRPr="004B37E9">
        <w:t>correlative habitat</w:t>
      </w:r>
      <w:r w:rsidR="00942316" w:rsidRPr="004B37E9">
        <w:t xml:space="preserve"> model</w:t>
      </w:r>
      <w:r w:rsidR="0022077D" w:rsidRPr="004B37E9">
        <w:t xml:space="preserve">s </w:t>
      </w:r>
      <w:r w:rsidR="00A41286" w:rsidRPr="004B37E9">
        <w:t>when tracking data are not available</w:t>
      </w:r>
      <w:r w:rsidR="0022077D" w:rsidRPr="004B37E9">
        <w:t>. This</w:t>
      </w:r>
      <w:r w:rsidR="00027622" w:rsidRPr="004B37E9">
        <w:t xml:space="preserve"> can </w:t>
      </w:r>
      <w:r w:rsidR="005F46F8" w:rsidRPr="004B37E9">
        <w:t>contribute to</w:t>
      </w:r>
      <w:r w:rsidR="00B017AA" w:rsidRPr="004B37E9">
        <w:t xml:space="preserve"> </w:t>
      </w:r>
      <w:r w:rsidR="00027622" w:rsidRPr="004B37E9">
        <w:t>a</w:t>
      </w:r>
      <w:r w:rsidR="00B017AA" w:rsidRPr="004B37E9">
        <w:t>n</w:t>
      </w:r>
      <w:r w:rsidR="00027622" w:rsidRPr="004B37E9">
        <w:t xml:space="preserve"> </w:t>
      </w:r>
      <w:r w:rsidR="00B017AA" w:rsidRPr="004B37E9">
        <w:t>evidence-based</w:t>
      </w:r>
      <w:r w:rsidR="001513AB" w:rsidRPr="004B37E9">
        <w:t xml:space="preserve"> and </w:t>
      </w:r>
      <w:r w:rsidR="00027622" w:rsidRPr="004B37E9">
        <w:t>precautionary</w:t>
      </w:r>
      <w:r w:rsidR="0022077D" w:rsidRPr="004B37E9">
        <w:t xml:space="preserve"> approach</w:t>
      </w:r>
      <w:r w:rsidR="00027622" w:rsidRPr="004B37E9">
        <w:t xml:space="preserve"> </w:t>
      </w:r>
      <w:r w:rsidR="0022077D" w:rsidRPr="004B37E9">
        <w:t xml:space="preserve">to aid the </w:t>
      </w:r>
      <w:r w:rsidR="00027622" w:rsidRPr="004B37E9">
        <w:t>management</w:t>
      </w:r>
      <w:r w:rsidR="005F46F8" w:rsidRPr="004B37E9">
        <w:t xml:space="preserve"> framework for</w:t>
      </w:r>
      <w:r w:rsidR="00027622" w:rsidRPr="004B37E9">
        <w:t xml:space="preserve"> </w:t>
      </w:r>
      <w:r w:rsidR="00F60E66" w:rsidRPr="004B37E9">
        <w:t xml:space="preserve">Antarctic </w:t>
      </w:r>
      <w:r w:rsidR="00027622" w:rsidRPr="004B37E9">
        <w:t>fisheries</w:t>
      </w:r>
      <w:r w:rsidR="001513AB" w:rsidRPr="004B37E9">
        <w:t xml:space="preserve"> and for the protection of birds</w:t>
      </w:r>
      <w:r w:rsidR="00027622" w:rsidRPr="004B37E9">
        <w:t>.</w:t>
      </w:r>
    </w:p>
    <w:p w14:paraId="46F4D2A0" w14:textId="395693E1" w:rsidR="002F1F01" w:rsidRPr="004B37E9" w:rsidRDefault="002F1F01" w:rsidP="00494B2C">
      <w:pPr>
        <w:spacing w:after="120" w:line="480" w:lineRule="auto"/>
      </w:pPr>
      <w:r w:rsidRPr="004B37E9">
        <w:rPr>
          <w:b/>
        </w:rPr>
        <w:t>Keywords</w:t>
      </w:r>
      <w:r w:rsidRPr="004B37E9">
        <w:t xml:space="preserve">: </w:t>
      </w:r>
      <w:r w:rsidR="006B32C7" w:rsidRPr="004B37E9">
        <w:t xml:space="preserve">Antarctica, </w:t>
      </w:r>
      <w:r w:rsidRPr="004B37E9">
        <w:t xml:space="preserve">Conservation, </w:t>
      </w:r>
      <w:r w:rsidR="00977C06" w:rsidRPr="004B37E9">
        <w:t xml:space="preserve">Habitat modelling, </w:t>
      </w:r>
      <w:r w:rsidRPr="004B37E9">
        <w:t>Marine Important Bird and Biodiversity Areas, Penguins, T</w:t>
      </w:r>
      <w:r w:rsidR="006B32C7" w:rsidRPr="004B37E9">
        <w:t>racking data</w:t>
      </w:r>
    </w:p>
    <w:p w14:paraId="5796955D" w14:textId="77777777" w:rsidR="00424F73" w:rsidRPr="004B37E9" w:rsidRDefault="00424F73" w:rsidP="00494B2C">
      <w:pPr>
        <w:spacing w:after="120" w:line="480" w:lineRule="auto"/>
      </w:pPr>
    </w:p>
    <w:p w14:paraId="0E4411F9" w14:textId="04F85C95" w:rsidR="00A93BB2" w:rsidRPr="004B37E9" w:rsidRDefault="0069662C" w:rsidP="00494B2C">
      <w:pPr>
        <w:spacing w:after="120" w:line="480" w:lineRule="auto"/>
        <w:rPr>
          <w:b/>
        </w:rPr>
      </w:pPr>
      <w:r w:rsidRPr="004B37E9">
        <w:rPr>
          <w:b/>
        </w:rPr>
        <w:t>Introduction</w:t>
      </w:r>
    </w:p>
    <w:p w14:paraId="4BFC5C9E" w14:textId="40BD9C7A" w:rsidR="00966536" w:rsidRPr="004B37E9" w:rsidRDefault="0022077D" w:rsidP="00494B2C">
      <w:pPr>
        <w:spacing w:after="120" w:line="480" w:lineRule="auto"/>
        <w:jc w:val="both"/>
      </w:pPr>
      <w:r w:rsidRPr="004B37E9">
        <w:t>Our understanding</w:t>
      </w:r>
      <w:r w:rsidR="00282645" w:rsidRPr="004B37E9">
        <w:t xml:space="preserve"> of the at-sea distribution of marine species has grown exponentially during the last decades, </w:t>
      </w:r>
      <w:r w:rsidRPr="004B37E9">
        <w:t>due</w:t>
      </w:r>
      <w:r w:rsidR="00282645" w:rsidRPr="004B37E9">
        <w:t xml:space="preserve"> to the major advances in remote tracking technologies</w:t>
      </w:r>
      <w:r w:rsidR="00C50EE9" w:rsidRPr="004B37E9">
        <w:t xml:space="preserve"> </w:t>
      </w:r>
      <w:r w:rsidR="00C50EE9" w:rsidRPr="004B37E9">
        <w:fldChar w:fldCharType="begin"/>
      </w:r>
      <w:r w:rsidR="00494B2C" w:rsidRPr="004B37E9">
        <w:instrText xml:space="preserve"> ADDIN ZOTERO_ITEM CSL_CITATION {"citationID":"I8vYL5ar","properties":{"formattedCitation":"(B. Block et al., 2011; Greene et al., 2009; Hays et al., 2016; Hazen et al., 2012)","plainCitation":"(B. Block et al., 2011; Greene et al., 2009; Hays et al., 2016; Hazen et al., 2012)"},"citationItems":[{"id":704,"uris":["http://zotero.org/users/local/GuyVPmYX/items/3VQU2MRA"],"uri":["http://zotero.org/users/local/GuyVPmYX/items/3VQU2MRA"],"itemData":{"id":704,"type":"book","title":"Tracking apex marine predator movements in a dynamic ocean","volume":"475","number-of-pages":"86","source":"ResearchGate","abstract":"Pelagic marine predators face unprecedented challenges and uncertain futures. Overexploitation and climate variability impact the abundance and distribution of top predators in ocean ecosystems. Improved understanding of ecological patterns, evolutionary constraints and ecosystem function is critical for preventing extinctions, loss of biodiversity and disruption of ecosystem services. Recent advances in electronic tagging techniques have provided the capacity to observe the movements and long-distance migrations of animals in relation to ocean processes across a range of ecological scales. Tagging of Pacific Predators, a field programme of the Census of Marine Life, deployed 4,306 tags on 23 species in the North Pacific Ocean, resulting in a tracking data set of unprecedented scale and species diversity that covers 265,386 tracking days from 2000 to 2009. Here we report migration pathways, link ocean features to multispecies hotspots and illustrate niche partitioning within and among congener guilds. Our results indicate that the California Current large marine ecosystem and the North Pacific transition zone attract and retain a diverse assemblage of marine vertebrates. Within the California Current large marine ecosystem, several predator guilds seasonally undertake north-south migrations that may be driven by oceanic processes, species-specific thermal tolerances and shifts in prey distributions. We identify critical habitats across multinational boundaries and show that top predators exploit their environment in predictable ways, providing the foundation for spatial management of large marine ecosystems.","note":"DOI: 10.1038/nature10082","author":[{"family":"Block","given":"Barbara"},{"family":"Jonsen","given":"Ian"},{"family":"Jorgensen","given":"Salvador"},{"family":"Winship","given":"AJ"},{"family":"Shaffer","given":"Scott"},{"family":"Bograd","given":"Steven"},{"family":"Hazen","given":"Elliott"},{"family":"G Foley","given":"D"},{"family":"Breed","given":"G.A."},{"family":"Harrison","given":"A-L"},{"family":"Ganong","given":"James"},{"family":"Swithenbank","given":"Alan"},{"family":"Castleton","given":"M"},{"family":"Dewar","given":"H"},{"family":"R Mate","given":"B"},{"family":"Shillinger","given":"George"},{"family":"M Schaefer","given":"K"},{"family":"Benson","given":"Scott"},{"family":"J Weise","given":"M"},{"family":"Costa","given":"Daniel"}],"issued":{"date-parts":[["2011",6,22]]}}},{"id":715,"uris":["http://zotero.org/users/local/GuyVPmYX/items/H8RIBA78"],"uri":["http://zotero.org/users/local/GuyVPmYX/items/H8RIBA78"],"itemData":{"id":715,"type":"article-journal","title":"Advances in conservation oceanography: new tagging and tracking technologies and their potential for transforming the science underlying fisheries management","container-title":"Oceanography","page":"210–223","volume":"22","issue":"1","source":"Google Scholar","shortTitle":"Advances in conservation oceanography","author":[{"family":"Greene","given":"Charles H."},{"family":"Block","given":"Barbara A."},{"family":"Welch","given":"David"},{"family":"Jackson","given":"George"},{"family":"Lawson","given":"Gareth L."},{"family":"Rechisky","given":"Erin L."}],"issued":{"date-parts":[["2009"]]}}},{"id":415,"uris":["http://zotero.org/users/local/GuyVPmYX/items/629EVPHH"],"uri":["http://zotero.org/users/local/GuyVPmYX/items/629EVPHH"],"itemData":{"id":415,"type":"article-journal","title":"Key Questions in Marine Megafauna Movement Ecology","container-title":"Trends in Ecology &amp; Evolution","page":"463-475","volume":"31","issue":"6","source":"CrossRef","DOI":"10.1016/j.tree.2016.02.015","ISSN":"01695347","language":"en","author":[{"family":"Hays","given":"Graeme C."},{"family":"Ferreira","given":"Luciana C."},{"family":"Sequeira","given":"Ana M.M."},{"family":"Meekan","given":"Mark G."},{"family":"Duarte","given":"Carlos M."},{"family":"Bailey","given":"Helen"},{"family":"Bailleul","given":"Fred"},{"family":"Bowen","given":"W. Don"},{"family":"Caley","given":"M. Julian"},{"family":"Costa","given":"Daniel P."},{"family":"Egu?luz","given":"Victor M."},{"family":"Fossette","given":"Sabrina"},{"family":"Friedlaender","given":"Ari S."},{"family":"Gales","given":"Nick"},{"family":"Gleiss","given":"Adrian C."},{"family":"Gunn","given":"John"},{"family":"Harcourt","given":"Rob"},{"family":"Hazen","given":"Elliott L."},{"family":"Heithaus","given":"Michael R."},{"family":"Heupel","given":"Michelle"},{"family":"Holland","given":"Kim"},{"family":"Horning","given":"Markus"},{"family":"Jonsen","given":"Ian"},{"family":"Kooyman","given":"Gerald L."},{"family":"Lowe","given":"Christopher G."},{"family":"Madsen","given":"Peter T."},{"family":"Marsh","given":"Helene"},{"family":"Phillips","given":"Richard A."},{"family":"Righton","given":"David"},{"family":"Ropert-Coudert","given":"Yan"},{"family":"Sato","given":"Katsufumi"},{"family":"Shaffer","given":"Scott A."},{"family":"Simpfendorfer","given":"Colin A."},{"family":"Sims","given":"David W."},{"family":"Skomal","given":"Gregory"},{"family":"Takahashi","given":"Akinori"},{"family":"Trathan","given":"Philip N."},{"family":"Wikelski","given":"Martin"},{"family":"Womble","given":"Jamie N."},{"family":"Thums","given":"Michele"}],"issued":{"date-parts":[["2016",6]]}}},{"id":707,"uris":["http://zotero.org/users/local/GuyVPmYX/items/TEHDSHTJ"],"uri":["http://zotero.org/users/local/GuyVPmYX/items/TEHDSHTJ"],"itemData":{"id":707,"type":"article-journal","title":"Predicted habitat shifts of Pacific top predators in a changing climate","container-title":"Nature Climate Change","page":"234-238","volume":"3","issue":"3","source":"CrossRef","DOI":"10.1038/nclimate1686","ISSN":"1758-678X, 1758-6798","author":[{"family":"Hazen","given":"Elliott L."},{"family":"Jorgensen","given":"Salvador"},{"family":"Rykaczewski","given":"Ryan R."},{"family":"Bograd","given":"Steven J."},{"family":"Foley","given":"David G."},{"family":"Jonsen","given":"Ian D."},{"family":"Shaffer","given":"Scott A."},{"family":"Dunne","given":"John P."},{"family":"Costa","given":"Daniel P."},{"family":"Crowder","given":"Larry B."},{"family":"Block","given":"Barbara A."}],"issued":{"date-parts":[["2012",9,23]]}}}],"schema":"https://github.com/citation-style-language/schema/raw/master/csl-citation.json"} </w:instrText>
      </w:r>
      <w:r w:rsidR="00C50EE9" w:rsidRPr="004B37E9">
        <w:fldChar w:fldCharType="separate"/>
      </w:r>
      <w:r w:rsidR="00096B01" w:rsidRPr="004B37E9">
        <w:rPr>
          <w:rFonts w:ascii="Calibri" w:hAnsi="Calibri" w:cs="Calibri"/>
        </w:rPr>
        <w:t>(</w:t>
      </w:r>
      <w:r w:rsidR="00494B2C" w:rsidRPr="004B37E9">
        <w:rPr>
          <w:rFonts w:ascii="Calibri" w:hAnsi="Calibri" w:cs="Calibri"/>
        </w:rPr>
        <w:t xml:space="preserve">Block et al., </w:t>
      </w:r>
      <w:r w:rsidR="00DA7B28" w:rsidRPr="004B37E9">
        <w:rPr>
          <w:rFonts w:ascii="Calibri" w:hAnsi="Calibri" w:cs="Calibri"/>
        </w:rPr>
        <w:t>20</w:t>
      </w:r>
      <w:r w:rsidR="00494B2C" w:rsidRPr="004B37E9">
        <w:rPr>
          <w:rFonts w:ascii="Calibri" w:hAnsi="Calibri" w:cs="Calibri"/>
        </w:rPr>
        <w:t xml:space="preserve">11; Greene et al., </w:t>
      </w:r>
      <w:r w:rsidR="00DA7B28" w:rsidRPr="004B37E9">
        <w:rPr>
          <w:rFonts w:ascii="Calibri" w:hAnsi="Calibri" w:cs="Calibri"/>
        </w:rPr>
        <w:t>20</w:t>
      </w:r>
      <w:r w:rsidR="00494B2C" w:rsidRPr="004B37E9">
        <w:rPr>
          <w:rFonts w:ascii="Calibri" w:hAnsi="Calibri" w:cs="Calibri"/>
        </w:rPr>
        <w:t xml:space="preserve">09; Hays et al., </w:t>
      </w:r>
      <w:r w:rsidR="00DA7B28" w:rsidRPr="004B37E9">
        <w:rPr>
          <w:rFonts w:ascii="Calibri" w:hAnsi="Calibri" w:cs="Calibri"/>
        </w:rPr>
        <w:t>20</w:t>
      </w:r>
      <w:r w:rsidR="00494B2C" w:rsidRPr="004B37E9">
        <w:rPr>
          <w:rFonts w:ascii="Calibri" w:hAnsi="Calibri" w:cs="Calibri"/>
        </w:rPr>
        <w:t xml:space="preserve">16; Hazen et al., </w:t>
      </w:r>
      <w:r w:rsidR="00DA7B28" w:rsidRPr="004B37E9">
        <w:rPr>
          <w:rFonts w:ascii="Calibri" w:hAnsi="Calibri" w:cs="Calibri"/>
        </w:rPr>
        <w:t>20</w:t>
      </w:r>
      <w:r w:rsidR="00494B2C" w:rsidRPr="004B37E9">
        <w:rPr>
          <w:rFonts w:ascii="Calibri" w:hAnsi="Calibri" w:cs="Calibri"/>
        </w:rPr>
        <w:t>12</w:t>
      </w:r>
      <w:r w:rsidR="00030C99" w:rsidRPr="004B37E9">
        <w:rPr>
          <w:rFonts w:ascii="Calibri" w:hAnsi="Calibri" w:cs="Calibri"/>
        </w:rPr>
        <w:t>; Hussey et al. 2015</w:t>
      </w:r>
      <w:r w:rsidR="00494B2C" w:rsidRPr="004B37E9">
        <w:rPr>
          <w:rFonts w:ascii="Calibri" w:hAnsi="Calibri" w:cs="Calibri"/>
        </w:rPr>
        <w:t>)</w:t>
      </w:r>
      <w:r w:rsidR="00C50EE9" w:rsidRPr="004B37E9">
        <w:fldChar w:fldCharType="end"/>
      </w:r>
      <w:r w:rsidR="00282645" w:rsidRPr="004B37E9">
        <w:t xml:space="preserve">. Data collected by tracking individual animals have </w:t>
      </w:r>
      <w:r w:rsidRPr="004B37E9">
        <w:t>become</w:t>
      </w:r>
      <w:r w:rsidR="00282645" w:rsidRPr="004B37E9">
        <w:t xml:space="preserve"> one of the ma</w:t>
      </w:r>
      <w:r w:rsidR="001F2A45" w:rsidRPr="004B37E9">
        <w:t>in</w:t>
      </w:r>
      <w:r w:rsidR="00282645" w:rsidRPr="004B37E9">
        <w:t xml:space="preserve"> sources of information to study the activity patterns, foraging behaviour</w:t>
      </w:r>
      <w:r w:rsidR="005C13FF" w:rsidRPr="004B37E9">
        <w:t xml:space="preserve"> and </w:t>
      </w:r>
      <w:r w:rsidR="00282645" w:rsidRPr="004B37E9">
        <w:t>migratory movements</w:t>
      </w:r>
      <w:r w:rsidR="005C13FF" w:rsidRPr="004B37E9">
        <w:t xml:space="preserve"> of marine species (e.g. </w:t>
      </w:r>
      <w:r w:rsidR="005C13FF" w:rsidRPr="004B37E9">
        <w:fldChar w:fldCharType="begin"/>
      </w:r>
      <w:r w:rsidR="005C13FF" w:rsidRPr="004B37E9">
        <w:instrText xml:space="preserve"> ADDIN ZOTERO_ITEM CSL_CITATION {"citationID":"1h5ug7c7ds","properties":{"formattedCitation":"(Dias et al., 2012, 2011)","plainCitation":"(Dias et al., 2012, 2011)"},"citationItems":[{"id":604,"uris":["http://zotero.org/users/local/GuyVPmYX/items/9WZDC2AR"],"uri":["http://zotero.org/users/local/GuyVPmYX/items/9WZDC2AR"],"itemData":{"id":604,"type":"article-journal","title":"Working the day or the night shift? Foraging schedules of Cory's shearwaters vary according to marine habitat","container-title":"Marine Ecology Progress Series","page":"245-252","volume":"467","source":"CrossRef","DOI":"10.3354/meps09966","ISSN":"0171-8630, 1616-1599","shortTitle":"Working the day or the night shift?","language":"en","author":[{"family":"Dias","given":"Mp"},{"family":"Granadeiro","given":"Jp"},{"family":"Catry","given":"P"}],"issued":{"date-parts":[["2012",10,25]]}}},{"id":581,"uris":["http://zotero.org/users/local/GuyVPmYX/items/AQABQU9H"],"uri":["http://zotero.org/users/local/GuyVPmYX/items/AQABQU9H"],"itemData":{"id":581,"type":"article-journal","title":"Breaking the routine: individual Cory's shearwaters shift winter destinations between hemispheres and across ocean basins","container-title":"Proceedings of the Royal Society B: Biological Sciences","page":"1786-1793","volume":"278","issue":"1713","source":"CrossRef","DOI":"10.1098/rspb.2010.2114","ISSN":"0962-8452, 1471-2954","shortTitle":"Breaking the routine","language":"en","author":[{"family":"Dias","given":"M. P."},{"family":"Granadeiro","given":"J. P."},{"family":"Phillips","given":"R. A."},{"family":"Alonso","given":"H."},{"family":"Catry","given":"P."}],"issued":{"date-parts":[["2011",6,22]]}}}],"schema":"https://github.com/citation-style-language/schema/raw/master/csl-citation.json"} </w:instrText>
      </w:r>
      <w:r w:rsidR="005C13FF" w:rsidRPr="004B37E9">
        <w:fldChar w:fldCharType="separate"/>
      </w:r>
      <w:r w:rsidR="005C13FF" w:rsidRPr="004B37E9">
        <w:rPr>
          <w:rFonts w:ascii="Calibri" w:hAnsi="Calibri" w:cs="Calibri"/>
        </w:rPr>
        <w:t xml:space="preserve">Dias et al., </w:t>
      </w:r>
      <w:r w:rsidR="00DA7B28" w:rsidRPr="004B37E9">
        <w:rPr>
          <w:rFonts w:ascii="Calibri" w:hAnsi="Calibri" w:cs="Calibri"/>
        </w:rPr>
        <w:t>20</w:t>
      </w:r>
      <w:r w:rsidR="005C13FF" w:rsidRPr="004B37E9">
        <w:rPr>
          <w:rFonts w:ascii="Calibri" w:hAnsi="Calibri" w:cs="Calibri"/>
        </w:rPr>
        <w:t xml:space="preserve">12, </w:t>
      </w:r>
      <w:r w:rsidR="00DA7B28" w:rsidRPr="004B37E9">
        <w:rPr>
          <w:rFonts w:ascii="Calibri" w:hAnsi="Calibri" w:cs="Calibri"/>
        </w:rPr>
        <w:t>20</w:t>
      </w:r>
      <w:r w:rsidR="005C13FF" w:rsidRPr="004B37E9">
        <w:rPr>
          <w:rFonts w:ascii="Calibri" w:hAnsi="Calibri" w:cs="Calibri"/>
        </w:rPr>
        <w:t>11</w:t>
      </w:r>
      <w:r w:rsidR="005C13FF" w:rsidRPr="004B37E9">
        <w:fldChar w:fldCharType="end"/>
      </w:r>
      <w:r w:rsidR="00F4660D" w:rsidRPr="004B37E9">
        <w:t xml:space="preserve">; Hays et al. </w:t>
      </w:r>
      <w:r w:rsidR="00DA7B28" w:rsidRPr="004B37E9">
        <w:t>20</w:t>
      </w:r>
      <w:r w:rsidR="00F4660D" w:rsidRPr="004B37E9">
        <w:t>16</w:t>
      </w:r>
      <w:r w:rsidR="005C13FF" w:rsidRPr="004B37E9">
        <w:t xml:space="preserve">). </w:t>
      </w:r>
      <w:r w:rsidR="00282645" w:rsidRPr="004B37E9">
        <w:t xml:space="preserve">Such studies </w:t>
      </w:r>
      <w:r w:rsidRPr="004B37E9">
        <w:t>are also</w:t>
      </w:r>
      <w:r w:rsidR="00282645" w:rsidRPr="004B37E9">
        <w:t xml:space="preserve"> importan</w:t>
      </w:r>
      <w:r w:rsidR="001F2A45" w:rsidRPr="004B37E9">
        <w:t>t</w:t>
      </w:r>
      <w:r w:rsidR="00282645" w:rsidRPr="004B37E9">
        <w:t xml:space="preserve"> for the identifi</w:t>
      </w:r>
      <w:r w:rsidR="00E72C0C" w:rsidRPr="004B37E9">
        <w:t>cation of bio</w:t>
      </w:r>
      <w:bookmarkStart w:id="0" w:name="_GoBack"/>
      <w:bookmarkEnd w:id="0"/>
      <w:r w:rsidR="00E72C0C" w:rsidRPr="004B37E9">
        <w:t>diversity</w:t>
      </w:r>
      <w:r w:rsidR="00282645" w:rsidRPr="004B37E9">
        <w:t xml:space="preserve"> </w:t>
      </w:r>
      <w:r w:rsidR="001F2A45" w:rsidRPr="004B37E9">
        <w:t xml:space="preserve">hotspots </w:t>
      </w:r>
      <w:r w:rsidR="00282645" w:rsidRPr="004B37E9">
        <w:t>in the ocean</w:t>
      </w:r>
      <w:r w:rsidR="005C13FF" w:rsidRPr="004B37E9">
        <w:t xml:space="preserve"> </w:t>
      </w:r>
      <w:r w:rsidR="005C13FF" w:rsidRPr="004B37E9">
        <w:fldChar w:fldCharType="begin"/>
      </w:r>
      <w:r w:rsidR="005C13FF" w:rsidRPr="004B37E9">
        <w:instrText xml:space="preserve"> ADDIN ZOTERO_ITEM CSL_CITATION {"citationID":"lr5ufqg1u","properties":{"formattedCitation":"(Dias et al., 2017; Hazen et al., 2012; Lascelles et al., 2016)","plainCitation":"(Dias et al., 2017; Hazen et al., 2012; Lascelles et al., 2016)"},"citationItems":[{"id":600,"uris":["http://zotero.org/users/local/GuyVPmYX/items/QRIBV45T"],"uri":["http://zotero.org/users/local/GuyVPmYX/items/QRIBV45T"],"itemData":{"id":600,"type":"article-journal","title":"Using globally threatened pelagic birds to identify priority sites for marine conservation in the South Atlantic Ocean","container-title":"Biological Conservation","page":"76-84","volume":"211","source":"CrossRef","DOI":"10.1016/j.biocon.2017.05.009","ISSN":"00063207","language":"en","author":[{"family":"Dias","given":"Maria P."},{"family":"Oppel","given":"Steffen"},{"family":"Bond","given":"Alexander L."},{"family":"Carneiro","given":"Ana P.B."},{"family":"Cuthbert","given":"Richard J."},{"family":"Gonz?lez-Sol?s","given":"Jacob"},{"family":"Wanless","given":"Ross M."},{"family":"Glass","given":"Trevor"},{"family":"Lascelles","given":"Ben"},{"family":"Small","given":"Cleo"},{"family":"Phillips","given":"Richard A."},{"family":"Ryan","given":"Peter G."}],"issued":{"date-parts":[["2017",7]]}}},{"id":707,"uris":["http://zotero.org/users/local/GuyVPmYX/items/TEHDSHTJ"],"uri":["http://zotero.org/users/local/GuyVPmYX/items/TEHDSHTJ"],"itemData":{"id":707,"type":"article-journal","title":"Predicted habitat shifts of Pacific top predators in a changing climate","container-title":"Nature Climate Change","page":"234-238","volume":"3","issue":"3","source":"CrossRef","DOI":"10.1038/nclimate1686","ISSN":"1758-678X, 1758-6798","author":[{"family":"Hazen","given":"Elliott L."},{"family":"Jorgensen","given":"Salvador"},{"family":"Rykaczewski","given":"Ryan R."},{"family":"Bograd","given":"Steven J."},{"family":"Foley","given":"David G."},{"family":"Jonsen","given":"Ian D."},{"family":"Shaffer","given":"Scott A."},{"family":"Dunne","given":"John P."},{"family":"Costa","given":"Daniel P."},{"family":"Crowder","given":"Larry B."},{"family":"Block","given":"Barbara A."}],"issued":{"date-parts":[["2012",9,23]]}}},{"id":580,"uris":["http://zotero.org/users/local/GuyVPmYX/items/NJ9HBB2N"],"uri":["http://zotero.org/users/local/GuyVPmYX/items/NJ9HBB2N"],"itemData":{"id":580,"type":"article-journal","title":"Applying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5C13FF" w:rsidRPr="004B37E9">
        <w:fldChar w:fldCharType="separate"/>
      </w:r>
      <w:r w:rsidR="005C13FF" w:rsidRPr="004B37E9">
        <w:rPr>
          <w:rFonts w:ascii="Calibri" w:hAnsi="Calibri" w:cs="Calibri"/>
        </w:rPr>
        <w:t xml:space="preserve">(Dias et al., </w:t>
      </w:r>
      <w:r w:rsidR="00DA7B28" w:rsidRPr="004B37E9">
        <w:rPr>
          <w:rFonts w:ascii="Calibri" w:hAnsi="Calibri" w:cs="Calibri"/>
        </w:rPr>
        <w:lastRenderedPageBreak/>
        <w:t>20</w:t>
      </w:r>
      <w:r w:rsidR="005C13FF" w:rsidRPr="004B37E9">
        <w:rPr>
          <w:rFonts w:ascii="Calibri" w:hAnsi="Calibri" w:cs="Calibri"/>
        </w:rPr>
        <w:t xml:space="preserve">17; Hazen et al., </w:t>
      </w:r>
      <w:r w:rsidR="00DA7B28" w:rsidRPr="004B37E9">
        <w:rPr>
          <w:rFonts w:ascii="Calibri" w:hAnsi="Calibri" w:cs="Calibri"/>
        </w:rPr>
        <w:t>20</w:t>
      </w:r>
      <w:r w:rsidR="005C13FF" w:rsidRPr="004B37E9">
        <w:rPr>
          <w:rFonts w:ascii="Calibri" w:hAnsi="Calibri" w:cs="Calibri"/>
        </w:rPr>
        <w:t xml:space="preserve">12; Lascelles et al., </w:t>
      </w:r>
      <w:r w:rsidR="00DA7B28" w:rsidRPr="004B37E9">
        <w:rPr>
          <w:rFonts w:ascii="Calibri" w:hAnsi="Calibri" w:cs="Calibri"/>
        </w:rPr>
        <w:t>20</w:t>
      </w:r>
      <w:r w:rsidR="005C13FF" w:rsidRPr="004B37E9">
        <w:rPr>
          <w:rFonts w:ascii="Calibri" w:hAnsi="Calibri" w:cs="Calibri"/>
        </w:rPr>
        <w:t>16)</w:t>
      </w:r>
      <w:r w:rsidR="005C13FF" w:rsidRPr="004B37E9">
        <w:fldChar w:fldCharType="end"/>
      </w:r>
      <w:r w:rsidR="00282645" w:rsidRPr="004B37E9">
        <w:t xml:space="preserve">. </w:t>
      </w:r>
      <w:r w:rsidR="00E72C0C" w:rsidRPr="004B37E9">
        <w:t xml:space="preserve">For example, more than </w:t>
      </w:r>
      <w:r w:rsidR="005C13FF" w:rsidRPr="004B37E9">
        <w:t>900</w:t>
      </w:r>
      <w:r w:rsidR="00E72C0C" w:rsidRPr="004B37E9">
        <w:t xml:space="preserve"> marine Important Bird and Biodiversity Areas (</w:t>
      </w:r>
      <w:r w:rsidR="009012FC" w:rsidRPr="004B37E9">
        <w:t>m</w:t>
      </w:r>
      <w:r w:rsidR="00E72C0C" w:rsidRPr="004B37E9">
        <w:t>IBA</w:t>
      </w:r>
      <w:r w:rsidR="001F2A45" w:rsidRPr="004B37E9">
        <w:t>s</w:t>
      </w:r>
      <w:r w:rsidR="00E72C0C" w:rsidRPr="004B37E9">
        <w:t xml:space="preserve">) have been identified since </w:t>
      </w:r>
      <w:r w:rsidR="00DA7B28" w:rsidRPr="004B37E9">
        <w:t>20</w:t>
      </w:r>
      <w:r w:rsidR="005C13FF" w:rsidRPr="004B37E9">
        <w:t>10</w:t>
      </w:r>
      <w:r w:rsidR="00E72C0C" w:rsidRPr="004B37E9">
        <w:t xml:space="preserve">, </w:t>
      </w:r>
      <w:r w:rsidR="001F2A45" w:rsidRPr="004B37E9">
        <w:t xml:space="preserve">now </w:t>
      </w:r>
      <w:r w:rsidR="00E72C0C" w:rsidRPr="004B37E9">
        <w:t>covering</w:t>
      </w:r>
      <w:r w:rsidR="001F2A45" w:rsidRPr="004B37E9">
        <w:t xml:space="preserve"> over</w:t>
      </w:r>
      <w:r w:rsidR="005C13FF" w:rsidRPr="004B37E9">
        <w:t xml:space="preserve"> 100</w:t>
      </w:r>
      <w:r w:rsidR="00E72C0C" w:rsidRPr="004B37E9">
        <w:t xml:space="preserve"> </w:t>
      </w:r>
      <w:r w:rsidR="001F2A45" w:rsidRPr="004B37E9">
        <w:t xml:space="preserve">species of </w:t>
      </w:r>
      <w:r w:rsidR="0006025E" w:rsidRPr="004B37E9">
        <w:t>seabird</w:t>
      </w:r>
      <w:r w:rsidR="00E72C0C" w:rsidRPr="004B37E9">
        <w:t xml:space="preserve"> and </w:t>
      </w:r>
      <w:r w:rsidR="00096B01" w:rsidRPr="004B37E9">
        <w:t>based on animals tagged</w:t>
      </w:r>
      <w:r w:rsidR="00E72C0C" w:rsidRPr="004B37E9">
        <w:t xml:space="preserve"> </w:t>
      </w:r>
      <w:r w:rsidR="00B61A05" w:rsidRPr="004B37E9">
        <w:t xml:space="preserve">at </w:t>
      </w:r>
      <w:r w:rsidR="00E72C0C" w:rsidRPr="004B37E9">
        <w:t xml:space="preserve">more than </w:t>
      </w:r>
      <w:r w:rsidR="005C13FF" w:rsidRPr="004B37E9">
        <w:t>70</w:t>
      </w:r>
      <w:r w:rsidR="00E72C0C" w:rsidRPr="004B37E9">
        <w:t xml:space="preserve"> locations worldwide</w:t>
      </w:r>
      <w:r w:rsidR="005C13FF" w:rsidRPr="004B37E9">
        <w:rPr>
          <w:rFonts w:ascii="Calibri" w:hAnsi="Calibri" w:cs="Calibri"/>
        </w:rPr>
        <w:t xml:space="preserve"> </w:t>
      </w:r>
      <w:r w:rsidR="005C13FF" w:rsidRPr="004B37E9">
        <w:rPr>
          <w:rFonts w:ascii="Calibri" w:hAnsi="Calibri" w:cs="Calibri"/>
        </w:rPr>
        <w:fldChar w:fldCharType="begin"/>
      </w:r>
      <w:r w:rsidR="005C13FF" w:rsidRPr="004B37E9">
        <w:rPr>
          <w:rFonts w:ascii="Calibri" w:hAnsi="Calibri" w:cs="Calibri"/>
        </w:rPr>
        <w:instrText xml:space="preserve"> ADDIN ZOTERO_ITEM CSL_CITATION {"citationID":"2poo6b6h0","properties":{"formattedCitation":"(Dias et al., 2017; Lascelles et al., 2016)","plainCitation":"(Dias et al., 2017; Lascelles et al., 2016)"},"citationItems":[{"id":600,"uris":["http://zotero.org/users/local/GuyVPmYX/items/QRIBV45T"],"uri":["http://zotero.org/users/local/GuyVPmYX/items/QRIBV45T"],"itemData":{"id":600,"type":"article-journal","title":"Using globally threatened pelagic birds to identify priority sites for marine conservation in the South Atlantic Ocean","container-title":"Biological Conservation","page":"76-84","volume":"211","source":"CrossRef","DOI":"10.1016/j.biocon.2017.05.009","ISSN":"00063207","language":"en","author":[{"family":"Dias","given":"Maria P."},{"family":"Oppel","given":"Steffen"},{"family":"Bond","given":"Alexander L."},{"family":"Carneiro","given":"Ana P.B."},{"family":"Cuthbert","given":"Richard J."},{"family":"Gonz?lez-Sol?s","given":"Jacob"},{"family":"Wanless","given":"Ross M."},{"family":"Glass","given":"Trevor"},{"family":"Lascelles","given":"Ben"},{"family":"Small","given":"Cleo"},{"family":"Phillips","given":"Richard A."},{"family":"Ryan","given":"Peter G."}],"issued":{"date-parts":[["2017",7]]}}},{"id":580,"uris":["http://zotero.org/users/local/GuyVPmYX/items/NJ9HBB2N"],"uri":["http://zotero.org/users/local/GuyVPmYX/items/NJ9HBB2N"],"itemData":{"id":580,"type":"article-journal","title":"Applying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5C13FF" w:rsidRPr="004B37E9">
        <w:rPr>
          <w:rFonts w:ascii="Calibri" w:hAnsi="Calibri" w:cs="Calibri"/>
        </w:rPr>
        <w:fldChar w:fldCharType="separate"/>
      </w:r>
      <w:r w:rsidR="005C13FF" w:rsidRPr="004B37E9">
        <w:rPr>
          <w:rFonts w:ascii="Calibri" w:hAnsi="Calibri" w:cs="Calibri"/>
        </w:rPr>
        <w:t xml:space="preserve">(Dias et al., </w:t>
      </w:r>
      <w:r w:rsidR="00DA7B28" w:rsidRPr="004B37E9">
        <w:rPr>
          <w:rFonts w:ascii="Calibri" w:hAnsi="Calibri" w:cs="Calibri"/>
        </w:rPr>
        <w:t>20</w:t>
      </w:r>
      <w:r w:rsidR="005C13FF" w:rsidRPr="004B37E9">
        <w:rPr>
          <w:rFonts w:ascii="Calibri" w:hAnsi="Calibri" w:cs="Calibri"/>
        </w:rPr>
        <w:t xml:space="preserve">17; Lascelles et al., </w:t>
      </w:r>
      <w:r w:rsidR="00DA7B28" w:rsidRPr="004B37E9">
        <w:rPr>
          <w:rFonts w:ascii="Calibri" w:hAnsi="Calibri" w:cs="Calibri"/>
        </w:rPr>
        <w:t>20</w:t>
      </w:r>
      <w:r w:rsidR="005C13FF" w:rsidRPr="004B37E9">
        <w:rPr>
          <w:rFonts w:ascii="Calibri" w:hAnsi="Calibri" w:cs="Calibri"/>
        </w:rPr>
        <w:t>16)</w:t>
      </w:r>
      <w:r w:rsidR="005C13FF" w:rsidRPr="004B37E9">
        <w:rPr>
          <w:rFonts w:ascii="Calibri" w:hAnsi="Calibri" w:cs="Calibri"/>
        </w:rPr>
        <w:fldChar w:fldCharType="end"/>
      </w:r>
      <w:r w:rsidR="00096B01" w:rsidRPr="004B37E9">
        <w:t>.</w:t>
      </w:r>
    </w:p>
    <w:p w14:paraId="5A47CE57" w14:textId="2033228E" w:rsidR="005F3719" w:rsidRPr="004B37E9" w:rsidRDefault="0006025E" w:rsidP="00494B2C">
      <w:pPr>
        <w:spacing w:after="120" w:line="480" w:lineRule="auto"/>
        <w:jc w:val="both"/>
      </w:pPr>
      <w:r w:rsidRPr="004B37E9">
        <w:tab/>
        <w:t xml:space="preserve">Most </w:t>
      </w:r>
      <w:r w:rsidR="00B57A64" w:rsidRPr="004B37E9">
        <w:t>prev</w:t>
      </w:r>
      <w:r w:rsidR="001F2A45" w:rsidRPr="004B37E9">
        <w:t>ious</w:t>
      </w:r>
      <w:r w:rsidRPr="004B37E9">
        <w:t xml:space="preserve"> </w:t>
      </w:r>
      <w:r w:rsidR="001F2A45" w:rsidRPr="004B37E9">
        <w:t>studies concerning</w:t>
      </w:r>
      <w:r w:rsidRPr="004B37E9">
        <w:t xml:space="preserve"> the identification of marine hotspots based on tracking data ha</w:t>
      </w:r>
      <w:r w:rsidR="00B57A64" w:rsidRPr="004B37E9">
        <w:t>ve</w:t>
      </w:r>
      <w:r w:rsidRPr="004B37E9">
        <w:t xml:space="preserve"> been focused on flying seabirds, sea-mammals, sea-turtles and some large fish species</w:t>
      </w:r>
      <w:r w:rsidR="001F2A45" w:rsidRPr="004B37E9">
        <w:t>,</w:t>
      </w:r>
      <w:r w:rsidRPr="004B37E9">
        <w:t xml:space="preserve"> such as tuna and sharks</w:t>
      </w:r>
      <w:r w:rsidR="00DB5A04" w:rsidRPr="004B37E9">
        <w:t xml:space="preserve"> (e.g. </w:t>
      </w:r>
      <w:r w:rsidR="00DB5A04" w:rsidRPr="004B37E9">
        <w:fldChar w:fldCharType="begin"/>
      </w:r>
      <w:r w:rsidR="00494B2C" w:rsidRPr="004B37E9">
        <w:instrText xml:space="preserve"> ADDIN ZOTERO_ITEM CSL_CITATION {"citationID":"kVBm3rfG","properties":{"formattedCitation":"(B. A. Block et al., 2011; Lascelles et al., 2016; Maxwell et al., 2011)","plainCitation":"(B. A. Block et al., 2011; Lascelles et al., 2016; Maxwell et al., 2011)"},"citationItems":[{"id":732,"uris":["http://zotero.org/users/local/GuyVPmYX/items/TMVGAAV7"],"uri":["http://zotero.org/users/local/GuyVPmYX/items/TMVGAAV7"],"itemData":{"id":732,"type":"article-journal","title":"Tracking apex marine predator movements in a dynamic ocean","container-title":"Nature","page":"86-90","volume":"475","issue":"7354","source":"www.nature.com","abstract":"Pelagic marine predators face unprecedented challenges and uncertain futures. Overexploitation and climate variability impact the abundance and distribution of top predators in ocean ecosystems. Improved understanding of ecological patterns, evolutionary constraints and ecosystem function is critical for preventing extinctions, loss of biodiversity and disruption of ecosystem services. Recent advances in electronic tagging techniques have provided the capacity to observe the movements and long-distance migrations of animals in relation to ocean processes across a range of ecological scales. Tagging of Pacific Predators, a field programme of the Census of Marine Life, deployed 4,306 tags on 23 species in the North Pacific Ocean, resulting in a tracking data set of unprecedented scale and species diversity that covers 265,386 tracking days from 2000 to 2009. Here we report migration pathways, link ocean features to multispecies hotspots and illustrate niche partitioning within and among congener guilds. Our results indicate that the California Current large marine ecosystem and the North Pacific transition zone attract and retain a diverse assemblage of marine vertebrates. Within the California Current large marine ecosystem, several predator guilds seasonally undertake north–south migrations that may be driven by oceanic processes, species-specific thermal tolerances and shifts in prey distributions. We identify critical habitats across multinational boundaries and show that top predators exploit their environment in predictable ways, providing the foundation for spatial management of large marine ecosystems.","DOI":"10.1038/nature10082","ISSN":"0028-0836","journalAbbreviation":"Nature","language":"en","author":[{"family":"Block","given":"B. A."},{"family":"Jonsen","given":"I. D."},{"family":"Jorgensen","given":"S. J."},{"family":"Winship","given":"A. J."},{"family":"Shaffer","given":"S. A."},{"family":"Bograd","given":"S. J."},{"family":"Hazen","given":"E. L."},{"family":"Foley","given":"D. G."},{"family":"Breed","given":"G. A."},{"family":"Harrison","given":"A.-L."},{"family":"Ganong","given":"J. E."},{"family":"Swithenbank","given":"A."},{"family":"Castleton","given":"M."},{"family":"Dewar","given":"H."},{"family":"Mate","given":"B. R."},{"family":"Shillinger","given":"G. L."},{"family":"Schaefer","given":"K. M."},{"family":"Benson","given":"S. R."},{"family":"Weise","given":"M. J."},{"family":"Henry","given":"R. W."},{"family":"Costa","given":"D. P."}],"issued":{"date-parts":[["2011",7,7]]}}},{"id":580,"uris":["http://zotero.org/users/local/GuyVPmYX/items/NJ9HBB2N"],"uri":["http://zotero.org/users/local/GuyVPmYX/items/NJ9HBB2N"],"itemData":{"id":580,"type":"article-journal","title":"Applying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id":710,"uris":["http://zotero.org/users/local/GuyVPmYX/items/HF7NQP4E"],"uri":["http://zotero.org/users/local/GuyVPmYX/items/HF7NQP4E"],"itemData":{"id":710,"type":"article-journal","title":"Using Satellite Tracking to Optimize Protection of Long-Lived Marine Species: Olive Ridley Sea Turtle Conservation in Central Africa","container-title":"PLOS ONE","page":"e19905","volume":"6","issue":"5","source":"PLoS Journals","abstract":"Tractable conservation measures for long-lived species require the intersection between protection of biologically relevant life history stages and a socioeconomically feasible setting. To protect breeding adults, we require knowledge of animal movements, how movement relates to political boundaries, and our confidence in spatial analyses of movement. We used satellite tracking and a switching state-space model to determine the internesting movements of olive ridley sea turtles (Lepidochelys olivacea) (n = 18) in Central Africa during two breeding seasons (2007-08, 2008-09). These movements were analyzed in relation to current park boundaries and a proposed transboundary park between Gabon and the Republic of Congo, both created to reduce unintentional bycatch of sea turtles in marine fisheries. We additionally determined confidence intervals surrounding home range calculations. Turtles remained largely within a 30 km radius from the original nesting site before departing for distant foraging grounds. Only 44.6 percent of high-density areas were found within the current park but the proposed transboundary park would incorporate 97.6 percent of high-density areas. Though tagged individuals originated in Gabon, turtles were found in Congolese waters during greater than half of the internesting period (53.7 percent), highlighting the need for international cooperation and offering scientific support for a proposed transboundary park. This is the first comprehensive study on the internesting movements of solitary nesting olive ridley sea turtles, and it suggests the opportunity for tractable conservation measures for female nesting olive ridleys at this and other solitary nesting sites around the world. We draw from our results a framework for cost-effective protection of long-lived species using satellite telemetry as a primary tool.","DOI":"10.1371/journal.pone.0019905","ISSN":"1932-6203","shortTitle":"Using Satellite Tracking to Optimize Protection of Long-Lived Marine Species","journalAbbreviation":"PLOS ONE","author":[{"family":"Maxwell","given":"Sara M."},{"family":"Breed","given":"Greg A."},{"family":"Nickel","given":"Barry A."},{"family":"Makanga-Bahouna","given":"Junior"},{"family":"Pemo-Makaya","given":"Edgard"},{"family":"Parnell","given":"Richard J."},{"family":"Formia","given":"Angela"},{"family":"Ngouessono","given":"Solange"},{"family":"Godley","given":"Brendan J."},{"family":"Costa","given":"Daniel P."},{"family":"Witt","given":"Matthew J."},{"family":"Coyne","given":"Michael S."}],"issued":{"date-parts":[["2011",5,11]]}}}],"schema":"https://github.com/citation-style-language/schema/raw/master/csl-citation.json"} </w:instrText>
      </w:r>
      <w:r w:rsidR="00DB5A04" w:rsidRPr="004B37E9">
        <w:fldChar w:fldCharType="separate"/>
      </w:r>
      <w:r w:rsidR="00494B2C" w:rsidRPr="004B37E9">
        <w:rPr>
          <w:rFonts w:ascii="Calibri" w:hAnsi="Calibri" w:cs="Calibri"/>
        </w:rPr>
        <w:t xml:space="preserve">Block et al., </w:t>
      </w:r>
      <w:r w:rsidR="00DA7B28" w:rsidRPr="004B37E9">
        <w:rPr>
          <w:rFonts w:ascii="Calibri" w:hAnsi="Calibri" w:cs="Calibri"/>
        </w:rPr>
        <w:t>20</w:t>
      </w:r>
      <w:r w:rsidR="00494B2C" w:rsidRPr="004B37E9">
        <w:rPr>
          <w:rFonts w:ascii="Calibri" w:hAnsi="Calibri" w:cs="Calibri"/>
        </w:rPr>
        <w:t xml:space="preserve">11; Lascelles et al., </w:t>
      </w:r>
      <w:r w:rsidR="00DA7B28" w:rsidRPr="004B37E9">
        <w:rPr>
          <w:rFonts w:ascii="Calibri" w:hAnsi="Calibri" w:cs="Calibri"/>
        </w:rPr>
        <w:t>20</w:t>
      </w:r>
      <w:r w:rsidR="00494B2C" w:rsidRPr="004B37E9">
        <w:rPr>
          <w:rFonts w:ascii="Calibri" w:hAnsi="Calibri" w:cs="Calibri"/>
        </w:rPr>
        <w:t xml:space="preserve">16; Maxwell et al., </w:t>
      </w:r>
      <w:r w:rsidR="00DA7B28" w:rsidRPr="004B37E9">
        <w:rPr>
          <w:rFonts w:ascii="Calibri" w:hAnsi="Calibri" w:cs="Calibri"/>
        </w:rPr>
        <w:t>20</w:t>
      </w:r>
      <w:r w:rsidR="00494B2C" w:rsidRPr="004B37E9">
        <w:rPr>
          <w:rFonts w:ascii="Calibri" w:hAnsi="Calibri" w:cs="Calibri"/>
        </w:rPr>
        <w:t>11)</w:t>
      </w:r>
      <w:r w:rsidR="00DB5A04" w:rsidRPr="004B37E9">
        <w:fldChar w:fldCharType="end"/>
      </w:r>
      <w:r w:rsidRPr="004B37E9">
        <w:t xml:space="preserve">. A </w:t>
      </w:r>
      <w:r w:rsidR="001513AB" w:rsidRPr="004B37E9">
        <w:t xml:space="preserve">standardised </w:t>
      </w:r>
      <w:r w:rsidRPr="004B37E9">
        <w:t>method to define important areas for marine conservation based on tracking data has been suggested</w:t>
      </w:r>
      <w:r w:rsidR="00DB5A04" w:rsidRPr="004B37E9">
        <w:t xml:space="preserve"> </w:t>
      </w:r>
      <w:r w:rsidR="00DB5A04" w:rsidRPr="004B37E9">
        <w:fldChar w:fldCharType="begin"/>
      </w:r>
      <w:r w:rsidR="00DB5A04" w:rsidRPr="004B37E9">
        <w:instrText xml:space="preserve"> ADDIN ZOTERO_ITEM CSL_CITATION {"citationID":"2j0tf87a7r","properties":{"formattedCitation":"(Lascelles et al., 2016)","plainCitation":"(Lascelles et al., 2016)"},"citationItems":[{"id":580,"uris":["http://zotero.org/users/local/GuyVPmYX/items/NJ9HBB2N"],"uri":["http://zotero.org/users/local/GuyVPmYX/items/NJ9HBB2N"],"itemData":{"id":580,"type":"article-journal","title":"Applying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DB5A04" w:rsidRPr="004B37E9">
        <w:fldChar w:fldCharType="separate"/>
      </w:r>
      <w:r w:rsidR="00DB5A04" w:rsidRPr="004B37E9">
        <w:rPr>
          <w:rFonts w:ascii="Calibri" w:hAnsi="Calibri" w:cs="Calibri"/>
        </w:rPr>
        <w:t xml:space="preserve">(Lascelles et al., </w:t>
      </w:r>
      <w:r w:rsidR="00DA7B28" w:rsidRPr="004B37E9">
        <w:rPr>
          <w:rFonts w:ascii="Calibri" w:hAnsi="Calibri" w:cs="Calibri"/>
        </w:rPr>
        <w:t>20</w:t>
      </w:r>
      <w:r w:rsidR="00DB5A04" w:rsidRPr="004B37E9">
        <w:rPr>
          <w:rFonts w:ascii="Calibri" w:hAnsi="Calibri" w:cs="Calibri"/>
        </w:rPr>
        <w:t>16)</w:t>
      </w:r>
      <w:r w:rsidR="00DB5A04" w:rsidRPr="004B37E9">
        <w:fldChar w:fldCharType="end"/>
      </w:r>
      <w:r w:rsidRPr="004B37E9">
        <w:t>. This method</w:t>
      </w:r>
      <w:r w:rsidR="00264A7A" w:rsidRPr="004B37E9">
        <w:t xml:space="preserve"> (hereafter mIBA protocol)</w:t>
      </w:r>
      <w:r w:rsidRPr="004B37E9">
        <w:t xml:space="preserve"> was however</w:t>
      </w:r>
      <w:r w:rsidR="001F2A45" w:rsidRPr="004B37E9">
        <w:t xml:space="preserve"> </w:t>
      </w:r>
      <w:r w:rsidRPr="004B37E9">
        <w:t>designed for</w:t>
      </w:r>
      <w:r w:rsidR="00E72E2C" w:rsidRPr="004B37E9">
        <w:t xml:space="preserve"> (</w:t>
      </w:r>
      <w:r w:rsidRPr="004B37E9">
        <w:t>and applied mostly to</w:t>
      </w:r>
      <w:r w:rsidR="00E72E2C" w:rsidRPr="004B37E9">
        <w:t>)</w:t>
      </w:r>
      <w:r w:rsidRPr="004B37E9">
        <w:t xml:space="preserve"> </w:t>
      </w:r>
      <w:r w:rsidR="00264A7A" w:rsidRPr="004B37E9">
        <w:t xml:space="preserve">flying </w:t>
      </w:r>
      <w:r w:rsidRPr="004B37E9">
        <w:t>seabirds, especially species with very large movement ranges</w:t>
      </w:r>
      <w:r w:rsidR="00E72E2C" w:rsidRPr="004B37E9">
        <w:t xml:space="preserve"> that breed at relatively few large colonies </w:t>
      </w:r>
      <w:r w:rsidR="00944FF4" w:rsidRPr="004B37E9">
        <w:t xml:space="preserve">and which </w:t>
      </w:r>
      <w:r w:rsidR="00E72E2C" w:rsidRPr="004B37E9">
        <w:t>have been subject to intensive tracking studies</w:t>
      </w:r>
      <w:r w:rsidRPr="004B37E9">
        <w:t xml:space="preserve"> (such as </w:t>
      </w:r>
      <w:r w:rsidR="00B61A05" w:rsidRPr="004B37E9">
        <w:t xml:space="preserve">for </w:t>
      </w:r>
      <w:r w:rsidRPr="004B37E9">
        <w:t>albatrosses and petrels</w:t>
      </w:r>
      <w:r w:rsidR="0035335B" w:rsidRPr="004B37E9">
        <w:t xml:space="preserve">; e.g. Dias et al. </w:t>
      </w:r>
      <w:r w:rsidR="00DA7B28" w:rsidRPr="004B37E9">
        <w:t>20</w:t>
      </w:r>
      <w:r w:rsidR="0035335B" w:rsidRPr="004B37E9">
        <w:t>17</w:t>
      </w:r>
      <w:r w:rsidR="005F3719" w:rsidRPr="004B37E9">
        <w:t>).</w:t>
      </w:r>
    </w:p>
    <w:p w14:paraId="04C90DDA" w14:textId="2C0CC88A" w:rsidR="00B61A05" w:rsidRPr="004B37E9" w:rsidRDefault="00264A7A" w:rsidP="00494B2C">
      <w:pPr>
        <w:spacing w:after="120" w:line="480" w:lineRule="auto"/>
        <w:ind w:firstLine="720"/>
        <w:jc w:val="both"/>
      </w:pPr>
      <w:r w:rsidRPr="004B37E9">
        <w:t xml:space="preserve">Recent studies have shown that the mIBA protocol can be easily </w:t>
      </w:r>
      <w:r w:rsidR="00E72E2C" w:rsidRPr="004B37E9">
        <w:t>extended</w:t>
      </w:r>
      <w:r w:rsidRPr="004B37E9">
        <w:t xml:space="preserve"> to identify </w:t>
      </w:r>
      <w:r w:rsidR="001F2A45" w:rsidRPr="004B37E9">
        <w:t xml:space="preserve">important </w:t>
      </w:r>
      <w:r w:rsidRPr="004B37E9">
        <w:t>areas for non-flying animals, such as penguins and pinnipeds (</w:t>
      </w:r>
      <w:r w:rsidR="0035335B" w:rsidRPr="004B37E9">
        <w:t xml:space="preserve">e.g. </w:t>
      </w:r>
      <w:r w:rsidRPr="004B37E9">
        <w:t xml:space="preserve">Augé et al. </w:t>
      </w:r>
      <w:r w:rsidR="00DA7B28" w:rsidRPr="004B37E9">
        <w:t>20</w:t>
      </w:r>
      <w:r w:rsidRPr="004B37E9">
        <w:t>15).</w:t>
      </w:r>
      <w:r w:rsidR="00DC76E2" w:rsidRPr="004B37E9">
        <w:t xml:space="preserve"> </w:t>
      </w:r>
      <w:r w:rsidR="001F2A45" w:rsidRPr="004B37E9">
        <w:t>However</w:t>
      </w:r>
      <w:r w:rsidR="00DC76E2" w:rsidRPr="004B37E9">
        <w:t xml:space="preserve">, one major limitation of this method is </w:t>
      </w:r>
      <w:r w:rsidR="00B7272E" w:rsidRPr="004B37E9">
        <w:t xml:space="preserve">the lack of </w:t>
      </w:r>
      <w:r w:rsidR="005C0814" w:rsidRPr="004B37E9">
        <w:t xml:space="preserve">tracking </w:t>
      </w:r>
      <w:r w:rsidR="00B7272E" w:rsidRPr="004B37E9">
        <w:t xml:space="preserve">data for </w:t>
      </w:r>
      <w:r w:rsidR="00DC76E2" w:rsidRPr="004B37E9">
        <w:t xml:space="preserve">all colonies in a given </w:t>
      </w:r>
      <w:r w:rsidR="00DB5A04" w:rsidRPr="004B37E9">
        <w:t>region</w:t>
      </w:r>
      <w:r w:rsidR="00DC76E2" w:rsidRPr="004B37E9">
        <w:t xml:space="preserve">. While for some species and regions this might not be </w:t>
      </w:r>
      <w:r w:rsidR="001F2A45" w:rsidRPr="004B37E9">
        <w:t>important</w:t>
      </w:r>
      <w:r w:rsidR="00DC76E2" w:rsidRPr="004B37E9">
        <w:t xml:space="preserve"> (e.g. very well studied species; species that concentrate in few colonies easy to study; </w:t>
      </w:r>
      <w:r w:rsidR="00DB5A04" w:rsidRPr="004B37E9">
        <w:t xml:space="preserve">e.g. </w:t>
      </w:r>
      <w:r w:rsidR="00DB5A04" w:rsidRPr="004B37E9">
        <w:fldChar w:fldCharType="begin"/>
      </w:r>
      <w:r w:rsidR="00DB5A04" w:rsidRPr="004B37E9">
        <w:instrText xml:space="preserve"> ADDIN ZOTERO_ITEM CSL_CITATION {"citationID":"74fnnofp5","properties":{"formattedCitation":"(Ramos et al., 2013)","plainCitation":"(Ramos et al., 2013)"},"citationItems":[{"id":435,"uris":["http://zotero.org/users/local/GuyVPmYX/items/IIWN55DT"],"uri":["http://zotero.org/users/local/GuyVPmYX/items/IIWN55DT"],"itemData":{"id":435,"type":"article-journal","title":"Meta-population feeding grounds of Cory's shearwater in the subtropical Atlantic Ocean: implications for the definition of Marine Protected Areas based on tracking studies","container-title":"Diversity and Distributions","page":"1284-1298","volume":"19","issue":"10","source":"CrossRef","DOI":"10.1111/ddi.12088","ISSN":"13669516","shortTitle":"Meta-population feeding grounds of Cory's shearwater in the subtropical Atlantic Ocean","language":"en","author":[{"family":"Ramos","given":"Ra?l"},{"family":"Granadeiro","given":"Jos? P."},{"family":"Rodr?guez","given":"Beneharo"},{"family":"Navarro","given":"Joan"},{"family":"Paiva","given":"Vitor H."},{"family":"B?cares","given":"Juan"},{"family":"Reyes-Gonz?lez","given":"Jos? M."},{"family":"Fagundes","given":"Isabel"},{"family":"Ruiz","given":"Asunci?n"},{"family":"Arcos","given":"Pep"},{"family":"Gonz?lez-Sol?s","given":"Jacob"},{"family":"Catry","given":"Paulo"}],"editor":[{"family":"Cumming","given":"Graeme"}],"issued":{"date-parts":[["2013",10]]}}}],"schema":"https://github.com/citation-style-language/schema/raw/master/csl-citation.json"} </w:instrText>
      </w:r>
      <w:r w:rsidR="00DB5A04" w:rsidRPr="004B37E9">
        <w:fldChar w:fldCharType="separate"/>
      </w:r>
      <w:r w:rsidR="00DB5A04" w:rsidRPr="004B37E9">
        <w:rPr>
          <w:rFonts w:ascii="Calibri" w:hAnsi="Calibri" w:cs="Calibri"/>
        </w:rPr>
        <w:t xml:space="preserve">Ramos et al., </w:t>
      </w:r>
      <w:r w:rsidR="00DA7B28" w:rsidRPr="004B37E9">
        <w:rPr>
          <w:rFonts w:ascii="Calibri" w:hAnsi="Calibri" w:cs="Calibri"/>
        </w:rPr>
        <w:t>20</w:t>
      </w:r>
      <w:r w:rsidR="00DB5A04" w:rsidRPr="004B37E9">
        <w:rPr>
          <w:rFonts w:ascii="Calibri" w:hAnsi="Calibri" w:cs="Calibri"/>
        </w:rPr>
        <w:t>13</w:t>
      </w:r>
      <w:r w:rsidR="00DB5A04" w:rsidRPr="004B37E9">
        <w:fldChar w:fldCharType="end"/>
      </w:r>
      <w:r w:rsidR="00DC76E2" w:rsidRPr="004B37E9">
        <w:t xml:space="preserve">, Augé et al. </w:t>
      </w:r>
      <w:r w:rsidR="00DA7B28" w:rsidRPr="004B37E9">
        <w:t>20</w:t>
      </w:r>
      <w:r w:rsidR="00DC76E2" w:rsidRPr="004B37E9">
        <w:t xml:space="preserve">15), </w:t>
      </w:r>
      <w:r w:rsidR="001F2A45" w:rsidRPr="004B37E9">
        <w:t>for</w:t>
      </w:r>
      <w:r w:rsidR="00DC76E2" w:rsidRPr="004B37E9">
        <w:t xml:space="preserve"> many oth</w:t>
      </w:r>
      <w:r w:rsidR="00096B01" w:rsidRPr="004B37E9">
        <w:t xml:space="preserve">ers this lack of data can be </w:t>
      </w:r>
      <w:r w:rsidR="00B57A64" w:rsidRPr="004B37E9">
        <w:t>problematic.</w:t>
      </w:r>
      <w:r w:rsidR="00DC76E2" w:rsidRPr="004B37E9">
        <w:t xml:space="preserve"> For example, many sites and seabird colonies in Antarctica are </w:t>
      </w:r>
      <w:r w:rsidR="00B7272E" w:rsidRPr="004B37E9">
        <w:t>difficult to track</w:t>
      </w:r>
      <w:r w:rsidR="00B57A64" w:rsidRPr="004B37E9">
        <w:t>,</w:t>
      </w:r>
      <w:r w:rsidR="00F60E66" w:rsidRPr="004B37E9">
        <w:t xml:space="preserve"> especially</w:t>
      </w:r>
      <w:r w:rsidR="00B57A64" w:rsidRPr="004B37E9">
        <w:t xml:space="preserve"> wh</w:t>
      </w:r>
      <w:r w:rsidR="00F60E66" w:rsidRPr="004B37E9">
        <w:t>ere</w:t>
      </w:r>
      <w:r w:rsidR="00B57A64" w:rsidRPr="004B37E9">
        <w:t xml:space="preserve"> colonies are spread across</w:t>
      </w:r>
      <w:r w:rsidR="0097719D" w:rsidRPr="004B37E9">
        <w:t xml:space="preserve"> large areas, or located in remote, inaccessible locations. </w:t>
      </w:r>
      <w:r w:rsidR="00721197" w:rsidRPr="004B37E9">
        <w:t xml:space="preserve"> </w:t>
      </w:r>
      <w:r w:rsidR="00B7272E" w:rsidRPr="004B37E9">
        <w:t>The</w:t>
      </w:r>
      <w:r w:rsidR="00B57A64" w:rsidRPr="004B37E9">
        <w:t xml:space="preserve"> use</w:t>
      </w:r>
      <w:r w:rsidR="00B7272E" w:rsidRPr="004B37E9">
        <w:t xml:space="preserve"> of</w:t>
      </w:r>
      <w:r w:rsidR="009012FC" w:rsidRPr="004B37E9">
        <w:t xml:space="preserve"> correlative</w:t>
      </w:r>
      <w:r w:rsidR="00B7272E" w:rsidRPr="004B37E9">
        <w:t xml:space="preserve"> habitat models to identify priority sites for conservation can help overcom</w:t>
      </w:r>
      <w:r w:rsidR="00FF0677" w:rsidRPr="004B37E9">
        <w:t>e</w:t>
      </w:r>
      <w:r w:rsidR="00B7272E" w:rsidRPr="004B37E9">
        <w:t xml:space="preserve"> </w:t>
      </w:r>
      <w:r w:rsidR="006F6BC7" w:rsidRPr="004B37E9">
        <w:t>this limitation</w:t>
      </w:r>
      <w:r w:rsidR="00B7272E" w:rsidRPr="004B37E9">
        <w:t xml:space="preserve"> (</w:t>
      </w:r>
      <w:r w:rsidR="000E74E3" w:rsidRPr="004B37E9">
        <w:t>e.g.</w:t>
      </w:r>
      <w:r w:rsidR="00DB5A04" w:rsidRPr="004B37E9">
        <w:t xml:space="preserve"> </w:t>
      </w:r>
      <w:r w:rsidR="00DB5A04" w:rsidRPr="004B37E9">
        <w:fldChar w:fldCharType="begin"/>
      </w:r>
      <w:r w:rsidR="002A68CC" w:rsidRPr="004B37E9">
        <w:instrText xml:space="preserve"> ADDIN ZOTERO_ITEM CSL_CITATION {"citationID":"k08pB0d8","properties":{"formattedCitation":"(Raymond et al., 2015; Wakefield et al., 2017)","plainCitation":"(Raymond et al., 2015; Wakefield et al., 2017)"},"citationItems":[{"id":779,"uris":["http://zotero.org/users/local/GuyVPmYX/items/9ADXS7P4"],"uri":["http://zotero.org/users/local/GuyVPmYX/items/9ADXS7P4"],"itemData":{"id":779,"type":"article-journal","title":"Important marine habitat off east Antarctica revealed by two decades of multi-species predator tracking","container-title":"Ecography","page":"121-129","volume":"38","issue":"2","source":"Wiley Online Library","abstract":"Satellite telemetry data are a key source of animal distribution information for marine ecosystem management and conservation activities. We used two decades of telemetry data from the East Antarctic sector of the Southern Ocean. Habitat utilization models for the spring/summer period were developed for six highly abundant, wide-ranging meso- and top-predator species: Adélie Pygoscelis adeliae and emperor Aptenodytes forsteri penguins, light-mantled albatross Phoebetria palpebrata, Antarctic fur seals Arctocephalus gazella, southern elephant seals Mirounga leonina, and Weddell seals Leptonychotes weddellii. The regional predictions from these models were combined to identify areas utilized by multiple species, and therefore likely to be of particular ecological significance. These areas were distributed across the longitudinal breadth of the East Antarctic sector, and were characterized by proximity to breeding colonies, both on the Antarctic continent and on subantarctic islands to the north, and by sea-ice dynamics, particularly locations of winter polynyas. These areas of important habitat were also congruent with many of the areas reported to be showing the strongest regional trends in sea ice seasonality. The results emphasize the importance of on-shore and sea-ice processes to Antarctic marine ecosystems. Our study provides ocean-basin-scale predictions of predator habitat utilization, an assessment of contemporary habitat use against which future changes can be assessed, and is of direct relevance to current conservation planning and spatial management efforts.","DOI":"10.1111/ecog.01021","ISSN":"1600-0587","journalAbbreviation":"Ecography","language":"en","author":[{"family":"Raymond","given":"Ben"},{"family":"Lea","given":"Mary-Anne"},{"family":"Patterson","given":"Toby"},{"family":"Andrews-Goff","given":"Virginia"},{"family":"Sharples","given":"Ruth"},{"family":"Charrassin","given":"Jean-Benoît"},{"family":"Cottin","given":"Manuelle"},{"family":"Emmerson","given":"Louise"},{"family":"Gales","given":"Nick"},{"family":"Gales","given":"Rosemary"},{"family":"Goldsworthy","given":"Simon D."},{"family":"Harcourt","given":"Rob"},{"family":"Kato","given":"Akiko"},{"family":"Kirkwood","given":"Roger"},{"family":"Lawton","given":"Kieran"},{"family":"Ropert-Coudert","given":"Yan"},{"family":"Southwell","given":"Colin"},{"family":"Hoff","given":"John","non-dropping-particle":"van den"},{"family":"Wienecke","given":"Barbara"},{"family":"Woehler","given":"Eric J."},{"family":"Wotherspoon","given":"Simon"},{"family":"Hindell","given":"Mark A."}],"issued":{"date-parts":[["2015",2,1]]}}},{"id":776,"uris":["http://zotero.org/users/local/GuyVPmYX/items/BI9PCRQS"],"uri":["http://zotero.org/users/local/GuyVPmYX/items/BI9PCRQS"],"itemData":{"id":776,"type":"article-journal","title":"Breeding density, fine-scale tracking, and large-scale modeling reveal the regional distribution of four seabird species","container-title":"Ecological Applications","page":"2074-2091","volume":"27","issue":"7","source":"Wiley Online Library","abstract":"Population-level estimates of species’ distributions can reveal fundamental ecological processes and facilitate conservation. However, these may be difficult to obtain for mobile species, especially colonial central-place foragers (CCPFs; e.g., bats, corvids, social insects), because it is often impractical to determine the provenance of individuals observed beyond breeding sites. Moreover, some CCPFs, especially in the marine realm (e.g., pinnipeds, turtles, and seabirds) are difficult to observe because they range tens to ten thousands of kilometers from their colonies. It is hypothesized that the distribution of CCPFs depends largely on habitat availability and intraspecific competition. Modeling these effects may therefore allow distributions to be estimated from samples of individual spatial usage. Such data can be obtained for an increasing number of species using tracking technology. However, techniques for estimating population-level distributions using the telemetry data are poorly developed. This is of concern because many marine CCPFs, such as seabirds, are threatened by anthropogenic activities. Here, we aim to estimate the distribution at sea of four seabird species, foraging from approximately 5,500 breeding sites in Britain and Ireland. To do so, we GPS-tracked a sample of 230 European Shags Phalacrocorax aristotelis, 464 Black-legged Kittiwakes Rissa tridactyla, 178 Common Murres Uria aalge, and 281 Razorbills Alca torda from 13, 20, 12, and 14 colonies, respectively. Using Poisson point process habitat use models, we show that distribution at sea is dependent on (1) density-dependent competition among sympatric conspecifics (all species) and parapatric conspecifics (Kittiwakes and Murres); (2) habitat accessibility and coastal geometry, such that birds travel further from colonies with limited access to the sea; and (3) regional habitat availability. Using these models, we predict space use by birds from unobserved colonies and thereby map the distribution at sea of each species at both the colony and regional level. Space use by all four species’ British breeding populations is concentrated in the coastal waters of Scotland, highlighting the need for robust conservation measures in this area. The techniques we present are applicable to any CCPF.","DOI":"10.1002/eap.1591","ISSN":"1939-5582","journalAbbreviation":"Ecol Appl","language":"en","author":[{"family":"Wakefield","given":"Ewan D."},{"family":"Owen","given":"Ellie"},{"family":"Baer","given":"Julia"},{"family":"Carroll","given":"Matthew J."},{"family":"Daunt","given":"Francis"},{"family":"Dodd","given":"Stephen G."},{"family":"Green","given":"Jonathan A."},{"family":"Guilford","given":"Tim"},{"family":"Mavor","given":"Roddy A."},{"family":"Miller","given":"Peter I."},{"family":"Newell","given":"Mark A."},{"family":"Newton","given":"Stephen F."},{"family":"Robertson","given":"Gail S."},{"family":"Shoji","given":"Akiko"},{"family":"Soanes","given":"Louise M."},{"family":"Votier","given":"Stephen C."},{"family":"Wanless","given":"Sarah"},{"family":"Bolton","given":"Mark"}],"issued":{"date-parts":[["2017",10,1]]}}}],"schema":"https://github.com/citation-style-language/schema/raw/master/csl-citation.json"} </w:instrText>
      </w:r>
      <w:r w:rsidR="00DB5A04" w:rsidRPr="004B37E9">
        <w:fldChar w:fldCharType="separate"/>
      </w:r>
      <w:r w:rsidR="002A68CC" w:rsidRPr="004B37E9">
        <w:rPr>
          <w:rFonts w:ascii="Calibri" w:hAnsi="Calibri" w:cs="Calibri"/>
        </w:rPr>
        <w:t xml:space="preserve">Raymond et al., </w:t>
      </w:r>
      <w:r w:rsidR="00DA7B28" w:rsidRPr="004B37E9">
        <w:rPr>
          <w:rFonts w:ascii="Calibri" w:hAnsi="Calibri" w:cs="Calibri"/>
        </w:rPr>
        <w:t>20</w:t>
      </w:r>
      <w:r w:rsidR="002A68CC" w:rsidRPr="004B37E9">
        <w:rPr>
          <w:rFonts w:ascii="Calibri" w:hAnsi="Calibri" w:cs="Calibri"/>
        </w:rPr>
        <w:t xml:space="preserve">15; Wakefield et al., </w:t>
      </w:r>
      <w:r w:rsidR="00DA7B28" w:rsidRPr="004B37E9">
        <w:rPr>
          <w:rFonts w:ascii="Calibri" w:hAnsi="Calibri" w:cs="Calibri"/>
        </w:rPr>
        <w:t>20</w:t>
      </w:r>
      <w:r w:rsidR="002A68CC" w:rsidRPr="004B37E9">
        <w:rPr>
          <w:rFonts w:ascii="Calibri" w:hAnsi="Calibri" w:cs="Calibri"/>
        </w:rPr>
        <w:t>17</w:t>
      </w:r>
      <w:r w:rsidR="00DB5A04" w:rsidRPr="004B37E9">
        <w:fldChar w:fldCharType="end"/>
      </w:r>
      <w:r w:rsidR="00B7272E" w:rsidRPr="004B37E9">
        <w:t xml:space="preserve">). By identifying </w:t>
      </w:r>
      <w:r w:rsidR="00B57A64" w:rsidRPr="004B37E9">
        <w:t xml:space="preserve">which </w:t>
      </w:r>
      <w:r w:rsidR="00DA5362" w:rsidRPr="004B37E9">
        <w:t xml:space="preserve">ecological </w:t>
      </w:r>
      <w:r w:rsidR="00B7272E" w:rsidRPr="004B37E9">
        <w:t>factors influenc</w:t>
      </w:r>
      <w:r w:rsidR="00B57A64" w:rsidRPr="004B37E9">
        <w:t>e</w:t>
      </w:r>
      <w:r w:rsidR="00B7272E" w:rsidRPr="004B37E9">
        <w:t xml:space="preserve"> the distribution of foraging </w:t>
      </w:r>
      <w:r w:rsidR="00F27B36" w:rsidRPr="004B37E9">
        <w:t>penguins</w:t>
      </w:r>
      <w:r w:rsidR="00B7272E" w:rsidRPr="004B37E9">
        <w:t xml:space="preserve">, we can predict the most important </w:t>
      </w:r>
      <w:r w:rsidR="00B57A64" w:rsidRPr="004B37E9">
        <w:t>at-sea areas</w:t>
      </w:r>
      <w:r w:rsidR="006603DB" w:rsidRPr="004B37E9">
        <w:t xml:space="preserve"> for birds breeding </w:t>
      </w:r>
      <w:r w:rsidR="005C0814" w:rsidRPr="004B37E9">
        <w:t xml:space="preserve">at </w:t>
      </w:r>
      <w:r w:rsidR="00B7272E" w:rsidRPr="004B37E9">
        <w:t xml:space="preserve">colonies </w:t>
      </w:r>
      <w:r w:rsidR="006603DB" w:rsidRPr="004B37E9">
        <w:t xml:space="preserve">where tracking </w:t>
      </w:r>
      <w:r w:rsidR="005C0814" w:rsidRPr="004B37E9">
        <w:t xml:space="preserve">data are </w:t>
      </w:r>
      <w:r w:rsidR="006603DB" w:rsidRPr="004B37E9">
        <w:t>not available</w:t>
      </w:r>
      <w:r w:rsidR="00B57A64" w:rsidRPr="004B37E9">
        <w:t>.</w:t>
      </w:r>
      <w:r w:rsidR="00B7272E" w:rsidRPr="004B37E9">
        <w:t xml:space="preserve"> Habitat models </w:t>
      </w:r>
      <w:r w:rsidR="00B57A64" w:rsidRPr="004B37E9">
        <w:t xml:space="preserve">can </w:t>
      </w:r>
      <w:r w:rsidR="005C0814" w:rsidRPr="004B37E9">
        <w:t xml:space="preserve">also </w:t>
      </w:r>
      <w:r w:rsidR="00B57A64" w:rsidRPr="004B37E9">
        <w:t>identify</w:t>
      </w:r>
      <w:r w:rsidR="005C0814" w:rsidRPr="004B37E9">
        <w:t xml:space="preserve"> areas </w:t>
      </w:r>
      <w:r w:rsidR="00F74E8D" w:rsidRPr="004B37E9">
        <w:t xml:space="preserve">that are </w:t>
      </w:r>
      <w:r w:rsidR="005C0814" w:rsidRPr="004B37E9">
        <w:t xml:space="preserve">important to </w:t>
      </w:r>
      <w:r w:rsidR="00B7272E" w:rsidRPr="004B37E9">
        <w:t>different colonies, highlight</w:t>
      </w:r>
      <w:r w:rsidR="00F74E8D" w:rsidRPr="004B37E9">
        <w:t>ing</w:t>
      </w:r>
      <w:r w:rsidR="00B7272E" w:rsidRPr="004B37E9">
        <w:t xml:space="preserve"> areas used by multiple </w:t>
      </w:r>
      <w:r w:rsidR="00844CBF" w:rsidRPr="004B37E9">
        <w:t>populations</w:t>
      </w:r>
      <w:r w:rsidR="00B7272E" w:rsidRPr="004B37E9">
        <w:t xml:space="preserve">, </w:t>
      </w:r>
      <w:r w:rsidR="005C0814" w:rsidRPr="004B37E9">
        <w:t xml:space="preserve">thereby identifying </w:t>
      </w:r>
      <w:r w:rsidR="00B7272E" w:rsidRPr="004B37E9">
        <w:t xml:space="preserve">additional </w:t>
      </w:r>
      <w:r w:rsidR="005C0814" w:rsidRPr="004B37E9">
        <w:t xml:space="preserve">areas of </w:t>
      </w:r>
      <w:r w:rsidR="00F74E8D" w:rsidRPr="004B37E9">
        <w:t xml:space="preserve">high </w:t>
      </w:r>
      <w:r w:rsidR="00B7272E" w:rsidRPr="004B37E9">
        <w:t>conservation value</w:t>
      </w:r>
      <w:r w:rsidR="00F27B36" w:rsidRPr="004B37E9">
        <w:t xml:space="preserve"> (</w:t>
      </w:r>
      <w:r w:rsidR="007E2BFC" w:rsidRPr="004B37E9">
        <w:t xml:space="preserve">Wakefield et al., </w:t>
      </w:r>
      <w:r w:rsidR="00DA7B28" w:rsidRPr="004B37E9">
        <w:t>20</w:t>
      </w:r>
      <w:r w:rsidR="007E2BFC" w:rsidRPr="004B37E9">
        <w:t xml:space="preserve">17; </w:t>
      </w:r>
      <w:r w:rsidR="006603DB" w:rsidRPr="004B37E9">
        <w:t xml:space="preserve">Warwick-Evans et al. </w:t>
      </w:r>
      <w:r w:rsidR="00DA7B28" w:rsidRPr="004B37E9">
        <w:t>20</w:t>
      </w:r>
      <w:r w:rsidR="006603DB" w:rsidRPr="004B37E9">
        <w:t>17</w:t>
      </w:r>
      <w:r w:rsidR="00F27B36" w:rsidRPr="004B37E9">
        <w:t>)</w:t>
      </w:r>
      <w:r w:rsidR="007E2BFC" w:rsidRPr="004B37E9">
        <w:t>.</w:t>
      </w:r>
    </w:p>
    <w:p w14:paraId="5F6D6853" w14:textId="4BF4F0C8" w:rsidR="00B7272E" w:rsidRPr="004B37E9" w:rsidRDefault="005C0814" w:rsidP="00494B2C">
      <w:pPr>
        <w:spacing w:after="120" w:line="480" w:lineRule="auto"/>
        <w:ind w:firstLine="720"/>
        <w:jc w:val="both"/>
      </w:pPr>
      <w:r w:rsidRPr="004B37E9">
        <w:lastRenderedPageBreak/>
        <w:t xml:space="preserve">In addition to these positive benefits, </w:t>
      </w:r>
      <w:r w:rsidR="00F74E8D" w:rsidRPr="004B37E9">
        <w:t xml:space="preserve">the </w:t>
      </w:r>
      <w:r w:rsidRPr="004B37E9">
        <w:t xml:space="preserve">use of habitat models </w:t>
      </w:r>
      <w:r w:rsidR="00721197" w:rsidRPr="004B37E9">
        <w:t xml:space="preserve">as tools to </w:t>
      </w:r>
      <w:r w:rsidR="00944FF4" w:rsidRPr="004B37E9">
        <w:t xml:space="preserve">prioritise </w:t>
      </w:r>
      <w:r w:rsidR="00721197" w:rsidRPr="004B37E9">
        <w:t xml:space="preserve">areas for conservation </w:t>
      </w:r>
      <w:r w:rsidR="00DA5362" w:rsidRPr="004B37E9">
        <w:t>can</w:t>
      </w:r>
      <w:r w:rsidRPr="004B37E9">
        <w:t xml:space="preserve"> create some complex issues. For example</w:t>
      </w:r>
      <w:r w:rsidR="00B7272E" w:rsidRPr="004B37E9">
        <w:t xml:space="preserve">, maps of habitat </w:t>
      </w:r>
      <w:r w:rsidR="00F27B36" w:rsidRPr="004B37E9">
        <w:t>suitability</w:t>
      </w:r>
      <w:r w:rsidR="00B7272E" w:rsidRPr="004B37E9">
        <w:t xml:space="preserve"> based purely on statistical models</w:t>
      </w:r>
      <w:r w:rsidR="0066180D" w:rsidRPr="004B37E9">
        <w:t xml:space="preserve"> (especially if resulting from extrapolation from data collected elsewhere)</w:t>
      </w:r>
      <w:r w:rsidR="00B7272E" w:rsidRPr="004B37E9">
        <w:t xml:space="preserve"> can be more difficult </w:t>
      </w:r>
      <w:r w:rsidR="00DA5362" w:rsidRPr="004B37E9">
        <w:t xml:space="preserve">for </w:t>
      </w:r>
      <w:r w:rsidR="00B7272E" w:rsidRPr="004B37E9">
        <w:t>policy-makers</w:t>
      </w:r>
      <w:r w:rsidR="00DA5362" w:rsidRPr="004B37E9">
        <w:t xml:space="preserve"> to accept</w:t>
      </w:r>
      <w:r w:rsidR="00B7272E" w:rsidRPr="004B37E9">
        <w:t>, due to the lack of direct, empirical evidence of site use.</w:t>
      </w:r>
      <w:r w:rsidR="00DA5362" w:rsidRPr="004B37E9">
        <w:t xml:space="preserve"> Furthermore</w:t>
      </w:r>
      <w:r w:rsidR="00B7272E" w:rsidRPr="004B37E9">
        <w:t xml:space="preserve">, </w:t>
      </w:r>
      <w:r w:rsidR="00DA5362" w:rsidRPr="004B37E9">
        <w:t xml:space="preserve">because </w:t>
      </w:r>
      <w:r w:rsidR="00B7272E" w:rsidRPr="004B37E9">
        <w:t xml:space="preserve">habitat models are often </w:t>
      </w:r>
      <w:r w:rsidR="00DA5362" w:rsidRPr="004B37E9">
        <w:t xml:space="preserve">developed using </w:t>
      </w:r>
      <w:r w:rsidR="00B7272E" w:rsidRPr="004B37E9">
        <w:t>a fine spati</w:t>
      </w:r>
      <w:r w:rsidR="00CB5849" w:rsidRPr="004B37E9">
        <w:t>o</w:t>
      </w:r>
      <w:r w:rsidR="00B7272E" w:rsidRPr="004B37E9">
        <w:t>-temporal scale</w:t>
      </w:r>
      <w:r w:rsidR="00F27B36" w:rsidRPr="004B37E9">
        <w:t xml:space="preserve">, </w:t>
      </w:r>
      <w:r w:rsidR="00B7272E" w:rsidRPr="004B37E9">
        <w:t xml:space="preserve">mismatches </w:t>
      </w:r>
      <w:r w:rsidR="00DA5362" w:rsidRPr="004B37E9">
        <w:t xml:space="preserve">in </w:t>
      </w:r>
      <w:r w:rsidR="00B7272E" w:rsidRPr="004B37E9">
        <w:t xml:space="preserve">the </w:t>
      </w:r>
      <w:r w:rsidR="00F27B36" w:rsidRPr="004B37E9">
        <w:t>spati</w:t>
      </w:r>
      <w:r w:rsidR="00CB5849" w:rsidRPr="004B37E9">
        <w:t>o</w:t>
      </w:r>
      <w:r w:rsidR="00F27B36" w:rsidRPr="004B37E9">
        <w:t xml:space="preserve">-temporal </w:t>
      </w:r>
      <w:r w:rsidR="00B7272E" w:rsidRPr="004B37E9">
        <w:t>scale</w:t>
      </w:r>
      <w:r w:rsidR="00F27B36" w:rsidRPr="004B37E9">
        <w:t>s</w:t>
      </w:r>
      <w:r w:rsidR="00B7272E" w:rsidRPr="004B37E9">
        <w:t xml:space="preserve"> needed for site protection and long-term consistency</w:t>
      </w:r>
      <w:r w:rsidR="00DA5362" w:rsidRPr="004B37E9">
        <w:t xml:space="preserve"> of site occupation can exist</w:t>
      </w:r>
      <w:r w:rsidR="00B7272E" w:rsidRPr="004B37E9">
        <w:t xml:space="preserve"> </w:t>
      </w:r>
      <w:r w:rsidR="00B8649C" w:rsidRPr="004B37E9">
        <w:fldChar w:fldCharType="begin"/>
      </w:r>
      <w:r w:rsidR="00B8649C" w:rsidRPr="004B37E9">
        <w:instrText xml:space="preserve"> ADDIN ZOTERO_ITEM CSL_CITATION {"citationID":"qs7uipbjo","properties":{"formattedCitation":"(Lascelles et al., 2012)","plainCitation":"(Lascelles et al., 2012)"},"citationItems":[{"id":719,"uris":["http://zotero.org/users/local/GuyVPmYX/items/U6V63AU5"],"uri":["http://zotero.org/users/local/GuyVPmYX/items/U6V63AU5"],"itemData":{"id":719,"type":"article-journal","title":"From hotspots to site protection: Identifying Marine Protected Areas for seabirds around the globe","container-title":"Biological Conservation","collection-title":"Seabirds and Marine Protected Areas planning","page":"5-14","volume":"156","issue":"Supplement C","source":"ScienceDirect","abstract":"Marine Protected Areas (MPAs) are recognised as a key component of an ecosystem-based approach to managing the marine environment more effectively and sustainably. Marine top predators, such as seabirds, may be used to identify and prioritize sites for marine conservation. Here we highlight the important role that seabird scientists can play in identifying candidate sites for MPAs; areas identified using at-sea surveys, seabird tracking, and species-habitat modelling. Prioritization of species and sites needs knowledge of ecological and habitat dynamics, threats and important areas at key stages of annual and life-cycle. The results need to be interpreted within the context of relevant policy mechanisms and agreements. The size and shape of candidate MPAs should be: (a) realistic for the key species and systems involved; (b) easy to monitor and enforce; and (c) where feasible involve reasonably long-term data sets. Designation of MPAs by relevant authorities and organisations will require effective advocacy (at local, national and international levels) and must be based on robust and defensible science. Site boundaries should also be sufficient flexibility to be modified, if necessary, in the light of future experience and data collection. The effectiveness of MPAs at the scale required for seabird conservation will need to build on existing experience and develop innovative, as well as traditional, marine spatial planning, monitoring and management techniques. To achieve this within the target timeframes outlined in a number of policy mechanisms will require the rapid development of new approaches, resources and partnerships.","DOI":"10.1016/j.biocon.2011.12.008","ISSN":"0006-3207","shortTitle":"From hotspots to site protection","journalAbbreviation":"Biological Conservation","author":[{"family":"Lascelles","given":"Ben G."},{"family":"Langham","given":"Gary M."},{"family":"Ronconi","given":"Robert A."},{"family":"Reid","given":"James B."}],"issued":{"date-parts":[["2012",11,1]]}}}],"schema":"https://github.com/citation-style-language/schema/raw/master/csl-citation.json"} </w:instrText>
      </w:r>
      <w:r w:rsidR="00B8649C" w:rsidRPr="004B37E9">
        <w:fldChar w:fldCharType="separate"/>
      </w:r>
      <w:r w:rsidR="00B8649C" w:rsidRPr="004B37E9">
        <w:rPr>
          <w:rFonts w:ascii="Calibri" w:hAnsi="Calibri" w:cs="Calibri"/>
        </w:rPr>
        <w:t xml:space="preserve">(Lascelles et al., </w:t>
      </w:r>
      <w:r w:rsidR="00DA7B28" w:rsidRPr="004B37E9">
        <w:rPr>
          <w:rFonts w:ascii="Calibri" w:hAnsi="Calibri" w:cs="Calibri"/>
        </w:rPr>
        <w:t>20</w:t>
      </w:r>
      <w:r w:rsidR="00B8649C" w:rsidRPr="004B37E9">
        <w:rPr>
          <w:rFonts w:ascii="Calibri" w:hAnsi="Calibri" w:cs="Calibri"/>
        </w:rPr>
        <w:t>12)</w:t>
      </w:r>
      <w:r w:rsidR="00B8649C" w:rsidRPr="004B37E9">
        <w:fldChar w:fldCharType="end"/>
      </w:r>
      <w:r w:rsidR="00DA5362" w:rsidRPr="004B37E9">
        <w:t>, largely because of the dynamic nature of oceanographic conditions, such as variability in curre</w:t>
      </w:r>
      <w:r w:rsidR="00AB22A4" w:rsidRPr="004B37E9">
        <w:t>nts and sea surface temperature</w:t>
      </w:r>
      <w:r w:rsidR="00DA5362" w:rsidRPr="004B37E9">
        <w:t xml:space="preserve"> </w:t>
      </w:r>
      <w:r w:rsidR="00AB22A4" w:rsidRPr="004B37E9">
        <w:t>(e.g.</w:t>
      </w:r>
      <w:r w:rsidR="00DA5362" w:rsidRPr="004B37E9">
        <w:t xml:space="preserve"> </w:t>
      </w:r>
      <w:r w:rsidR="00B8649C" w:rsidRPr="004B37E9">
        <w:t xml:space="preserve"> </w:t>
      </w:r>
      <w:r w:rsidR="00B8649C" w:rsidRPr="004B37E9">
        <w:fldChar w:fldCharType="begin"/>
      </w:r>
      <w:r w:rsidR="00B8649C" w:rsidRPr="004B37E9">
        <w:instrText xml:space="preserve"> ADDIN ZOTERO_ITEM CSL_CITATION {"citationID":"1afepced6m","properties":{"formattedCitation":"(Scheffer et al., 2016)","plainCitation":"(Scheffer et al., 2016)"},"citationItems":[{"id":721,"uris":["http://zotero.org/users/local/GuyVPmYX/items/9X29VU6T"],"uri":["http://zotero.org/users/local/GuyVPmYX/items/9X29VU6T"],"itemData":{"id":721,"type":"article-journal","title":"Combined influence of meso-scale circulation and bathymetry on the foraging behaviour of a diving predator, the king penguin (Aptenodytes patagonicus)","container-title":"Progress in Oceanography","page":"1-16","volume":"141","issue":"Supplement C","source":"ScienceDirect","abstract":"Investigating the responses of marine predators to environmental features is of key importance for understanding their foraging behaviour and reproductive success. In this study we examined the foraging behaviour of king penguins breeding at Kerguelen (southern Indian Ocean) in relation to oceanographic and bathymetric features within their foraging ambit. We used ARGOS and Global Positioning System tracking together with Time–Depth–Temperature-Recorders (TDR) to follow the at-sea movements of incubating and brooding king penguins. Combining the penguin behaviour with oceanographic data at the surface through satellite data and at depth through in-situ recordings by the TDRs enabled us to explore how these predators adjusted their horizontal and vertical foraging movements in response to their physical environment. Relating the observed behaviour and oceanographic patterns to local bathymetry lead to a comprehensive picture of the combined influence of bathymetry and meso-scale circulation on the foraging behaviour of king penguins. During both breeding stages king penguins foraged in the area to the south-east of Kerguelen, where they explored an influx of cold waters of southern origin interacting with the Kerguelen Plateau bathymetry. Foraging in the Polar Front and at the thermocline was associated with high prey capture rates. However, foraging trip orientation and water mass utilization suggested that bathymetrically entrained cold-water features provided the most favourable foraging locations. Our study explicitly reports the exploration of bathymetry-related oceanographic features by foraging king penguins. It confirms the presence of Areas of Ecological Significance for marine predators on the Kerguelen Plateau, and suggests the importance of further areas related to the cold-water flow along the shelf break of the Kerguelen Plateau.","DOI":"10.1016/j.pocean.2015.10.005","ISSN":"0079-6611","journalAbbreviation":"Progress in Oceanography","author":[{"family":"Scheffer","given":"Annette"},{"family":"Trathan","given":"Philip N."},{"family":"Edmonston","given":"Johnnie G."},{"family":"Bost","given":"Charles-André"}],"issued":{"date-parts":[["2016",2,1]]}}}],"schema":"https://github.com/citation-style-language/schema/raw/master/csl-citation.json"} </w:instrText>
      </w:r>
      <w:r w:rsidR="00B8649C" w:rsidRPr="004B37E9">
        <w:fldChar w:fldCharType="separate"/>
      </w:r>
      <w:r w:rsidR="00B8649C" w:rsidRPr="004B37E9">
        <w:rPr>
          <w:rFonts w:ascii="Calibri" w:hAnsi="Calibri" w:cs="Calibri"/>
        </w:rPr>
        <w:t xml:space="preserve">Scheffer et al., </w:t>
      </w:r>
      <w:r w:rsidR="00DA7B28" w:rsidRPr="004B37E9">
        <w:rPr>
          <w:rFonts w:ascii="Calibri" w:hAnsi="Calibri" w:cs="Calibri"/>
        </w:rPr>
        <w:t>20</w:t>
      </w:r>
      <w:r w:rsidR="00B8649C" w:rsidRPr="004B37E9">
        <w:rPr>
          <w:rFonts w:ascii="Calibri" w:hAnsi="Calibri" w:cs="Calibri"/>
        </w:rPr>
        <w:t>16)</w:t>
      </w:r>
      <w:r w:rsidR="00B8649C" w:rsidRPr="004B37E9">
        <w:fldChar w:fldCharType="end"/>
      </w:r>
      <w:r w:rsidR="006929DC" w:rsidRPr="004B37E9">
        <w:t>.</w:t>
      </w:r>
    </w:p>
    <w:p w14:paraId="03482567" w14:textId="688A9F04" w:rsidR="00F27B36" w:rsidRPr="004B37E9" w:rsidRDefault="00B7272E" w:rsidP="00494B2C">
      <w:pPr>
        <w:spacing w:after="120" w:line="480" w:lineRule="auto"/>
        <w:ind w:firstLine="720"/>
        <w:jc w:val="both"/>
      </w:pPr>
      <w:r w:rsidRPr="004B37E9">
        <w:t xml:space="preserve">A </w:t>
      </w:r>
      <w:r w:rsidR="00DA5362" w:rsidRPr="004B37E9">
        <w:t>plausible approach</w:t>
      </w:r>
      <w:r w:rsidRPr="004B37E9">
        <w:t xml:space="preserve"> to </w:t>
      </w:r>
      <w:r w:rsidR="00DA5362" w:rsidRPr="004B37E9">
        <w:t>re</w:t>
      </w:r>
      <w:r w:rsidRPr="004B37E9">
        <w:t xml:space="preserve">solve </w:t>
      </w:r>
      <w:r w:rsidR="00DA5362" w:rsidRPr="004B37E9">
        <w:t>these issues</w:t>
      </w:r>
      <w:r w:rsidRPr="004B37E9">
        <w:t xml:space="preserve"> is to combine both </w:t>
      </w:r>
      <w:r w:rsidR="00A67146" w:rsidRPr="004B37E9">
        <w:t xml:space="preserve">methods for </w:t>
      </w:r>
      <w:r w:rsidRPr="004B37E9">
        <w:t>identify</w:t>
      </w:r>
      <w:r w:rsidR="00A67146" w:rsidRPr="004B37E9">
        <w:t>ing</w:t>
      </w:r>
      <w:r w:rsidRPr="004B37E9">
        <w:t xml:space="preserve"> priority sites for at-sea conservation – </w:t>
      </w:r>
      <w:r w:rsidR="00DA5362" w:rsidRPr="004B37E9">
        <w:t xml:space="preserve">that is, </w:t>
      </w:r>
      <w:r w:rsidRPr="004B37E9">
        <w:t>a direct, empirical</w:t>
      </w:r>
      <w:r w:rsidR="00741081" w:rsidRPr="004B37E9">
        <w:t>ly</w:t>
      </w:r>
      <w:r w:rsidRPr="004B37E9">
        <w:t xml:space="preserve"> based method such as the </w:t>
      </w:r>
      <w:r w:rsidR="00DA5362" w:rsidRPr="004B37E9">
        <w:t xml:space="preserve">existing </w:t>
      </w:r>
      <w:r w:rsidR="003D1E03" w:rsidRPr="004B37E9">
        <w:t>mIBA</w:t>
      </w:r>
      <w:r w:rsidRPr="004B37E9">
        <w:t xml:space="preserve"> approach</w:t>
      </w:r>
      <w:r w:rsidR="007134FC" w:rsidRPr="004B37E9">
        <w:t xml:space="preserve"> </w:t>
      </w:r>
      <w:r w:rsidR="007134FC" w:rsidRPr="004B37E9">
        <w:fldChar w:fldCharType="begin"/>
      </w:r>
      <w:r w:rsidR="007134FC" w:rsidRPr="004B37E9">
        <w:instrText xml:space="preserve"> ADDIN ZOTERO_ITEM CSL_CITATION {"citationID":"ehrs6cifb","properties":{"formattedCitation":"(Lascelles et al., 2016)","plainCitation":"(Lascelles et al., 2016)"},"citationItems":[{"id":580,"uris":["http://zotero.org/users/local/GuyVPmYX/items/NJ9HBB2N"],"uri":["http://zotero.org/users/local/GuyVPmYX/items/NJ9HBB2N"],"itemData":{"id":580,"type":"article-journal","title":"Applying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7134FC" w:rsidRPr="004B37E9">
        <w:fldChar w:fldCharType="separate"/>
      </w:r>
      <w:r w:rsidR="00781D29" w:rsidRPr="004B37E9">
        <w:rPr>
          <w:rFonts w:ascii="Calibri" w:hAnsi="Calibri" w:cs="Calibri"/>
        </w:rPr>
        <w:t xml:space="preserve">(Dias et al., </w:t>
      </w:r>
      <w:r w:rsidR="00DA7B28" w:rsidRPr="004B37E9">
        <w:rPr>
          <w:rFonts w:ascii="Calibri" w:hAnsi="Calibri" w:cs="Calibri"/>
        </w:rPr>
        <w:t>20</w:t>
      </w:r>
      <w:r w:rsidR="00781D29" w:rsidRPr="004B37E9">
        <w:rPr>
          <w:rFonts w:ascii="Calibri" w:hAnsi="Calibri" w:cs="Calibri"/>
        </w:rPr>
        <w:t xml:space="preserve">17; Lascelles et al., </w:t>
      </w:r>
      <w:r w:rsidR="00DA7B28" w:rsidRPr="004B37E9">
        <w:rPr>
          <w:rFonts w:ascii="Calibri" w:hAnsi="Calibri" w:cs="Calibri"/>
        </w:rPr>
        <w:t>20</w:t>
      </w:r>
      <w:r w:rsidR="00781D29" w:rsidRPr="004B37E9">
        <w:rPr>
          <w:rFonts w:ascii="Calibri" w:hAnsi="Calibri" w:cs="Calibri"/>
        </w:rPr>
        <w:t>16</w:t>
      </w:r>
      <w:r w:rsidR="007134FC" w:rsidRPr="004B37E9">
        <w:rPr>
          <w:rFonts w:ascii="Calibri" w:hAnsi="Calibri" w:cs="Calibri"/>
        </w:rPr>
        <w:t>)</w:t>
      </w:r>
      <w:r w:rsidR="007134FC" w:rsidRPr="004B37E9">
        <w:fldChar w:fldCharType="end"/>
      </w:r>
      <w:r w:rsidRPr="004B37E9">
        <w:t xml:space="preserve">, and an </w:t>
      </w:r>
      <w:r w:rsidR="00B72C02" w:rsidRPr="004B37E9">
        <w:t>inferential</w:t>
      </w:r>
      <w:r w:rsidRPr="004B37E9">
        <w:t xml:space="preserve"> method based on predictions f</w:t>
      </w:r>
      <w:r w:rsidR="00712B1B" w:rsidRPr="004B37E9">
        <w:t>ro</w:t>
      </w:r>
      <w:r w:rsidRPr="004B37E9">
        <w:t xml:space="preserve">m </w:t>
      </w:r>
      <w:r w:rsidR="009012FC" w:rsidRPr="004B37E9">
        <w:t>correlative habitat</w:t>
      </w:r>
      <w:r w:rsidRPr="004B37E9">
        <w:t xml:space="preserve"> models</w:t>
      </w:r>
      <w:r w:rsidR="00BC0F1C" w:rsidRPr="004B37E9">
        <w:t xml:space="preserve"> (e.g. </w:t>
      </w:r>
      <w:r w:rsidR="007E2BFC" w:rsidRPr="004B37E9">
        <w:t xml:space="preserve">Wakefield et al., </w:t>
      </w:r>
      <w:r w:rsidR="00DA7B28" w:rsidRPr="004B37E9">
        <w:t>20</w:t>
      </w:r>
      <w:r w:rsidR="007E2BFC" w:rsidRPr="004B37E9">
        <w:t xml:space="preserve">17; </w:t>
      </w:r>
      <w:r w:rsidR="00BC0F1C" w:rsidRPr="004B37E9">
        <w:t xml:space="preserve">Warwick-Evans et al. </w:t>
      </w:r>
      <w:r w:rsidR="00DA7B28" w:rsidRPr="004B37E9">
        <w:t>20</w:t>
      </w:r>
      <w:r w:rsidR="00BC0F1C" w:rsidRPr="004B37E9">
        <w:t>17)</w:t>
      </w:r>
      <w:r w:rsidRPr="004B37E9">
        <w:t xml:space="preserve">. In this study we </w:t>
      </w:r>
      <w:r w:rsidR="006844FC" w:rsidRPr="004B37E9">
        <w:t xml:space="preserve">evaluated if </w:t>
      </w:r>
      <w:r w:rsidR="009012FC" w:rsidRPr="004B37E9">
        <w:t xml:space="preserve">correlative </w:t>
      </w:r>
      <w:r w:rsidR="006844FC" w:rsidRPr="004B37E9">
        <w:t xml:space="preserve">habitat models can be used to complement the standard </w:t>
      </w:r>
      <w:r w:rsidR="003D1E03" w:rsidRPr="004B37E9">
        <w:t>mIBA</w:t>
      </w:r>
      <w:r w:rsidR="006844FC" w:rsidRPr="004B37E9">
        <w:t xml:space="preserve"> approach </w:t>
      </w:r>
      <w:r w:rsidRPr="004B37E9">
        <w:t xml:space="preserve">by applying both methods to </w:t>
      </w:r>
      <w:r w:rsidR="006C61F2" w:rsidRPr="004B37E9">
        <w:t>10</w:t>
      </w:r>
      <w:r w:rsidRPr="004B37E9">
        <w:t xml:space="preserve"> datasets </w:t>
      </w:r>
      <w:r w:rsidR="00A67146" w:rsidRPr="004B37E9">
        <w:t xml:space="preserve">containing </w:t>
      </w:r>
      <w:r w:rsidRPr="004B37E9">
        <w:t xml:space="preserve">tracking data </w:t>
      </w:r>
      <w:r w:rsidR="00A67146" w:rsidRPr="004B37E9">
        <w:t xml:space="preserve">from </w:t>
      </w:r>
      <w:r w:rsidR="0047067A" w:rsidRPr="004B37E9">
        <w:t xml:space="preserve">Chinstrap </w:t>
      </w:r>
      <w:r w:rsidRPr="004B37E9">
        <w:t>penguins</w:t>
      </w:r>
      <w:r w:rsidR="006A4C5F" w:rsidRPr="004B37E9">
        <w:t xml:space="preserve"> </w:t>
      </w:r>
      <w:r w:rsidR="006A4C5F" w:rsidRPr="004B37E9">
        <w:rPr>
          <w:i/>
        </w:rPr>
        <w:t>Pygoscelis antarcticus</w:t>
      </w:r>
      <w:r w:rsidRPr="004B37E9">
        <w:t xml:space="preserve"> breeding </w:t>
      </w:r>
      <w:r w:rsidR="00A67146" w:rsidRPr="004B37E9">
        <w:t xml:space="preserve">at </w:t>
      </w:r>
      <w:r w:rsidR="006C61F2" w:rsidRPr="004B37E9">
        <w:t>four</w:t>
      </w:r>
      <w:r w:rsidRPr="004B37E9">
        <w:t xml:space="preserve"> colonies </w:t>
      </w:r>
      <w:r w:rsidR="00A67146" w:rsidRPr="004B37E9">
        <w:t xml:space="preserve">across </w:t>
      </w:r>
      <w:r w:rsidR="006C61F2" w:rsidRPr="004B37E9">
        <w:t xml:space="preserve">the South Orkney Islands, </w:t>
      </w:r>
      <w:r w:rsidRPr="004B37E9">
        <w:t xml:space="preserve">and comparing the results. </w:t>
      </w:r>
      <w:r w:rsidR="00DA5362" w:rsidRPr="004B37E9">
        <w:t>Our approach results in a number of important considerations for</w:t>
      </w:r>
      <w:r w:rsidRPr="004B37E9">
        <w:t xml:space="preserve"> both methods </w:t>
      </w:r>
      <w:r w:rsidR="00F27B36" w:rsidRPr="004B37E9">
        <w:t>(</w:t>
      </w:r>
      <w:r w:rsidR="003D1E03" w:rsidRPr="004B37E9">
        <w:t>mIBA</w:t>
      </w:r>
      <w:r w:rsidR="00F27B36" w:rsidRPr="004B37E9">
        <w:t xml:space="preserve"> approach and habitat modelling)</w:t>
      </w:r>
      <w:r w:rsidR="00A67146" w:rsidRPr="004B37E9">
        <w:t xml:space="preserve">, facilitating the identification of IBA </w:t>
      </w:r>
      <w:r w:rsidRPr="004B37E9">
        <w:t>boundaries</w:t>
      </w:r>
      <w:r w:rsidR="006844FC" w:rsidRPr="004B37E9">
        <w:t xml:space="preserve"> for Chinstrap penguins even when no tracking data is available to apply the standard </w:t>
      </w:r>
      <w:r w:rsidR="003D1E03" w:rsidRPr="004B37E9">
        <w:t>mIBA</w:t>
      </w:r>
      <w:r w:rsidR="006844FC" w:rsidRPr="004B37E9">
        <w:t xml:space="preserve"> protocols (Lascelles et al. 2016).  </w:t>
      </w:r>
      <w:r w:rsidRPr="004B37E9">
        <w:t>.</w:t>
      </w:r>
    </w:p>
    <w:p w14:paraId="2E929A85" w14:textId="77777777" w:rsidR="008D6EAD" w:rsidRPr="004B37E9" w:rsidRDefault="008D6EAD" w:rsidP="00494B2C">
      <w:pPr>
        <w:spacing w:after="120" w:line="480" w:lineRule="auto"/>
        <w:jc w:val="both"/>
        <w:rPr>
          <w:b/>
        </w:rPr>
      </w:pPr>
    </w:p>
    <w:p w14:paraId="0489B450" w14:textId="57CE7930" w:rsidR="00A93BB2" w:rsidRPr="004B37E9" w:rsidRDefault="0069662C" w:rsidP="00494B2C">
      <w:pPr>
        <w:spacing w:after="120" w:line="480" w:lineRule="auto"/>
        <w:jc w:val="both"/>
        <w:rPr>
          <w:b/>
        </w:rPr>
      </w:pPr>
      <w:r w:rsidRPr="004B37E9">
        <w:rPr>
          <w:b/>
        </w:rPr>
        <w:t>Materials and Methods</w:t>
      </w:r>
    </w:p>
    <w:p w14:paraId="31D71E94" w14:textId="77777777" w:rsidR="00A93BB2" w:rsidRPr="004B37E9" w:rsidRDefault="00A93BB2" w:rsidP="00494B2C">
      <w:pPr>
        <w:spacing w:after="120" w:line="480" w:lineRule="auto"/>
        <w:jc w:val="both"/>
      </w:pPr>
    </w:p>
    <w:p w14:paraId="24BCF27A" w14:textId="111B175F" w:rsidR="003642A1" w:rsidRPr="004B37E9" w:rsidRDefault="003642A1" w:rsidP="00494B2C">
      <w:pPr>
        <w:spacing w:after="120" w:line="480" w:lineRule="auto"/>
        <w:jc w:val="both"/>
        <w:rPr>
          <w:i/>
        </w:rPr>
      </w:pPr>
      <w:r w:rsidRPr="004B37E9">
        <w:rPr>
          <w:i/>
        </w:rPr>
        <w:t>Study Area, colony information and tracking data</w:t>
      </w:r>
    </w:p>
    <w:p w14:paraId="771C6D77" w14:textId="389F1153" w:rsidR="003642A1" w:rsidRPr="004B37E9" w:rsidRDefault="005F3719" w:rsidP="00494B2C">
      <w:pPr>
        <w:spacing w:after="120" w:line="480" w:lineRule="auto"/>
        <w:jc w:val="both"/>
      </w:pPr>
      <w:r w:rsidRPr="004B37E9">
        <w:lastRenderedPageBreak/>
        <w:t xml:space="preserve">Tracking data were collected </w:t>
      </w:r>
      <w:r w:rsidR="00BA40E6" w:rsidRPr="004B37E9">
        <w:t xml:space="preserve">using GPS devices deployed on </w:t>
      </w:r>
      <w:r w:rsidR="00DE36A0" w:rsidRPr="004B37E9">
        <w:t>186</w:t>
      </w:r>
      <w:r w:rsidR="00BA40E6" w:rsidRPr="004B37E9">
        <w:t xml:space="preserve"> individual Chinstrap penguins </w:t>
      </w:r>
      <w:r w:rsidRPr="004B37E9">
        <w:t xml:space="preserve">from </w:t>
      </w:r>
      <w:r w:rsidR="00BA40E6" w:rsidRPr="004B37E9">
        <w:t>4</w:t>
      </w:r>
      <w:r w:rsidRPr="004B37E9">
        <w:t xml:space="preserve"> colonies located in </w:t>
      </w:r>
      <w:r w:rsidR="00BA40E6" w:rsidRPr="004B37E9">
        <w:t>the South Orkney Islands (</w:t>
      </w:r>
      <w:r w:rsidR="00DE36A0" w:rsidRPr="004B37E9">
        <w:t>-60.8</w:t>
      </w:r>
      <w:r w:rsidR="00DE36A0" w:rsidRPr="004B37E9">
        <w:sym w:font="Symbol" w:char="F0B0"/>
      </w:r>
      <w:r w:rsidR="00DE36A0" w:rsidRPr="004B37E9">
        <w:t>, -45.5</w:t>
      </w:r>
      <w:r w:rsidR="00DE36A0" w:rsidRPr="004B37E9">
        <w:sym w:font="Symbol" w:char="F0B0"/>
      </w:r>
      <w:r w:rsidR="00BA40E6" w:rsidRPr="004B37E9">
        <w:t xml:space="preserve">), </w:t>
      </w:r>
      <w:r w:rsidR="00CB5849" w:rsidRPr="004B37E9">
        <w:t>over</w:t>
      </w:r>
      <w:r w:rsidR="00BA40E6" w:rsidRPr="004B37E9">
        <w:t xml:space="preserve"> </w:t>
      </w:r>
      <w:r w:rsidR="00DE36A0" w:rsidRPr="004B37E9">
        <w:t>4</w:t>
      </w:r>
      <w:r w:rsidR="00BA40E6" w:rsidRPr="004B37E9">
        <w:t xml:space="preserve"> </w:t>
      </w:r>
      <w:r w:rsidR="00CB5849" w:rsidRPr="004B37E9">
        <w:t>years</w:t>
      </w:r>
      <w:r w:rsidR="00BA40E6" w:rsidRPr="004B37E9">
        <w:t>, and covering</w:t>
      </w:r>
      <w:r w:rsidR="00B61A05" w:rsidRPr="004B37E9">
        <w:t xml:space="preserve"> different</w:t>
      </w:r>
      <w:r w:rsidR="00BA40E6" w:rsidRPr="004B37E9">
        <w:t xml:space="preserve"> stages of the breeding cycle</w:t>
      </w:r>
      <w:r w:rsidR="00F03453" w:rsidRPr="004B37E9">
        <w:t xml:space="preserve">: incubation, </w:t>
      </w:r>
      <w:r w:rsidR="00BA40E6" w:rsidRPr="004B37E9">
        <w:t>brood and crèche (Table 1).</w:t>
      </w:r>
      <w:r w:rsidR="0001523F" w:rsidRPr="004B37E9">
        <w:t xml:space="preserve"> In combination, the colonies studied hold </w:t>
      </w:r>
      <w:r w:rsidR="00DE36A0" w:rsidRPr="004B37E9">
        <w:t>ca. 110 000</w:t>
      </w:r>
      <w:r w:rsidR="0001523F" w:rsidRPr="004B37E9">
        <w:t xml:space="preserve"> breeding pairs of Chinstrap Penguins</w:t>
      </w:r>
      <w:r w:rsidR="00B72C02" w:rsidRPr="004B37E9">
        <w:t xml:space="preserve"> (ca. </w:t>
      </w:r>
      <w:r w:rsidR="00FD219A" w:rsidRPr="004B37E9">
        <w:t>30</w:t>
      </w:r>
      <w:r w:rsidR="00B72C02" w:rsidRPr="004B37E9">
        <w:t xml:space="preserve">% of the population breeding in the South Orkneys; Poncet &amp; Poncet </w:t>
      </w:r>
      <w:r w:rsidR="00DA7B28" w:rsidRPr="004B37E9">
        <w:t>19</w:t>
      </w:r>
      <w:r w:rsidR="00B72C02" w:rsidRPr="004B37E9">
        <w:t>85)</w:t>
      </w:r>
      <w:r w:rsidR="0001523F" w:rsidRPr="004B37E9">
        <w:t>.</w:t>
      </w:r>
      <w:r w:rsidR="00BA40E6" w:rsidRPr="004B37E9">
        <w:t xml:space="preserve"> Tracking data were </w:t>
      </w:r>
      <w:r w:rsidR="00944FF4" w:rsidRPr="004B37E9">
        <w:t xml:space="preserve">organised </w:t>
      </w:r>
      <w:r w:rsidR="00BA40E6" w:rsidRPr="004B37E9">
        <w:t>in datasets, each corresponding</w:t>
      </w:r>
      <w:r w:rsidR="007F4B30" w:rsidRPr="004B37E9">
        <w:t xml:space="preserve"> to a unique combination of data collected in a specific colony, </w:t>
      </w:r>
      <w:r w:rsidR="006603DB" w:rsidRPr="004B37E9">
        <w:t xml:space="preserve">during a unique breeding stage </w:t>
      </w:r>
      <w:r w:rsidR="002F75B2" w:rsidRPr="004B37E9">
        <w:t xml:space="preserve"> </w:t>
      </w:r>
      <w:r w:rsidR="002F75B2" w:rsidRPr="004B37E9">
        <w:fldChar w:fldCharType="begin"/>
      </w:r>
      <w:r w:rsidR="002F75B2" w:rsidRPr="004B37E9">
        <w:instrText xml:space="preserve"> ADDIN ZOTERO_ITEM CSL_CITATION {"citationID":"2bgb36i6jc","properties":{"formattedCitation":"(Lascelles et al., 2016)","plainCitation":"(Lascelles et al., 2016)"},"citationItems":[{"id":580,"uris":["http://zotero.org/users/local/GuyVPmYX/items/NJ9HBB2N"],"uri":["http://zotero.org/users/local/GuyVPmYX/items/NJ9HBB2N"],"itemData":{"id":580,"type":"article-journal","title":"Applying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2F75B2" w:rsidRPr="004B37E9">
        <w:fldChar w:fldCharType="separate"/>
      </w:r>
      <w:r w:rsidR="002F75B2" w:rsidRPr="004B37E9">
        <w:rPr>
          <w:rFonts w:ascii="Calibri" w:hAnsi="Calibri" w:cs="Calibri"/>
        </w:rPr>
        <w:t xml:space="preserve">(Lascelles et al., </w:t>
      </w:r>
      <w:r w:rsidR="00DA7B28" w:rsidRPr="004B37E9">
        <w:rPr>
          <w:rFonts w:ascii="Calibri" w:hAnsi="Calibri" w:cs="Calibri"/>
        </w:rPr>
        <w:t>20</w:t>
      </w:r>
      <w:r w:rsidR="002F75B2" w:rsidRPr="004B37E9">
        <w:rPr>
          <w:rFonts w:ascii="Calibri" w:hAnsi="Calibri" w:cs="Calibri"/>
        </w:rPr>
        <w:t>16)</w:t>
      </w:r>
      <w:r w:rsidR="002F75B2" w:rsidRPr="004B37E9">
        <w:fldChar w:fldCharType="end"/>
      </w:r>
      <w:r w:rsidR="007F4B30" w:rsidRPr="004B37E9">
        <w:t xml:space="preserve">. In some cases (mentioned where appropriate) </w:t>
      </w:r>
      <w:r w:rsidR="0066180D" w:rsidRPr="004B37E9">
        <w:t>data for the same colony and stage were available for more than one year, so we conducted the analyses separately</w:t>
      </w:r>
      <w:r w:rsidR="00533F1C" w:rsidRPr="004B37E9">
        <w:t xml:space="preserve"> for each year</w:t>
      </w:r>
      <w:r w:rsidR="0066180D" w:rsidRPr="004B37E9">
        <w:t xml:space="preserve"> </w:t>
      </w:r>
      <w:r w:rsidR="007F4B30" w:rsidRPr="004B37E9">
        <w:t xml:space="preserve">(Table </w:t>
      </w:r>
      <w:r w:rsidR="006603DB" w:rsidRPr="004B37E9">
        <w:t>1</w:t>
      </w:r>
      <w:r w:rsidR="007F4B30" w:rsidRPr="004B37E9">
        <w:t xml:space="preserve">). </w:t>
      </w:r>
      <w:r w:rsidR="00BA40E6" w:rsidRPr="004B37E9">
        <w:t>Details of the deployment procedures can be found in Warwick-Evans et al. (</w:t>
      </w:r>
      <w:r w:rsidR="00DA7B28" w:rsidRPr="004B37E9">
        <w:t>20</w:t>
      </w:r>
      <w:r w:rsidR="00BA40E6" w:rsidRPr="004B37E9">
        <w:t>17)</w:t>
      </w:r>
      <w:r w:rsidR="003D14C0" w:rsidRPr="004B37E9">
        <w:t>.</w:t>
      </w:r>
    </w:p>
    <w:p w14:paraId="08CD90BF" w14:textId="77777777" w:rsidR="00D80B64" w:rsidRPr="004B37E9" w:rsidRDefault="00D80B64" w:rsidP="00494B2C">
      <w:pPr>
        <w:pStyle w:val="ListParagraph"/>
        <w:spacing w:after="120" w:line="480" w:lineRule="auto"/>
        <w:jc w:val="both"/>
        <w:rPr>
          <w:u w:val="single"/>
        </w:rPr>
      </w:pPr>
    </w:p>
    <w:p w14:paraId="7781C04A" w14:textId="49686143" w:rsidR="007F4B30" w:rsidRPr="004B37E9" w:rsidRDefault="007F4B30" w:rsidP="00494B2C">
      <w:pPr>
        <w:spacing w:after="120" w:line="480" w:lineRule="auto"/>
        <w:jc w:val="both"/>
        <w:rPr>
          <w:i/>
        </w:rPr>
      </w:pPr>
      <w:r w:rsidRPr="004B37E9">
        <w:rPr>
          <w:i/>
        </w:rPr>
        <w:t xml:space="preserve">Data analysis – </w:t>
      </w:r>
      <w:r w:rsidR="003D1E03" w:rsidRPr="004B37E9">
        <w:rPr>
          <w:i/>
        </w:rPr>
        <w:t>mIBA</w:t>
      </w:r>
      <w:r w:rsidRPr="004B37E9">
        <w:rPr>
          <w:i/>
        </w:rPr>
        <w:t xml:space="preserve"> approach</w:t>
      </w:r>
    </w:p>
    <w:p w14:paraId="74B1F28F" w14:textId="6A718C02" w:rsidR="0034274D" w:rsidRPr="004B37E9" w:rsidRDefault="00D80B64" w:rsidP="00533F1C">
      <w:pPr>
        <w:spacing w:after="120" w:line="480" w:lineRule="auto"/>
        <w:jc w:val="both"/>
      </w:pPr>
      <w:r w:rsidRPr="004B37E9">
        <w:t xml:space="preserve">The </w:t>
      </w:r>
      <w:r w:rsidR="003D14C0" w:rsidRPr="004B37E9">
        <w:t xml:space="preserve">datasets were analysed following the mIBA protocol (Lascelles et al. </w:t>
      </w:r>
      <w:r w:rsidR="00DA7B28" w:rsidRPr="004B37E9">
        <w:t>20</w:t>
      </w:r>
      <w:r w:rsidR="003D14C0" w:rsidRPr="004B37E9">
        <w:t xml:space="preserve">16), but further adapted to </w:t>
      </w:r>
      <w:r w:rsidR="00CB5849" w:rsidRPr="004B37E9">
        <w:t>incorporate</w:t>
      </w:r>
      <w:r w:rsidR="003D14C0" w:rsidRPr="004B37E9">
        <w:t xml:space="preserve"> the specificities of the</w:t>
      </w:r>
      <w:r w:rsidR="00E82DE2" w:rsidRPr="004B37E9">
        <w:t xml:space="preserve"> at-sea behaviour of the</w:t>
      </w:r>
      <w:r w:rsidR="003D14C0" w:rsidRPr="004B37E9">
        <w:t xml:space="preserve"> penguins (Dias et al. in prep, Appendix </w:t>
      </w:r>
      <w:r w:rsidR="002F75B2" w:rsidRPr="004B37E9">
        <w:t>1</w:t>
      </w:r>
      <w:r w:rsidR="003D14C0" w:rsidRPr="004B37E9">
        <w:t>)</w:t>
      </w:r>
      <w:r w:rsidR="00E82DE2" w:rsidRPr="004B37E9">
        <w:t xml:space="preserve">. </w:t>
      </w:r>
      <w:r w:rsidR="007D6913" w:rsidRPr="004B37E9">
        <w:t xml:space="preserve">The mIBA protocol provides a consistent framework for using animal tracking data to delineate areas of global conservation importance, based on </w:t>
      </w:r>
      <w:r w:rsidR="00F60E66" w:rsidRPr="004B37E9">
        <w:t>well-</w:t>
      </w:r>
      <w:r w:rsidR="007D6913" w:rsidRPr="004B37E9">
        <w:t xml:space="preserve">established and </w:t>
      </w:r>
      <w:r w:rsidR="00944FF4" w:rsidRPr="004B37E9">
        <w:t xml:space="preserve">standardised </w:t>
      </w:r>
      <w:r w:rsidR="007D6913" w:rsidRPr="004B37E9">
        <w:t xml:space="preserve">criteria used worldwide to identify Important Bird and Biodiversity Areas (Donald et al. in press). </w:t>
      </w:r>
      <w:r w:rsidR="00E82DE2" w:rsidRPr="004B37E9">
        <w:t>In summary, t</w:t>
      </w:r>
      <w:r w:rsidR="0080170E" w:rsidRPr="004B37E9">
        <w:t xml:space="preserve">he analysis runs </w:t>
      </w:r>
      <w:r w:rsidR="00CB5849" w:rsidRPr="004B37E9">
        <w:t xml:space="preserve">through </w:t>
      </w:r>
      <w:r w:rsidR="0080170E" w:rsidRPr="004B37E9">
        <w:t>a number of stages</w:t>
      </w:r>
      <w:r w:rsidR="00BA766A" w:rsidRPr="004B37E9">
        <w:t xml:space="preserve">, </w:t>
      </w:r>
      <w:r w:rsidR="00CB5849" w:rsidRPr="004B37E9">
        <w:t xml:space="preserve">developed </w:t>
      </w:r>
      <w:r w:rsidR="00BA766A" w:rsidRPr="004B37E9">
        <w:t xml:space="preserve">in R </w:t>
      </w:r>
      <w:r w:rsidR="00DD44EB" w:rsidRPr="004B37E9">
        <w:t xml:space="preserve">using common </w:t>
      </w:r>
      <w:r w:rsidR="00BA766A" w:rsidRPr="004B37E9">
        <w:t xml:space="preserve">functions </w:t>
      </w:r>
      <w:r w:rsidR="00333C34" w:rsidRPr="004B37E9">
        <w:t>and packages</w:t>
      </w:r>
      <w:r w:rsidR="00554B59" w:rsidRPr="004B37E9">
        <w:t xml:space="preserve"> </w:t>
      </w:r>
      <w:r w:rsidR="00554B59" w:rsidRPr="004B37E9">
        <w:fldChar w:fldCharType="begin"/>
      </w:r>
      <w:r w:rsidR="00554B59" w:rsidRPr="004B37E9">
        <w:instrText xml:space="preserve"> ADDIN ZOTERO_ITEM CSL_CITATION {"citationID":"5WucbvNg","properties":{"formattedCitation":"(Lascelles et al., 2016)","plainCitation":"(Lascelles et al., 2016)"},"citationItems":[{"id":580,"uris":["http://zotero.org/users/local/GuyVPmYX/items/NJ9HBB2N"],"uri":["http://zotero.org/users/local/GuyVPmYX/items/NJ9HBB2N"],"itemData":{"id":580,"type":"article-journal","title":"Applying global criteria to tracking data to define important areas for marine conservation","container-title":"Diversity and Distributions","page":"422-431","volume":"22","issue":"4","source":"CrossRef","DOI":"10.1111/ddi.12411","ISSN":"13669516","language":"en","author":[{"family":"Lascelles","given":"B. G."},{"family":"Taylor","given":"P. R."},{"family":"Miller","given":"M. G. R."},{"family":"Dias","given":"M. P."},{"family":"Oppel","given":"S."},{"family":"Torres","given":"L."},{"family":"Hedd","given":"A."},{"family":"Le Corre","given":"M."},{"family":"Phillips","given":"R. A."},{"family":"Shaffer","given":"S. A."},{"family":"Weimerskirch","given":"H."},{"family":"Small","given":"C."}],"editor":[{"family":"Visconti","given":"Piero"}],"issued":{"date-parts":[["2016",4]]}}}],"schema":"https://github.com/citation-style-language/schema/raw/master/csl-citation.json"} </w:instrText>
      </w:r>
      <w:r w:rsidR="00554B59" w:rsidRPr="004B37E9">
        <w:fldChar w:fldCharType="separate"/>
      </w:r>
      <w:r w:rsidR="00554B59" w:rsidRPr="004B37E9">
        <w:rPr>
          <w:rFonts w:ascii="Calibri" w:hAnsi="Calibri" w:cs="Calibri"/>
        </w:rPr>
        <w:t xml:space="preserve">(Lascelles et al., </w:t>
      </w:r>
      <w:r w:rsidR="00DA7B28" w:rsidRPr="004B37E9">
        <w:rPr>
          <w:rFonts w:ascii="Calibri" w:hAnsi="Calibri" w:cs="Calibri"/>
        </w:rPr>
        <w:t>20</w:t>
      </w:r>
      <w:r w:rsidR="00554B59" w:rsidRPr="004B37E9">
        <w:rPr>
          <w:rFonts w:ascii="Calibri" w:hAnsi="Calibri" w:cs="Calibri"/>
        </w:rPr>
        <w:t>16)</w:t>
      </w:r>
      <w:r w:rsidR="00554B59" w:rsidRPr="004B37E9">
        <w:fldChar w:fldCharType="end"/>
      </w:r>
      <w:r w:rsidR="00DD44EB" w:rsidRPr="004B37E9">
        <w:t>,</w:t>
      </w:r>
      <w:r w:rsidR="0080170E" w:rsidRPr="004B37E9">
        <w:t xml:space="preserve"> </w:t>
      </w:r>
      <w:r w:rsidR="00DD44EB" w:rsidRPr="004B37E9">
        <w:t xml:space="preserve">in order to </w:t>
      </w:r>
      <w:r w:rsidR="0080170E" w:rsidRPr="004B37E9">
        <w:t xml:space="preserve">(i) determine hotspots of activity for each individual using </w:t>
      </w:r>
      <w:r w:rsidR="00FD219A" w:rsidRPr="004B37E9">
        <w:t>k</w:t>
      </w:r>
      <w:r w:rsidR="0080170E" w:rsidRPr="004B37E9">
        <w:t xml:space="preserve">ernel </w:t>
      </w:r>
      <w:r w:rsidR="00FD219A" w:rsidRPr="004B37E9">
        <w:t>d</w:t>
      </w:r>
      <w:r w:rsidR="0080170E" w:rsidRPr="004B37E9">
        <w:t>ensity analysis</w:t>
      </w:r>
      <w:r w:rsidR="00724984" w:rsidRPr="004B37E9">
        <w:t xml:space="preserve">, using a smoothing factor of 7 km and a </w:t>
      </w:r>
      <w:r w:rsidR="00533F1C" w:rsidRPr="004B37E9">
        <w:t xml:space="preserve">kernel utilization distribution (kernel </w:t>
      </w:r>
      <w:r w:rsidR="00724984" w:rsidRPr="004B37E9">
        <w:t>UD%</w:t>
      </w:r>
      <w:r w:rsidR="00533F1C" w:rsidRPr="004B37E9">
        <w:t>, which reflects the probability density to relocate an animal at any place according to the coordinates (x, y) of this place; Calenge 2006)</w:t>
      </w:r>
      <w:r w:rsidR="00724984" w:rsidRPr="004B37E9">
        <w:t xml:space="preserve"> varying between 55% and 75%, depending </w:t>
      </w:r>
      <w:r w:rsidR="00CB5849" w:rsidRPr="004B37E9">
        <w:t>o</w:t>
      </w:r>
      <w:r w:rsidR="00724984" w:rsidRPr="004B37E9">
        <w:t xml:space="preserve">n the breeding stage (the optimum values for Chinstrap penguins; Dias et al. in prep and Appendix </w:t>
      </w:r>
      <w:r w:rsidR="00154168" w:rsidRPr="004B37E9">
        <w:t>1</w:t>
      </w:r>
      <w:r w:rsidR="00724984" w:rsidRPr="004B37E9">
        <w:t>);</w:t>
      </w:r>
      <w:r w:rsidR="0080170E" w:rsidRPr="004B37E9">
        <w:t xml:space="preserve"> (ii) identify </w:t>
      </w:r>
      <w:r w:rsidR="00EB1E22" w:rsidRPr="004B37E9">
        <w:t xml:space="preserve">boundaries of </w:t>
      </w:r>
      <w:r w:rsidR="0080170E" w:rsidRPr="004B37E9">
        <w:t>areas of high intensity use by different birds</w:t>
      </w:r>
      <w:r w:rsidR="00541B0D" w:rsidRPr="004B37E9">
        <w:t xml:space="preserve"> (i.e., areas used by more than </w:t>
      </w:r>
      <w:r w:rsidR="00DA7B28" w:rsidRPr="004B37E9">
        <w:t>20</w:t>
      </w:r>
      <w:r w:rsidR="00724984" w:rsidRPr="004B37E9">
        <w:t>%</w:t>
      </w:r>
      <w:r w:rsidR="00541B0D" w:rsidRPr="004B37E9">
        <w:t xml:space="preserve"> of </w:t>
      </w:r>
      <w:r w:rsidR="00FE5AB5" w:rsidRPr="004B37E9">
        <w:t>birds</w:t>
      </w:r>
      <w:r w:rsidR="00CB2F19" w:rsidRPr="004B37E9">
        <w:t xml:space="preserve"> from the colony</w:t>
      </w:r>
      <w:r w:rsidR="00541B0D" w:rsidRPr="004B37E9">
        <w:t>)</w:t>
      </w:r>
      <w:r w:rsidR="00EB1E22" w:rsidRPr="004B37E9">
        <w:t xml:space="preserve">; these areas represent, at this step, </w:t>
      </w:r>
      <w:r w:rsidR="00533F1C" w:rsidRPr="004B37E9">
        <w:t>m</w:t>
      </w:r>
      <w:r w:rsidR="00EB1E22" w:rsidRPr="004B37E9">
        <w:t>IBA candi</w:t>
      </w:r>
      <w:r w:rsidR="00AE124C" w:rsidRPr="004B37E9">
        <w:t>date sites</w:t>
      </w:r>
      <w:r w:rsidR="0080170E" w:rsidRPr="004B37E9">
        <w:t>, (</w:t>
      </w:r>
      <w:r w:rsidR="00724984" w:rsidRPr="004B37E9">
        <w:t>iii</w:t>
      </w:r>
      <w:r w:rsidR="0080170E" w:rsidRPr="004B37E9">
        <w:t xml:space="preserve">) </w:t>
      </w:r>
      <w:r w:rsidR="0080170E" w:rsidRPr="004B37E9">
        <w:lastRenderedPageBreak/>
        <w:t>combine this with information on colony size to predict at-sea abundances</w:t>
      </w:r>
      <w:r w:rsidR="00533F1C" w:rsidRPr="004B37E9">
        <w:t xml:space="preserve"> (by multiplying the percentage of the population using the mIBA candidate sites by the population size of the colony of origin of the tracked birds)</w:t>
      </w:r>
      <w:r w:rsidR="0080170E" w:rsidRPr="004B37E9">
        <w:t xml:space="preserve">, </w:t>
      </w:r>
      <w:r w:rsidR="00DD44EB" w:rsidRPr="004B37E9">
        <w:t xml:space="preserve">and </w:t>
      </w:r>
      <w:r w:rsidR="0080170E" w:rsidRPr="004B37E9">
        <w:t>(</w:t>
      </w:r>
      <w:r w:rsidR="00724984" w:rsidRPr="004B37E9">
        <w:t>iv</w:t>
      </w:r>
      <w:r w:rsidR="0080170E" w:rsidRPr="004B37E9">
        <w:t xml:space="preserve">) test values against IBA </w:t>
      </w:r>
      <w:r w:rsidR="00CB2F19" w:rsidRPr="004B37E9">
        <w:t>criteria</w:t>
      </w:r>
      <w:r w:rsidR="0080170E" w:rsidRPr="004B37E9">
        <w:t xml:space="preserve"> to determine if an area may qualify as an IBA.</w:t>
      </w:r>
      <w:r w:rsidR="00BA766A" w:rsidRPr="004B37E9">
        <w:t xml:space="preserve"> </w:t>
      </w:r>
    </w:p>
    <w:p w14:paraId="764AD4FD" w14:textId="4048BD9A" w:rsidR="0055311B" w:rsidRPr="004B37E9" w:rsidRDefault="0055311B" w:rsidP="00494B2C">
      <w:pPr>
        <w:spacing w:after="120" w:line="480" w:lineRule="auto"/>
        <w:jc w:val="both"/>
      </w:pPr>
    </w:p>
    <w:p w14:paraId="5288AEA2" w14:textId="780755A1" w:rsidR="00235126" w:rsidRPr="004B37E9" w:rsidRDefault="00235126" w:rsidP="00494B2C">
      <w:pPr>
        <w:spacing w:after="120" w:line="480" w:lineRule="auto"/>
        <w:jc w:val="both"/>
        <w:rPr>
          <w:i/>
        </w:rPr>
      </w:pPr>
      <w:r w:rsidRPr="004B37E9">
        <w:rPr>
          <w:i/>
        </w:rPr>
        <w:t>Data analysis – habitat models and comparison of both approaches</w:t>
      </w:r>
    </w:p>
    <w:p w14:paraId="1E9F59E8" w14:textId="72145F3B" w:rsidR="00D80DF2" w:rsidRPr="004B37E9" w:rsidRDefault="00B40844" w:rsidP="00494B2C">
      <w:pPr>
        <w:spacing w:after="120" w:line="480" w:lineRule="auto"/>
        <w:jc w:val="both"/>
      </w:pPr>
      <w:r w:rsidRPr="004B37E9">
        <w:t>We used the</w:t>
      </w:r>
      <w:r w:rsidR="000046C8" w:rsidRPr="004B37E9">
        <w:t xml:space="preserve"> </w:t>
      </w:r>
      <w:r w:rsidRPr="004B37E9">
        <w:t>models developed by Warwick-Evans et al. (</w:t>
      </w:r>
      <w:r w:rsidR="00DB3D06" w:rsidRPr="004B37E9">
        <w:t>2018</w:t>
      </w:r>
      <w:r w:rsidRPr="004B37E9">
        <w:t xml:space="preserve">) to </w:t>
      </w:r>
      <w:r w:rsidR="000046C8" w:rsidRPr="004B37E9">
        <w:t>evaluate the suitability</w:t>
      </w:r>
      <w:r w:rsidRPr="004B37E9">
        <w:t xml:space="preserve"> of </w:t>
      </w:r>
      <w:r w:rsidR="009012FC" w:rsidRPr="004B37E9">
        <w:t>correlative habitat</w:t>
      </w:r>
      <w:r w:rsidRPr="004B37E9">
        <w:t xml:space="preserve"> models to identify </w:t>
      </w:r>
      <w:r w:rsidR="003D1E03" w:rsidRPr="004B37E9">
        <w:t>mIBA</w:t>
      </w:r>
      <w:r w:rsidRPr="004B37E9">
        <w:t xml:space="preserve">s for penguins. The details of the modelling procedures are described </w:t>
      </w:r>
      <w:r w:rsidR="00315EB7" w:rsidRPr="004B37E9">
        <w:t>by Warwick-Evans et al. (</w:t>
      </w:r>
      <w:r w:rsidR="00DB3D06" w:rsidRPr="004B37E9">
        <w:t>2018</w:t>
      </w:r>
      <w:r w:rsidR="00315EB7" w:rsidRPr="004B37E9">
        <w:t>)</w:t>
      </w:r>
      <w:r w:rsidRPr="004B37E9">
        <w:t xml:space="preserve">. In brief, the authors </w:t>
      </w:r>
      <w:r w:rsidR="00D80DF2" w:rsidRPr="004B37E9">
        <w:t xml:space="preserve">used </w:t>
      </w:r>
      <w:r w:rsidR="00533F1C" w:rsidRPr="004B37E9">
        <w:t xml:space="preserve">Generalized Additive Models </w:t>
      </w:r>
      <w:r w:rsidR="00554B59" w:rsidRPr="004B37E9">
        <w:fldChar w:fldCharType="begin"/>
      </w:r>
      <w:r w:rsidR="00554B59" w:rsidRPr="004B37E9">
        <w:instrText xml:space="preserve"> ADDIN ZOTERO_ITEM CSL_CITATION {"citationID":"SjIdAvht","properties":{"formattedCitation":"(Wood, 2004)","plainCitation":"(Wood, 2004)"},"citationItems":[{"id":724,"uris":["http://zotero.org/users/local/GuyVPmYX/items/JS4ANMQT"],"uri":["http://zotero.org/users/local/GuyVPmYX/items/JS4ANMQT"],"itemData":{"id":724,"type":"article-journal","title":"Stable and Efficient Multiple Smoothing Parameter Estimation for Generalized Additive Models","container-title":"Journal of the American Statistical Association","page":"673-686","volume":"99","issue":"467","source":"Taylor and Francis+NEJM","abstract":"Representation of generalized additive models (GAM's) using penalized regression splines allows GAM's to be employed in a straightforward manner using penalized regression methods. Not only is inference facilitated by this approach, but it is also possible to integrate model selection in the form of smoothing parameter selection into model fitting in a computationally efficient manner using well founded criteria such as generalized cross-validation. The current fitting and smoothing parameter selection methods for such models are usually effective, but do not provide the level of numerical stability to which users of linear regression packages, for example, are accustomed. In particular the existing methods cannot deal adequately with numerical rank deficiency of the GAM fitting problem, and it is not straightforward to produce methods that can do so, given that the degree of rank deficiency can be smoothing parameter dependent. In addition, models with the potential flexibility of GAM's can also present practical fitting difficulties as a result of indeterminacy in the model likelihood: Data with many zeros fitted by a model with a log link are a good example. In this article it is proposed that GAM's with a ridge penalty provide a practical solution in such circumstances, and a multiple smoothing parameter selection method suitable for use in the presence of such a penalty is developed. The method is based on the pivoted QR decomposition and the singular value decomposition, so that with or without a ridge penalty it has good error propagation properties and is capable of detecting and coping elegantly with numerical rank deficiency. The method also allows mixtures of user specified and estimated smoothing parameters and the setting of lower bounds on smoothing parameters. In terms of computational efficiency, the method compares well with existing methods. A simulation study compares the method to existing methods, including treating GAM's as mixed models.","DOI":"10.1198/016214504000000980","ISSN":"0162-1459","author":[{"family":"Wood","given":"Simon N."}],"issued":{"date-parts":[["2004",9,1]]}}}],"schema":"https://github.com/citation-style-language/schema/raw/master/csl-citation.json"} </w:instrText>
      </w:r>
      <w:r w:rsidR="00554B59" w:rsidRPr="004B37E9">
        <w:fldChar w:fldCharType="separate"/>
      </w:r>
      <w:r w:rsidR="00554B59" w:rsidRPr="004B37E9">
        <w:rPr>
          <w:rFonts w:ascii="Calibri" w:hAnsi="Calibri" w:cs="Calibri"/>
        </w:rPr>
        <w:t>(</w:t>
      </w:r>
      <w:r w:rsidR="00533F1C" w:rsidRPr="004B37E9">
        <w:t xml:space="preserve">GAMs ; </w:t>
      </w:r>
      <w:r w:rsidR="00554B59" w:rsidRPr="004B37E9">
        <w:rPr>
          <w:rFonts w:ascii="Calibri" w:hAnsi="Calibri" w:cs="Calibri"/>
        </w:rPr>
        <w:t xml:space="preserve">Wood, </w:t>
      </w:r>
      <w:r w:rsidR="00DA7B28" w:rsidRPr="004B37E9">
        <w:rPr>
          <w:rFonts w:ascii="Calibri" w:hAnsi="Calibri" w:cs="Calibri"/>
        </w:rPr>
        <w:t>20</w:t>
      </w:r>
      <w:r w:rsidR="00554B59" w:rsidRPr="004B37E9">
        <w:rPr>
          <w:rFonts w:ascii="Calibri" w:hAnsi="Calibri" w:cs="Calibri"/>
        </w:rPr>
        <w:t>04</w:t>
      </w:r>
      <w:r w:rsidR="00554B59" w:rsidRPr="004B37E9">
        <w:fldChar w:fldCharType="end"/>
      </w:r>
      <w:r w:rsidR="00D80DF2" w:rsidRPr="004B37E9">
        <w:t xml:space="preserve">; R package </w:t>
      </w:r>
      <w:r w:rsidR="00D80DF2" w:rsidRPr="004B37E9">
        <w:rPr>
          <w:i/>
        </w:rPr>
        <w:t>mgcv</w:t>
      </w:r>
      <w:r w:rsidR="00D80DF2" w:rsidRPr="004B37E9">
        <w:t>) to analyse</w:t>
      </w:r>
      <w:r w:rsidRPr="004B37E9">
        <w:t xml:space="preserve"> a set of 15 </w:t>
      </w:r>
      <w:r w:rsidR="00EA362B" w:rsidRPr="004B37E9">
        <w:t xml:space="preserve">remotely-sensed </w:t>
      </w:r>
      <w:r w:rsidRPr="004B37E9">
        <w:t xml:space="preserve">oceanographic (e.g. </w:t>
      </w:r>
      <w:r w:rsidR="00C90FE7" w:rsidRPr="004B37E9">
        <w:t>mean sea level anomaly, primary productivity and ocean current</w:t>
      </w:r>
      <w:r w:rsidRPr="004B37E9">
        <w:t>) and geo</w:t>
      </w:r>
      <w:r w:rsidR="00EA362B" w:rsidRPr="004B37E9">
        <w:t>metric</w:t>
      </w:r>
      <w:r w:rsidRPr="004B37E9">
        <w:t xml:space="preserve"> predictors (such as </w:t>
      </w:r>
      <w:r w:rsidRPr="004B37E9">
        <w:rPr>
          <w:i/>
        </w:rPr>
        <w:t>distance from the colony</w:t>
      </w:r>
      <w:r w:rsidRPr="004B37E9">
        <w:t xml:space="preserve"> and </w:t>
      </w:r>
      <w:r w:rsidRPr="004B37E9">
        <w:rPr>
          <w:i/>
        </w:rPr>
        <w:t>bearing</w:t>
      </w:r>
      <w:r w:rsidRPr="004B37E9">
        <w:t xml:space="preserve"> of the nearest point of the shelf edge from the colony), to model the foraging distribution of Chinstrap penguins during incubation, brood and crèche</w:t>
      </w:r>
      <w:r w:rsidR="00FF3107" w:rsidRPr="004B37E9">
        <w:t>, expressed as probability of occurrence in a given at-sea site</w:t>
      </w:r>
      <w:r w:rsidRPr="004B37E9">
        <w:t>.</w:t>
      </w:r>
    </w:p>
    <w:p w14:paraId="6248DE70" w14:textId="5037CCB5" w:rsidR="00D80DF2" w:rsidRPr="004B37E9" w:rsidRDefault="00B40844" w:rsidP="00494B2C">
      <w:pPr>
        <w:spacing w:after="120" w:line="480" w:lineRule="auto"/>
        <w:ind w:firstLine="720"/>
        <w:jc w:val="both"/>
      </w:pPr>
      <w:r w:rsidRPr="004B37E9">
        <w:t xml:space="preserve">The results revealed that the </w:t>
      </w:r>
      <w:r w:rsidR="009012FC" w:rsidRPr="004B37E9">
        <w:t>correlative habitat</w:t>
      </w:r>
      <w:r w:rsidR="00D80DF2" w:rsidRPr="004B37E9">
        <w:t xml:space="preserve"> </w:t>
      </w:r>
      <w:r w:rsidRPr="004B37E9">
        <w:t xml:space="preserve">model </w:t>
      </w:r>
      <w:r w:rsidR="00315EB7" w:rsidRPr="004B37E9">
        <w:t xml:space="preserve">with the best statistical support used </w:t>
      </w:r>
      <w:r w:rsidRPr="004B37E9">
        <w:t xml:space="preserve">only </w:t>
      </w:r>
      <w:r w:rsidRPr="004B37E9">
        <w:rPr>
          <w:i/>
        </w:rPr>
        <w:t>bearing</w:t>
      </w:r>
      <w:r w:rsidRPr="004B37E9">
        <w:t xml:space="preserve"> and </w:t>
      </w:r>
      <w:r w:rsidRPr="004B37E9">
        <w:rPr>
          <w:i/>
        </w:rPr>
        <w:t>distance from the colony</w:t>
      </w:r>
      <w:r w:rsidRPr="004B37E9">
        <w:t xml:space="preserve"> </w:t>
      </w:r>
      <w:r w:rsidR="00315EB7" w:rsidRPr="004B37E9">
        <w:t>for</w:t>
      </w:r>
      <w:r w:rsidR="00D80DF2" w:rsidRPr="004B37E9">
        <w:t xml:space="preserve"> predicting the </w:t>
      </w:r>
      <w:r w:rsidRPr="004B37E9">
        <w:t>location</w:t>
      </w:r>
      <w:r w:rsidR="00D80DF2" w:rsidRPr="004B37E9">
        <w:t>s</w:t>
      </w:r>
      <w:r w:rsidRPr="004B37E9">
        <w:t xml:space="preserve"> of foraging dives at any point during the breeding season</w:t>
      </w:r>
      <w:r w:rsidR="00D80DF2" w:rsidRPr="004B37E9">
        <w:t xml:space="preserve"> (Warwick-Evans et al. </w:t>
      </w:r>
      <w:r w:rsidR="00DB3D06" w:rsidRPr="004B37E9">
        <w:t>2018</w:t>
      </w:r>
      <w:r w:rsidR="00D80DF2" w:rsidRPr="004B37E9">
        <w:t xml:space="preserve">). </w:t>
      </w:r>
      <w:r w:rsidR="007A2DAB" w:rsidRPr="004B37E9">
        <w:t>C</w:t>
      </w:r>
      <w:r w:rsidR="00D80DF2" w:rsidRPr="004B37E9">
        <w:t>ross-validation tests showed good performance of these models when predicting the locations for other colonies (AUC of 0.89, 0</w:t>
      </w:r>
      <w:r w:rsidR="000046C8" w:rsidRPr="004B37E9">
        <w:t>.</w:t>
      </w:r>
      <w:r w:rsidR="00D80DF2" w:rsidRPr="004B37E9">
        <w:t xml:space="preserve">96 and 0.94 for incubation, brood and crèche, respectively; Warwick-Evans et al. </w:t>
      </w:r>
      <w:r w:rsidR="00DB3D06" w:rsidRPr="004B37E9">
        <w:t>2018</w:t>
      </w:r>
      <w:r w:rsidR="00D80DF2" w:rsidRPr="004B37E9">
        <w:t>)</w:t>
      </w:r>
      <w:r w:rsidR="00315EB7" w:rsidRPr="004B37E9">
        <w:t>.</w:t>
      </w:r>
    </w:p>
    <w:p w14:paraId="208A61A1" w14:textId="2F41BBC7" w:rsidR="00D80DF2" w:rsidRPr="004B37E9" w:rsidRDefault="00D80DF2" w:rsidP="00494B2C">
      <w:pPr>
        <w:spacing w:after="120" w:line="480" w:lineRule="auto"/>
        <w:jc w:val="both"/>
      </w:pPr>
      <w:r w:rsidRPr="004B37E9">
        <w:tab/>
        <w:t xml:space="preserve">The models developed by Warwick-Evans et al. </w:t>
      </w:r>
      <w:r w:rsidR="005C40E7" w:rsidRPr="004B37E9">
        <w:t>(</w:t>
      </w:r>
      <w:r w:rsidR="00DB3D06" w:rsidRPr="004B37E9">
        <w:t>2018</w:t>
      </w:r>
      <w:r w:rsidR="005C40E7" w:rsidRPr="004B37E9">
        <w:t>)</w:t>
      </w:r>
      <w:r w:rsidRPr="004B37E9">
        <w:t xml:space="preserve"> </w:t>
      </w:r>
      <w:r w:rsidR="00315EB7" w:rsidRPr="004B37E9">
        <w:t xml:space="preserve">provide </w:t>
      </w:r>
      <w:r w:rsidR="007A1E62" w:rsidRPr="004B37E9">
        <w:t xml:space="preserve">a </w:t>
      </w:r>
      <w:r w:rsidR="00315EB7" w:rsidRPr="004B37E9">
        <w:t xml:space="preserve">useful </w:t>
      </w:r>
      <w:r w:rsidR="007A1E62" w:rsidRPr="004B37E9">
        <w:t>basis</w:t>
      </w:r>
      <w:r w:rsidR="00315EB7" w:rsidRPr="004B37E9">
        <w:t xml:space="preserve"> for</w:t>
      </w:r>
      <w:r w:rsidRPr="004B37E9">
        <w:t xml:space="preserve"> a comparative approach with the </w:t>
      </w:r>
      <w:r w:rsidR="003D1E03" w:rsidRPr="004B37E9">
        <w:t>mIBA</w:t>
      </w:r>
      <w:r w:rsidRPr="004B37E9">
        <w:t xml:space="preserve"> protocol, given </w:t>
      </w:r>
      <w:r w:rsidR="00FD219A" w:rsidRPr="004B37E9">
        <w:t xml:space="preserve">that </w:t>
      </w:r>
      <w:r w:rsidRPr="004B37E9">
        <w:t>the variables selected</w:t>
      </w:r>
      <w:r w:rsidR="00FD219A" w:rsidRPr="004B37E9">
        <w:t xml:space="preserve"> do not vary through time</w:t>
      </w:r>
      <w:r w:rsidR="00D32D0D" w:rsidRPr="004B37E9">
        <w:t xml:space="preserve"> (i.e., </w:t>
      </w:r>
      <w:r w:rsidR="00E275C8" w:rsidRPr="004B37E9">
        <w:t>only</w:t>
      </w:r>
      <w:r w:rsidR="00D32D0D" w:rsidRPr="004B37E9">
        <w:t xml:space="preserve"> static variables, that do not vary over the time, were selected)</w:t>
      </w:r>
      <w:r w:rsidRPr="004B37E9">
        <w:t xml:space="preserve">. We </w:t>
      </w:r>
      <w:r w:rsidR="00315EB7" w:rsidRPr="004B37E9">
        <w:t xml:space="preserve">explored </w:t>
      </w:r>
      <w:r w:rsidR="005C40E7" w:rsidRPr="004B37E9">
        <w:t xml:space="preserve">this comparison by using the predicted distribution maps for individual colonies to analyse the match with the results of the </w:t>
      </w:r>
      <w:r w:rsidR="003D1E03" w:rsidRPr="004B37E9">
        <w:t>mIBA</w:t>
      </w:r>
      <w:r w:rsidR="005C40E7" w:rsidRPr="004B37E9">
        <w:t xml:space="preserve"> sites described previously. </w:t>
      </w:r>
      <w:r w:rsidR="00DB3D06" w:rsidRPr="004B37E9">
        <w:t xml:space="preserve">For each colony, we compared the results </w:t>
      </w:r>
      <w:r w:rsidR="00DB3D06" w:rsidRPr="004B37E9">
        <w:lastRenderedPageBreak/>
        <w:t xml:space="preserve">of </w:t>
      </w:r>
      <w:r w:rsidR="003D1E03" w:rsidRPr="004B37E9">
        <w:t>mIBA</w:t>
      </w:r>
      <w:r w:rsidR="00DB3D06" w:rsidRPr="004B37E9">
        <w:t xml:space="preserve"> protocol with the predicted distribution based on </w:t>
      </w:r>
      <w:r w:rsidR="009012FC" w:rsidRPr="004B37E9">
        <w:t>correlative habitat</w:t>
      </w:r>
      <w:r w:rsidR="00DB3D06" w:rsidRPr="004B37E9">
        <w:t xml:space="preserve"> models (created with data from other colonies). </w:t>
      </w:r>
      <w:r w:rsidR="005C40E7" w:rsidRPr="004B37E9">
        <w:t xml:space="preserve">By using </w:t>
      </w:r>
      <w:r w:rsidR="000046C8" w:rsidRPr="004B37E9">
        <w:t xml:space="preserve">predicted distributions of </w:t>
      </w:r>
      <w:r w:rsidR="00944FF4" w:rsidRPr="004B37E9">
        <w:t xml:space="preserve">Chinstrap </w:t>
      </w:r>
      <w:r w:rsidR="000046C8" w:rsidRPr="004B37E9">
        <w:t>penguins</w:t>
      </w:r>
      <w:r w:rsidR="00A230FB" w:rsidRPr="004B37E9">
        <w:t xml:space="preserve"> based on</w:t>
      </w:r>
      <w:r w:rsidR="00944FF4" w:rsidRPr="004B37E9">
        <w:t xml:space="preserve"> </w:t>
      </w:r>
      <w:r w:rsidR="000046C8" w:rsidRPr="004B37E9">
        <w:t>habitat</w:t>
      </w:r>
      <w:r w:rsidR="005C40E7" w:rsidRPr="004B37E9">
        <w:t xml:space="preserve"> models bu</w:t>
      </w:r>
      <w:r w:rsidR="00C90FE7" w:rsidRPr="004B37E9">
        <w:t xml:space="preserve">ilt </w:t>
      </w:r>
      <w:r w:rsidR="000046C8" w:rsidRPr="004B37E9">
        <w:t>using</w:t>
      </w:r>
      <w:r w:rsidR="00C90FE7" w:rsidRPr="004B37E9">
        <w:t xml:space="preserve"> data from other colonies</w:t>
      </w:r>
      <w:r w:rsidR="000046C8" w:rsidRPr="004B37E9">
        <w:t>,</w:t>
      </w:r>
      <w:r w:rsidR="005C40E7" w:rsidRPr="004B37E9">
        <w:t xml:space="preserve"> we intend to evaluate the possibility of using </w:t>
      </w:r>
      <w:r w:rsidR="00500AFC" w:rsidRPr="004B37E9">
        <w:t xml:space="preserve">habitat </w:t>
      </w:r>
      <w:r w:rsidR="005C40E7" w:rsidRPr="004B37E9">
        <w:t xml:space="preserve">modelling approaches to identify </w:t>
      </w:r>
      <w:r w:rsidR="003D1E03" w:rsidRPr="004B37E9">
        <w:t>mIBA</w:t>
      </w:r>
      <w:r w:rsidR="00EC5F25" w:rsidRPr="004B37E9">
        <w:t>s</w:t>
      </w:r>
      <w:r w:rsidR="005C40E7" w:rsidRPr="004B37E9">
        <w:t xml:space="preserve"> around colonies where tracking</w:t>
      </w:r>
      <w:r w:rsidR="0028379F" w:rsidRPr="004B37E9">
        <w:t xml:space="preserve"> data are not available, or study</w:t>
      </w:r>
      <w:r w:rsidR="005C40E7" w:rsidRPr="004B37E9">
        <w:t xml:space="preserve"> is not possible.</w:t>
      </w:r>
    </w:p>
    <w:p w14:paraId="2CC9CABB" w14:textId="678C5650" w:rsidR="003D1E03" w:rsidRPr="004B37E9" w:rsidRDefault="005C40E7" w:rsidP="00C83A21">
      <w:pPr>
        <w:spacing w:after="120" w:line="480" w:lineRule="auto"/>
        <w:jc w:val="both"/>
      </w:pPr>
      <w:r w:rsidRPr="004B37E9">
        <w:tab/>
        <w:t>The predicted distributions created by Warwick-Evans et al. (</w:t>
      </w:r>
      <w:r w:rsidR="00DA7B28" w:rsidRPr="004B37E9">
        <w:t>20</w:t>
      </w:r>
      <w:r w:rsidRPr="004B37E9">
        <w:t xml:space="preserve">17) were provided in the format of raster maps. The values of the raster cells reflect the probability of occurrence of foraging penguins </w:t>
      </w:r>
      <w:r w:rsidR="001E06FD" w:rsidRPr="004B37E9">
        <w:t xml:space="preserve">on </w:t>
      </w:r>
      <w:r w:rsidRPr="004B37E9">
        <w:t xml:space="preserve">a scale from quasi-zero to 1. </w:t>
      </w:r>
      <w:r w:rsidR="00EE59B2" w:rsidRPr="004B37E9">
        <w:t xml:space="preserve">To identify which value of probability of occurrence should be </w:t>
      </w:r>
      <w:r w:rsidR="007053A5" w:rsidRPr="004B37E9">
        <w:t xml:space="preserve">used </w:t>
      </w:r>
      <w:r w:rsidR="00EE59B2" w:rsidRPr="004B37E9">
        <w:t xml:space="preserve">to </w:t>
      </w:r>
      <w:r w:rsidR="00C90FE7" w:rsidRPr="004B37E9">
        <w:t>identify</w:t>
      </w:r>
      <w:r w:rsidR="00EE59B2" w:rsidRPr="004B37E9">
        <w:t xml:space="preserve"> the most important sites (i.e., to select the cells </w:t>
      </w:r>
      <w:r w:rsidR="007053A5" w:rsidRPr="004B37E9">
        <w:t xml:space="preserve">that have </w:t>
      </w:r>
      <w:r w:rsidR="00EE59B2" w:rsidRPr="004B37E9">
        <w:t>high</w:t>
      </w:r>
      <w:r w:rsidR="00C90FE7" w:rsidRPr="004B37E9">
        <w:t>er</w:t>
      </w:r>
      <w:r w:rsidR="00EE59B2" w:rsidRPr="004B37E9">
        <w:t xml:space="preserve"> values of habitat suitability </w:t>
      </w:r>
      <w:r w:rsidR="007053A5" w:rsidRPr="004B37E9">
        <w:t xml:space="preserve">which </w:t>
      </w:r>
      <w:r w:rsidR="00EE59B2" w:rsidRPr="004B37E9">
        <w:t xml:space="preserve">should be </w:t>
      </w:r>
      <w:r w:rsidR="00C90FE7" w:rsidRPr="004B37E9">
        <w:t>used</w:t>
      </w:r>
      <w:r w:rsidR="00EE59B2" w:rsidRPr="004B37E9">
        <w:t xml:space="preserve"> to delineate the boundaries of priority sites</w:t>
      </w:r>
      <w:r w:rsidR="00C90FE7" w:rsidRPr="004B37E9">
        <w:t xml:space="preserve"> -</w:t>
      </w:r>
      <w:r w:rsidR="00EE59B2" w:rsidRPr="004B37E9">
        <w:t xml:space="preserve"> hereafter </w:t>
      </w:r>
      <w:r w:rsidR="00944FF4" w:rsidRPr="004B37E9">
        <w:t>’</w:t>
      </w:r>
      <w:r w:rsidR="00EE59B2" w:rsidRPr="004B37E9">
        <w:t>model hotspots</w:t>
      </w:r>
      <w:r w:rsidR="00944FF4" w:rsidRPr="004B37E9">
        <w:t xml:space="preserve">’), </w:t>
      </w:r>
      <w:r w:rsidR="00EE59B2" w:rsidRPr="004B37E9">
        <w:t xml:space="preserve">we </w:t>
      </w:r>
      <w:r w:rsidR="00E64BFD" w:rsidRPr="004B37E9">
        <w:t xml:space="preserve">tested </w:t>
      </w:r>
      <w:r w:rsidR="00DA7B28" w:rsidRPr="004B37E9">
        <w:t>20</w:t>
      </w:r>
      <w:r w:rsidR="00E64BFD" w:rsidRPr="004B37E9">
        <w:t xml:space="preserve"> different values, ranging from the 90% </w:t>
      </w:r>
      <w:r w:rsidR="00500AFC" w:rsidRPr="004B37E9">
        <w:t xml:space="preserve">quantile </w:t>
      </w:r>
      <w:r w:rsidR="00E64BFD" w:rsidRPr="004B37E9">
        <w:t>to the 99.5%</w:t>
      </w:r>
      <w:r w:rsidR="00500AFC" w:rsidRPr="004B37E9">
        <w:t xml:space="preserve"> quantile</w:t>
      </w:r>
      <w:r w:rsidR="004E3896" w:rsidRPr="004B37E9">
        <w:t xml:space="preserve"> of the cell values after excluding the quasi-zero values</w:t>
      </w:r>
      <w:r w:rsidR="00F97237" w:rsidRPr="004B37E9">
        <w:t xml:space="preserve"> (see details in </w:t>
      </w:r>
      <w:r w:rsidR="00BB0CB6" w:rsidRPr="004B37E9">
        <w:t>Appendix</w:t>
      </w:r>
      <w:r w:rsidR="00F97237" w:rsidRPr="004B37E9">
        <w:t xml:space="preserve"> </w:t>
      </w:r>
      <w:r w:rsidR="00272BD0" w:rsidRPr="004B37E9">
        <w:t>1</w:t>
      </w:r>
      <w:r w:rsidR="00F97237" w:rsidRPr="004B37E9">
        <w:t>)</w:t>
      </w:r>
      <w:r w:rsidR="00752C8A" w:rsidRPr="004B37E9">
        <w:t xml:space="preserve">. These tests were </w:t>
      </w:r>
      <w:r w:rsidR="00AB74BF" w:rsidRPr="004B37E9">
        <w:t>performed</w:t>
      </w:r>
      <w:r w:rsidR="00315EB7" w:rsidRPr="004B37E9">
        <w:t xml:space="preserve"> </w:t>
      </w:r>
      <w:r w:rsidR="00752C8A" w:rsidRPr="004B37E9">
        <w:t>with the aim of informing</w:t>
      </w:r>
      <w:r w:rsidR="00227E00" w:rsidRPr="004B37E9">
        <w:t xml:space="preserve"> this and</w:t>
      </w:r>
      <w:r w:rsidR="00752C8A" w:rsidRPr="004B37E9">
        <w:t xml:space="preserve"> future </w:t>
      </w:r>
      <w:r w:rsidR="00AB74BF" w:rsidRPr="004B37E9">
        <w:t>studies to</w:t>
      </w:r>
      <w:r w:rsidR="00C9332F" w:rsidRPr="004B37E9">
        <w:t xml:space="preserve"> </w:t>
      </w:r>
      <w:r w:rsidR="00AB74BF" w:rsidRPr="004B37E9">
        <w:t xml:space="preserve">an appropriate threshold to </w:t>
      </w:r>
      <w:r w:rsidR="00DF4BA6" w:rsidRPr="004B37E9">
        <w:t xml:space="preserve">use </w:t>
      </w:r>
      <w:r w:rsidR="00AB74BF" w:rsidRPr="004B37E9">
        <w:t>in order to</w:t>
      </w:r>
      <w:r w:rsidR="00752C8A" w:rsidRPr="004B37E9">
        <w:t xml:space="preserve"> extract</w:t>
      </w:r>
      <w:r w:rsidR="00AB74BF" w:rsidRPr="004B37E9">
        <w:t xml:space="preserve"> </w:t>
      </w:r>
      <w:r w:rsidR="003D1E03" w:rsidRPr="004B37E9">
        <w:t>mIBA</w:t>
      </w:r>
      <w:r w:rsidR="00752C8A" w:rsidRPr="004B37E9">
        <w:t xml:space="preserve"> boundaries from predicted distributions </w:t>
      </w:r>
      <w:r w:rsidR="00AB74BF" w:rsidRPr="004B37E9">
        <w:t>output from</w:t>
      </w:r>
      <w:r w:rsidR="00752C8A" w:rsidRPr="004B37E9">
        <w:t xml:space="preserve"> habitat models.</w:t>
      </w:r>
      <w:r w:rsidR="00BB735D" w:rsidRPr="004B37E9">
        <w:t xml:space="preserve"> </w:t>
      </w:r>
      <w:r w:rsidR="00752C8A" w:rsidRPr="004B37E9">
        <w:t xml:space="preserve">The </w:t>
      </w:r>
      <w:r w:rsidR="003D1E03" w:rsidRPr="004B37E9">
        <w:t xml:space="preserve">match between the </w:t>
      </w:r>
      <w:r w:rsidR="00752C8A" w:rsidRPr="004B37E9">
        <w:t>model hotspots</w:t>
      </w:r>
      <w:r w:rsidR="00CB1130" w:rsidRPr="004B37E9">
        <w:t xml:space="preserve"> (i.e., the areas resulting from using the different thresholds form the models)</w:t>
      </w:r>
      <w:r w:rsidR="00752C8A" w:rsidRPr="004B37E9">
        <w:t xml:space="preserve"> </w:t>
      </w:r>
      <w:r w:rsidR="003D1E03" w:rsidRPr="004B37E9">
        <w:t xml:space="preserve">and </w:t>
      </w:r>
      <w:r w:rsidR="00752C8A" w:rsidRPr="004B37E9">
        <w:t xml:space="preserve">the results </w:t>
      </w:r>
      <w:r w:rsidR="00BC1842" w:rsidRPr="004B37E9">
        <w:t>from</w:t>
      </w:r>
      <w:r w:rsidR="00752C8A" w:rsidRPr="004B37E9">
        <w:t xml:space="preserve"> the </w:t>
      </w:r>
      <w:r w:rsidR="003D1E03" w:rsidRPr="004B37E9">
        <w:t>mIBA</w:t>
      </w:r>
      <w:r w:rsidR="00752C8A" w:rsidRPr="004B37E9">
        <w:t xml:space="preserve"> approach </w:t>
      </w:r>
      <w:r w:rsidR="003D1E03" w:rsidRPr="004B37E9">
        <w:t xml:space="preserve">was evaluated </w:t>
      </w:r>
      <w:r w:rsidR="00752C8A" w:rsidRPr="004B37E9">
        <w:t xml:space="preserve">using three complementary metrics (see details in </w:t>
      </w:r>
      <w:r w:rsidR="00BB0CB6" w:rsidRPr="004B37E9">
        <w:t>Appendix</w:t>
      </w:r>
      <w:r w:rsidR="00752C8A" w:rsidRPr="004B37E9">
        <w:t xml:space="preserve"> </w:t>
      </w:r>
      <w:r w:rsidR="00272BD0" w:rsidRPr="004B37E9">
        <w:t>1</w:t>
      </w:r>
      <w:r w:rsidR="00752C8A" w:rsidRPr="004B37E9">
        <w:t>)</w:t>
      </w:r>
    </w:p>
    <w:p w14:paraId="1FB67BE8" w14:textId="21DAC315" w:rsidR="00C83A21" w:rsidRPr="004B37E9" w:rsidRDefault="00C83A21" w:rsidP="001E4870">
      <w:pPr>
        <w:spacing w:line="480" w:lineRule="auto"/>
        <w:jc w:val="both"/>
      </w:pPr>
      <w:r w:rsidRPr="004B37E9">
        <w:t>- Model-IBA overlap: the percentage of model hotspots that overlap with the IBA, weighted by the relative importance of the hotspot cells</w:t>
      </w:r>
      <w:r w:rsidR="00B34A7C" w:rsidRPr="004B37E9">
        <w:t xml:space="preserve"> (measured by the value of probability of occurrence given by the model)</w:t>
      </w:r>
      <w:r w:rsidRPr="004B37E9">
        <w:t>; higher percentages represent a better fit (maximum 100% indicates that the entire model hotspot is included within the IBA);</w:t>
      </w:r>
    </w:p>
    <w:p w14:paraId="36BC27A8" w14:textId="77777777" w:rsidR="00C83A21" w:rsidRPr="004B37E9" w:rsidRDefault="00C83A21" w:rsidP="001E4870">
      <w:pPr>
        <w:spacing w:line="480" w:lineRule="auto"/>
        <w:jc w:val="both"/>
      </w:pPr>
      <w:r w:rsidRPr="004B37E9">
        <w:tab/>
        <w:t xml:space="preserve">- Percentage of less suitable cells in the IBA: the percentage of the less suitable cells (modelled values below the median value of all cells, after excluding the quasi-zero values) that overlap with the IBA; this reflects the quantity of priority areas that were not included in the final results due to poor </w:t>
      </w:r>
      <w:r w:rsidRPr="004B37E9">
        <w:lastRenderedPageBreak/>
        <w:t>model performance in identifying them as highly suitable; lower percentages represent a better fit (minimum 0% indicates that the model is not missing any intensively used area);</w:t>
      </w:r>
    </w:p>
    <w:p w14:paraId="6B4A3098" w14:textId="77777777" w:rsidR="00C83A21" w:rsidRPr="004B37E9" w:rsidRDefault="00C83A21" w:rsidP="001E4870">
      <w:pPr>
        <w:spacing w:line="480" w:lineRule="auto"/>
        <w:jc w:val="both"/>
      </w:pPr>
      <w:r w:rsidRPr="004B37E9">
        <w:tab/>
        <w:t>- Percentage of birds: average percentage of the core areas of the tracked birds (from the IBA analysis) included in the model hotspot. To estimate this we used the maps with the percentage of birds using each area, and estimated the average percentage values included in the model hotspot. We then compared these values with the average values in the IBA, using a bootstrap test (by randomly selecting the same number of cells in IBA and model hotspot, and repeating the procedure 1000 times); percentages higher than 20% represent a fit better than expected by chance.</w:t>
      </w:r>
    </w:p>
    <w:p w14:paraId="6DAC1229" w14:textId="492600B8" w:rsidR="00752C8A" w:rsidRPr="004B37E9" w:rsidRDefault="00752C8A" w:rsidP="009636AD">
      <w:pPr>
        <w:spacing w:after="120" w:line="480" w:lineRule="auto"/>
        <w:jc w:val="both"/>
      </w:pPr>
    </w:p>
    <w:p w14:paraId="5513BFC8" w14:textId="3E14DDA8" w:rsidR="003D1E03" w:rsidRPr="004B37E9" w:rsidRDefault="003D1E03" w:rsidP="001E4870">
      <w:pPr>
        <w:spacing w:line="480" w:lineRule="auto"/>
        <w:jc w:val="both"/>
      </w:pPr>
      <w:r w:rsidRPr="004B37E9">
        <w:tab/>
      </w:r>
    </w:p>
    <w:p w14:paraId="339730A2" w14:textId="042A37C7" w:rsidR="00CB1130" w:rsidRPr="004B37E9" w:rsidRDefault="00CB1130" w:rsidP="001E4870">
      <w:pPr>
        <w:spacing w:after="120" w:line="480" w:lineRule="auto"/>
        <w:ind w:firstLine="720"/>
        <w:jc w:val="both"/>
      </w:pPr>
    </w:p>
    <w:p w14:paraId="300F4D3E" w14:textId="77777777" w:rsidR="00DA7B28" w:rsidRPr="004B37E9" w:rsidDel="00315EB7" w:rsidRDefault="00DA7B28" w:rsidP="00DA7B28">
      <w:pPr>
        <w:spacing w:after="120" w:line="480" w:lineRule="auto"/>
        <w:ind w:firstLine="720"/>
        <w:jc w:val="both"/>
      </w:pPr>
      <w:r w:rsidRPr="004B37E9" w:rsidDel="00315EB7">
        <w:t>All the analyses were performed in R (R Core Team 2016).</w:t>
      </w:r>
    </w:p>
    <w:p w14:paraId="3BEF78CC" w14:textId="77777777" w:rsidR="00274D3A" w:rsidRPr="004B37E9" w:rsidRDefault="00274D3A" w:rsidP="00494B2C">
      <w:pPr>
        <w:spacing w:after="120" w:line="480" w:lineRule="auto"/>
        <w:jc w:val="both"/>
      </w:pPr>
    </w:p>
    <w:p w14:paraId="6CFA0572" w14:textId="56DB007C" w:rsidR="005E160D" w:rsidRPr="004B37E9" w:rsidRDefault="00412606" w:rsidP="00494B2C">
      <w:pPr>
        <w:spacing w:after="120" w:line="480" w:lineRule="auto"/>
        <w:jc w:val="both"/>
        <w:rPr>
          <w:b/>
        </w:rPr>
      </w:pPr>
      <w:r w:rsidRPr="004B37E9">
        <w:rPr>
          <w:b/>
        </w:rPr>
        <w:t>Results</w:t>
      </w:r>
    </w:p>
    <w:p w14:paraId="28754279" w14:textId="2C83B044" w:rsidR="0092369F" w:rsidRPr="004B37E9" w:rsidRDefault="00274D3A" w:rsidP="007022E6">
      <w:pPr>
        <w:spacing w:after="120" w:line="480" w:lineRule="auto"/>
        <w:jc w:val="both"/>
      </w:pPr>
      <w:r w:rsidRPr="004B37E9">
        <w:t xml:space="preserve">The match between the </w:t>
      </w:r>
      <w:r w:rsidR="003D1E03" w:rsidRPr="004B37E9">
        <w:t>mIBA</w:t>
      </w:r>
      <w:r w:rsidRPr="004B37E9">
        <w:t xml:space="preserve">s and the </w:t>
      </w:r>
      <w:r w:rsidR="009012FC" w:rsidRPr="004B37E9">
        <w:t>correlative habitat</w:t>
      </w:r>
      <w:r w:rsidRPr="004B37E9">
        <w:t xml:space="preserve"> models was </w:t>
      </w:r>
      <w:r w:rsidR="00EC5F25" w:rsidRPr="004B37E9">
        <w:t>generally</w:t>
      </w:r>
      <w:r w:rsidRPr="004B37E9">
        <w:t xml:space="preserve"> high (Table </w:t>
      </w:r>
      <w:r w:rsidR="00095C2D" w:rsidRPr="004B37E9">
        <w:t>2</w:t>
      </w:r>
      <w:r w:rsidR="0019566B" w:rsidRPr="004B37E9">
        <w:t xml:space="preserve"> and Figure 1</w:t>
      </w:r>
      <w:r w:rsidRPr="004B37E9">
        <w:t xml:space="preserve">). A </w:t>
      </w:r>
      <w:r w:rsidR="0092369F" w:rsidRPr="004B37E9">
        <w:t>high</w:t>
      </w:r>
      <w:r w:rsidRPr="004B37E9">
        <w:t xml:space="preserve"> percentage of the </w:t>
      </w:r>
      <w:r w:rsidR="004E33F7" w:rsidRPr="004B37E9">
        <w:t xml:space="preserve">model </w:t>
      </w:r>
      <w:r w:rsidR="0092369F" w:rsidRPr="004B37E9">
        <w:t xml:space="preserve">hotspots (i.e., </w:t>
      </w:r>
      <w:r w:rsidR="00B26DE3" w:rsidRPr="004B37E9">
        <w:t>cells</w:t>
      </w:r>
      <w:r w:rsidR="0092369F" w:rsidRPr="004B37E9">
        <w:t xml:space="preserve"> of high values of habitat </w:t>
      </w:r>
      <w:r w:rsidR="0092369F" w:rsidRPr="004B37E9">
        <w:lastRenderedPageBreak/>
        <w:t xml:space="preserve">suitability; see methods) fall inside the </w:t>
      </w:r>
      <w:r w:rsidR="003D1E03" w:rsidRPr="004B37E9">
        <w:t>mIBA</w:t>
      </w:r>
      <w:r w:rsidR="0092369F" w:rsidRPr="004B37E9">
        <w:t xml:space="preserve">s (65%-100% during incubation, 81-95% during brood; variable </w:t>
      </w:r>
      <w:r w:rsidR="00C35BB9" w:rsidRPr="004B37E9">
        <w:rPr>
          <w:i/>
        </w:rPr>
        <w:t>Model-IBA overlap</w:t>
      </w:r>
      <w:r w:rsidR="00C35BB9" w:rsidRPr="004B37E9">
        <w:t xml:space="preserve"> </w:t>
      </w:r>
      <w:r w:rsidR="0092369F" w:rsidRPr="004B37E9">
        <w:t xml:space="preserve">in Table </w:t>
      </w:r>
      <w:r w:rsidR="00095C2D" w:rsidRPr="004B37E9">
        <w:t>2</w:t>
      </w:r>
      <w:r w:rsidR="0092369F" w:rsidRPr="004B37E9">
        <w:t xml:space="preserve">). Also, only a null or negligible percentage of the less </w:t>
      </w:r>
      <w:r w:rsidR="00D14D90" w:rsidRPr="004B37E9">
        <w:t>suitable</w:t>
      </w:r>
      <w:r w:rsidR="0092369F" w:rsidRPr="004B37E9">
        <w:t xml:space="preserve"> cells (modelled values below the median) coincided with </w:t>
      </w:r>
      <w:r w:rsidR="003D1E03" w:rsidRPr="004B37E9">
        <w:t>mIBA</w:t>
      </w:r>
      <w:r w:rsidR="0092369F" w:rsidRPr="004B37E9">
        <w:t xml:space="preserve">s (always &lt; 1%; variable </w:t>
      </w:r>
      <w:r w:rsidR="00C35BB9" w:rsidRPr="004B37E9">
        <w:rPr>
          <w:rFonts w:ascii="Calibri" w:eastAsia="Times New Roman" w:hAnsi="Calibri" w:cs="Calibri"/>
          <w:i/>
          <w:color w:val="000000"/>
          <w:lang w:eastAsia="en-GB"/>
        </w:rPr>
        <w:t xml:space="preserve">Less </w:t>
      </w:r>
      <w:r w:rsidR="00D14D90" w:rsidRPr="004B37E9">
        <w:rPr>
          <w:rFonts w:ascii="Calibri" w:eastAsia="Times New Roman" w:hAnsi="Calibri" w:cs="Calibri"/>
          <w:i/>
          <w:color w:val="000000"/>
          <w:lang w:eastAsia="en-GB"/>
        </w:rPr>
        <w:t>suitable</w:t>
      </w:r>
      <w:r w:rsidR="00C35BB9" w:rsidRPr="004B37E9">
        <w:rPr>
          <w:rFonts w:ascii="Calibri" w:eastAsia="Times New Roman" w:hAnsi="Calibri" w:cs="Calibri"/>
          <w:i/>
          <w:color w:val="000000"/>
          <w:lang w:eastAsia="en-GB"/>
        </w:rPr>
        <w:t xml:space="preserve"> cells</w:t>
      </w:r>
      <w:r w:rsidR="00C35BB9" w:rsidRPr="004B37E9">
        <w:rPr>
          <w:rFonts w:ascii="Calibri" w:eastAsia="Times New Roman" w:hAnsi="Calibri" w:cs="Calibri"/>
          <w:color w:val="000000"/>
          <w:lang w:eastAsia="en-GB"/>
        </w:rPr>
        <w:t xml:space="preserve"> in IBA </w:t>
      </w:r>
      <w:r w:rsidR="0092369F" w:rsidRPr="004B37E9">
        <w:t xml:space="preserve">in </w:t>
      </w:r>
      <w:r w:rsidR="00096D63" w:rsidRPr="004B37E9">
        <w:t>T</w:t>
      </w:r>
      <w:r w:rsidR="0092369F" w:rsidRPr="004B37E9">
        <w:t xml:space="preserve">able </w:t>
      </w:r>
      <w:r w:rsidR="00D53E19" w:rsidRPr="004B37E9">
        <w:t>2</w:t>
      </w:r>
      <w:r w:rsidR="0092369F" w:rsidRPr="004B37E9">
        <w:t>).</w:t>
      </w:r>
    </w:p>
    <w:p w14:paraId="3583E3E4" w14:textId="57EA53D8" w:rsidR="00A07140" w:rsidRPr="004B37E9" w:rsidRDefault="00A07140" w:rsidP="00494B2C">
      <w:pPr>
        <w:spacing w:after="120" w:line="480" w:lineRule="auto"/>
        <w:ind w:firstLine="720"/>
        <w:jc w:val="both"/>
      </w:pPr>
      <w:r w:rsidRPr="004B37E9">
        <w:t xml:space="preserve">The areas </w:t>
      </w:r>
      <w:r w:rsidR="00916F87" w:rsidRPr="004B37E9">
        <w:t>highlighted</w:t>
      </w:r>
      <w:r w:rsidRPr="004B37E9">
        <w:t xml:space="preserve"> by the models </w:t>
      </w:r>
      <w:r w:rsidR="00D340ED" w:rsidRPr="004B37E9">
        <w:t xml:space="preserve">(corresponding to 93% to 99.9% higher values; Table 2) </w:t>
      </w:r>
      <w:r w:rsidRPr="004B37E9">
        <w:t xml:space="preserve">were always considerably smaller than the </w:t>
      </w:r>
      <w:r w:rsidR="003D1E03" w:rsidRPr="004B37E9">
        <w:t>mIBA</w:t>
      </w:r>
      <w:r w:rsidR="00916F87" w:rsidRPr="004B37E9">
        <w:t>s</w:t>
      </w:r>
      <w:r w:rsidRPr="004B37E9">
        <w:t xml:space="preserve"> (</w:t>
      </w:r>
      <w:r w:rsidR="00096D63" w:rsidRPr="004B37E9">
        <w:t>T</w:t>
      </w:r>
      <w:r w:rsidRPr="004B37E9">
        <w:t xml:space="preserve">able </w:t>
      </w:r>
      <w:r w:rsidR="0019566B" w:rsidRPr="004B37E9">
        <w:t>2</w:t>
      </w:r>
      <w:r w:rsidRPr="004B37E9">
        <w:t xml:space="preserve"> and </w:t>
      </w:r>
      <w:r w:rsidR="0019566B" w:rsidRPr="004B37E9">
        <w:t>Figure 1</w:t>
      </w:r>
      <w:r w:rsidRPr="004B37E9">
        <w:t xml:space="preserve">). Nevertheless, </w:t>
      </w:r>
      <w:r w:rsidR="00916F87" w:rsidRPr="004B37E9">
        <w:t xml:space="preserve">and </w:t>
      </w:r>
      <w:r w:rsidRPr="004B37E9">
        <w:t xml:space="preserve">in all cases, these smaller </w:t>
      </w:r>
      <w:r w:rsidR="00916F87" w:rsidRPr="004B37E9">
        <w:t xml:space="preserve">model </w:t>
      </w:r>
      <w:r w:rsidRPr="004B37E9">
        <w:t xml:space="preserve">“hotspots” </w:t>
      </w:r>
      <w:r w:rsidR="00916F87" w:rsidRPr="004B37E9">
        <w:t>overlapped with</w:t>
      </w:r>
      <w:r w:rsidRPr="004B37E9">
        <w:t xml:space="preserve"> the most important sites</w:t>
      </w:r>
      <w:r w:rsidR="00916F87" w:rsidRPr="004B37E9">
        <w:t xml:space="preserve"> within the </w:t>
      </w:r>
      <w:r w:rsidR="003D1E03" w:rsidRPr="004B37E9">
        <w:t>mIBA</w:t>
      </w:r>
      <w:r w:rsidR="00916F87" w:rsidRPr="004B37E9">
        <w:t xml:space="preserve">s; on average, model “hotspots” encompassed 42% of the core areas of the birds tracked (28%-73%), more than the </w:t>
      </w:r>
      <w:r w:rsidR="00B61517" w:rsidRPr="004B37E9">
        <w:t xml:space="preserve">minimum </w:t>
      </w:r>
      <w:r w:rsidR="00916F87" w:rsidRPr="004B37E9">
        <w:t xml:space="preserve">percentage </w:t>
      </w:r>
      <w:r w:rsidR="0042153A" w:rsidRPr="004B37E9">
        <w:t xml:space="preserve">required to be </w:t>
      </w:r>
      <w:r w:rsidR="00916F87" w:rsidRPr="004B37E9">
        <w:t xml:space="preserve">included in the IBAs (set to cover a minimum of </w:t>
      </w:r>
      <w:r w:rsidR="00DA7B28" w:rsidRPr="004B37E9">
        <w:t>20</w:t>
      </w:r>
      <w:r w:rsidR="00916F87" w:rsidRPr="004B37E9">
        <w:t xml:space="preserve">% of the birds - see methods and previous results; variable </w:t>
      </w:r>
      <w:r w:rsidR="00C35BB9" w:rsidRPr="004B37E9">
        <w:rPr>
          <w:i/>
        </w:rPr>
        <w:t>Percentage of birds</w:t>
      </w:r>
      <w:r w:rsidR="00C35BB9" w:rsidRPr="004B37E9">
        <w:t xml:space="preserve"> </w:t>
      </w:r>
      <w:r w:rsidR="00916F87" w:rsidRPr="004B37E9">
        <w:t xml:space="preserve">in </w:t>
      </w:r>
      <w:r w:rsidR="00096D63" w:rsidRPr="004B37E9">
        <w:t>T</w:t>
      </w:r>
      <w:r w:rsidR="00916F87" w:rsidRPr="004B37E9">
        <w:t xml:space="preserve">able </w:t>
      </w:r>
      <w:r w:rsidR="0019566B" w:rsidRPr="004B37E9">
        <w:t>2</w:t>
      </w:r>
      <w:r w:rsidR="00916F87" w:rsidRPr="004B37E9">
        <w:t>)</w:t>
      </w:r>
    </w:p>
    <w:p w14:paraId="2B4D8D57" w14:textId="07188D72" w:rsidR="007A1E62" w:rsidRPr="004B37E9" w:rsidRDefault="009005F7" w:rsidP="00494B2C">
      <w:pPr>
        <w:spacing w:after="120" w:line="480" w:lineRule="auto"/>
        <w:ind w:firstLine="720"/>
        <w:jc w:val="both"/>
      </w:pPr>
      <w:r w:rsidRPr="004B37E9">
        <w:t xml:space="preserve">Results in </w:t>
      </w:r>
      <w:r w:rsidR="003B767B" w:rsidRPr="004B37E9">
        <w:t>most</w:t>
      </w:r>
      <w:r w:rsidR="00B44F94" w:rsidRPr="004B37E9">
        <w:t xml:space="preserve"> </w:t>
      </w:r>
      <w:r w:rsidRPr="004B37E9">
        <w:t xml:space="preserve">cases </w:t>
      </w:r>
      <w:r w:rsidR="0037243C" w:rsidRPr="004B37E9">
        <w:t xml:space="preserve">had higher congruence </w:t>
      </w:r>
      <w:r w:rsidRPr="004B37E9">
        <w:t>during brood and crèche than</w:t>
      </w:r>
      <w:r w:rsidR="003B767B" w:rsidRPr="004B37E9">
        <w:t xml:space="preserve"> during</w:t>
      </w:r>
      <w:r w:rsidRPr="004B37E9">
        <w:t xml:space="preserve"> incubation (</w:t>
      </w:r>
      <w:r w:rsidR="0073399A" w:rsidRPr="004B37E9">
        <w:t>T</w:t>
      </w:r>
      <w:r w:rsidRPr="004B37E9">
        <w:t xml:space="preserve">able </w:t>
      </w:r>
      <w:r w:rsidR="0019566B" w:rsidRPr="004B37E9">
        <w:t>2</w:t>
      </w:r>
      <w:r w:rsidRPr="004B37E9">
        <w:t>).</w:t>
      </w:r>
      <w:r w:rsidR="00F42371" w:rsidRPr="004B37E9">
        <w:t xml:space="preserve"> </w:t>
      </w:r>
      <w:r w:rsidR="007A1E62" w:rsidRPr="004B37E9">
        <w:t>The threshold that provided the best fit between both approaches was always higher than 90%,</w:t>
      </w:r>
      <w:r w:rsidR="00DF4BA6" w:rsidRPr="004B37E9">
        <w:t xml:space="preserve"> and</w:t>
      </w:r>
      <w:r w:rsidR="007A1E62" w:rsidRPr="004B37E9">
        <w:t xml:space="preserve"> in most cases (9 in 10) highe</w:t>
      </w:r>
      <w:r w:rsidR="0019566B" w:rsidRPr="004B37E9">
        <w:t>r than 95% (global average 97%)</w:t>
      </w:r>
      <w:r w:rsidR="007A1E62" w:rsidRPr="004B37E9">
        <w:t>.</w:t>
      </w:r>
    </w:p>
    <w:p w14:paraId="296DB3C1" w14:textId="77777777" w:rsidR="007A1E62" w:rsidRPr="004B37E9" w:rsidRDefault="007A1E62" w:rsidP="00494B2C">
      <w:pPr>
        <w:spacing w:after="120" w:line="480" w:lineRule="auto"/>
      </w:pPr>
    </w:p>
    <w:p w14:paraId="4F0B0FB6" w14:textId="4EB26935" w:rsidR="00A93BB2" w:rsidRPr="004B37E9" w:rsidRDefault="00412606" w:rsidP="00494B2C">
      <w:pPr>
        <w:spacing w:after="120" w:line="480" w:lineRule="auto"/>
        <w:jc w:val="both"/>
        <w:rPr>
          <w:b/>
        </w:rPr>
      </w:pPr>
      <w:r w:rsidRPr="004B37E9">
        <w:rPr>
          <w:b/>
        </w:rPr>
        <w:t>Discussion</w:t>
      </w:r>
    </w:p>
    <w:p w14:paraId="5BCC8863" w14:textId="15A37B07" w:rsidR="00E864D3" w:rsidRPr="004B37E9" w:rsidRDefault="00FD219A" w:rsidP="00494B2C">
      <w:pPr>
        <w:spacing w:after="120" w:line="480" w:lineRule="auto"/>
        <w:jc w:val="both"/>
      </w:pPr>
      <w:r w:rsidRPr="004B37E9">
        <w:t xml:space="preserve">This study represents a significant advance in the </w:t>
      </w:r>
      <w:r w:rsidR="00DF4BA6" w:rsidRPr="004B37E9">
        <w:t xml:space="preserve">development </w:t>
      </w:r>
      <w:r w:rsidRPr="004B37E9">
        <w:t xml:space="preserve">of </w:t>
      </w:r>
      <w:r w:rsidR="0039128D" w:rsidRPr="004B37E9">
        <w:t xml:space="preserve">new methods </w:t>
      </w:r>
      <w:r w:rsidRPr="004B37E9">
        <w:t xml:space="preserve">to identify priority at-sea sites of conservation for central place foraging seabirds and </w:t>
      </w:r>
      <w:r w:rsidR="001E515E" w:rsidRPr="004B37E9">
        <w:t xml:space="preserve">land based </w:t>
      </w:r>
      <w:r w:rsidRPr="004B37E9">
        <w:t>marine mammals</w:t>
      </w:r>
      <w:r w:rsidR="00E864D3" w:rsidRPr="004B37E9">
        <w:t xml:space="preserve">. By </w:t>
      </w:r>
      <w:r w:rsidR="00FE40F2" w:rsidRPr="004B37E9">
        <w:t>comparing and combining</w:t>
      </w:r>
      <w:r w:rsidR="00E864D3" w:rsidRPr="004B37E9">
        <w:t xml:space="preserve"> two well-established but independent approaches (</w:t>
      </w:r>
      <w:r w:rsidR="003D1E03" w:rsidRPr="004B37E9">
        <w:t>mIBA</w:t>
      </w:r>
      <w:r w:rsidR="00E864D3" w:rsidRPr="004B37E9">
        <w:t xml:space="preserve"> identification and habitat mode</w:t>
      </w:r>
      <w:r w:rsidR="00CE3559" w:rsidRPr="004B37E9">
        <w:t>lling</w:t>
      </w:r>
      <w:r w:rsidR="00E864D3" w:rsidRPr="004B37E9">
        <w:t xml:space="preserve">), we </w:t>
      </w:r>
      <w:r w:rsidR="00A07BC3" w:rsidRPr="004B37E9">
        <w:t xml:space="preserve">have </w:t>
      </w:r>
      <w:r w:rsidR="00E864D3" w:rsidRPr="004B37E9">
        <w:t>made progress in overcoming some of the limitations of each method</w:t>
      </w:r>
      <w:r w:rsidRPr="004B37E9">
        <w:t xml:space="preserve"> (i.e., lack of tracking data to apply the </w:t>
      </w:r>
      <w:r w:rsidR="003D1E03" w:rsidRPr="004B37E9">
        <w:t>mIBA</w:t>
      </w:r>
      <w:r w:rsidRPr="004B37E9">
        <w:t xml:space="preserve"> method in all relevant colonies, and how to translate habitat preference surfaces into well-delimited areas for conservation priority)</w:t>
      </w:r>
      <w:r w:rsidR="006636CF" w:rsidRPr="004B37E9">
        <w:t>,</w:t>
      </w:r>
      <w:r w:rsidRPr="004B37E9">
        <w:t xml:space="preserve"> </w:t>
      </w:r>
      <w:r w:rsidR="00E864D3" w:rsidRPr="004B37E9">
        <w:t xml:space="preserve"> </w:t>
      </w:r>
      <w:r w:rsidR="0039128D" w:rsidRPr="004B37E9">
        <w:t xml:space="preserve">using as case-study </w:t>
      </w:r>
      <w:r w:rsidR="003D1E03" w:rsidRPr="004B37E9">
        <w:t>mIBA</w:t>
      </w:r>
      <w:r w:rsidR="0039128D" w:rsidRPr="004B37E9">
        <w:t>the Chinstrap penguin</w:t>
      </w:r>
      <w:r w:rsidR="00E864D3" w:rsidRPr="004B37E9">
        <w:t>.</w:t>
      </w:r>
      <w:r w:rsidR="0037243C" w:rsidRPr="004B37E9">
        <w:t xml:space="preserve"> </w:t>
      </w:r>
      <w:r w:rsidR="0039128D" w:rsidRPr="004B37E9">
        <w:t xml:space="preserve">We show that, for this species, </w:t>
      </w:r>
      <w:r w:rsidR="009012FC" w:rsidRPr="004B37E9">
        <w:t>correlative habitat</w:t>
      </w:r>
      <w:r w:rsidR="0039128D" w:rsidRPr="004B37E9">
        <w:t xml:space="preserve"> models can </w:t>
      </w:r>
      <w:r w:rsidR="0039128D" w:rsidRPr="004B37E9">
        <w:lastRenderedPageBreak/>
        <w:t xml:space="preserve">predict very well the boundaries of </w:t>
      </w:r>
      <w:r w:rsidR="003D1E03" w:rsidRPr="004B37E9">
        <w:t>mIBA</w:t>
      </w:r>
      <w:r w:rsidR="0039128D" w:rsidRPr="004B37E9">
        <w:t>s</w:t>
      </w:r>
      <w:r w:rsidR="0037243C" w:rsidRPr="004B37E9">
        <w:t>.</w:t>
      </w:r>
    </w:p>
    <w:p w14:paraId="694C41E6" w14:textId="7672C6FB" w:rsidR="00710EFA" w:rsidRPr="004B37E9" w:rsidRDefault="00200B81" w:rsidP="00494B2C">
      <w:pPr>
        <w:spacing w:after="120" w:line="480" w:lineRule="auto"/>
        <w:ind w:firstLine="720"/>
        <w:jc w:val="both"/>
      </w:pPr>
      <w:r w:rsidRPr="004B37E9">
        <w:t>C</w:t>
      </w:r>
      <w:r w:rsidR="0061073C" w:rsidRPr="004B37E9">
        <w:t xml:space="preserve">omparisons between the </w:t>
      </w:r>
      <w:r w:rsidR="003D1E03" w:rsidRPr="004B37E9">
        <w:t>mIBA</w:t>
      </w:r>
      <w:r w:rsidR="0061073C" w:rsidRPr="004B37E9">
        <w:t xml:space="preserve"> </w:t>
      </w:r>
      <w:r w:rsidR="00C54968" w:rsidRPr="004B37E9">
        <w:t>approach and the habitat models</w:t>
      </w:r>
      <w:r w:rsidR="0061073C" w:rsidRPr="004B37E9">
        <w:t xml:space="preserve"> show</w:t>
      </w:r>
      <w:r w:rsidRPr="004B37E9">
        <w:t>ed</w:t>
      </w:r>
      <w:r w:rsidR="0061073C" w:rsidRPr="004B37E9">
        <w:t xml:space="preserve"> a high overlap between the areas highlighted </w:t>
      </w:r>
      <w:r w:rsidR="003903BA" w:rsidRPr="004B37E9">
        <w:t xml:space="preserve">as most important </w:t>
      </w:r>
      <w:r w:rsidR="0061073C" w:rsidRPr="004B37E9">
        <w:t xml:space="preserve">by both methods (Table </w:t>
      </w:r>
      <w:r w:rsidR="005E6FE9" w:rsidRPr="004B37E9">
        <w:t>2</w:t>
      </w:r>
      <w:r w:rsidR="0061073C" w:rsidRPr="004B37E9">
        <w:t>). The “model hotspots” tend</w:t>
      </w:r>
      <w:r w:rsidR="00D25768" w:rsidRPr="004B37E9">
        <w:t>ed</w:t>
      </w:r>
      <w:r w:rsidR="0061073C" w:rsidRPr="004B37E9">
        <w:t xml:space="preserve"> to capture the </w:t>
      </w:r>
      <w:r w:rsidR="003D1E03" w:rsidRPr="004B37E9">
        <w:t>mIBA</w:t>
      </w:r>
      <w:r w:rsidR="0061073C" w:rsidRPr="004B37E9">
        <w:t xml:space="preserve">s </w:t>
      </w:r>
      <w:r w:rsidR="003903BA" w:rsidRPr="004B37E9">
        <w:t xml:space="preserve">very well </w:t>
      </w:r>
      <w:r w:rsidR="0061073C" w:rsidRPr="004B37E9">
        <w:t xml:space="preserve">and, within this, the sites used by a higher percentage of the birds (Table </w:t>
      </w:r>
      <w:r w:rsidR="005E6FE9" w:rsidRPr="004B37E9">
        <w:t>2</w:t>
      </w:r>
      <w:r w:rsidR="0061073C" w:rsidRPr="004B37E9">
        <w:t xml:space="preserve"> and </w:t>
      </w:r>
      <w:r w:rsidR="005E6FE9" w:rsidRPr="004B37E9">
        <w:t>Figure 1</w:t>
      </w:r>
      <w:r w:rsidR="0061073C" w:rsidRPr="004B37E9">
        <w:t xml:space="preserve">). Furthermore, these model hotspots </w:t>
      </w:r>
      <w:r w:rsidR="00F1733E" w:rsidRPr="004B37E9">
        <w:t xml:space="preserve">were </w:t>
      </w:r>
      <w:r w:rsidR="00AF598B" w:rsidRPr="004B37E9">
        <w:t xml:space="preserve">smaller than </w:t>
      </w:r>
      <w:r w:rsidR="0061073C" w:rsidRPr="004B37E9">
        <w:t xml:space="preserve">the </w:t>
      </w:r>
      <w:r w:rsidR="003D1E03" w:rsidRPr="004B37E9">
        <w:t>mIBA</w:t>
      </w:r>
      <w:r w:rsidR="0061073C" w:rsidRPr="004B37E9">
        <w:t>s, and always correspond</w:t>
      </w:r>
      <w:r w:rsidR="00D25768" w:rsidRPr="004B37E9">
        <w:t>ed</w:t>
      </w:r>
      <w:r w:rsidR="0061073C" w:rsidRPr="004B37E9">
        <w:t xml:space="preserve"> to </w:t>
      </w:r>
      <w:r w:rsidR="00732AF3" w:rsidRPr="004B37E9">
        <w:t>a very small percentage (</w:t>
      </w:r>
      <w:r w:rsidR="00D25768" w:rsidRPr="004B37E9">
        <w:t>&lt;</w:t>
      </w:r>
      <w:r w:rsidR="0061073C" w:rsidRPr="004B37E9">
        <w:t xml:space="preserve"> 10%</w:t>
      </w:r>
      <w:r w:rsidR="00732AF3" w:rsidRPr="004B37E9">
        <w:t>)</w:t>
      </w:r>
      <w:r w:rsidR="0061073C" w:rsidRPr="004B37E9">
        <w:t xml:space="preserve"> of the extent of the areas modelled</w:t>
      </w:r>
      <w:r w:rsidR="00732AF3" w:rsidRPr="004B37E9">
        <w:t xml:space="preserve">, so </w:t>
      </w:r>
      <w:r w:rsidR="00D25768" w:rsidRPr="004B37E9">
        <w:t>do</w:t>
      </w:r>
      <w:r w:rsidR="0061073C" w:rsidRPr="004B37E9">
        <w:t xml:space="preserve"> not overestima</w:t>
      </w:r>
      <w:r w:rsidR="00D25768" w:rsidRPr="004B37E9">
        <w:t>te</w:t>
      </w:r>
      <w:r w:rsidR="0061073C" w:rsidRPr="004B37E9">
        <w:t xml:space="preserve"> the </w:t>
      </w:r>
      <w:r w:rsidR="00D25768" w:rsidRPr="004B37E9">
        <w:t xml:space="preserve">important </w:t>
      </w:r>
      <w:r w:rsidR="00761083" w:rsidRPr="004B37E9">
        <w:t>area</w:t>
      </w:r>
      <w:r w:rsidR="00D25768" w:rsidRPr="004B37E9">
        <w:t>s</w:t>
      </w:r>
      <w:r w:rsidR="00761083" w:rsidRPr="004B37E9">
        <w:t xml:space="preserve"> to conserve</w:t>
      </w:r>
      <w:r w:rsidR="0061073C" w:rsidRPr="004B37E9">
        <w:t>.</w:t>
      </w:r>
    </w:p>
    <w:p w14:paraId="2D88F1EB" w14:textId="7371C53B" w:rsidR="00AF598B" w:rsidRPr="004B37E9" w:rsidRDefault="00761083" w:rsidP="00494B2C">
      <w:pPr>
        <w:spacing w:after="120" w:line="480" w:lineRule="auto"/>
        <w:ind w:firstLine="720"/>
        <w:jc w:val="both"/>
      </w:pPr>
      <w:r w:rsidRPr="004B37E9">
        <w:t xml:space="preserve">We note, however, that the threshold values used to delineate the model hotpots (i.e., values of habitat suitability considered sufficiently high </w:t>
      </w:r>
      <w:r w:rsidR="00F1733E" w:rsidRPr="004B37E9">
        <w:t xml:space="preserve">so as </w:t>
      </w:r>
      <w:r w:rsidRPr="004B37E9">
        <w:t xml:space="preserve">to be included in the hotspots) were chosen based on </w:t>
      </w:r>
      <w:r w:rsidR="00D25768" w:rsidRPr="004B37E9">
        <w:t xml:space="preserve">the </w:t>
      </w:r>
      <w:r w:rsidRPr="004B37E9">
        <w:t xml:space="preserve">quality of the match with the </w:t>
      </w:r>
      <w:r w:rsidR="003D1E03" w:rsidRPr="004B37E9">
        <w:t>mIBA</w:t>
      </w:r>
      <w:r w:rsidRPr="004B37E9">
        <w:t xml:space="preserve"> approach</w:t>
      </w:r>
      <w:r w:rsidR="004F4032" w:rsidRPr="004B37E9">
        <w:t xml:space="preserve">. </w:t>
      </w:r>
      <w:r w:rsidRPr="004B37E9">
        <w:t xml:space="preserve">While this can partially explain the </w:t>
      </w:r>
      <w:r w:rsidR="004F4032" w:rsidRPr="004B37E9">
        <w:t xml:space="preserve">high </w:t>
      </w:r>
      <w:r w:rsidRPr="004B37E9">
        <w:t>quality of the overlap between bot</w:t>
      </w:r>
      <w:r w:rsidR="004F4032" w:rsidRPr="004B37E9">
        <w:t>h</w:t>
      </w:r>
      <w:r w:rsidRPr="004B37E9">
        <w:t xml:space="preserve"> results (although not </w:t>
      </w:r>
      <w:r w:rsidR="004F4032" w:rsidRPr="004B37E9">
        <w:t xml:space="preserve">totally, as the models could potentially highlight different areas, as they were </w:t>
      </w:r>
      <w:r w:rsidR="00661073" w:rsidRPr="004B37E9">
        <w:t>created using</w:t>
      </w:r>
      <w:r w:rsidR="004F4032" w:rsidRPr="004B37E9">
        <w:t xml:space="preserve"> data from </w:t>
      </w:r>
      <w:r w:rsidR="00661073" w:rsidRPr="004B37E9">
        <w:t xml:space="preserve">different colonies than the one for which </w:t>
      </w:r>
      <w:r w:rsidR="00D25768" w:rsidRPr="004B37E9">
        <w:t xml:space="preserve">the </w:t>
      </w:r>
      <w:r w:rsidR="00661073" w:rsidRPr="004B37E9">
        <w:t>predictions were made</w:t>
      </w:r>
      <w:r w:rsidR="004F4032" w:rsidRPr="004B37E9">
        <w:t>), th</w:t>
      </w:r>
      <w:r w:rsidR="00956B12" w:rsidRPr="004B37E9">
        <w:t>e</w:t>
      </w:r>
      <w:r w:rsidR="004F4032" w:rsidRPr="004B37E9">
        <w:t xml:space="preserve"> </w:t>
      </w:r>
      <w:r w:rsidR="00956B12" w:rsidRPr="004B37E9">
        <w:t xml:space="preserve">rationale for this </w:t>
      </w:r>
      <w:r w:rsidR="004F4032" w:rsidRPr="004B37E9">
        <w:t xml:space="preserve">approach </w:t>
      </w:r>
      <w:r w:rsidR="00956B12" w:rsidRPr="004B37E9">
        <w:t xml:space="preserve">was to find the </w:t>
      </w:r>
      <w:r w:rsidR="000E4BC6" w:rsidRPr="004B37E9">
        <w:t>optimum</w:t>
      </w:r>
      <w:r w:rsidR="00956B12" w:rsidRPr="004B37E9">
        <w:t xml:space="preserve"> values and </w:t>
      </w:r>
      <w:r w:rsidR="004F4032" w:rsidRPr="004B37E9">
        <w:t xml:space="preserve">provide some guidance </w:t>
      </w:r>
      <w:r w:rsidR="00F1733E" w:rsidRPr="004B37E9">
        <w:t xml:space="preserve">for </w:t>
      </w:r>
      <w:r w:rsidR="004F4032" w:rsidRPr="004B37E9">
        <w:t xml:space="preserve">future applications of the method. </w:t>
      </w:r>
      <w:r w:rsidR="0010152E" w:rsidRPr="004B37E9">
        <w:t>Threshold values corresponding to the highe</w:t>
      </w:r>
      <w:r w:rsidR="00D25768" w:rsidRPr="004B37E9">
        <w:t>st</w:t>
      </w:r>
      <w:r w:rsidR="0010152E" w:rsidRPr="004B37E9">
        <w:t xml:space="preserve"> 3% </w:t>
      </w:r>
      <w:r w:rsidR="00611DD0" w:rsidRPr="004B37E9">
        <w:rPr>
          <w:rFonts w:cstheme="minorHAnsi"/>
        </w:rPr>
        <w:t>±</w:t>
      </w:r>
      <w:r w:rsidR="00487E23" w:rsidRPr="004B37E9">
        <w:t xml:space="preserve"> 2% </w:t>
      </w:r>
      <w:r w:rsidR="003474FF" w:rsidRPr="004B37E9">
        <w:t xml:space="preserve">of </w:t>
      </w:r>
      <w:r w:rsidR="0010152E" w:rsidRPr="004B37E9">
        <w:t>most important cells (after excluding the quasi-zero values; see methods) were</w:t>
      </w:r>
      <w:r w:rsidR="003474FF" w:rsidRPr="004B37E9">
        <w:t xml:space="preserve"> </w:t>
      </w:r>
      <w:r w:rsidR="000B0EC4" w:rsidRPr="004B37E9">
        <w:t xml:space="preserve">the best options to </w:t>
      </w:r>
      <w:r w:rsidR="003474FF" w:rsidRPr="004B37E9">
        <w:t>coincide with</w:t>
      </w:r>
      <w:r w:rsidR="000B0EC4" w:rsidRPr="004B37E9">
        <w:t xml:space="preserve"> the </w:t>
      </w:r>
      <w:r w:rsidR="003D1E03" w:rsidRPr="004B37E9">
        <w:t>mIBA</w:t>
      </w:r>
      <w:r w:rsidR="000B0EC4" w:rsidRPr="004B37E9">
        <w:t xml:space="preserve"> sites, and th</w:t>
      </w:r>
      <w:r w:rsidR="003474FF" w:rsidRPr="004B37E9">
        <w:t>is threshold</w:t>
      </w:r>
      <w:r w:rsidR="000B0EC4" w:rsidRPr="004B37E9">
        <w:t xml:space="preserve"> should </w:t>
      </w:r>
      <w:r w:rsidR="00956B12" w:rsidRPr="004B37E9">
        <w:t xml:space="preserve">be </w:t>
      </w:r>
      <w:r w:rsidR="000B0EC4" w:rsidRPr="004B37E9">
        <w:t>use</w:t>
      </w:r>
      <w:r w:rsidR="00956B12" w:rsidRPr="004B37E9">
        <w:t>d</w:t>
      </w:r>
      <w:r w:rsidR="000B0EC4" w:rsidRPr="004B37E9">
        <w:t xml:space="preserve"> in future applications</w:t>
      </w:r>
      <w:r w:rsidR="003474FF" w:rsidRPr="004B37E9">
        <w:t xml:space="preserve"> of this approach</w:t>
      </w:r>
      <w:r w:rsidR="000B0EC4" w:rsidRPr="004B37E9">
        <w:t>.</w:t>
      </w:r>
      <w:r w:rsidR="007E46A4" w:rsidRPr="004B37E9">
        <w:t xml:space="preserve"> </w:t>
      </w:r>
      <w:r w:rsidR="00F1733E" w:rsidRPr="004B37E9">
        <w:t xml:space="preserve">We </w:t>
      </w:r>
      <w:r w:rsidR="007E46A4" w:rsidRPr="004B37E9">
        <w:t>note also that the variability of the results between stages (brood vs incubation) was considerably higher than the vari</w:t>
      </w:r>
      <w:r w:rsidR="00710EFA" w:rsidRPr="004B37E9">
        <w:t>ability between colonies</w:t>
      </w:r>
      <w:r w:rsidR="007E46A4" w:rsidRPr="004B37E9">
        <w:t xml:space="preserve">. This provides </w:t>
      </w:r>
      <w:r w:rsidR="00140EA6" w:rsidRPr="004B37E9">
        <w:t xml:space="preserve">additional </w:t>
      </w:r>
      <w:r w:rsidR="007E46A4" w:rsidRPr="004B37E9">
        <w:t xml:space="preserve">confidence when applying a model to a new (un-tracked) colony, given that the </w:t>
      </w:r>
      <w:r w:rsidR="003474FF" w:rsidRPr="004B37E9">
        <w:t xml:space="preserve">phase of the </w:t>
      </w:r>
      <w:r w:rsidR="007E46A4" w:rsidRPr="004B37E9">
        <w:t>breed</w:t>
      </w:r>
      <w:r w:rsidR="003474FF" w:rsidRPr="004B37E9">
        <w:t>ing period i</w:t>
      </w:r>
      <w:r w:rsidR="00AA1352" w:rsidRPr="004B37E9">
        <w:t>s known for the data from which</w:t>
      </w:r>
      <w:r w:rsidR="007E46A4" w:rsidRPr="004B37E9">
        <w:t xml:space="preserve"> the model was built.</w:t>
      </w:r>
      <w:r w:rsidR="0028379F" w:rsidRPr="004B37E9">
        <w:t xml:space="preserve"> Naturally, with the advent of new tracking data, further review of this guidance is feasible.</w:t>
      </w:r>
    </w:p>
    <w:p w14:paraId="7B77DFB1" w14:textId="5C8A2781" w:rsidR="009467AC" w:rsidRPr="004B37E9" w:rsidRDefault="00761083" w:rsidP="009467AC">
      <w:pPr>
        <w:spacing w:after="120" w:line="480" w:lineRule="auto"/>
        <w:jc w:val="both"/>
      </w:pPr>
      <w:r w:rsidRPr="004B37E9">
        <w:tab/>
      </w:r>
      <w:r w:rsidR="000B0EC4" w:rsidRPr="004B37E9">
        <w:t xml:space="preserve">The models developed </w:t>
      </w:r>
      <w:r w:rsidR="003474FF" w:rsidRPr="004B37E9">
        <w:t>for</w:t>
      </w:r>
      <w:r w:rsidR="000B0EC4" w:rsidRPr="004B37E9">
        <w:t xml:space="preserve"> the brood </w:t>
      </w:r>
      <w:r w:rsidR="00B045CB" w:rsidRPr="004B37E9">
        <w:t xml:space="preserve">stage </w:t>
      </w:r>
      <w:r w:rsidR="00661073" w:rsidRPr="004B37E9">
        <w:t xml:space="preserve">matched the </w:t>
      </w:r>
      <w:r w:rsidR="003D1E03" w:rsidRPr="004B37E9">
        <w:t>mIBA</w:t>
      </w:r>
      <w:r w:rsidR="00661073" w:rsidRPr="004B37E9">
        <w:t xml:space="preserve"> approach better</w:t>
      </w:r>
      <w:r w:rsidR="0079404F" w:rsidRPr="004B37E9">
        <w:t xml:space="preserve"> </w:t>
      </w:r>
      <w:r w:rsidR="00661073" w:rsidRPr="004B37E9">
        <w:t>than those</w:t>
      </w:r>
      <w:r w:rsidR="000B0EC4" w:rsidRPr="004B37E9">
        <w:t xml:space="preserve"> </w:t>
      </w:r>
      <w:r w:rsidR="003474FF" w:rsidRPr="004B37E9">
        <w:t xml:space="preserve">developed for </w:t>
      </w:r>
      <w:r w:rsidR="00AA1352" w:rsidRPr="004B37E9">
        <w:t xml:space="preserve">the </w:t>
      </w:r>
      <w:r w:rsidR="000B0EC4" w:rsidRPr="004B37E9">
        <w:t>incubation</w:t>
      </w:r>
      <w:r w:rsidR="00AA1352" w:rsidRPr="004B37E9">
        <w:t xml:space="preserve"> stage</w:t>
      </w:r>
      <w:r w:rsidR="000B0EC4" w:rsidRPr="004B37E9">
        <w:t xml:space="preserve">. This is probably </w:t>
      </w:r>
      <w:r w:rsidR="003474FF" w:rsidRPr="004B37E9">
        <w:t>because foraging trips were shorter</w:t>
      </w:r>
      <w:r w:rsidR="000B0EC4" w:rsidRPr="004B37E9">
        <w:t xml:space="preserve"> during </w:t>
      </w:r>
      <w:r w:rsidR="000B0EC4" w:rsidRPr="004B37E9">
        <w:lastRenderedPageBreak/>
        <w:t>brood (see above;</w:t>
      </w:r>
      <w:r w:rsidR="005E6FE9" w:rsidRPr="004B37E9">
        <w:fldChar w:fldCharType="begin"/>
      </w:r>
      <w:r w:rsidR="005E6FE9" w:rsidRPr="004B37E9">
        <w:instrText xml:space="preserve"> ADDIN ZOTERO_ITEM CSL_CITATION {"citationID":"2eaob1bgna","properties":{"formattedCitation":"(Kato et al., 2009)","plainCitation":"(Kato et al., 2009)"},"citationItems":[{"id":728,"uris":["http://zotero.org/users/local/GuyVPmYX/items/JGIQWQTB"],"uri":["http://zotero.org/users/local/GuyVPmYX/items/JGIQWQTB"],"itemData":{"id":728,"type":"article-journal","title":"Foraging behavior of Adélie penguins during incubation period in Lützow-Holm Bay","container-title":"Polar Biology","page":"181-186","volume":"32","issue":"2","source":"link.springer.com","abstract":"The diving behavior of Adélie penguins Pygoscelis adeliae was investigated using time–depth recorders during the incubation period in the fast sea-ice area of Lützow-Holm Bay, Antarctica. Dive profiles and activity/time allocation suggested that penguins were obligated to walk on the fast-ice for 90–100 km until a polynya, which they used as an access to the pack-ice zone. Dive depth did not differ between males and females, though males’ dive duration was longer than that of females. Dive depth was slightly shallower and dive duration was shorter during the incubation than during the chick-rearing phase. Birds dove throughout the day, although less frequently around midnight, and there was no clear diel change in dive depth. This daily dive pattern during incubation period was similar to that previously observed during the chick-rearing period in a fast sea-ice area, but differed from that observed in sea-ice-free area. Variations in diving behavior resulted from different environmental conditions, such as foraging area with different sea-ice condition, as well as from different life history strategies.","DOI":"10.1007/s00300-008-0518-9","ISSN":"0722-4060, 1432-2056","journalAbbreviation":"Polar Biol","language":"en","author":[{"family":"Kato","given":"Akiko"},{"family":"Yoshioka","given":"Aya"},{"family":"Sato","given":"Katsufumi"}],"issued":{"date-parts":[["2009",2,1]]}}}],"schema":"https://github.com/citation-style-language/schema/raw/master/csl-citation.json"} </w:instrText>
      </w:r>
      <w:r w:rsidR="005E6FE9" w:rsidRPr="004B37E9">
        <w:fldChar w:fldCharType="separate"/>
      </w:r>
      <w:r w:rsidR="005E6FE9" w:rsidRPr="004B37E9">
        <w:rPr>
          <w:rFonts w:ascii="Calibri" w:hAnsi="Calibri" w:cs="Calibri"/>
        </w:rPr>
        <w:t xml:space="preserve"> Kato et al., </w:t>
      </w:r>
      <w:r w:rsidR="00DA7B28" w:rsidRPr="004B37E9">
        <w:rPr>
          <w:rFonts w:ascii="Calibri" w:hAnsi="Calibri" w:cs="Calibri"/>
        </w:rPr>
        <w:t>20</w:t>
      </w:r>
      <w:r w:rsidR="005E6FE9" w:rsidRPr="004B37E9">
        <w:rPr>
          <w:rFonts w:ascii="Calibri" w:hAnsi="Calibri" w:cs="Calibri"/>
        </w:rPr>
        <w:t>09)</w:t>
      </w:r>
      <w:r w:rsidR="005E6FE9" w:rsidRPr="004B37E9">
        <w:fldChar w:fldCharType="end"/>
      </w:r>
      <w:r w:rsidR="000B0EC4" w:rsidRPr="004B37E9">
        <w:t xml:space="preserve">, </w:t>
      </w:r>
      <w:r w:rsidR="003474FF" w:rsidRPr="004B37E9">
        <w:t>and thus birds were more constrained, with less flexibility to deviate from foraging trajectories, resulting in higher model performance</w:t>
      </w:r>
      <w:r w:rsidR="000B0EC4" w:rsidRPr="004B37E9">
        <w:t xml:space="preserve"> (</w:t>
      </w:r>
      <w:r w:rsidR="00B045CB" w:rsidRPr="004B37E9">
        <w:t xml:space="preserve">Warwick-Evans et al. </w:t>
      </w:r>
      <w:r w:rsidR="00DA7B28" w:rsidRPr="004B37E9">
        <w:t>20</w:t>
      </w:r>
      <w:r w:rsidR="00B045CB" w:rsidRPr="004B37E9">
        <w:t>17</w:t>
      </w:r>
      <w:r w:rsidR="000B0EC4" w:rsidRPr="004B37E9">
        <w:t xml:space="preserve">). </w:t>
      </w:r>
      <w:r w:rsidR="006B03B7" w:rsidRPr="004B37E9">
        <w:t xml:space="preserve">The areas identified by the models </w:t>
      </w:r>
      <w:r w:rsidR="006636CF" w:rsidRPr="004B37E9">
        <w:t xml:space="preserve">and by the </w:t>
      </w:r>
      <w:r w:rsidR="003D1E03" w:rsidRPr="004B37E9">
        <w:t>mIBA</w:t>
      </w:r>
      <w:r w:rsidR="006636CF" w:rsidRPr="004B37E9">
        <w:t xml:space="preserve"> protocol </w:t>
      </w:r>
      <w:r w:rsidR="006B03B7" w:rsidRPr="004B37E9">
        <w:t xml:space="preserve">during brood were consequently smaller than the ones identified during incubation, and in most cases included within the latter (see </w:t>
      </w:r>
      <w:r w:rsidR="005E6FE9" w:rsidRPr="004B37E9">
        <w:t>Figure 1</w:t>
      </w:r>
      <w:r w:rsidR="006B03B7" w:rsidRPr="004B37E9">
        <w:t xml:space="preserve">). Therefore, we suggest </w:t>
      </w:r>
      <w:r w:rsidR="00661073" w:rsidRPr="004B37E9">
        <w:t xml:space="preserve">that </w:t>
      </w:r>
      <w:r w:rsidR="00F1733E" w:rsidRPr="004B37E9">
        <w:t xml:space="preserve">future work </w:t>
      </w:r>
      <w:r w:rsidR="00661073" w:rsidRPr="004B37E9">
        <w:t>should</w:t>
      </w:r>
      <w:r w:rsidR="006B03B7" w:rsidRPr="004B37E9">
        <w:t xml:space="preserve"> </w:t>
      </w:r>
      <w:r w:rsidR="00DF4BA6" w:rsidRPr="004B37E9">
        <w:t xml:space="preserve">prioritise </w:t>
      </w:r>
      <w:r w:rsidR="006B03B7" w:rsidRPr="004B37E9">
        <w:t xml:space="preserve">modelling the </w:t>
      </w:r>
      <w:r w:rsidR="00B37210" w:rsidRPr="004B37E9">
        <w:t xml:space="preserve">at-sea </w:t>
      </w:r>
      <w:r w:rsidR="006B03B7" w:rsidRPr="004B37E9">
        <w:t xml:space="preserve">distribution of birds </w:t>
      </w:r>
      <w:r w:rsidR="00B37210" w:rsidRPr="004B37E9">
        <w:t xml:space="preserve">during brooding </w:t>
      </w:r>
      <w:r w:rsidR="00661073" w:rsidRPr="004B37E9">
        <w:t xml:space="preserve">in order </w:t>
      </w:r>
      <w:r w:rsidR="006B03B7" w:rsidRPr="004B37E9">
        <w:t xml:space="preserve">to identify priority sites, as the areas resulting from these </w:t>
      </w:r>
      <w:r w:rsidR="00661073" w:rsidRPr="004B37E9">
        <w:t xml:space="preserve">predictions </w:t>
      </w:r>
      <w:r w:rsidR="006B03B7" w:rsidRPr="004B37E9">
        <w:t xml:space="preserve">are more likely to correspond to the </w:t>
      </w:r>
      <w:r w:rsidR="003D1E03" w:rsidRPr="004B37E9">
        <w:t>mIBA</w:t>
      </w:r>
      <w:r w:rsidR="006B03B7" w:rsidRPr="004B37E9">
        <w:t>s, and also</w:t>
      </w:r>
      <w:r w:rsidR="00F1733E" w:rsidRPr="004B37E9">
        <w:t xml:space="preserve"> more</w:t>
      </w:r>
      <w:r w:rsidR="006B03B7" w:rsidRPr="004B37E9">
        <w:t xml:space="preserve"> likely to include the areas used during incubation. </w:t>
      </w:r>
      <w:r w:rsidR="007E46A4" w:rsidRPr="004B37E9">
        <w:t xml:space="preserve">Finally, we should highlight that these analyses were only based on data collected for Chinstrap penguins. </w:t>
      </w:r>
      <w:r w:rsidR="00F32E3B" w:rsidRPr="004B37E9">
        <w:t>The foraging distribution of this species during the breeding period is mostly driven by static factors (such as distance to the colony and bearing of the nearest point of the shelf edge from the colony; Warwick-Evans in press)</w:t>
      </w:r>
      <w:r w:rsidR="004F5839" w:rsidRPr="004B37E9">
        <w:t>.</w:t>
      </w:r>
      <w:r w:rsidR="00F32E3B" w:rsidRPr="004B37E9">
        <w:t xml:space="preserve"> </w:t>
      </w:r>
      <w:r w:rsidR="004F5839" w:rsidRPr="004B37E9">
        <w:t>T</w:t>
      </w:r>
      <w:r w:rsidR="00F32E3B" w:rsidRPr="004B37E9">
        <w:t xml:space="preserve">he lack of temporal dynamism </w:t>
      </w:r>
      <w:r w:rsidR="004F5839" w:rsidRPr="004B37E9">
        <w:t>of these variables can have a</w:t>
      </w:r>
      <w:r w:rsidR="00F32E3B" w:rsidRPr="004B37E9">
        <w:t xml:space="preserve"> </w:t>
      </w:r>
      <w:r w:rsidR="004F5839" w:rsidRPr="004B37E9">
        <w:t xml:space="preserve">positive </w:t>
      </w:r>
      <w:r w:rsidR="00F32E3B" w:rsidRPr="004B37E9">
        <w:t>influence on the efficiency of the extrapolations</w:t>
      </w:r>
      <w:r w:rsidR="004F5839" w:rsidRPr="004B37E9">
        <w:t xml:space="preserve"> of the models to other colonies</w:t>
      </w:r>
      <w:r w:rsidR="009467AC" w:rsidRPr="004B37E9">
        <w:t xml:space="preserve"> and on the utility of habitat models in predicting marine IBAs</w:t>
      </w:r>
      <w:r w:rsidR="004F5839" w:rsidRPr="004B37E9">
        <w:t xml:space="preserve">. </w:t>
      </w:r>
      <w:r w:rsidR="00B34A7C" w:rsidRPr="004B37E9">
        <w:t xml:space="preserve">Also, the fact that they have such a predictable foraging strategy in space (as evidenced by the very good performance of the habitat models; Warwick-Evans in press) and prey mostly on super abundant species (Antarctic krill </w:t>
      </w:r>
      <w:r w:rsidR="00B34A7C" w:rsidRPr="004B37E9">
        <w:rPr>
          <w:i/>
        </w:rPr>
        <w:t>Euphausia superba</w:t>
      </w:r>
      <w:r w:rsidR="00B34A7C" w:rsidRPr="004B37E9">
        <w:t xml:space="preserve">; Lishman 1985) can have also an influence on the good results found on this study. </w:t>
      </w:r>
      <w:r w:rsidR="004F5839" w:rsidRPr="004B37E9">
        <w:t xml:space="preserve">However, the same might not hold true to other species more reliant on dynamic variables, with </w:t>
      </w:r>
      <w:r w:rsidR="00B34A7C" w:rsidRPr="004B37E9">
        <w:t>different</w:t>
      </w:r>
      <w:r w:rsidR="004F5839" w:rsidRPr="004B37E9">
        <w:t xml:space="preserve"> foraging strategies and/or preying on less predictable types of prey. Therefore, </w:t>
      </w:r>
      <w:r w:rsidR="007E46A4" w:rsidRPr="004B37E9">
        <w:t xml:space="preserve">, we suggest, as a precautionary approach and </w:t>
      </w:r>
      <w:r w:rsidR="00BF4509" w:rsidRPr="004B37E9">
        <w:t>as</w:t>
      </w:r>
      <w:r w:rsidR="007E46A4" w:rsidRPr="004B37E9">
        <w:t xml:space="preserve"> a first step, that only habitat models for Chinstrap penguins should be used to identify </w:t>
      </w:r>
      <w:r w:rsidR="003D1E03" w:rsidRPr="004B37E9">
        <w:t>mIBA</w:t>
      </w:r>
      <w:r w:rsidR="007E46A4" w:rsidRPr="004B37E9">
        <w:t xml:space="preserve">s. </w:t>
      </w:r>
      <w:r w:rsidR="009467AC" w:rsidRPr="004B37E9">
        <w:t>Nevertheless, and given that the distance to the colony is a key factor in shaping the foraging behaviour of most seabird species during the breeding season (REFS), we anticipate that this results will be mirrored in similar studies with other species.</w:t>
      </w:r>
    </w:p>
    <w:p w14:paraId="434518EB" w14:textId="600DE21C" w:rsidR="009467AC" w:rsidRPr="004B37E9" w:rsidRDefault="009467AC" w:rsidP="001E4870">
      <w:pPr>
        <w:spacing w:after="120" w:line="480" w:lineRule="auto"/>
        <w:ind w:firstLine="720"/>
        <w:jc w:val="both"/>
      </w:pPr>
      <w:r w:rsidRPr="004B37E9">
        <w:t xml:space="preserve">Finally, we also note that extrapolation performance of the habitat models can be highly variable (e.g. </w:t>
      </w:r>
      <w:r w:rsidR="009636AD" w:rsidRPr="004B37E9">
        <w:rPr>
          <w:color w:val="808080" w:themeColor="background1" w:themeShade="80"/>
        </w:rPr>
        <w:t xml:space="preserve">Randin et al 2006; </w:t>
      </w:r>
      <w:r w:rsidRPr="004B37E9">
        <w:t>Torres et al. 2015). The models we’ve used preformed considerably better at more local scale (i.e., when extrapolation to nearby colonies) than to larger scales (Warwick-</w:t>
      </w:r>
      <w:r w:rsidRPr="004B37E9">
        <w:lastRenderedPageBreak/>
        <w:t xml:space="preserve">Evans in press), so we recommend some caution when using habitat models built from data collected in </w:t>
      </w:r>
      <w:r w:rsidR="009636AD" w:rsidRPr="004B37E9">
        <w:t>distant locations and/or contrasting environmental conditions.</w:t>
      </w:r>
    </w:p>
    <w:p w14:paraId="43A0BC09" w14:textId="77777777" w:rsidR="00670302" w:rsidRPr="004B37E9" w:rsidRDefault="00670302" w:rsidP="00494B2C">
      <w:pPr>
        <w:spacing w:after="120" w:line="480" w:lineRule="auto"/>
        <w:jc w:val="both"/>
        <w:rPr>
          <w:u w:val="single"/>
        </w:rPr>
      </w:pPr>
    </w:p>
    <w:p w14:paraId="085A851B" w14:textId="09F68022" w:rsidR="00670302" w:rsidRPr="004B37E9" w:rsidRDefault="00AF598B" w:rsidP="00494B2C">
      <w:pPr>
        <w:spacing w:after="120" w:line="480" w:lineRule="auto"/>
        <w:jc w:val="both"/>
        <w:rPr>
          <w:i/>
        </w:rPr>
      </w:pPr>
      <w:r w:rsidRPr="004B37E9">
        <w:rPr>
          <w:i/>
        </w:rPr>
        <w:t>Conclusions and recommendations</w:t>
      </w:r>
    </w:p>
    <w:p w14:paraId="0C9F1D1D" w14:textId="7C354877" w:rsidR="0033678C" w:rsidRPr="004B37E9" w:rsidRDefault="0033678C" w:rsidP="00494B2C">
      <w:pPr>
        <w:spacing w:after="120" w:line="480" w:lineRule="auto"/>
        <w:jc w:val="both"/>
      </w:pPr>
      <w:r w:rsidRPr="004B37E9">
        <w:t xml:space="preserve">In this study we showed, for the first time, that maps of predicted distributions </w:t>
      </w:r>
      <w:r w:rsidR="003474FF" w:rsidRPr="004B37E9">
        <w:t>from</w:t>
      </w:r>
      <w:r w:rsidRPr="004B37E9">
        <w:t xml:space="preserve"> </w:t>
      </w:r>
      <w:r w:rsidR="009012FC" w:rsidRPr="004B37E9">
        <w:t>correlative habitat</w:t>
      </w:r>
      <w:r w:rsidRPr="004B37E9">
        <w:t xml:space="preserve"> suitability models (built from data collected </w:t>
      </w:r>
      <w:r w:rsidR="00140EA6" w:rsidRPr="004B37E9">
        <w:t xml:space="preserve">from other </w:t>
      </w:r>
      <w:r w:rsidRPr="004B37E9">
        <w:t xml:space="preserve">colonies) can be used with a high degree of confidence to identify </w:t>
      </w:r>
      <w:r w:rsidR="003D1E03" w:rsidRPr="004B37E9">
        <w:t>mIBA</w:t>
      </w:r>
      <w:r w:rsidRPr="004B37E9">
        <w:t>s for Chinstrap penguins. Results obtained with data collected during the brood p</w:t>
      </w:r>
      <w:r w:rsidR="004230C3" w:rsidRPr="004B37E9">
        <w:t>hase</w:t>
      </w:r>
      <w:r w:rsidR="002F678F" w:rsidRPr="004B37E9">
        <w:t xml:space="preserve"> were consistently better than those during incubation.</w:t>
      </w:r>
    </w:p>
    <w:p w14:paraId="4F2CA75E" w14:textId="3C9847AB" w:rsidR="0033678C" w:rsidRPr="004B37E9" w:rsidRDefault="002F678F" w:rsidP="00494B2C">
      <w:pPr>
        <w:spacing w:after="120" w:line="480" w:lineRule="auto"/>
        <w:jc w:val="both"/>
      </w:pPr>
      <w:r w:rsidRPr="004B37E9">
        <w:tab/>
        <w:t xml:space="preserve">Given the difficulty in collecting data </w:t>
      </w:r>
      <w:r w:rsidR="00140EA6" w:rsidRPr="004B37E9">
        <w:t xml:space="preserve">at </w:t>
      </w:r>
      <w:r w:rsidR="00655DAB" w:rsidRPr="004B37E9">
        <w:t xml:space="preserve">many </w:t>
      </w:r>
      <w:r w:rsidRPr="004B37E9">
        <w:t xml:space="preserve">important colonies of penguins, the results shown here open a new possibility for the designation of a complete network of </w:t>
      </w:r>
      <w:r w:rsidR="003D1E03" w:rsidRPr="004B37E9">
        <w:t>mIBA</w:t>
      </w:r>
      <w:r w:rsidRPr="004B37E9">
        <w:t>s</w:t>
      </w:r>
      <w:r w:rsidR="004230C3" w:rsidRPr="004B37E9">
        <w:t xml:space="preserve"> for penguins</w:t>
      </w:r>
      <w:r w:rsidRPr="004B37E9">
        <w:t xml:space="preserve"> in Antarctic waters. Nevertheless, tracking data should be used </w:t>
      </w:r>
      <w:r w:rsidR="004230C3" w:rsidRPr="004B37E9">
        <w:t xml:space="preserve">where possible to </w:t>
      </w:r>
      <w:r w:rsidRPr="004B37E9">
        <w:t xml:space="preserve">identify </w:t>
      </w:r>
      <w:r w:rsidR="003D1E03" w:rsidRPr="004B37E9">
        <w:t>mIBA</w:t>
      </w:r>
      <w:r w:rsidRPr="004B37E9">
        <w:t xml:space="preserve">s following the </w:t>
      </w:r>
      <w:r w:rsidR="00AA1352" w:rsidRPr="004B37E9">
        <w:t xml:space="preserve">already established protocols (e.g. Lascelles et al. </w:t>
      </w:r>
      <w:r w:rsidR="00DA7B28" w:rsidRPr="004B37E9">
        <w:t>20</w:t>
      </w:r>
      <w:r w:rsidR="00AA1352" w:rsidRPr="004B37E9">
        <w:t>16; Dias et al. in prep)</w:t>
      </w:r>
      <w:r w:rsidRPr="004B37E9">
        <w:t xml:space="preserve">. </w:t>
      </w:r>
      <w:r w:rsidR="00D212AA" w:rsidRPr="004B37E9">
        <w:t>Results from Trathan et al. (</w:t>
      </w:r>
      <w:r w:rsidR="00DA7B28" w:rsidRPr="004B37E9">
        <w:t>20</w:t>
      </w:r>
      <w:r w:rsidR="00D212AA" w:rsidRPr="004B37E9">
        <w:t xml:space="preserve">17) highlight that tracking data are best derived from with the region under consideration. </w:t>
      </w:r>
      <w:r w:rsidRPr="004B37E9">
        <w:t xml:space="preserve">However, in the cases where tracking data are not available (or not possible to collect), </w:t>
      </w:r>
      <w:r w:rsidR="009012FC" w:rsidRPr="004B37E9">
        <w:t>correlative habitat</w:t>
      </w:r>
      <w:r w:rsidRPr="004B37E9">
        <w:t xml:space="preserve"> models represent a</w:t>
      </w:r>
      <w:r w:rsidR="004230C3" w:rsidRPr="004B37E9">
        <w:t xml:space="preserve"> robust</w:t>
      </w:r>
      <w:r w:rsidRPr="004B37E9">
        <w:t xml:space="preserve"> alternative, especially if </w:t>
      </w:r>
      <w:r w:rsidR="00140EA6" w:rsidRPr="004B37E9">
        <w:t>parameterised mainly with</w:t>
      </w:r>
      <w:r w:rsidRPr="004B37E9">
        <w:t xml:space="preserve"> </w:t>
      </w:r>
      <w:r w:rsidR="00226FAC" w:rsidRPr="004B37E9">
        <w:t>‘</w:t>
      </w:r>
      <w:r w:rsidRPr="004B37E9">
        <w:t>static</w:t>
      </w:r>
      <w:r w:rsidR="00226FAC" w:rsidRPr="004B37E9">
        <w:t>’</w:t>
      </w:r>
      <w:r w:rsidRPr="004B37E9">
        <w:t xml:space="preserve"> variables that can be easily and freely obtained in public databases,</w:t>
      </w:r>
      <w:r w:rsidR="004230C3" w:rsidRPr="004B37E9">
        <w:t xml:space="preserve"> and </w:t>
      </w:r>
      <w:r w:rsidR="00226FAC" w:rsidRPr="004B37E9">
        <w:t xml:space="preserve">which </w:t>
      </w:r>
      <w:r w:rsidR="004230C3" w:rsidRPr="004B37E9">
        <w:t>are not subject to temporal variation</w:t>
      </w:r>
      <w:r w:rsidRPr="004B37E9">
        <w:t xml:space="preserve"> (</w:t>
      </w:r>
      <w:r w:rsidR="00F642B9" w:rsidRPr="004B37E9">
        <w:t xml:space="preserve">Warwick-Evans et al. </w:t>
      </w:r>
      <w:r w:rsidR="00DA7B28" w:rsidRPr="004B37E9">
        <w:t>20</w:t>
      </w:r>
      <w:r w:rsidR="00F642B9" w:rsidRPr="004B37E9">
        <w:t>17</w:t>
      </w:r>
      <w:r w:rsidRPr="004B37E9">
        <w:t>).</w:t>
      </w:r>
      <w:r w:rsidR="00E81690" w:rsidRPr="004B37E9">
        <w:t xml:space="preserve"> </w:t>
      </w:r>
      <w:r w:rsidR="00655DAB" w:rsidRPr="004B37E9">
        <w:t xml:space="preserve">A broader </w:t>
      </w:r>
      <w:r w:rsidR="00E81690" w:rsidRPr="004B37E9">
        <w:t>application of this methodology around other important penguin colonies</w:t>
      </w:r>
      <w:r w:rsidR="00D212AA" w:rsidRPr="004B37E9">
        <w:t xml:space="preserve"> e.g. Chinstrap penguins breeding at the South Shetland Island (Trathan et al. </w:t>
      </w:r>
      <w:r w:rsidR="00DA7B28" w:rsidRPr="004B37E9">
        <w:t>20</w:t>
      </w:r>
      <w:r w:rsidR="00D212AA" w:rsidRPr="004B37E9">
        <w:t>17),</w:t>
      </w:r>
      <w:r w:rsidR="00E81690" w:rsidRPr="004B37E9">
        <w:t xml:space="preserve"> </w:t>
      </w:r>
      <w:r w:rsidR="006636CF" w:rsidRPr="004B37E9">
        <w:t>or other central place-foragers</w:t>
      </w:r>
      <w:r w:rsidR="00D212AA" w:rsidRPr="004B37E9">
        <w:t xml:space="preserve"> (</w:t>
      </w:r>
      <w:r w:rsidR="006636CF" w:rsidRPr="004B37E9">
        <w:t>with the necessary testing</w:t>
      </w:r>
      <w:r w:rsidR="00D212AA" w:rsidRPr="004B37E9">
        <w:t xml:space="preserve"> as developed in this paper</w:t>
      </w:r>
      <w:r w:rsidR="006636CF" w:rsidRPr="004B37E9">
        <w:t>)</w:t>
      </w:r>
      <w:r w:rsidR="00E81690" w:rsidRPr="004B37E9">
        <w:t xml:space="preserve"> </w:t>
      </w:r>
      <w:r w:rsidR="00226FAC" w:rsidRPr="004B37E9">
        <w:t>could improve the</w:t>
      </w:r>
      <w:r w:rsidR="00AA1352" w:rsidRPr="004B37E9">
        <w:t xml:space="preserve"> basis for a precautionary </w:t>
      </w:r>
      <w:r w:rsidR="00226FAC" w:rsidRPr="004B37E9">
        <w:t xml:space="preserve">– </w:t>
      </w:r>
      <w:r w:rsidR="00AA1352" w:rsidRPr="004B37E9">
        <w:t>but still evidence-based</w:t>
      </w:r>
      <w:r w:rsidR="00226FAC" w:rsidRPr="004B37E9">
        <w:t xml:space="preserve"> – </w:t>
      </w:r>
      <w:r w:rsidR="00AA1352" w:rsidRPr="004B37E9">
        <w:t xml:space="preserve">management of the fisheries in </w:t>
      </w:r>
      <w:r w:rsidR="006636CF" w:rsidRPr="004B37E9">
        <w:t>Antarctica</w:t>
      </w:r>
      <w:r w:rsidR="00AA1352" w:rsidRPr="004B37E9">
        <w:t>.</w:t>
      </w:r>
    </w:p>
    <w:p w14:paraId="063C444A" w14:textId="77777777" w:rsidR="002D273B" w:rsidRPr="004B37E9" w:rsidRDefault="002D273B" w:rsidP="00494B2C">
      <w:pPr>
        <w:spacing w:after="120" w:line="480" w:lineRule="auto"/>
        <w:jc w:val="both"/>
      </w:pPr>
    </w:p>
    <w:p w14:paraId="14C50D68" w14:textId="07F2B744" w:rsidR="00456C01" w:rsidRPr="004B37E9" w:rsidRDefault="00494B2C" w:rsidP="00494B2C">
      <w:pPr>
        <w:spacing w:after="120" w:line="480" w:lineRule="auto"/>
        <w:jc w:val="both"/>
        <w:rPr>
          <w:b/>
        </w:rPr>
      </w:pPr>
      <w:r w:rsidRPr="004B37E9">
        <w:rPr>
          <w:b/>
        </w:rPr>
        <w:t>Acknowledgements</w:t>
      </w:r>
    </w:p>
    <w:p w14:paraId="66A00301" w14:textId="5EA94907" w:rsidR="00456C01" w:rsidRPr="004B37E9" w:rsidRDefault="00456C01" w:rsidP="00494B2C">
      <w:pPr>
        <w:spacing w:after="120" w:line="480" w:lineRule="auto"/>
        <w:jc w:val="both"/>
      </w:pPr>
      <w:r w:rsidRPr="004B37E9">
        <w:lastRenderedPageBreak/>
        <w:t xml:space="preserve">The data assessed in this paper can be explored via </w:t>
      </w:r>
      <w:hyperlink r:id="rId8" w:history="1">
        <w:r w:rsidRPr="004B37E9">
          <w:rPr>
            <w:rStyle w:val="Hyperlink"/>
          </w:rPr>
          <w:t>www.seabirdtracking.org</w:t>
        </w:r>
      </w:hyperlink>
      <w:r w:rsidRPr="004B37E9">
        <w:t xml:space="preserve">. Funding for this study was provided </w:t>
      </w:r>
      <w:r w:rsidR="00A9322F" w:rsidRPr="004B37E9">
        <w:t xml:space="preserve">by the Pew Charitable Trusts </w:t>
      </w:r>
      <w:r w:rsidRPr="004B37E9">
        <w:t xml:space="preserve">to BirdLife International </w:t>
      </w:r>
      <w:r w:rsidR="00A9322F" w:rsidRPr="004B37E9">
        <w:t xml:space="preserve">(BI) </w:t>
      </w:r>
      <w:r w:rsidR="00D212AA" w:rsidRPr="004B37E9">
        <w:t>and ERA</w:t>
      </w:r>
      <w:r w:rsidR="00A9322F" w:rsidRPr="004B37E9">
        <w:t xml:space="preserve">, </w:t>
      </w:r>
      <w:r w:rsidR="008E52A3" w:rsidRPr="004B37E9">
        <w:t>by BirdFair</w:t>
      </w:r>
      <w:r w:rsidR="00A9322F" w:rsidRPr="004B37E9">
        <w:t xml:space="preserve"> to BI, by Darwin Plus (DPLUS009, DPLUS054) to </w:t>
      </w:r>
      <w:r w:rsidRPr="004B37E9">
        <w:t>BAS</w:t>
      </w:r>
      <w:r w:rsidR="00A9322F" w:rsidRPr="004B37E9">
        <w:t xml:space="preserve">, BI and ERA and </w:t>
      </w:r>
      <w:r w:rsidRPr="004B37E9">
        <w:t xml:space="preserve">by </w:t>
      </w:r>
      <w:r w:rsidR="00D212AA" w:rsidRPr="004B37E9">
        <w:t>WWF</w:t>
      </w:r>
      <w:r w:rsidR="00A9322F" w:rsidRPr="004B37E9">
        <w:t xml:space="preserve"> to BAS</w:t>
      </w:r>
      <w:r w:rsidRPr="004B37E9">
        <w:t>.</w:t>
      </w:r>
    </w:p>
    <w:p w14:paraId="3AA23EE8" w14:textId="77777777" w:rsidR="00456C01" w:rsidRPr="004B37E9" w:rsidRDefault="00456C01" w:rsidP="00494B2C">
      <w:pPr>
        <w:spacing w:after="120" w:line="480" w:lineRule="auto"/>
        <w:jc w:val="both"/>
      </w:pPr>
    </w:p>
    <w:p w14:paraId="5318AA19" w14:textId="744270B9" w:rsidR="00494B2C" w:rsidRPr="004B37E9" w:rsidRDefault="00494B2C" w:rsidP="00494B2C">
      <w:pPr>
        <w:spacing w:after="120" w:line="480" w:lineRule="auto"/>
        <w:jc w:val="both"/>
        <w:rPr>
          <w:b/>
          <w:lang w:val="pt-PT"/>
        </w:rPr>
      </w:pPr>
      <w:r w:rsidRPr="004B37E9">
        <w:rPr>
          <w:b/>
          <w:lang w:val="pt-PT"/>
        </w:rPr>
        <w:t>References</w:t>
      </w:r>
    </w:p>
    <w:p w14:paraId="7D523580" w14:textId="666EFB90" w:rsidR="006636CF" w:rsidRPr="004B37E9" w:rsidRDefault="006636CF" w:rsidP="006636CF">
      <w:pPr>
        <w:spacing w:after="120" w:line="480" w:lineRule="auto"/>
        <w:ind w:left="284" w:hanging="284"/>
        <w:rPr>
          <w:rFonts w:ascii="Calibri" w:hAnsi="Calibri" w:cs="Calibri"/>
        </w:rPr>
      </w:pPr>
      <w:r w:rsidRPr="004B37E9">
        <w:rPr>
          <w:rFonts w:ascii="Calibri" w:hAnsi="Calibri" w:cs="Calibri"/>
          <w:lang w:val="pt-PT"/>
        </w:rPr>
        <w:t xml:space="preserve">Augé, A.A., Lascelles, B., Dias, M.P., </w:t>
      </w:r>
      <w:r w:rsidR="00DA7B28" w:rsidRPr="004B37E9">
        <w:rPr>
          <w:rFonts w:ascii="Calibri" w:hAnsi="Calibri" w:cs="Calibri"/>
          <w:lang w:val="pt-PT"/>
        </w:rPr>
        <w:t>20</w:t>
      </w:r>
      <w:r w:rsidRPr="004B37E9">
        <w:rPr>
          <w:rFonts w:ascii="Calibri" w:hAnsi="Calibri" w:cs="Calibri"/>
          <w:lang w:val="pt-PT"/>
        </w:rPr>
        <w:t xml:space="preserve">15. </w:t>
      </w:r>
      <w:r w:rsidRPr="004B37E9">
        <w:rPr>
          <w:rFonts w:ascii="Calibri" w:hAnsi="Calibri" w:cs="Calibri"/>
        </w:rPr>
        <w:t>Marine spatial planning for the Falkland Islands. ‘Methodology for identification of important areas for marine megafauna’ workshop report. South Atlantic Environmental Research Institute, Stanley, Falkland Islands.</w:t>
      </w:r>
    </w:p>
    <w:p w14:paraId="55DB643D" w14:textId="36ECF53A"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Block, B.A., Jonsen, I.D., Jorgensen, S.J., Winship, A.J., Shaffer, S.A., Bograd, S.J., Hazen, E.L., Foley, D.G., Breed, G.A., Harrison, A.-L., Ganong, J.E., Swithenbank, A., Castleton, M., Dewar, H., Mate, B.R., Shillinger, G.L., Schaefer, K.M., Benson, S.R., Weise, M.J., Henry, R.W., Costa, D.P., </w:t>
      </w:r>
      <w:r w:rsidR="00DA7B28" w:rsidRPr="004B37E9">
        <w:rPr>
          <w:rFonts w:ascii="Calibri" w:hAnsi="Calibri" w:cs="Calibri"/>
        </w:rPr>
        <w:t>20</w:t>
      </w:r>
      <w:r w:rsidRPr="004B37E9">
        <w:rPr>
          <w:rFonts w:ascii="Calibri" w:hAnsi="Calibri" w:cs="Calibri"/>
        </w:rPr>
        <w:t>11. Tracking apex marine predator movements in a dynamic ocean. Nature 475, 86–90. doi:10.1038/nature10082</w:t>
      </w:r>
    </w:p>
    <w:p w14:paraId="5CA151FF" w14:textId="7CE883CB" w:rsidR="006636CF" w:rsidRPr="004B37E9" w:rsidRDefault="006636CF" w:rsidP="006636CF">
      <w:pPr>
        <w:spacing w:after="120" w:line="480" w:lineRule="auto"/>
        <w:ind w:left="284" w:hanging="284"/>
        <w:rPr>
          <w:rFonts w:ascii="Calibri" w:hAnsi="Calibri" w:cs="Calibri"/>
          <w:lang w:val="pt-PT"/>
        </w:rPr>
      </w:pPr>
      <w:r w:rsidRPr="004B37E9">
        <w:rPr>
          <w:rFonts w:ascii="Calibri" w:hAnsi="Calibri" w:cs="Calibri"/>
          <w:lang w:val="pt-PT"/>
        </w:rPr>
        <w:t xml:space="preserve">Dias, M., Granadeiro, J., Catry, P., </w:t>
      </w:r>
      <w:r w:rsidR="00DA7B28" w:rsidRPr="004B37E9">
        <w:rPr>
          <w:rFonts w:ascii="Calibri" w:hAnsi="Calibri" w:cs="Calibri"/>
          <w:lang w:val="pt-PT"/>
        </w:rPr>
        <w:t>20</w:t>
      </w:r>
      <w:r w:rsidRPr="004B37E9">
        <w:rPr>
          <w:rFonts w:ascii="Calibri" w:hAnsi="Calibri" w:cs="Calibri"/>
          <w:lang w:val="pt-PT"/>
        </w:rPr>
        <w:t xml:space="preserve">12. </w:t>
      </w:r>
      <w:r w:rsidRPr="004B37E9">
        <w:rPr>
          <w:rFonts w:ascii="Calibri" w:hAnsi="Calibri" w:cs="Calibri"/>
        </w:rPr>
        <w:t xml:space="preserve">Working the day or the night shift? Foraging schedules of Cory’s shearwaters vary according to marine habitat. </w:t>
      </w:r>
      <w:r w:rsidRPr="004B37E9">
        <w:rPr>
          <w:rFonts w:ascii="Calibri" w:hAnsi="Calibri" w:cs="Calibri"/>
          <w:lang w:val="pt-PT"/>
        </w:rPr>
        <w:t>Mar. Ecol. Prog. Ser. 467, 245–252. doi:10.3354/meps09966</w:t>
      </w:r>
    </w:p>
    <w:p w14:paraId="33D39BAC" w14:textId="7DDDA9DD" w:rsidR="006636CF" w:rsidRPr="004B37E9" w:rsidRDefault="006636CF" w:rsidP="006636CF">
      <w:pPr>
        <w:spacing w:after="120" w:line="480" w:lineRule="auto"/>
        <w:ind w:left="284" w:hanging="284"/>
        <w:rPr>
          <w:rFonts w:ascii="Calibri" w:hAnsi="Calibri" w:cs="Calibri"/>
        </w:rPr>
      </w:pPr>
      <w:r w:rsidRPr="004B37E9">
        <w:rPr>
          <w:rFonts w:ascii="Calibri" w:hAnsi="Calibri" w:cs="Calibri"/>
          <w:lang w:val="pt-PT"/>
        </w:rPr>
        <w:t xml:space="preserve">Dias, M.P., Granadeiro, J.P., Phillips, R.A., Alonso, H., Catry, P., </w:t>
      </w:r>
      <w:r w:rsidR="00DA7B28" w:rsidRPr="004B37E9">
        <w:rPr>
          <w:rFonts w:ascii="Calibri" w:hAnsi="Calibri" w:cs="Calibri"/>
          <w:lang w:val="pt-PT"/>
        </w:rPr>
        <w:t>20</w:t>
      </w:r>
      <w:r w:rsidRPr="004B37E9">
        <w:rPr>
          <w:rFonts w:ascii="Calibri" w:hAnsi="Calibri" w:cs="Calibri"/>
          <w:lang w:val="pt-PT"/>
        </w:rPr>
        <w:t xml:space="preserve">11. </w:t>
      </w:r>
      <w:r w:rsidRPr="004B37E9">
        <w:rPr>
          <w:rFonts w:ascii="Calibri" w:hAnsi="Calibri" w:cs="Calibri"/>
        </w:rPr>
        <w:t>Breaking the routine: individual Cory’s shearwaters shift winter destinations between hemispheres and across ocean basins. Proc. R. Soc. B Biol. Sci. 278, 1786–1793. doi:10.1098/rspb.</w:t>
      </w:r>
      <w:r w:rsidR="00DA7B28" w:rsidRPr="004B37E9">
        <w:rPr>
          <w:rFonts w:ascii="Calibri" w:hAnsi="Calibri" w:cs="Calibri"/>
        </w:rPr>
        <w:t>20</w:t>
      </w:r>
      <w:r w:rsidRPr="004B37E9">
        <w:rPr>
          <w:rFonts w:ascii="Calibri" w:hAnsi="Calibri" w:cs="Calibri"/>
        </w:rPr>
        <w:t>10.2114</w:t>
      </w:r>
    </w:p>
    <w:p w14:paraId="5807EEDF" w14:textId="048FA971"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Dias, M.P., Oppel, S., Bond, A.L., Carneiro, A.P.B., Cuthbert, R.J., González-Solís, J., Wanless, R.M., Glass, T., Lascelles, B., Small, C., Phillips, R.A., Ryan, P.G., </w:t>
      </w:r>
      <w:r w:rsidR="00DA7B28" w:rsidRPr="004B37E9">
        <w:rPr>
          <w:rFonts w:ascii="Calibri" w:hAnsi="Calibri" w:cs="Calibri"/>
        </w:rPr>
        <w:t>20</w:t>
      </w:r>
      <w:r w:rsidRPr="004B37E9">
        <w:rPr>
          <w:rFonts w:ascii="Calibri" w:hAnsi="Calibri" w:cs="Calibri"/>
        </w:rPr>
        <w:t>17. Using globally threatened pelagic birds to identify priority sites for marine conservation in the South Atlantic Ocean. Biol. Conserv. 211, 76–84. doi:10.1016/j.biocon.</w:t>
      </w:r>
      <w:r w:rsidR="00DA7B28" w:rsidRPr="004B37E9">
        <w:rPr>
          <w:rFonts w:ascii="Calibri" w:hAnsi="Calibri" w:cs="Calibri"/>
        </w:rPr>
        <w:t>20</w:t>
      </w:r>
      <w:r w:rsidRPr="004B37E9">
        <w:rPr>
          <w:rFonts w:ascii="Calibri" w:hAnsi="Calibri" w:cs="Calibri"/>
        </w:rPr>
        <w:t>17.05.009</w:t>
      </w:r>
    </w:p>
    <w:p w14:paraId="4363D59A" w14:textId="77777777"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lastRenderedPageBreak/>
        <w:t>Dias, M.P., Carneiro, A.P.B., Warwick-Evans, V., Harris, C., Lorenz, K., Lascelles, B.G.,  Clewlow, H.L., Dunn, M. J., Hinke, J.T., Kim, J.-H, Kokubun, N., Manco, F., Ratcliffe, N., Santos, M., Takahashi, A, Trivelpiece, W, Trathan, P. Identification of marine Important Bird and Biodiversity Areas for penguins around the South Shetland Islands and South Orkney Islands. In prep</w:t>
      </w:r>
    </w:p>
    <w:p w14:paraId="680640B2" w14:textId="77777777"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Donald, P.F., Fishpool, L.D.C., Ajagbe, A., Bennun, L.A., Bunting, G. et al., in press. Important Bird and Biodiversity Areas (IBAs): the development and characteristics of a global inventory of key sites for biodiversity. Bird Conservation International</w:t>
      </w:r>
    </w:p>
    <w:p w14:paraId="52ECDF01" w14:textId="18A69F04"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Dunn, M.J., Jackson, J.A., Adlard, S., Lynnes, A.S., Briggs, D.R., Fox, D., Waluda, C.M., </w:t>
      </w:r>
      <w:r w:rsidR="00DA7B28" w:rsidRPr="004B37E9">
        <w:rPr>
          <w:rFonts w:ascii="Calibri" w:hAnsi="Calibri" w:cs="Calibri"/>
        </w:rPr>
        <w:t>20</w:t>
      </w:r>
      <w:r w:rsidRPr="004B37E9">
        <w:rPr>
          <w:rFonts w:ascii="Calibri" w:hAnsi="Calibri" w:cs="Calibri"/>
        </w:rPr>
        <w:t>16. Population Size and Decadal Trends of Three Penguin Species Nesting at Signy Island, South Orkney Islands. PLOS ONE 11, e0164025. doi:10.1371/journal.pone.0164025</w:t>
      </w:r>
    </w:p>
    <w:p w14:paraId="64340A3E" w14:textId="6A37AFF7"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Greene, C.H., Block, B.A., Welch, D., Jackson, G., Lawson, G.L., Rechisky, E.L., </w:t>
      </w:r>
      <w:r w:rsidR="00DA7B28" w:rsidRPr="004B37E9">
        <w:rPr>
          <w:rFonts w:ascii="Calibri" w:hAnsi="Calibri" w:cs="Calibri"/>
        </w:rPr>
        <w:t>20</w:t>
      </w:r>
      <w:r w:rsidRPr="004B37E9">
        <w:rPr>
          <w:rFonts w:ascii="Calibri" w:hAnsi="Calibri" w:cs="Calibri"/>
        </w:rPr>
        <w:t>09. Advances in conservation oceanography: new tagging and tracking technologies and their potential for transforming the science underlying fisheries management. Oceanography 22, 210–223.</w:t>
      </w:r>
    </w:p>
    <w:p w14:paraId="3B79E768" w14:textId="71AC58BC"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Hays, G.C., Ferreira, L.C., Sequeira, A.M.M., Meekan, M.G., Duarte, C.M., Bailey, H., Bailleul, F., Bowen, W.D., Caley, M.J., Costa, D.P., Egu?luz, V.M., Fossette, S., Friedlaender, A.S., Gales, N., Gleiss, A.C., Gunn, J., Harcourt, R., Hazen, E.L., Heithaus, M.R., Heupel, M., Holland, K., Horning, M., Jonsen, I., Kooyman, G.L., Lowe, C.G., Madsen, P.T., Marsh, H., Phillips, R.A., Righton, D., Ropert-Coudert, Y., Sato, K., Shaffer, S.A., Simpfendorfer, C.A., Sims, D.W., Skomal, G., Takahashi, A., Trathan, P.N., Wikelski, M., Womble, J.N., Thums, M., </w:t>
      </w:r>
      <w:r w:rsidR="00DA7B28" w:rsidRPr="004B37E9">
        <w:rPr>
          <w:rFonts w:ascii="Calibri" w:hAnsi="Calibri" w:cs="Calibri"/>
        </w:rPr>
        <w:t>20</w:t>
      </w:r>
      <w:r w:rsidRPr="004B37E9">
        <w:rPr>
          <w:rFonts w:ascii="Calibri" w:hAnsi="Calibri" w:cs="Calibri"/>
        </w:rPr>
        <w:t>16. Key Questions in Marine Megafauna Movement Ecology. Trends Ecol. Evol. 31, 463–475. doi:10.1016/j.tree.</w:t>
      </w:r>
      <w:r w:rsidR="00DA7B28" w:rsidRPr="004B37E9">
        <w:rPr>
          <w:rFonts w:ascii="Calibri" w:hAnsi="Calibri" w:cs="Calibri"/>
        </w:rPr>
        <w:t>20</w:t>
      </w:r>
      <w:r w:rsidRPr="004B37E9">
        <w:rPr>
          <w:rFonts w:ascii="Calibri" w:hAnsi="Calibri" w:cs="Calibri"/>
        </w:rPr>
        <w:t>16.02.015</w:t>
      </w:r>
    </w:p>
    <w:p w14:paraId="4EAF566C" w14:textId="3B0E5270"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Hazen, E.L., Jorgensen, S., Rykaczewski, R.R., Bograd, S.J., Foley, D.G., Jonsen, I.D., Shaffer, S.A., Dunne, J.P., Costa, D.P., Crowder, L.B., Block, B.A., </w:t>
      </w:r>
      <w:r w:rsidR="00DA7B28" w:rsidRPr="004B37E9">
        <w:rPr>
          <w:rFonts w:ascii="Calibri" w:hAnsi="Calibri" w:cs="Calibri"/>
        </w:rPr>
        <w:t>20</w:t>
      </w:r>
      <w:r w:rsidRPr="004B37E9">
        <w:rPr>
          <w:rFonts w:ascii="Calibri" w:hAnsi="Calibri" w:cs="Calibri"/>
        </w:rPr>
        <w:t>12. Predicted habitat shifts of Pacific top predators in a changing climate. Nat. Clim. Change 3, 234–238. doi:10.1038/nclimate1686</w:t>
      </w:r>
    </w:p>
    <w:p w14:paraId="37935EAD" w14:textId="77D09EB2"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Kato, A., Yoshioka, A., Sato, K., </w:t>
      </w:r>
      <w:r w:rsidR="00DA7B28" w:rsidRPr="004B37E9">
        <w:rPr>
          <w:rFonts w:ascii="Calibri" w:hAnsi="Calibri" w:cs="Calibri"/>
        </w:rPr>
        <w:t>20</w:t>
      </w:r>
      <w:r w:rsidRPr="004B37E9">
        <w:rPr>
          <w:rFonts w:ascii="Calibri" w:hAnsi="Calibri" w:cs="Calibri"/>
        </w:rPr>
        <w:t>09. Foraging behavior of Adélie penguins during incubation period in Lützow-Holm Bay. Polar Biol. 32, 181–186. doi:10.1007/s00300-008-0518-9</w:t>
      </w:r>
    </w:p>
    <w:p w14:paraId="4AC1AD5A" w14:textId="554C8DC8"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lastRenderedPageBreak/>
        <w:t xml:space="preserve">Lascelles, B.G., Langham, G.M., Ronconi, R.A., Reid, J.B., </w:t>
      </w:r>
      <w:r w:rsidR="00DA7B28" w:rsidRPr="004B37E9">
        <w:rPr>
          <w:rFonts w:ascii="Calibri" w:hAnsi="Calibri" w:cs="Calibri"/>
        </w:rPr>
        <w:t>20</w:t>
      </w:r>
      <w:r w:rsidRPr="004B37E9">
        <w:rPr>
          <w:rFonts w:ascii="Calibri" w:hAnsi="Calibri" w:cs="Calibri"/>
        </w:rPr>
        <w:t>12. From hotspots to site protection: Identifying Marine Protected Areas for seabirds around the globe. Biol. Conserv., Seabirds and Marine Protected Areas planning 156, 5–14. doi:10.1016/j.biocon.</w:t>
      </w:r>
      <w:r w:rsidR="00DA7B28" w:rsidRPr="004B37E9">
        <w:rPr>
          <w:rFonts w:ascii="Calibri" w:hAnsi="Calibri" w:cs="Calibri"/>
        </w:rPr>
        <w:t>20</w:t>
      </w:r>
      <w:r w:rsidRPr="004B37E9">
        <w:rPr>
          <w:rFonts w:ascii="Calibri" w:hAnsi="Calibri" w:cs="Calibri"/>
        </w:rPr>
        <w:t>11.12.008</w:t>
      </w:r>
    </w:p>
    <w:p w14:paraId="032426D9" w14:textId="04729FCC"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Lascelles, B.G., Taylor, P.R., Miller, M.G.R., Dias, M.P., Oppel, S., Torres, L., Hedd, A., Le Corre, M., Phillips, R.A., Shaffer, S.A., Weimerskirch, H., Small, C., </w:t>
      </w:r>
      <w:r w:rsidR="00DA7B28" w:rsidRPr="004B37E9">
        <w:rPr>
          <w:rFonts w:ascii="Calibri" w:hAnsi="Calibri" w:cs="Calibri"/>
        </w:rPr>
        <w:t>20</w:t>
      </w:r>
      <w:r w:rsidRPr="004B37E9">
        <w:rPr>
          <w:rFonts w:ascii="Calibri" w:hAnsi="Calibri" w:cs="Calibri"/>
        </w:rPr>
        <w:t>16. Applying global criteria to tracking data to define important areas for marine conservation. Divers. Distrib. 22, 422–431. doi:10.1111/ddi.12411</w:t>
      </w:r>
    </w:p>
    <w:p w14:paraId="1CF2FB72" w14:textId="72A7DFD7"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Maxwell, S.M., Breed, G.A., Nickel, B.A., Makanga-Bahouna, J., Pemo-Makaya, E., Parnell, R.J., Formia, A., Ngouessono, S., Godley, B.J., Costa, D.P., Witt, M.J., Coyne, M.S., </w:t>
      </w:r>
      <w:r w:rsidR="00DA7B28" w:rsidRPr="004B37E9">
        <w:rPr>
          <w:rFonts w:ascii="Calibri" w:hAnsi="Calibri" w:cs="Calibri"/>
        </w:rPr>
        <w:t>20</w:t>
      </w:r>
      <w:r w:rsidRPr="004B37E9">
        <w:rPr>
          <w:rFonts w:ascii="Calibri" w:hAnsi="Calibri" w:cs="Calibri"/>
        </w:rPr>
        <w:t>11. Using Satellite Tracking to Optimize Protection of Long-Lived Marine Species: Olive Ridley Sea Turtle Conservation in Central Africa. PLOS ONE 6, e</w:t>
      </w:r>
      <w:r w:rsidR="00DA7B28" w:rsidRPr="004B37E9">
        <w:rPr>
          <w:rFonts w:ascii="Calibri" w:hAnsi="Calibri" w:cs="Calibri"/>
        </w:rPr>
        <w:t>19</w:t>
      </w:r>
      <w:r w:rsidRPr="004B37E9">
        <w:rPr>
          <w:rFonts w:ascii="Calibri" w:hAnsi="Calibri" w:cs="Calibri"/>
        </w:rPr>
        <w:t>905. doi:10.1371/journal.pone.00</w:t>
      </w:r>
      <w:r w:rsidR="00DA7B28" w:rsidRPr="004B37E9">
        <w:rPr>
          <w:rFonts w:ascii="Calibri" w:hAnsi="Calibri" w:cs="Calibri"/>
        </w:rPr>
        <w:t>19</w:t>
      </w:r>
      <w:r w:rsidRPr="004B37E9">
        <w:rPr>
          <w:rFonts w:ascii="Calibri" w:hAnsi="Calibri" w:cs="Calibri"/>
        </w:rPr>
        <w:t>905</w:t>
      </w:r>
    </w:p>
    <w:p w14:paraId="30A50920" w14:textId="02F1895F"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Poncet, S., Poncet, J. </w:t>
      </w:r>
      <w:r w:rsidR="00DA7B28" w:rsidRPr="004B37E9">
        <w:rPr>
          <w:rFonts w:ascii="Calibri" w:hAnsi="Calibri" w:cs="Calibri"/>
        </w:rPr>
        <w:t>19</w:t>
      </w:r>
      <w:r w:rsidRPr="004B37E9">
        <w:rPr>
          <w:rFonts w:ascii="Calibri" w:hAnsi="Calibri" w:cs="Calibri"/>
        </w:rPr>
        <w:t>85. A survey of penguin breeding populations at the South Orkney Islands. British Antarctic Survey Bulletin 68: 71-81.</w:t>
      </w:r>
    </w:p>
    <w:p w14:paraId="465BF0C2" w14:textId="4A5FC0A1"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R Core Team </w:t>
      </w:r>
      <w:r w:rsidR="00DA7B28" w:rsidRPr="004B37E9">
        <w:rPr>
          <w:rFonts w:ascii="Calibri" w:hAnsi="Calibri" w:cs="Calibri"/>
        </w:rPr>
        <w:t>20</w:t>
      </w:r>
      <w:r w:rsidRPr="004B37E9">
        <w:rPr>
          <w:rFonts w:ascii="Calibri" w:hAnsi="Calibri" w:cs="Calibri"/>
        </w:rPr>
        <w:t>16. R: A language and environment for statistical computing. R  Foundation for Statistical Computing, Vienna, Austria. URL https://www.R-project.org/.</w:t>
      </w:r>
    </w:p>
    <w:p w14:paraId="49A4348D" w14:textId="4DB6D5FA" w:rsidR="00877B84" w:rsidRPr="004B37E9" w:rsidRDefault="00877B84" w:rsidP="006636CF">
      <w:pPr>
        <w:spacing w:after="120" w:line="480" w:lineRule="auto"/>
        <w:ind w:left="284" w:hanging="284"/>
        <w:rPr>
          <w:rFonts w:ascii="Calibri" w:hAnsi="Calibri" w:cs="Calibri"/>
        </w:rPr>
      </w:pPr>
      <w:r w:rsidRPr="004B37E9">
        <w:rPr>
          <w:rFonts w:ascii="Calibri" w:hAnsi="Calibri" w:cs="Calibri"/>
        </w:rPr>
        <w:t xml:space="preserve">Raymond, B., Lea, M.-A., Patterson, T., Andrews-Goff, V., Sharples, R., Charrassin, J.-B., Cottin, M., Emmerson, L., Gales, N., Gales, R., Goldsworthy, S.D., Harcourt, R., Kato, A., Kirkwood, R., Lawton, K., Ropert-Coudert, Y., Southwell, C., van den Hoff, J., Wienecke, B., Woehler, E.J., Wotherspoon, S., Hindell, M.A., </w:t>
      </w:r>
      <w:r w:rsidR="00DA7B28" w:rsidRPr="004B37E9">
        <w:rPr>
          <w:rFonts w:ascii="Calibri" w:hAnsi="Calibri" w:cs="Calibri"/>
        </w:rPr>
        <w:t>20</w:t>
      </w:r>
      <w:r w:rsidRPr="004B37E9">
        <w:rPr>
          <w:rFonts w:ascii="Calibri" w:hAnsi="Calibri" w:cs="Calibri"/>
        </w:rPr>
        <w:t>15. Important marine habitat off east Antarctica revealed by two decades of multi-species predator tracking. Ecography 38, 121–129. doi:10.1111/ecog.01021</w:t>
      </w:r>
    </w:p>
    <w:p w14:paraId="50301E0A" w14:textId="4A2597C5"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Ramos, R., Granadeiro, J.P., Rodríguez, B., Navarro, J., Paiva, V.H., B?cares, J., Reyes-González, J.M., Fagundes, I., Ruiz, A., Arcos, P., González-Solís, J., Catry, P., </w:t>
      </w:r>
      <w:r w:rsidR="00DA7B28" w:rsidRPr="004B37E9">
        <w:rPr>
          <w:rFonts w:ascii="Calibri" w:hAnsi="Calibri" w:cs="Calibri"/>
        </w:rPr>
        <w:t>20</w:t>
      </w:r>
      <w:r w:rsidRPr="004B37E9">
        <w:rPr>
          <w:rFonts w:ascii="Calibri" w:hAnsi="Calibri" w:cs="Calibri"/>
        </w:rPr>
        <w:t xml:space="preserve">13. Meta-population feeding grounds of Cory’s shearwater in the subtropical Atlantic Ocean: implications for the definition of Marine Protected Areas based on tracking studies. Divers. Distrib. </w:t>
      </w:r>
      <w:r w:rsidR="00DA7B28" w:rsidRPr="004B37E9">
        <w:rPr>
          <w:rFonts w:ascii="Calibri" w:hAnsi="Calibri" w:cs="Calibri"/>
        </w:rPr>
        <w:t>19</w:t>
      </w:r>
      <w:r w:rsidRPr="004B37E9">
        <w:rPr>
          <w:rFonts w:ascii="Calibri" w:hAnsi="Calibri" w:cs="Calibri"/>
        </w:rPr>
        <w:t>, 1284–1298. doi:10.1111/ddi.1</w:t>
      </w:r>
      <w:r w:rsidR="00DA7B28" w:rsidRPr="004B37E9">
        <w:rPr>
          <w:rFonts w:ascii="Calibri" w:hAnsi="Calibri" w:cs="Calibri"/>
        </w:rPr>
        <w:t>20</w:t>
      </w:r>
      <w:r w:rsidRPr="004B37E9">
        <w:rPr>
          <w:rFonts w:ascii="Calibri" w:hAnsi="Calibri" w:cs="Calibri"/>
        </w:rPr>
        <w:t>88</w:t>
      </w:r>
    </w:p>
    <w:p w14:paraId="60FD3E1F" w14:textId="3557D4CF"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lastRenderedPageBreak/>
        <w:t xml:space="preserve">Scheffer, A., Trathan, P.N., Edmonston, J.G., Bost, C.-A., </w:t>
      </w:r>
      <w:r w:rsidR="00DA7B28" w:rsidRPr="004B37E9">
        <w:rPr>
          <w:rFonts w:ascii="Calibri" w:hAnsi="Calibri" w:cs="Calibri"/>
        </w:rPr>
        <w:t>20</w:t>
      </w:r>
      <w:r w:rsidRPr="004B37E9">
        <w:rPr>
          <w:rFonts w:ascii="Calibri" w:hAnsi="Calibri" w:cs="Calibri"/>
        </w:rPr>
        <w:t>16. Combined influence of meso-scale circulation and bathymetry on the foraging behaviour of a diving predator, the king penguin (Aptenodytes patagonicus). Prog. Oceanogr. 141, 1–16. doi:10.1016/j.pocean.</w:t>
      </w:r>
      <w:r w:rsidR="00DA7B28" w:rsidRPr="004B37E9">
        <w:rPr>
          <w:rFonts w:ascii="Calibri" w:hAnsi="Calibri" w:cs="Calibri"/>
        </w:rPr>
        <w:t>20</w:t>
      </w:r>
      <w:r w:rsidRPr="004B37E9">
        <w:rPr>
          <w:rFonts w:ascii="Calibri" w:hAnsi="Calibri" w:cs="Calibri"/>
        </w:rPr>
        <w:t>15.10.005</w:t>
      </w:r>
    </w:p>
    <w:p w14:paraId="5F059A15" w14:textId="5F4A6E11" w:rsidR="00C72910" w:rsidRPr="004B37E9" w:rsidRDefault="00C72910" w:rsidP="006636CF">
      <w:pPr>
        <w:spacing w:after="120" w:line="480" w:lineRule="auto"/>
        <w:ind w:left="284" w:hanging="284"/>
        <w:rPr>
          <w:rFonts w:ascii="Calibri" w:hAnsi="Calibri" w:cs="Calibri"/>
        </w:rPr>
      </w:pPr>
      <w:r w:rsidRPr="004B37E9">
        <w:rPr>
          <w:rFonts w:ascii="Calibri" w:hAnsi="Calibri" w:cs="Calibri"/>
        </w:rPr>
        <w:t xml:space="preserve">Trathan, P.N., Warwick-Evans, V., Hinke, J., Young, E.F., Carneiro, A.P.B., Dias, M.P., Kovacs, K., Rune, O.G. and Santos, M., </w:t>
      </w:r>
      <w:r w:rsidR="00DA7B28" w:rsidRPr="004B37E9">
        <w:rPr>
          <w:rFonts w:ascii="Calibri" w:hAnsi="Calibri" w:cs="Calibri"/>
        </w:rPr>
        <w:t>20</w:t>
      </w:r>
      <w:r w:rsidRPr="004B37E9">
        <w:rPr>
          <w:rFonts w:ascii="Calibri" w:hAnsi="Calibri" w:cs="Calibri"/>
        </w:rPr>
        <w:t>17. Characterising the preferred at-sea habitats used by chinstrap penguins and the fishery for Antarctic krill: slow-flowing, nearshore waters over shallow bathymetry. WG-EMM-17.</w:t>
      </w:r>
    </w:p>
    <w:p w14:paraId="3621E190" w14:textId="7A98A5AE" w:rsidR="00877B84" w:rsidRPr="004B37E9" w:rsidRDefault="00877B84" w:rsidP="006636CF">
      <w:pPr>
        <w:spacing w:after="120" w:line="480" w:lineRule="auto"/>
        <w:ind w:left="284" w:hanging="284"/>
        <w:rPr>
          <w:rFonts w:ascii="Calibri" w:hAnsi="Calibri" w:cs="Calibri"/>
        </w:rPr>
      </w:pPr>
      <w:r w:rsidRPr="004B37E9">
        <w:rPr>
          <w:rFonts w:ascii="Calibri" w:hAnsi="Calibri" w:cs="Calibri"/>
        </w:rPr>
        <w:t xml:space="preserve">Wakefield, E.D., Owen, E., Baer, J., Carroll, M.J., Daunt, F., Dodd, S.G., Green, J.A., Guilford, T., Mavor, R.A., Miller, P.I., Newell, M.A., Newton, S.F., Robertson, G.S., Shoji, A., Soanes, L.M., Votier, S.C., Wanless, S., Bolton, M., </w:t>
      </w:r>
      <w:r w:rsidR="00DA7B28" w:rsidRPr="004B37E9">
        <w:rPr>
          <w:rFonts w:ascii="Calibri" w:hAnsi="Calibri" w:cs="Calibri"/>
        </w:rPr>
        <w:t>20</w:t>
      </w:r>
      <w:r w:rsidRPr="004B37E9">
        <w:rPr>
          <w:rFonts w:ascii="Calibri" w:hAnsi="Calibri" w:cs="Calibri"/>
        </w:rPr>
        <w:t xml:space="preserve">17. Breeding density, fine-scale tracking, and large-scale modeling reveal the regional distribution of four seabird species. Ecol. Appl. 27, </w:t>
      </w:r>
      <w:r w:rsidR="00DA7B28" w:rsidRPr="004B37E9">
        <w:rPr>
          <w:rFonts w:ascii="Calibri" w:hAnsi="Calibri" w:cs="Calibri"/>
        </w:rPr>
        <w:t>20</w:t>
      </w:r>
      <w:r w:rsidRPr="004B37E9">
        <w:rPr>
          <w:rFonts w:ascii="Calibri" w:hAnsi="Calibri" w:cs="Calibri"/>
        </w:rPr>
        <w:t>74–</w:t>
      </w:r>
      <w:r w:rsidR="00DA7B28" w:rsidRPr="004B37E9">
        <w:rPr>
          <w:rFonts w:ascii="Calibri" w:hAnsi="Calibri" w:cs="Calibri"/>
        </w:rPr>
        <w:t>20</w:t>
      </w:r>
      <w:r w:rsidRPr="004B37E9">
        <w:rPr>
          <w:rFonts w:ascii="Calibri" w:hAnsi="Calibri" w:cs="Calibri"/>
        </w:rPr>
        <w:t>91. doi:10.1002/eap.1591</w:t>
      </w:r>
    </w:p>
    <w:p w14:paraId="6BDB45D8" w14:textId="502AB1F4"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Warwick-Evans, V., Ratcliffe, N., Clewlow, H., Ireland, L., Lowther, A., Manco, F., Trathan, P.N., </w:t>
      </w:r>
      <w:r w:rsidR="00DA7B28" w:rsidRPr="004B37E9">
        <w:rPr>
          <w:rFonts w:ascii="Calibri" w:hAnsi="Calibri" w:cs="Calibri"/>
        </w:rPr>
        <w:t>20</w:t>
      </w:r>
      <w:r w:rsidRPr="004B37E9">
        <w:rPr>
          <w:rFonts w:ascii="Calibri" w:hAnsi="Calibri" w:cs="Calibri"/>
        </w:rPr>
        <w:t>17. Using preferred habitat models for chinstrap penguins Pygoscelis antarctica to help improve krill fisheries management during the penguin breeding season. WG-EMM-17.</w:t>
      </w:r>
    </w:p>
    <w:p w14:paraId="2FD385AB" w14:textId="62BBF2E8" w:rsidR="006636CF" w:rsidRPr="004B37E9" w:rsidRDefault="006636CF" w:rsidP="006636CF">
      <w:pPr>
        <w:spacing w:after="120" w:line="480" w:lineRule="auto"/>
        <w:ind w:left="284" w:hanging="284"/>
        <w:rPr>
          <w:rFonts w:ascii="Calibri" w:hAnsi="Calibri" w:cs="Calibri"/>
        </w:rPr>
      </w:pPr>
      <w:r w:rsidRPr="004B37E9">
        <w:rPr>
          <w:rFonts w:ascii="Calibri" w:hAnsi="Calibri" w:cs="Calibri"/>
        </w:rPr>
        <w:t xml:space="preserve">Wood, S.N., </w:t>
      </w:r>
      <w:r w:rsidR="00DA7B28" w:rsidRPr="004B37E9">
        <w:rPr>
          <w:rFonts w:ascii="Calibri" w:hAnsi="Calibri" w:cs="Calibri"/>
        </w:rPr>
        <w:t>20</w:t>
      </w:r>
      <w:r w:rsidRPr="004B37E9">
        <w:rPr>
          <w:rFonts w:ascii="Calibri" w:hAnsi="Calibri" w:cs="Calibri"/>
        </w:rPr>
        <w:t>04. Stable and Efficient Multiple Smoothing Parameter Estimation for Generalized Additive Models. J. Am. Stat. Assoc. 99, 673–686. doi:10.1</w:t>
      </w:r>
      <w:r w:rsidR="00DA7B28" w:rsidRPr="004B37E9">
        <w:rPr>
          <w:rFonts w:ascii="Calibri" w:hAnsi="Calibri" w:cs="Calibri"/>
        </w:rPr>
        <w:t>19</w:t>
      </w:r>
      <w:r w:rsidRPr="004B37E9">
        <w:rPr>
          <w:rFonts w:ascii="Calibri" w:hAnsi="Calibri" w:cs="Calibri"/>
        </w:rPr>
        <w:t>8/016214504000000980</w:t>
      </w:r>
    </w:p>
    <w:p w14:paraId="1B865DA9" w14:textId="77777777" w:rsidR="006636CF" w:rsidRPr="004B37E9" w:rsidRDefault="006636CF" w:rsidP="006636CF">
      <w:pPr>
        <w:spacing w:after="120" w:line="480" w:lineRule="auto"/>
        <w:rPr>
          <w:rFonts w:ascii="Calibri" w:hAnsi="Calibri" w:cs="Calibri"/>
        </w:rPr>
      </w:pPr>
    </w:p>
    <w:p w14:paraId="4F524C73" w14:textId="77777777" w:rsidR="006636CF" w:rsidRPr="004B37E9" w:rsidRDefault="006636CF">
      <w:pPr>
        <w:rPr>
          <w:rFonts w:ascii="Calibri" w:hAnsi="Calibri" w:cs="Calibri"/>
        </w:rPr>
      </w:pPr>
      <w:r w:rsidRPr="004B37E9">
        <w:rPr>
          <w:rFonts w:ascii="Calibri" w:hAnsi="Calibri" w:cs="Calibri"/>
        </w:rPr>
        <w:br w:type="page"/>
      </w:r>
    </w:p>
    <w:p w14:paraId="76DEC7F5" w14:textId="0CC3D1BF" w:rsidR="00BD39B5" w:rsidRPr="004B37E9" w:rsidRDefault="00BD39B5" w:rsidP="006636CF">
      <w:pPr>
        <w:spacing w:after="120" w:line="480" w:lineRule="auto"/>
      </w:pPr>
      <w:r w:rsidRPr="004B37E9">
        <w:lastRenderedPageBreak/>
        <w:t>List of Tables:</w:t>
      </w:r>
    </w:p>
    <w:p w14:paraId="5BA9EDF9" w14:textId="77777777" w:rsidR="00BD39B5" w:rsidRPr="004B37E9" w:rsidRDefault="00BD39B5" w:rsidP="00494B2C">
      <w:pPr>
        <w:spacing w:after="120" w:line="480" w:lineRule="auto"/>
      </w:pPr>
    </w:p>
    <w:p w14:paraId="211B5FEC" w14:textId="6E81D3C8" w:rsidR="00BD39B5" w:rsidRPr="004B37E9" w:rsidRDefault="00BD39B5" w:rsidP="00494B2C">
      <w:pPr>
        <w:spacing w:after="120" w:line="480" w:lineRule="auto"/>
      </w:pPr>
      <w:r w:rsidRPr="004B37E9">
        <w:t xml:space="preserve">Table 1: Summary of the tracking data analysed for Chinstrap penguins in </w:t>
      </w:r>
      <w:r w:rsidR="00200B81" w:rsidRPr="004B37E9">
        <w:t xml:space="preserve">the </w:t>
      </w:r>
      <w:r w:rsidRPr="004B37E9">
        <w:t>South Orkney Islands</w:t>
      </w:r>
    </w:p>
    <w:tbl>
      <w:tblPr>
        <w:tblStyle w:val="TableGrid"/>
        <w:tblW w:w="8940"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1560"/>
        <w:gridCol w:w="1568"/>
        <w:gridCol w:w="993"/>
        <w:gridCol w:w="1124"/>
        <w:gridCol w:w="860"/>
        <w:gridCol w:w="1134"/>
      </w:tblGrid>
      <w:tr w:rsidR="00BD39B5" w:rsidRPr="004B37E9" w14:paraId="3FAC4888" w14:textId="77777777" w:rsidTr="00DA3E23">
        <w:trPr>
          <w:tblHeader/>
          <w:jc w:val="center"/>
        </w:trPr>
        <w:tc>
          <w:tcPr>
            <w:tcW w:w="1701" w:type="dxa"/>
            <w:tcBorders>
              <w:top w:val="single" w:sz="4" w:space="0" w:color="auto"/>
              <w:bottom w:val="single" w:sz="4" w:space="0" w:color="auto"/>
            </w:tcBorders>
          </w:tcPr>
          <w:p w14:paraId="323B9AE1" w14:textId="77777777" w:rsidR="00BD39B5" w:rsidRPr="004B37E9" w:rsidRDefault="00BD39B5" w:rsidP="00D5684D">
            <w:pPr>
              <w:spacing w:after="120"/>
              <w:jc w:val="center"/>
              <w:rPr>
                <w:rFonts w:cstheme="minorHAnsi"/>
                <w:b/>
              </w:rPr>
            </w:pPr>
            <w:r w:rsidRPr="004B37E9">
              <w:rPr>
                <w:rFonts w:cstheme="minorHAnsi"/>
                <w:b/>
              </w:rPr>
              <w:t>Colony</w:t>
            </w:r>
          </w:p>
        </w:tc>
        <w:tc>
          <w:tcPr>
            <w:tcW w:w="1560" w:type="dxa"/>
            <w:tcBorders>
              <w:top w:val="single" w:sz="4" w:space="0" w:color="auto"/>
              <w:bottom w:val="single" w:sz="4" w:space="0" w:color="auto"/>
            </w:tcBorders>
          </w:tcPr>
          <w:p w14:paraId="33B181C8" w14:textId="77777777" w:rsidR="00BD39B5" w:rsidRPr="004B37E9" w:rsidRDefault="00BD39B5" w:rsidP="00D5684D">
            <w:pPr>
              <w:spacing w:after="120"/>
              <w:jc w:val="center"/>
              <w:rPr>
                <w:rFonts w:cstheme="minorHAnsi"/>
                <w:b/>
              </w:rPr>
            </w:pPr>
            <w:r w:rsidRPr="004B37E9">
              <w:rPr>
                <w:rFonts w:cstheme="minorHAnsi"/>
                <w:b/>
              </w:rPr>
              <w:t>Location</w:t>
            </w:r>
          </w:p>
          <w:p w14:paraId="3BCC998B" w14:textId="790C78EE" w:rsidR="00BD39B5" w:rsidRPr="004B37E9" w:rsidRDefault="00DA3E23" w:rsidP="00D5684D">
            <w:pPr>
              <w:spacing w:after="120"/>
              <w:jc w:val="center"/>
              <w:rPr>
                <w:rFonts w:cstheme="minorHAnsi"/>
                <w:b/>
              </w:rPr>
            </w:pPr>
            <w:r w:rsidRPr="004B37E9">
              <w:rPr>
                <w:rFonts w:cstheme="minorHAnsi"/>
                <w:b/>
              </w:rPr>
              <w:t>(L</w:t>
            </w:r>
            <w:r w:rsidR="00BD39B5" w:rsidRPr="004B37E9">
              <w:rPr>
                <w:rFonts w:cstheme="minorHAnsi"/>
                <w:b/>
              </w:rPr>
              <w:t>at/Long)</w:t>
            </w:r>
          </w:p>
        </w:tc>
        <w:tc>
          <w:tcPr>
            <w:tcW w:w="1568" w:type="dxa"/>
            <w:tcBorders>
              <w:top w:val="single" w:sz="4" w:space="0" w:color="auto"/>
              <w:bottom w:val="single" w:sz="4" w:space="0" w:color="auto"/>
            </w:tcBorders>
          </w:tcPr>
          <w:p w14:paraId="332B32B4" w14:textId="77777777" w:rsidR="00BD39B5" w:rsidRPr="004B37E9" w:rsidRDefault="00BD39B5" w:rsidP="00D5684D">
            <w:pPr>
              <w:spacing w:after="120"/>
              <w:jc w:val="center"/>
              <w:rPr>
                <w:rFonts w:cstheme="minorHAnsi"/>
                <w:b/>
              </w:rPr>
            </w:pPr>
            <w:r w:rsidRPr="004B37E9">
              <w:rPr>
                <w:rFonts w:cstheme="minorHAnsi"/>
                <w:b/>
              </w:rPr>
              <w:t>Stage</w:t>
            </w:r>
          </w:p>
        </w:tc>
        <w:tc>
          <w:tcPr>
            <w:tcW w:w="993" w:type="dxa"/>
            <w:tcBorders>
              <w:top w:val="single" w:sz="4" w:space="0" w:color="auto"/>
              <w:bottom w:val="single" w:sz="4" w:space="0" w:color="auto"/>
            </w:tcBorders>
          </w:tcPr>
          <w:p w14:paraId="1B44E8A0" w14:textId="77777777" w:rsidR="00BD39B5" w:rsidRPr="004B37E9" w:rsidRDefault="00BD39B5" w:rsidP="00D5684D">
            <w:pPr>
              <w:spacing w:after="120"/>
              <w:jc w:val="center"/>
              <w:rPr>
                <w:rFonts w:cstheme="minorHAnsi"/>
                <w:b/>
              </w:rPr>
            </w:pPr>
            <w:r w:rsidRPr="004B37E9">
              <w:rPr>
                <w:rFonts w:cstheme="minorHAnsi"/>
                <w:b/>
              </w:rPr>
              <w:t>Sample size</w:t>
            </w:r>
          </w:p>
          <w:p w14:paraId="3D9D15AC" w14:textId="77777777" w:rsidR="00BD39B5" w:rsidRPr="004B37E9" w:rsidRDefault="00BD39B5" w:rsidP="00D5684D">
            <w:pPr>
              <w:spacing w:after="120"/>
              <w:jc w:val="center"/>
              <w:rPr>
                <w:rFonts w:cstheme="minorHAnsi"/>
                <w:b/>
              </w:rPr>
            </w:pPr>
            <w:r w:rsidRPr="004B37E9">
              <w:rPr>
                <w:rFonts w:cstheme="minorHAnsi"/>
                <w:b/>
              </w:rPr>
              <w:t>(N birds)</w:t>
            </w:r>
          </w:p>
        </w:tc>
        <w:tc>
          <w:tcPr>
            <w:tcW w:w="1124" w:type="dxa"/>
            <w:tcBorders>
              <w:top w:val="single" w:sz="4" w:space="0" w:color="auto"/>
              <w:bottom w:val="single" w:sz="4" w:space="0" w:color="auto"/>
            </w:tcBorders>
          </w:tcPr>
          <w:p w14:paraId="4E552F44" w14:textId="77777777" w:rsidR="00BD39B5" w:rsidRPr="004B37E9" w:rsidRDefault="00BD39B5" w:rsidP="00D5684D">
            <w:pPr>
              <w:spacing w:after="120"/>
              <w:jc w:val="center"/>
              <w:rPr>
                <w:rFonts w:cstheme="minorHAnsi"/>
                <w:b/>
              </w:rPr>
            </w:pPr>
            <w:r w:rsidRPr="004B37E9">
              <w:rPr>
                <w:rFonts w:cstheme="minorHAnsi"/>
                <w:b/>
              </w:rPr>
              <w:t>Sample size</w:t>
            </w:r>
          </w:p>
          <w:p w14:paraId="35031DFE" w14:textId="77777777" w:rsidR="00BD39B5" w:rsidRPr="004B37E9" w:rsidRDefault="00BD39B5" w:rsidP="00D5684D">
            <w:pPr>
              <w:spacing w:after="120"/>
              <w:jc w:val="center"/>
              <w:rPr>
                <w:rFonts w:cstheme="minorHAnsi"/>
                <w:b/>
              </w:rPr>
            </w:pPr>
            <w:r w:rsidRPr="004B37E9">
              <w:rPr>
                <w:rFonts w:cstheme="minorHAnsi"/>
                <w:b/>
              </w:rPr>
              <w:t>(N locations)</w:t>
            </w:r>
          </w:p>
        </w:tc>
        <w:tc>
          <w:tcPr>
            <w:tcW w:w="860" w:type="dxa"/>
            <w:tcBorders>
              <w:top w:val="single" w:sz="4" w:space="0" w:color="auto"/>
              <w:bottom w:val="single" w:sz="4" w:space="0" w:color="auto"/>
            </w:tcBorders>
          </w:tcPr>
          <w:p w14:paraId="53A26E64" w14:textId="77777777" w:rsidR="00BD39B5" w:rsidRPr="004B37E9" w:rsidRDefault="00BD39B5" w:rsidP="00D5684D">
            <w:pPr>
              <w:spacing w:after="120"/>
              <w:jc w:val="center"/>
              <w:rPr>
                <w:rFonts w:cstheme="minorHAnsi"/>
                <w:b/>
              </w:rPr>
            </w:pPr>
            <w:r w:rsidRPr="004B37E9">
              <w:rPr>
                <w:rFonts w:cstheme="minorHAnsi"/>
                <w:b/>
              </w:rPr>
              <w:t>Years</w:t>
            </w:r>
          </w:p>
        </w:tc>
        <w:tc>
          <w:tcPr>
            <w:tcW w:w="1134" w:type="dxa"/>
            <w:tcBorders>
              <w:top w:val="single" w:sz="4" w:space="0" w:color="auto"/>
              <w:bottom w:val="single" w:sz="4" w:space="0" w:color="auto"/>
            </w:tcBorders>
          </w:tcPr>
          <w:p w14:paraId="1971D95B" w14:textId="77777777" w:rsidR="00BD39B5" w:rsidRPr="004B37E9" w:rsidRDefault="00BD39B5" w:rsidP="00D5684D">
            <w:pPr>
              <w:spacing w:after="120"/>
              <w:jc w:val="center"/>
              <w:rPr>
                <w:rFonts w:cstheme="minorHAnsi"/>
                <w:b/>
              </w:rPr>
            </w:pPr>
            <w:r w:rsidRPr="004B37E9">
              <w:rPr>
                <w:rFonts w:cstheme="minorHAnsi"/>
                <w:b/>
              </w:rPr>
              <w:t>Colony size (pairs)</w:t>
            </w:r>
          </w:p>
        </w:tc>
      </w:tr>
      <w:tr w:rsidR="00BD39B5" w:rsidRPr="004B37E9" w14:paraId="3A648B3C" w14:textId="77777777" w:rsidTr="00DA3E23">
        <w:trPr>
          <w:jc w:val="center"/>
        </w:trPr>
        <w:tc>
          <w:tcPr>
            <w:tcW w:w="1701" w:type="dxa"/>
          </w:tcPr>
          <w:p w14:paraId="4F676664" w14:textId="77777777" w:rsidR="00BD39B5" w:rsidRPr="004B37E9" w:rsidRDefault="00BD39B5" w:rsidP="00D5684D">
            <w:pPr>
              <w:spacing w:after="120"/>
              <w:jc w:val="center"/>
              <w:rPr>
                <w:rFonts w:cstheme="minorHAnsi"/>
              </w:rPr>
            </w:pPr>
            <w:r w:rsidRPr="004B37E9">
              <w:rPr>
                <w:rFonts w:cstheme="minorHAnsi"/>
              </w:rPr>
              <w:t>Laurie</w:t>
            </w:r>
          </w:p>
        </w:tc>
        <w:tc>
          <w:tcPr>
            <w:tcW w:w="1560" w:type="dxa"/>
            <w:tcBorders>
              <w:top w:val="nil"/>
              <w:left w:val="nil"/>
              <w:bottom w:val="nil"/>
              <w:right w:val="nil"/>
            </w:tcBorders>
            <w:shd w:val="clear" w:color="auto" w:fill="auto"/>
            <w:vAlign w:val="bottom"/>
          </w:tcPr>
          <w:p w14:paraId="4CCFF420" w14:textId="77777777" w:rsidR="00BD39B5" w:rsidRPr="004B37E9" w:rsidRDefault="00BD39B5" w:rsidP="00D5684D">
            <w:pPr>
              <w:spacing w:after="120"/>
              <w:jc w:val="center"/>
              <w:rPr>
                <w:rFonts w:cstheme="minorHAnsi"/>
              </w:rPr>
            </w:pPr>
            <w:r w:rsidRPr="004B37E9">
              <w:rPr>
                <w:rFonts w:cstheme="minorHAnsi"/>
              </w:rPr>
              <w:t>-60.68, -44.59</w:t>
            </w:r>
          </w:p>
        </w:tc>
        <w:tc>
          <w:tcPr>
            <w:tcW w:w="1568" w:type="dxa"/>
          </w:tcPr>
          <w:p w14:paraId="60D55BBF" w14:textId="77777777" w:rsidR="00BD39B5" w:rsidRPr="004B37E9" w:rsidRDefault="00BD39B5" w:rsidP="00D5684D">
            <w:pPr>
              <w:spacing w:after="120"/>
              <w:jc w:val="center"/>
              <w:rPr>
                <w:rFonts w:cstheme="minorHAnsi"/>
              </w:rPr>
            </w:pPr>
            <w:r w:rsidRPr="004B37E9">
              <w:rPr>
                <w:rFonts w:cstheme="minorHAnsi"/>
              </w:rPr>
              <w:t>brood</w:t>
            </w:r>
          </w:p>
        </w:tc>
        <w:tc>
          <w:tcPr>
            <w:tcW w:w="993" w:type="dxa"/>
          </w:tcPr>
          <w:p w14:paraId="742D8C58" w14:textId="77777777" w:rsidR="00BD39B5" w:rsidRPr="004B37E9" w:rsidRDefault="00BD39B5" w:rsidP="00D5684D">
            <w:pPr>
              <w:spacing w:after="120"/>
              <w:jc w:val="center"/>
              <w:rPr>
                <w:rFonts w:cstheme="minorHAnsi"/>
              </w:rPr>
            </w:pPr>
            <w:r w:rsidRPr="004B37E9">
              <w:rPr>
                <w:rFonts w:cstheme="minorHAnsi"/>
              </w:rPr>
              <w:t>21</w:t>
            </w:r>
          </w:p>
        </w:tc>
        <w:tc>
          <w:tcPr>
            <w:tcW w:w="1124" w:type="dxa"/>
          </w:tcPr>
          <w:p w14:paraId="126E03A2" w14:textId="77777777" w:rsidR="00BD39B5" w:rsidRPr="004B37E9" w:rsidRDefault="00BD39B5" w:rsidP="00D5684D">
            <w:pPr>
              <w:jc w:val="center"/>
            </w:pPr>
            <w:r w:rsidRPr="004B37E9">
              <w:t>29085</w:t>
            </w:r>
          </w:p>
        </w:tc>
        <w:tc>
          <w:tcPr>
            <w:tcW w:w="860" w:type="dxa"/>
          </w:tcPr>
          <w:p w14:paraId="218E147A" w14:textId="5F95F1CF" w:rsidR="00BD39B5" w:rsidRPr="004B37E9" w:rsidRDefault="00DA7B28" w:rsidP="00D5684D">
            <w:pPr>
              <w:jc w:val="center"/>
            </w:pPr>
            <w:r w:rsidRPr="004B37E9">
              <w:t>20</w:t>
            </w:r>
            <w:r w:rsidR="00BD39B5" w:rsidRPr="004B37E9">
              <w:t>11-</w:t>
            </w:r>
            <w:r w:rsidRPr="004B37E9">
              <w:t>20</w:t>
            </w:r>
            <w:r w:rsidR="00BD39B5" w:rsidRPr="004B37E9">
              <w:t>12</w:t>
            </w:r>
          </w:p>
        </w:tc>
        <w:tc>
          <w:tcPr>
            <w:tcW w:w="1134" w:type="dxa"/>
          </w:tcPr>
          <w:p w14:paraId="62B44FC1" w14:textId="77777777" w:rsidR="00BD39B5" w:rsidRPr="004B37E9" w:rsidRDefault="00BD39B5" w:rsidP="00D5684D">
            <w:pPr>
              <w:spacing w:after="120"/>
              <w:jc w:val="center"/>
              <w:rPr>
                <w:rFonts w:cstheme="minorHAnsi"/>
              </w:rPr>
            </w:pPr>
            <w:r w:rsidRPr="004B37E9">
              <w:rPr>
                <w:rFonts w:cstheme="minorHAnsi"/>
              </w:rPr>
              <w:t>2439 (1)</w:t>
            </w:r>
          </w:p>
        </w:tc>
      </w:tr>
      <w:tr w:rsidR="00BD39B5" w:rsidRPr="004B37E9" w14:paraId="421A34D8" w14:textId="77777777" w:rsidTr="00DA3E23">
        <w:trPr>
          <w:jc w:val="center"/>
        </w:trPr>
        <w:tc>
          <w:tcPr>
            <w:tcW w:w="1701" w:type="dxa"/>
          </w:tcPr>
          <w:p w14:paraId="3E3E5AC2" w14:textId="77777777" w:rsidR="00BD39B5" w:rsidRPr="004B37E9" w:rsidRDefault="00BD39B5" w:rsidP="00D5684D">
            <w:pPr>
              <w:spacing w:after="120"/>
              <w:jc w:val="center"/>
              <w:rPr>
                <w:rFonts w:cstheme="minorHAnsi"/>
              </w:rPr>
            </w:pPr>
            <w:r w:rsidRPr="004B37E9">
              <w:rPr>
                <w:rFonts w:cstheme="minorHAnsi"/>
              </w:rPr>
              <w:t>Laurie</w:t>
            </w:r>
          </w:p>
        </w:tc>
        <w:tc>
          <w:tcPr>
            <w:tcW w:w="1560" w:type="dxa"/>
            <w:tcBorders>
              <w:top w:val="nil"/>
              <w:left w:val="nil"/>
              <w:bottom w:val="nil"/>
              <w:right w:val="nil"/>
            </w:tcBorders>
            <w:shd w:val="clear" w:color="auto" w:fill="auto"/>
            <w:vAlign w:val="bottom"/>
          </w:tcPr>
          <w:p w14:paraId="792C95C5" w14:textId="77777777" w:rsidR="00BD39B5" w:rsidRPr="004B37E9" w:rsidRDefault="00BD39B5" w:rsidP="00D5684D">
            <w:pPr>
              <w:spacing w:after="120"/>
              <w:jc w:val="center"/>
              <w:rPr>
                <w:rFonts w:cstheme="minorHAnsi"/>
              </w:rPr>
            </w:pPr>
            <w:r w:rsidRPr="004B37E9">
              <w:rPr>
                <w:rFonts w:cstheme="minorHAnsi"/>
              </w:rPr>
              <w:t>-60.68, -44.59</w:t>
            </w:r>
          </w:p>
        </w:tc>
        <w:tc>
          <w:tcPr>
            <w:tcW w:w="1568" w:type="dxa"/>
          </w:tcPr>
          <w:p w14:paraId="3E7AA9D7" w14:textId="77777777" w:rsidR="00BD39B5" w:rsidRPr="004B37E9" w:rsidRDefault="00BD39B5" w:rsidP="00D5684D">
            <w:pPr>
              <w:spacing w:after="120"/>
              <w:jc w:val="center"/>
              <w:rPr>
                <w:rFonts w:cstheme="minorHAnsi"/>
              </w:rPr>
            </w:pPr>
            <w:r w:rsidRPr="004B37E9">
              <w:rPr>
                <w:rFonts w:cstheme="minorHAnsi"/>
              </w:rPr>
              <w:t>incubation</w:t>
            </w:r>
          </w:p>
        </w:tc>
        <w:tc>
          <w:tcPr>
            <w:tcW w:w="993" w:type="dxa"/>
          </w:tcPr>
          <w:p w14:paraId="02D27FF1" w14:textId="77777777" w:rsidR="00BD39B5" w:rsidRPr="004B37E9" w:rsidRDefault="00BD39B5" w:rsidP="00D5684D">
            <w:pPr>
              <w:spacing w:after="120"/>
              <w:jc w:val="center"/>
              <w:rPr>
                <w:rFonts w:cstheme="minorHAnsi"/>
              </w:rPr>
            </w:pPr>
            <w:r w:rsidRPr="004B37E9">
              <w:rPr>
                <w:rFonts w:cstheme="minorHAnsi"/>
              </w:rPr>
              <w:t>34</w:t>
            </w:r>
          </w:p>
        </w:tc>
        <w:tc>
          <w:tcPr>
            <w:tcW w:w="1124" w:type="dxa"/>
          </w:tcPr>
          <w:p w14:paraId="6082E411" w14:textId="77777777" w:rsidR="00BD39B5" w:rsidRPr="004B37E9" w:rsidRDefault="00BD39B5" w:rsidP="00D5684D">
            <w:pPr>
              <w:jc w:val="center"/>
            </w:pPr>
            <w:r w:rsidRPr="004B37E9">
              <w:t>48142</w:t>
            </w:r>
          </w:p>
        </w:tc>
        <w:tc>
          <w:tcPr>
            <w:tcW w:w="860" w:type="dxa"/>
          </w:tcPr>
          <w:p w14:paraId="18743DC4" w14:textId="604A3E81" w:rsidR="00BD39B5" w:rsidRPr="004B37E9" w:rsidRDefault="00DA7B28" w:rsidP="00D5684D">
            <w:pPr>
              <w:jc w:val="center"/>
            </w:pPr>
            <w:r w:rsidRPr="004B37E9">
              <w:t>20</w:t>
            </w:r>
            <w:r w:rsidR="00BD39B5" w:rsidRPr="004B37E9">
              <w:t>11-</w:t>
            </w:r>
            <w:r w:rsidRPr="004B37E9">
              <w:t>20</w:t>
            </w:r>
            <w:r w:rsidR="00BD39B5" w:rsidRPr="004B37E9">
              <w:t>12</w:t>
            </w:r>
          </w:p>
        </w:tc>
        <w:tc>
          <w:tcPr>
            <w:tcW w:w="1134" w:type="dxa"/>
          </w:tcPr>
          <w:p w14:paraId="3E724DA9" w14:textId="77777777" w:rsidR="00BD39B5" w:rsidRPr="004B37E9" w:rsidRDefault="00BD39B5" w:rsidP="00D5684D">
            <w:pPr>
              <w:spacing w:after="120"/>
              <w:jc w:val="center"/>
              <w:rPr>
                <w:rFonts w:cstheme="minorHAnsi"/>
              </w:rPr>
            </w:pPr>
            <w:r w:rsidRPr="004B37E9">
              <w:rPr>
                <w:rFonts w:cstheme="minorHAnsi"/>
              </w:rPr>
              <w:t>2439 (1)</w:t>
            </w:r>
          </w:p>
        </w:tc>
      </w:tr>
      <w:tr w:rsidR="00BD39B5" w:rsidRPr="004B37E9" w14:paraId="2140C105" w14:textId="77777777" w:rsidTr="00DA3E23">
        <w:trPr>
          <w:jc w:val="center"/>
        </w:trPr>
        <w:tc>
          <w:tcPr>
            <w:tcW w:w="1701" w:type="dxa"/>
          </w:tcPr>
          <w:p w14:paraId="026A2441" w14:textId="77777777" w:rsidR="00BD39B5" w:rsidRPr="004B37E9" w:rsidRDefault="00BD39B5" w:rsidP="00D5684D">
            <w:pPr>
              <w:spacing w:after="120"/>
              <w:jc w:val="center"/>
              <w:rPr>
                <w:rFonts w:cstheme="minorHAnsi"/>
              </w:rPr>
            </w:pPr>
            <w:r w:rsidRPr="004B37E9">
              <w:rPr>
                <w:rFonts w:cstheme="minorHAnsi"/>
              </w:rPr>
              <w:t>Monroe</w:t>
            </w:r>
          </w:p>
        </w:tc>
        <w:tc>
          <w:tcPr>
            <w:tcW w:w="1560" w:type="dxa"/>
            <w:tcBorders>
              <w:top w:val="nil"/>
              <w:left w:val="nil"/>
              <w:bottom w:val="nil"/>
              <w:right w:val="nil"/>
            </w:tcBorders>
            <w:shd w:val="clear" w:color="auto" w:fill="auto"/>
            <w:vAlign w:val="bottom"/>
          </w:tcPr>
          <w:p w14:paraId="3CFD86AA" w14:textId="77777777" w:rsidR="00BD39B5" w:rsidRPr="004B37E9" w:rsidRDefault="00BD39B5" w:rsidP="00D5684D">
            <w:pPr>
              <w:spacing w:after="120"/>
              <w:jc w:val="center"/>
              <w:rPr>
                <w:rFonts w:cstheme="minorHAnsi"/>
              </w:rPr>
            </w:pPr>
            <w:r w:rsidRPr="004B37E9">
              <w:rPr>
                <w:rFonts w:cstheme="minorHAnsi"/>
              </w:rPr>
              <w:t>-60.6, -46.06</w:t>
            </w:r>
          </w:p>
        </w:tc>
        <w:tc>
          <w:tcPr>
            <w:tcW w:w="1568" w:type="dxa"/>
          </w:tcPr>
          <w:p w14:paraId="6523F250" w14:textId="77777777" w:rsidR="00BD39B5" w:rsidRPr="004B37E9" w:rsidRDefault="00BD39B5" w:rsidP="00D5684D">
            <w:pPr>
              <w:spacing w:after="120"/>
              <w:jc w:val="center"/>
              <w:rPr>
                <w:rFonts w:cstheme="minorHAnsi"/>
              </w:rPr>
            </w:pPr>
            <w:r w:rsidRPr="004B37E9">
              <w:rPr>
                <w:rFonts w:cstheme="minorHAnsi"/>
              </w:rPr>
              <w:t>brood</w:t>
            </w:r>
          </w:p>
        </w:tc>
        <w:tc>
          <w:tcPr>
            <w:tcW w:w="993" w:type="dxa"/>
          </w:tcPr>
          <w:p w14:paraId="2F13CDA4" w14:textId="77777777" w:rsidR="00BD39B5" w:rsidRPr="004B37E9" w:rsidRDefault="00BD39B5" w:rsidP="00D5684D">
            <w:pPr>
              <w:spacing w:after="120"/>
              <w:jc w:val="center"/>
              <w:rPr>
                <w:rFonts w:cstheme="minorHAnsi"/>
              </w:rPr>
            </w:pPr>
            <w:r w:rsidRPr="004B37E9">
              <w:rPr>
                <w:rFonts w:cstheme="minorHAnsi"/>
              </w:rPr>
              <w:t>28</w:t>
            </w:r>
          </w:p>
        </w:tc>
        <w:tc>
          <w:tcPr>
            <w:tcW w:w="1124" w:type="dxa"/>
          </w:tcPr>
          <w:p w14:paraId="25C4D99B" w14:textId="77777777" w:rsidR="00BD39B5" w:rsidRPr="004B37E9" w:rsidRDefault="00BD39B5" w:rsidP="00D5684D">
            <w:pPr>
              <w:jc w:val="center"/>
            </w:pPr>
            <w:r w:rsidRPr="004B37E9">
              <w:t>12772</w:t>
            </w:r>
          </w:p>
        </w:tc>
        <w:tc>
          <w:tcPr>
            <w:tcW w:w="860" w:type="dxa"/>
          </w:tcPr>
          <w:p w14:paraId="0BDCDEA9" w14:textId="7DDDC79C" w:rsidR="00BD39B5" w:rsidRPr="004B37E9" w:rsidRDefault="00DA7B28" w:rsidP="00D5684D">
            <w:pPr>
              <w:jc w:val="center"/>
            </w:pPr>
            <w:r w:rsidRPr="004B37E9">
              <w:t>20</w:t>
            </w:r>
            <w:r w:rsidR="00BD39B5" w:rsidRPr="004B37E9">
              <w:t>15-</w:t>
            </w:r>
            <w:r w:rsidRPr="004B37E9">
              <w:t>20</w:t>
            </w:r>
            <w:r w:rsidR="00BD39B5" w:rsidRPr="004B37E9">
              <w:t>16</w:t>
            </w:r>
          </w:p>
        </w:tc>
        <w:tc>
          <w:tcPr>
            <w:tcW w:w="1134" w:type="dxa"/>
          </w:tcPr>
          <w:p w14:paraId="3356BA95" w14:textId="77777777" w:rsidR="00BD39B5" w:rsidRPr="004B37E9" w:rsidRDefault="00BD39B5" w:rsidP="00D5684D">
            <w:pPr>
              <w:spacing w:after="120"/>
              <w:jc w:val="center"/>
              <w:rPr>
                <w:rFonts w:cstheme="minorHAnsi"/>
              </w:rPr>
            </w:pPr>
            <w:r w:rsidRPr="004B37E9">
              <w:rPr>
                <w:rFonts w:cstheme="minorHAnsi"/>
              </w:rPr>
              <w:t>33333 (1)</w:t>
            </w:r>
          </w:p>
        </w:tc>
      </w:tr>
      <w:tr w:rsidR="00BD39B5" w:rsidRPr="004B37E9" w14:paraId="14095091" w14:textId="77777777" w:rsidTr="00DA3E23">
        <w:trPr>
          <w:jc w:val="center"/>
        </w:trPr>
        <w:tc>
          <w:tcPr>
            <w:tcW w:w="1701" w:type="dxa"/>
          </w:tcPr>
          <w:p w14:paraId="4C399CF4" w14:textId="77777777" w:rsidR="00BD39B5" w:rsidRPr="004B37E9" w:rsidRDefault="00BD39B5" w:rsidP="00D5684D">
            <w:pPr>
              <w:spacing w:after="120"/>
              <w:jc w:val="center"/>
              <w:rPr>
                <w:rFonts w:cstheme="minorHAnsi"/>
              </w:rPr>
            </w:pPr>
            <w:r w:rsidRPr="004B37E9">
              <w:rPr>
                <w:rFonts w:cstheme="minorHAnsi"/>
              </w:rPr>
              <w:t>Monroe</w:t>
            </w:r>
          </w:p>
        </w:tc>
        <w:tc>
          <w:tcPr>
            <w:tcW w:w="1560" w:type="dxa"/>
            <w:tcBorders>
              <w:top w:val="nil"/>
              <w:left w:val="nil"/>
              <w:bottom w:val="nil"/>
              <w:right w:val="nil"/>
            </w:tcBorders>
            <w:shd w:val="clear" w:color="auto" w:fill="auto"/>
            <w:vAlign w:val="bottom"/>
          </w:tcPr>
          <w:p w14:paraId="59472910" w14:textId="77777777" w:rsidR="00BD39B5" w:rsidRPr="004B37E9" w:rsidRDefault="00BD39B5" w:rsidP="00D5684D">
            <w:pPr>
              <w:spacing w:after="120"/>
              <w:jc w:val="center"/>
              <w:rPr>
                <w:rFonts w:cstheme="minorHAnsi"/>
              </w:rPr>
            </w:pPr>
            <w:r w:rsidRPr="004B37E9">
              <w:rPr>
                <w:rFonts w:cstheme="minorHAnsi"/>
              </w:rPr>
              <w:t>-60.6, -46.06</w:t>
            </w:r>
          </w:p>
        </w:tc>
        <w:tc>
          <w:tcPr>
            <w:tcW w:w="1568" w:type="dxa"/>
          </w:tcPr>
          <w:p w14:paraId="19FF1E49" w14:textId="77777777" w:rsidR="00BD39B5" w:rsidRPr="004B37E9" w:rsidRDefault="00BD39B5" w:rsidP="00D5684D">
            <w:pPr>
              <w:spacing w:after="120"/>
              <w:jc w:val="center"/>
              <w:rPr>
                <w:rFonts w:cstheme="minorHAnsi"/>
              </w:rPr>
            </w:pPr>
            <w:r w:rsidRPr="004B37E9">
              <w:rPr>
                <w:rFonts w:cstheme="minorHAnsi"/>
              </w:rPr>
              <w:t>incubation</w:t>
            </w:r>
          </w:p>
        </w:tc>
        <w:tc>
          <w:tcPr>
            <w:tcW w:w="993" w:type="dxa"/>
          </w:tcPr>
          <w:p w14:paraId="6B399755" w14:textId="77777777" w:rsidR="00BD39B5" w:rsidRPr="004B37E9" w:rsidRDefault="00BD39B5" w:rsidP="00D5684D">
            <w:pPr>
              <w:spacing w:after="120"/>
              <w:jc w:val="center"/>
              <w:rPr>
                <w:rFonts w:cstheme="minorHAnsi"/>
              </w:rPr>
            </w:pPr>
            <w:r w:rsidRPr="004B37E9">
              <w:rPr>
                <w:rFonts w:cstheme="minorHAnsi"/>
              </w:rPr>
              <w:t>13</w:t>
            </w:r>
          </w:p>
        </w:tc>
        <w:tc>
          <w:tcPr>
            <w:tcW w:w="1124" w:type="dxa"/>
          </w:tcPr>
          <w:p w14:paraId="1B6F764B" w14:textId="66527AE1" w:rsidR="00BD39B5" w:rsidRPr="004B37E9" w:rsidRDefault="00DA7B28" w:rsidP="00D5684D">
            <w:pPr>
              <w:jc w:val="center"/>
            </w:pPr>
            <w:r w:rsidRPr="004B37E9">
              <w:t>20</w:t>
            </w:r>
            <w:r w:rsidR="00BD39B5" w:rsidRPr="004B37E9">
              <w:t>125</w:t>
            </w:r>
          </w:p>
        </w:tc>
        <w:tc>
          <w:tcPr>
            <w:tcW w:w="860" w:type="dxa"/>
          </w:tcPr>
          <w:p w14:paraId="1E19C9A1" w14:textId="29C60D83" w:rsidR="00BD39B5" w:rsidRPr="004B37E9" w:rsidRDefault="00DA7B28" w:rsidP="00D5684D">
            <w:pPr>
              <w:jc w:val="center"/>
            </w:pPr>
            <w:r w:rsidRPr="004B37E9">
              <w:t>20</w:t>
            </w:r>
            <w:r w:rsidR="00BD39B5" w:rsidRPr="004B37E9">
              <w:t>15-</w:t>
            </w:r>
            <w:r w:rsidRPr="004B37E9">
              <w:t>20</w:t>
            </w:r>
            <w:r w:rsidR="00BD39B5" w:rsidRPr="004B37E9">
              <w:t>16</w:t>
            </w:r>
          </w:p>
        </w:tc>
        <w:tc>
          <w:tcPr>
            <w:tcW w:w="1134" w:type="dxa"/>
          </w:tcPr>
          <w:p w14:paraId="5E58E9AC" w14:textId="77777777" w:rsidR="00BD39B5" w:rsidRPr="004B37E9" w:rsidRDefault="00BD39B5" w:rsidP="00D5684D">
            <w:pPr>
              <w:spacing w:after="120"/>
              <w:jc w:val="center"/>
              <w:rPr>
                <w:rFonts w:cstheme="minorHAnsi"/>
              </w:rPr>
            </w:pPr>
            <w:r w:rsidRPr="004B37E9">
              <w:rPr>
                <w:rFonts w:cstheme="minorHAnsi"/>
              </w:rPr>
              <w:t>33333 (1)</w:t>
            </w:r>
          </w:p>
        </w:tc>
      </w:tr>
      <w:tr w:rsidR="00BD39B5" w:rsidRPr="004B37E9" w14:paraId="4AF35B93" w14:textId="77777777" w:rsidTr="00DA3E23">
        <w:trPr>
          <w:jc w:val="center"/>
        </w:trPr>
        <w:tc>
          <w:tcPr>
            <w:tcW w:w="1701" w:type="dxa"/>
          </w:tcPr>
          <w:p w14:paraId="44647F6D" w14:textId="77777777" w:rsidR="00BD39B5" w:rsidRPr="004B37E9" w:rsidRDefault="00BD39B5" w:rsidP="00D5684D">
            <w:pPr>
              <w:spacing w:after="120"/>
              <w:jc w:val="center"/>
              <w:rPr>
                <w:rFonts w:cstheme="minorHAnsi"/>
              </w:rPr>
            </w:pPr>
            <w:r w:rsidRPr="004B37E9">
              <w:rPr>
                <w:rFonts w:cstheme="minorHAnsi"/>
              </w:rPr>
              <w:t>Monroe</w:t>
            </w:r>
          </w:p>
        </w:tc>
        <w:tc>
          <w:tcPr>
            <w:tcW w:w="1560" w:type="dxa"/>
            <w:tcBorders>
              <w:top w:val="nil"/>
              <w:left w:val="nil"/>
              <w:bottom w:val="nil"/>
              <w:right w:val="nil"/>
            </w:tcBorders>
            <w:shd w:val="clear" w:color="auto" w:fill="auto"/>
            <w:vAlign w:val="bottom"/>
          </w:tcPr>
          <w:p w14:paraId="5E794DA4" w14:textId="77777777" w:rsidR="00BD39B5" w:rsidRPr="004B37E9" w:rsidRDefault="00BD39B5" w:rsidP="00D5684D">
            <w:pPr>
              <w:spacing w:after="120"/>
              <w:jc w:val="center"/>
              <w:rPr>
                <w:rFonts w:cstheme="minorHAnsi"/>
              </w:rPr>
            </w:pPr>
            <w:r w:rsidRPr="004B37E9">
              <w:rPr>
                <w:rFonts w:cstheme="minorHAnsi"/>
              </w:rPr>
              <w:t>-60.73, -45.58</w:t>
            </w:r>
          </w:p>
        </w:tc>
        <w:tc>
          <w:tcPr>
            <w:tcW w:w="1568" w:type="dxa"/>
          </w:tcPr>
          <w:p w14:paraId="6EA46CA2" w14:textId="77777777" w:rsidR="00BD39B5" w:rsidRPr="004B37E9" w:rsidRDefault="00BD39B5" w:rsidP="00D5684D">
            <w:pPr>
              <w:spacing w:after="120"/>
              <w:jc w:val="center"/>
              <w:rPr>
                <w:rFonts w:cstheme="minorHAnsi"/>
              </w:rPr>
            </w:pPr>
            <w:r w:rsidRPr="004B37E9">
              <w:rPr>
                <w:rFonts w:cstheme="minorHAnsi"/>
              </w:rPr>
              <w:t>crèche</w:t>
            </w:r>
          </w:p>
        </w:tc>
        <w:tc>
          <w:tcPr>
            <w:tcW w:w="993" w:type="dxa"/>
          </w:tcPr>
          <w:p w14:paraId="34E87DCF" w14:textId="77777777" w:rsidR="00BD39B5" w:rsidRPr="004B37E9" w:rsidRDefault="00BD39B5" w:rsidP="00D5684D">
            <w:pPr>
              <w:spacing w:after="120"/>
              <w:jc w:val="center"/>
              <w:rPr>
                <w:rFonts w:cstheme="minorHAnsi"/>
              </w:rPr>
            </w:pPr>
            <w:r w:rsidRPr="004B37E9">
              <w:rPr>
                <w:rFonts w:cstheme="minorHAnsi"/>
              </w:rPr>
              <w:t>12</w:t>
            </w:r>
          </w:p>
        </w:tc>
        <w:tc>
          <w:tcPr>
            <w:tcW w:w="1124" w:type="dxa"/>
          </w:tcPr>
          <w:p w14:paraId="562F4AE2" w14:textId="77777777" w:rsidR="00BD39B5" w:rsidRPr="004B37E9" w:rsidRDefault="00BD39B5" w:rsidP="00D5684D">
            <w:pPr>
              <w:jc w:val="center"/>
            </w:pPr>
            <w:r w:rsidRPr="004B37E9">
              <w:t>7056</w:t>
            </w:r>
          </w:p>
        </w:tc>
        <w:tc>
          <w:tcPr>
            <w:tcW w:w="860" w:type="dxa"/>
          </w:tcPr>
          <w:p w14:paraId="6F58B463" w14:textId="7653E178" w:rsidR="00BD39B5" w:rsidRPr="004B37E9" w:rsidRDefault="00DA7B28" w:rsidP="00D5684D">
            <w:pPr>
              <w:jc w:val="center"/>
            </w:pPr>
            <w:r w:rsidRPr="004B37E9">
              <w:t>20</w:t>
            </w:r>
            <w:r w:rsidR="00BD39B5" w:rsidRPr="004B37E9">
              <w:t>15-</w:t>
            </w:r>
            <w:r w:rsidRPr="004B37E9">
              <w:t>20</w:t>
            </w:r>
            <w:r w:rsidR="00BD39B5" w:rsidRPr="004B37E9">
              <w:t>16</w:t>
            </w:r>
          </w:p>
        </w:tc>
        <w:tc>
          <w:tcPr>
            <w:tcW w:w="1134" w:type="dxa"/>
          </w:tcPr>
          <w:p w14:paraId="390D3692" w14:textId="77777777" w:rsidR="00BD39B5" w:rsidRPr="004B37E9" w:rsidRDefault="00BD39B5" w:rsidP="00D5684D">
            <w:pPr>
              <w:spacing w:after="120"/>
              <w:jc w:val="center"/>
              <w:rPr>
                <w:rFonts w:cstheme="minorHAnsi"/>
              </w:rPr>
            </w:pPr>
            <w:r w:rsidRPr="004B37E9">
              <w:rPr>
                <w:rFonts w:cstheme="minorHAnsi"/>
              </w:rPr>
              <w:t>33333 (1)</w:t>
            </w:r>
          </w:p>
        </w:tc>
      </w:tr>
      <w:tr w:rsidR="00BD39B5" w:rsidRPr="004B37E9" w14:paraId="3EC3158F" w14:textId="77777777" w:rsidTr="00DA3E23">
        <w:trPr>
          <w:jc w:val="center"/>
        </w:trPr>
        <w:tc>
          <w:tcPr>
            <w:tcW w:w="1701" w:type="dxa"/>
          </w:tcPr>
          <w:p w14:paraId="750CFCC0" w14:textId="77777777" w:rsidR="00BD39B5" w:rsidRPr="004B37E9" w:rsidRDefault="00BD39B5" w:rsidP="00D5684D">
            <w:pPr>
              <w:spacing w:after="120"/>
              <w:jc w:val="center"/>
              <w:rPr>
                <w:rFonts w:cstheme="minorHAnsi"/>
              </w:rPr>
            </w:pPr>
            <w:r w:rsidRPr="004B37E9">
              <w:rPr>
                <w:rFonts w:cstheme="minorHAnsi"/>
              </w:rPr>
              <w:t>Powell</w:t>
            </w:r>
          </w:p>
        </w:tc>
        <w:tc>
          <w:tcPr>
            <w:tcW w:w="1560" w:type="dxa"/>
            <w:tcBorders>
              <w:top w:val="nil"/>
              <w:left w:val="nil"/>
              <w:bottom w:val="nil"/>
              <w:right w:val="nil"/>
            </w:tcBorders>
            <w:shd w:val="clear" w:color="auto" w:fill="auto"/>
            <w:vAlign w:val="bottom"/>
          </w:tcPr>
          <w:p w14:paraId="0E49569A" w14:textId="77777777" w:rsidR="00BD39B5" w:rsidRPr="004B37E9" w:rsidRDefault="00BD39B5" w:rsidP="00D5684D">
            <w:pPr>
              <w:spacing w:after="120"/>
              <w:jc w:val="center"/>
              <w:rPr>
                <w:rFonts w:cstheme="minorHAnsi"/>
              </w:rPr>
            </w:pPr>
            <w:r w:rsidRPr="004B37E9">
              <w:rPr>
                <w:rFonts w:cstheme="minorHAnsi"/>
              </w:rPr>
              <w:t>-60.73, -45.58</w:t>
            </w:r>
          </w:p>
        </w:tc>
        <w:tc>
          <w:tcPr>
            <w:tcW w:w="1568" w:type="dxa"/>
          </w:tcPr>
          <w:p w14:paraId="2E8C075F" w14:textId="77777777" w:rsidR="00BD39B5" w:rsidRPr="004B37E9" w:rsidRDefault="00BD39B5" w:rsidP="00D5684D">
            <w:pPr>
              <w:spacing w:after="120"/>
              <w:jc w:val="center"/>
              <w:rPr>
                <w:rFonts w:cstheme="minorHAnsi"/>
              </w:rPr>
            </w:pPr>
            <w:r w:rsidRPr="004B37E9">
              <w:rPr>
                <w:rFonts w:cstheme="minorHAnsi"/>
              </w:rPr>
              <w:t>brood</w:t>
            </w:r>
          </w:p>
        </w:tc>
        <w:tc>
          <w:tcPr>
            <w:tcW w:w="993" w:type="dxa"/>
          </w:tcPr>
          <w:p w14:paraId="4D038E8B" w14:textId="77777777" w:rsidR="00BD39B5" w:rsidRPr="004B37E9" w:rsidRDefault="00BD39B5" w:rsidP="00D5684D">
            <w:pPr>
              <w:spacing w:after="120"/>
              <w:jc w:val="center"/>
              <w:rPr>
                <w:rFonts w:cstheme="minorHAnsi"/>
              </w:rPr>
            </w:pPr>
            <w:r w:rsidRPr="004B37E9">
              <w:rPr>
                <w:rFonts w:cstheme="minorHAnsi"/>
              </w:rPr>
              <w:t>34</w:t>
            </w:r>
          </w:p>
        </w:tc>
        <w:tc>
          <w:tcPr>
            <w:tcW w:w="1124" w:type="dxa"/>
          </w:tcPr>
          <w:p w14:paraId="1C804BD5" w14:textId="77777777" w:rsidR="00BD39B5" w:rsidRPr="004B37E9" w:rsidRDefault="00BD39B5" w:rsidP="00D5684D">
            <w:pPr>
              <w:jc w:val="center"/>
            </w:pPr>
            <w:r w:rsidRPr="004B37E9">
              <w:t>51442</w:t>
            </w:r>
          </w:p>
        </w:tc>
        <w:tc>
          <w:tcPr>
            <w:tcW w:w="860" w:type="dxa"/>
          </w:tcPr>
          <w:p w14:paraId="00E9DBFC" w14:textId="3E5B1F96" w:rsidR="00BD39B5" w:rsidRPr="004B37E9" w:rsidRDefault="00DA7B28" w:rsidP="00D5684D">
            <w:pPr>
              <w:jc w:val="center"/>
            </w:pPr>
            <w:r w:rsidRPr="004B37E9">
              <w:t>20</w:t>
            </w:r>
            <w:r w:rsidR="00BD39B5" w:rsidRPr="004B37E9">
              <w:t>13-</w:t>
            </w:r>
            <w:r w:rsidRPr="004B37E9">
              <w:t>20</w:t>
            </w:r>
            <w:r w:rsidR="00BD39B5" w:rsidRPr="004B37E9">
              <w:t>14</w:t>
            </w:r>
          </w:p>
        </w:tc>
        <w:tc>
          <w:tcPr>
            <w:tcW w:w="1134" w:type="dxa"/>
          </w:tcPr>
          <w:p w14:paraId="26A90F77" w14:textId="77777777" w:rsidR="00BD39B5" w:rsidRPr="004B37E9" w:rsidRDefault="00BD39B5" w:rsidP="00D5684D">
            <w:pPr>
              <w:spacing w:after="120"/>
              <w:jc w:val="center"/>
              <w:rPr>
                <w:rFonts w:cstheme="minorHAnsi"/>
              </w:rPr>
            </w:pPr>
            <w:r w:rsidRPr="004B37E9">
              <w:rPr>
                <w:rFonts w:cstheme="minorHAnsi"/>
              </w:rPr>
              <w:t>55213 (2)</w:t>
            </w:r>
          </w:p>
        </w:tc>
      </w:tr>
      <w:tr w:rsidR="00BD39B5" w:rsidRPr="004B37E9" w14:paraId="1AE4530B" w14:textId="77777777" w:rsidTr="00DA3E23">
        <w:trPr>
          <w:jc w:val="center"/>
        </w:trPr>
        <w:tc>
          <w:tcPr>
            <w:tcW w:w="1701" w:type="dxa"/>
          </w:tcPr>
          <w:p w14:paraId="5D1EDF4F" w14:textId="77777777" w:rsidR="00BD39B5" w:rsidRPr="004B37E9" w:rsidRDefault="00BD39B5" w:rsidP="00D5684D">
            <w:pPr>
              <w:spacing w:after="120"/>
              <w:jc w:val="center"/>
              <w:rPr>
                <w:rFonts w:cstheme="minorHAnsi"/>
              </w:rPr>
            </w:pPr>
            <w:r w:rsidRPr="004B37E9">
              <w:rPr>
                <w:rFonts w:cstheme="minorHAnsi"/>
              </w:rPr>
              <w:t>Powell</w:t>
            </w:r>
          </w:p>
        </w:tc>
        <w:tc>
          <w:tcPr>
            <w:tcW w:w="1560" w:type="dxa"/>
            <w:tcBorders>
              <w:top w:val="nil"/>
              <w:left w:val="nil"/>
              <w:bottom w:val="nil"/>
              <w:right w:val="nil"/>
            </w:tcBorders>
            <w:shd w:val="clear" w:color="auto" w:fill="auto"/>
            <w:vAlign w:val="bottom"/>
          </w:tcPr>
          <w:p w14:paraId="0469BF75" w14:textId="77777777" w:rsidR="00BD39B5" w:rsidRPr="004B37E9" w:rsidRDefault="00BD39B5" w:rsidP="00D5684D">
            <w:pPr>
              <w:spacing w:after="120"/>
              <w:jc w:val="center"/>
              <w:rPr>
                <w:rFonts w:cstheme="minorHAnsi"/>
              </w:rPr>
            </w:pPr>
            <w:r w:rsidRPr="004B37E9">
              <w:rPr>
                <w:rFonts w:cstheme="minorHAnsi"/>
              </w:rPr>
              <w:t>-60.73, -45.58</w:t>
            </w:r>
          </w:p>
        </w:tc>
        <w:tc>
          <w:tcPr>
            <w:tcW w:w="1568" w:type="dxa"/>
          </w:tcPr>
          <w:p w14:paraId="67E2923D" w14:textId="77777777" w:rsidR="00BD39B5" w:rsidRPr="004B37E9" w:rsidRDefault="00BD39B5" w:rsidP="00D5684D">
            <w:pPr>
              <w:spacing w:after="120"/>
              <w:jc w:val="center"/>
              <w:rPr>
                <w:rFonts w:cstheme="minorHAnsi"/>
              </w:rPr>
            </w:pPr>
            <w:r w:rsidRPr="004B37E9">
              <w:rPr>
                <w:rFonts w:cstheme="minorHAnsi"/>
              </w:rPr>
              <w:t>incubation</w:t>
            </w:r>
          </w:p>
        </w:tc>
        <w:tc>
          <w:tcPr>
            <w:tcW w:w="993" w:type="dxa"/>
          </w:tcPr>
          <w:p w14:paraId="7A112AD6" w14:textId="77777777" w:rsidR="00BD39B5" w:rsidRPr="004B37E9" w:rsidRDefault="00BD39B5" w:rsidP="00D5684D">
            <w:pPr>
              <w:spacing w:after="120"/>
              <w:jc w:val="center"/>
              <w:rPr>
                <w:rFonts w:cstheme="minorHAnsi"/>
              </w:rPr>
            </w:pPr>
            <w:r w:rsidRPr="004B37E9">
              <w:rPr>
                <w:rFonts w:cstheme="minorHAnsi"/>
              </w:rPr>
              <w:t>13</w:t>
            </w:r>
          </w:p>
        </w:tc>
        <w:tc>
          <w:tcPr>
            <w:tcW w:w="1124" w:type="dxa"/>
          </w:tcPr>
          <w:p w14:paraId="7FA55D88" w14:textId="77777777" w:rsidR="00BD39B5" w:rsidRPr="004B37E9" w:rsidRDefault="00BD39B5" w:rsidP="00D5684D">
            <w:pPr>
              <w:jc w:val="center"/>
            </w:pPr>
            <w:r w:rsidRPr="004B37E9">
              <w:t>25369</w:t>
            </w:r>
          </w:p>
        </w:tc>
        <w:tc>
          <w:tcPr>
            <w:tcW w:w="860" w:type="dxa"/>
          </w:tcPr>
          <w:p w14:paraId="06022C1C" w14:textId="698D3FFB" w:rsidR="00BD39B5" w:rsidRPr="004B37E9" w:rsidRDefault="00DA7B28" w:rsidP="00D5684D">
            <w:pPr>
              <w:jc w:val="center"/>
            </w:pPr>
            <w:r w:rsidRPr="004B37E9">
              <w:t>20</w:t>
            </w:r>
            <w:r w:rsidR="00BD39B5" w:rsidRPr="004B37E9">
              <w:t>13-</w:t>
            </w:r>
            <w:r w:rsidRPr="004B37E9">
              <w:t>20</w:t>
            </w:r>
            <w:r w:rsidR="00BD39B5" w:rsidRPr="004B37E9">
              <w:t>14</w:t>
            </w:r>
          </w:p>
        </w:tc>
        <w:tc>
          <w:tcPr>
            <w:tcW w:w="1134" w:type="dxa"/>
          </w:tcPr>
          <w:p w14:paraId="1C62F1D6" w14:textId="77777777" w:rsidR="00BD39B5" w:rsidRPr="004B37E9" w:rsidRDefault="00BD39B5" w:rsidP="00D5684D">
            <w:pPr>
              <w:spacing w:after="120"/>
              <w:jc w:val="center"/>
              <w:rPr>
                <w:rFonts w:cstheme="minorHAnsi"/>
              </w:rPr>
            </w:pPr>
            <w:r w:rsidRPr="004B37E9">
              <w:rPr>
                <w:rFonts w:cstheme="minorHAnsi"/>
              </w:rPr>
              <w:t>55213 (2)</w:t>
            </w:r>
          </w:p>
        </w:tc>
      </w:tr>
      <w:tr w:rsidR="00BD39B5" w:rsidRPr="004B37E9" w14:paraId="6677997E" w14:textId="77777777" w:rsidTr="00DA3E23">
        <w:trPr>
          <w:jc w:val="center"/>
        </w:trPr>
        <w:tc>
          <w:tcPr>
            <w:tcW w:w="1701" w:type="dxa"/>
          </w:tcPr>
          <w:p w14:paraId="44529E98" w14:textId="27980EC0" w:rsidR="00BD39B5" w:rsidRPr="004B37E9" w:rsidRDefault="00BD39B5" w:rsidP="00D5684D">
            <w:pPr>
              <w:spacing w:after="120"/>
              <w:jc w:val="center"/>
              <w:rPr>
                <w:rFonts w:cstheme="minorHAnsi"/>
              </w:rPr>
            </w:pPr>
            <w:r w:rsidRPr="004B37E9">
              <w:rPr>
                <w:rFonts w:cstheme="minorHAnsi"/>
              </w:rPr>
              <w:t>Signy Island (</w:t>
            </w:r>
            <w:r w:rsidR="00DA7B28" w:rsidRPr="004B37E9">
              <w:rPr>
                <w:rFonts w:cstheme="minorHAnsi"/>
              </w:rPr>
              <w:t>20</w:t>
            </w:r>
            <w:r w:rsidRPr="004B37E9">
              <w:rPr>
                <w:rFonts w:cstheme="minorHAnsi"/>
              </w:rPr>
              <w:t>13)</w:t>
            </w:r>
          </w:p>
        </w:tc>
        <w:tc>
          <w:tcPr>
            <w:tcW w:w="1560" w:type="dxa"/>
            <w:tcBorders>
              <w:top w:val="nil"/>
              <w:left w:val="nil"/>
              <w:bottom w:val="nil"/>
              <w:right w:val="nil"/>
            </w:tcBorders>
            <w:shd w:val="clear" w:color="auto" w:fill="auto"/>
            <w:vAlign w:val="bottom"/>
          </w:tcPr>
          <w:p w14:paraId="309AFFA4" w14:textId="77777777" w:rsidR="00BD39B5" w:rsidRPr="004B37E9" w:rsidRDefault="00BD39B5" w:rsidP="00D5684D">
            <w:pPr>
              <w:spacing w:after="120"/>
              <w:jc w:val="center"/>
              <w:rPr>
                <w:rFonts w:cstheme="minorHAnsi"/>
              </w:rPr>
            </w:pPr>
            <w:r w:rsidRPr="004B37E9">
              <w:rPr>
                <w:rFonts w:cstheme="minorHAnsi"/>
              </w:rPr>
              <w:t>-60.73, -45.59</w:t>
            </w:r>
          </w:p>
        </w:tc>
        <w:tc>
          <w:tcPr>
            <w:tcW w:w="1568" w:type="dxa"/>
          </w:tcPr>
          <w:p w14:paraId="454E08ED" w14:textId="77777777" w:rsidR="00BD39B5" w:rsidRPr="004B37E9" w:rsidRDefault="00BD39B5" w:rsidP="00D5684D">
            <w:pPr>
              <w:spacing w:after="120"/>
              <w:jc w:val="center"/>
              <w:rPr>
                <w:rFonts w:cstheme="minorHAnsi"/>
              </w:rPr>
            </w:pPr>
            <w:r w:rsidRPr="004B37E9">
              <w:rPr>
                <w:rFonts w:cstheme="minorHAnsi"/>
              </w:rPr>
              <w:t>incubation</w:t>
            </w:r>
          </w:p>
        </w:tc>
        <w:tc>
          <w:tcPr>
            <w:tcW w:w="993" w:type="dxa"/>
          </w:tcPr>
          <w:p w14:paraId="5DB93779" w14:textId="77777777" w:rsidR="00BD39B5" w:rsidRPr="004B37E9" w:rsidRDefault="00BD39B5" w:rsidP="00D5684D">
            <w:pPr>
              <w:spacing w:after="120"/>
              <w:jc w:val="center"/>
              <w:rPr>
                <w:rFonts w:cstheme="minorHAnsi"/>
              </w:rPr>
            </w:pPr>
            <w:r w:rsidRPr="004B37E9">
              <w:rPr>
                <w:rFonts w:cstheme="minorHAnsi"/>
              </w:rPr>
              <w:t>9</w:t>
            </w:r>
          </w:p>
        </w:tc>
        <w:tc>
          <w:tcPr>
            <w:tcW w:w="1124" w:type="dxa"/>
          </w:tcPr>
          <w:p w14:paraId="259212D2" w14:textId="77777777" w:rsidR="00BD39B5" w:rsidRPr="004B37E9" w:rsidRDefault="00BD39B5" w:rsidP="00D5684D">
            <w:pPr>
              <w:jc w:val="center"/>
            </w:pPr>
            <w:r w:rsidRPr="004B37E9">
              <w:t>21477</w:t>
            </w:r>
          </w:p>
        </w:tc>
        <w:tc>
          <w:tcPr>
            <w:tcW w:w="860" w:type="dxa"/>
          </w:tcPr>
          <w:p w14:paraId="6FE8D169" w14:textId="15657515" w:rsidR="00BD39B5" w:rsidRPr="004B37E9" w:rsidRDefault="00DA7B28" w:rsidP="00D5684D">
            <w:pPr>
              <w:jc w:val="center"/>
            </w:pPr>
            <w:r w:rsidRPr="004B37E9">
              <w:t>20</w:t>
            </w:r>
            <w:r w:rsidR="00BD39B5" w:rsidRPr="004B37E9">
              <w:t>13-</w:t>
            </w:r>
            <w:r w:rsidRPr="004B37E9">
              <w:t>20</w:t>
            </w:r>
            <w:r w:rsidR="00BD39B5" w:rsidRPr="004B37E9">
              <w:t>14</w:t>
            </w:r>
          </w:p>
        </w:tc>
        <w:tc>
          <w:tcPr>
            <w:tcW w:w="1134" w:type="dxa"/>
          </w:tcPr>
          <w:p w14:paraId="51B6A227" w14:textId="6673AC3C" w:rsidR="00BD39B5" w:rsidRPr="004B37E9" w:rsidRDefault="00DA7B28" w:rsidP="00D5684D">
            <w:pPr>
              <w:spacing w:after="120"/>
              <w:jc w:val="center"/>
              <w:rPr>
                <w:rFonts w:cstheme="minorHAnsi"/>
              </w:rPr>
            </w:pPr>
            <w:r w:rsidRPr="004B37E9">
              <w:rPr>
                <w:rFonts w:cstheme="minorHAnsi"/>
              </w:rPr>
              <w:t>19</w:t>
            </w:r>
            <w:r w:rsidR="00BD39B5" w:rsidRPr="004B37E9">
              <w:rPr>
                <w:rFonts w:cstheme="minorHAnsi"/>
              </w:rPr>
              <w:t>530 (3)</w:t>
            </w:r>
          </w:p>
        </w:tc>
      </w:tr>
      <w:tr w:rsidR="00BD39B5" w:rsidRPr="004B37E9" w14:paraId="495F154B" w14:textId="77777777" w:rsidTr="00DA3E23">
        <w:trPr>
          <w:jc w:val="center"/>
        </w:trPr>
        <w:tc>
          <w:tcPr>
            <w:tcW w:w="1701" w:type="dxa"/>
          </w:tcPr>
          <w:p w14:paraId="1548631F" w14:textId="4C73C88E" w:rsidR="00BD39B5" w:rsidRPr="004B37E9" w:rsidRDefault="00BD39B5" w:rsidP="00D5684D">
            <w:pPr>
              <w:spacing w:after="120"/>
              <w:jc w:val="center"/>
              <w:rPr>
                <w:rFonts w:cstheme="minorHAnsi"/>
              </w:rPr>
            </w:pPr>
            <w:r w:rsidRPr="004B37E9">
              <w:rPr>
                <w:rFonts w:cstheme="minorHAnsi"/>
              </w:rPr>
              <w:t>Signy Island (</w:t>
            </w:r>
            <w:r w:rsidR="00DA7B28" w:rsidRPr="004B37E9">
              <w:rPr>
                <w:rFonts w:cstheme="minorHAnsi"/>
              </w:rPr>
              <w:t>20</w:t>
            </w:r>
            <w:r w:rsidRPr="004B37E9">
              <w:rPr>
                <w:rFonts w:cstheme="minorHAnsi"/>
              </w:rPr>
              <w:t>15)</w:t>
            </w:r>
          </w:p>
        </w:tc>
        <w:tc>
          <w:tcPr>
            <w:tcW w:w="1560" w:type="dxa"/>
            <w:tcBorders>
              <w:top w:val="nil"/>
              <w:left w:val="nil"/>
              <w:bottom w:val="nil"/>
              <w:right w:val="nil"/>
            </w:tcBorders>
            <w:shd w:val="clear" w:color="auto" w:fill="auto"/>
            <w:vAlign w:val="bottom"/>
          </w:tcPr>
          <w:p w14:paraId="150F68C4" w14:textId="77777777" w:rsidR="00BD39B5" w:rsidRPr="004B37E9" w:rsidRDefault="00BD39B5" w:rsidP="00D5684D">
            <w:pPr>
              <w:spacing w:after="120"/>
              <w:jc w:val="center"/>
              <w:rPr>
                <w:rFonts w:cstheme="minorHAnsi"/>
              </w:rPr>
            </w:pPr>
            <w:r w:rsidRPr="004B37E9">
              <w:rPr>
                <w:rFonts w:cstheme="minorHAnsi"/>
              </w:rPr>
              <w:t>-60.73, -45.59</w:t>
            </w:r>
          </w:p>
        </w:tc>
        <w:tc>
          <w:tcPr>
            <w:tcW w:w="1568" w:type="dxa"/>
          </w:tcPr>
          <w:p w14:paraId="0B32EC24" w14:textId="77777777" w:rsidR="00BD39B5" w:rsidRPr="004B37E9" w:rsidRDefault="00BD39B5" w:rsidP="00D5684D">
            <w:pPr>
              <w:spacing w:after="120"/>
              <w:jc w:val="center"/>
              <w:rPr>
                <w:rFonts w:cstheme="minorHAnsi"/>
              </w:rPr>
            </w:pPr>
            <w:r w:rsidRPr="004B37E9">
              <w:rPr>
                <w:rFonts w:cstheme="minorHAnsi"/>
              </w:rPr>
              <w:t>brood</w:t>
            </w:r>
          </w:p>
        </w:tc>
        <w:tc>
          <w:tcPr>
            <w:tcW w:w="993" w:type="dxa"/>
          </w:tcPr>
          <w:p w14:paraId="3B99D8C0" w14:textId="77777777" w:rsidR="00BD39B5" w:rsidRPr="004B37E9" w:rsidRDefault="00BD39B5" w:rsidP="00D5684D">
            <w:pPr>
              <w:spacing w:after="120"/>
              <w:jc w:val="center"/>
              <w:rPr>
                <w:rFonts w:cstheme="minorHAnsi"/>
              </w:rPr>
            </w:pPr>
            <w:r w:rsidRPr="004B37E9">
              <w:rPr>
                <w:rFonts w:cstheme="minorHAnsi"/>
              </w:rPr>
              <w:t>13</w:t>
            </w:r>
          </w:p>
        </w:tc>
        <w:tc>
          <w:tcPr>
            <w:tcW w:w="1124" w:type="dxa"/>
          </w:tcPr>
          <w:p w14:paraId="181D1605" w14:textId="77777777" w:rsidR="00BD39B5" w:rsidRPr="004B37E9" w:rsidRDefault="00BD39B5" w:rsidP="00D5684D">
            <w:pPr>
              <w:jc w:val="center"/>
            </w:pPr>
            <w:r w:rsidRPr="004B37E9">
              <w:t>32150</w:t>
            </w:r>
          </w:p>
        </w:tc>
        <w:tc>
          <w:tcPr>
            <w:tcW w:w="860" w:type="dxa"/>
          </w:tcPr>
          <w:p w14:paraId="2EE2703F" w14:textId="3EFF4308" w:rsidR="00BD39B5" w:rsidRPr="004B37E9" w:rsidRDefault="00DA7B28" w:rsidP="00D5684D">
            <w:pPr>
              <w:jc w:val="center"/>
            </w:pPr>
            <w:r w:rsidRPr="004B37E9">
              <w:t>20</w:t>
            </w:r>
            <w:r w:rsidR="00BD39B5" w:rsidRPr="004B37E9">
              <w:t>15</w:t>
            </w:r>
          </w:p>
        </w:tc>
        <w:tc>
          <w:tcPr>
            <w:tcW w:w="1134" w:type="dxa"/>
          </w:tcPr>
          <w:p w14:paraId="3FF8DDBB" w14:textId="5FD9EBB0" w:rsidR="00BD39B5" w:rsidRPr="004B37E9" w:rsidRDefault="00DA7B28" w:rsidP="00D5684D">
            <w:pPr>
              <w:spacing w:after="120"/>
              <w:jc w:val="center"/>
              <w:rPr>
                <w:rFonts w:cstheme="minorHAnsi"/>
              </w:rPr>
            </w:pPr>
            <w:r w:rsidRPr="004B37E9">
              <w:rPr>
                <w:rFonts w:cstheme="minorHAnsi"/>
              </w:rPr>
              <w:t>19</w:t>
            </w:r>
            <w:r w:rsidR="00BD39B5" w:rsidRPr="004B37E9">
              <w:rPr>
                <w:rFonts w:cstheme="minorHAnsi"/>
              </w:rPr>
              <w:t>530 (3)</w:t>
            </w:r>
          </w:p>
        </w:tc>
      </w:tr>
      <w:tr w:rsidR="00BD39B5" w:rsidRPr="004B37E9" w14:paraId="45C71583" w14:textId="77777777" w:rsidTr="00DA3E23">
        <w:trPr>
          <w:jc w:val="center"/>
        </w:trPr>
        <w:tc>
          <w:tcPr>
            <w:tcW w:w="1701" w:type="dxa"/>
          </w:tcPr>
          <w:p w14:paraId="5FC0A73A" w14:textId="6C532F0A" w:rsidR="00BD39B5" w:rsidRPr="004B37E9" w:rsidRDefault="00BD39B5" w:rsidP="00D5684D">
            <w:pPr>
              <w:spacing w:after="120"/>
              <w:jc w:val="center"/>
              <w:rPr>
                <w:rFonts w:cstheme="minorHAnsi"/>
              </w:rPr>
            </w:pPr>
            <w:r w:rsidRPr="004B37E9">
              <w:rPr>
                <w:rFonts w:cstheme="minorHAnsi"/>
              </w:rPr>
              <w:t>Signy Island (</w:t>
            </w:r>
            <w:r w:rsidR="00DA7B28" w:rsidRPr="004B37E9">
              <w:rPr>
                <w:rFonts w:cstheme="minorHAnsi"/>
              </w:rPr>
              <w:t>20</w:t>
            </w:r>
            <w:r w:rsidRPr="004B37E9">
              <w:rPr>
                <w:rFonts w:cstheme="minorHAnsi"/>
              </w:rPr>
              <w:t>15)</w:t>
            </w:r>
          </w:p>
        </w:tc>
        <w:tc>
          <w:tcPr>
            <w:tcW w:w="1560" w:type="dxa"/>
            <w:tcBorders>
              <w:top w:val="nil"/>
              <w:left w:val="nil"/>
              <w:bottom w:val="nil"/>
              <w:right w:val="nil"/>
            </w:tcBorders>
            <w:shd w:val="clear" w:color="auto" w:fill="auto"/>
            <w:vAlign w:val="bottom"/>
          </w:tcPr>
          <w:p w14:paraId="7CDC32C2" w14:textId="77777777" w:rsidR="00BD39B5" w:rsidRPr="004B37E9" w:rsidRDefault="00BD39B5" w:rsidP="00D5684D">
            <w:pPr>
              <w:spacing w:after="120"/>
              <w:jc w:val="center"/>
              <w:rPr>
                <w:rFonts w:cstheme="minorHAnsi"/>
              </w:rPr>
            </w:pPr>
            <w:r w:rsidRPr="004B37E9">
              <w:rPr>
                <w:rFonts w:cstheme="minorHAnsi"/>
              </w:rPr>
              <w:t>-60.73, -45.59</w:t>
            </w:r>
          </w:p>
        </w:tc>
        <w:tc>
          <w:tcPr>
            <w:tcW w:w="1568" w:type="dxa"/>
          </w:tcPr>
          <w:p w14:paraId="269442C0" w14:textId="77777777" w:rsidR="00BD39B5" w:rsidRPr="004B37E9" w:rsidRDefault="00BD39B5" w:rsidP="00D5684D">
            <w:pPr>
              <w:spacing w:after="120"/>
              <w:jc w:val="center"/>
              <w:rPr>
                <w:rFonts w:cstheme="minorHAnsi"/>
              </w:rPr>
            </w:pPr>
            <w:r w:rsidRPr="004B37E9">
              <w:rPr>
                <w:rFonts w:cstheme="minorHAnsi"/>
              </w:rPr>
              <w:t>incubation</w:t>
            </w:r>
          </w:p>
        </w:tc>
        <w:tc>
          <w:tcPr>
            <w:tcW w:w="993" w:type="dxa"/>
          </w:tcPr>
          <w:p w14:paraId="20D18669" w14:textId="77777777" w:rsidR="00BD39B5" w:rsidRPr="004B37E9" w:rsidRDefault="00BD39B5" w:rsidP="00D5684D">
            <w:pPr>
              <w:spacing w:after="120"/>
              <w:jc w:val="center"/>
              <w:rPr>
                <w:rFonts w:cstheme="minorHAnsi"/>
              </w:rPr>
            </w:pPr>
            <w:r w:rsidRPr="004B37E9">
              <w:rPr>
                <w:rFonts w:cstheme="minorHAnsi"/>
              </w:rPr>
              <w:t>9</w:t>
            </w:r>
          </w:p>
        </w:tc>
        <w:tc>
          <w:tcPr>
            <w:tcW w:w="1124" w:type="dxa"/>
          </w:tcPr>
          <w:p w14:paraId="211E28A3" w14:textId="77777777" w:rsidR="00BD39B5" w:rsidRPr="004B37E9" w:rsidRDefault="00BD39B5" w:rsidP="00D5684D">
            <w:pPr>
              <w:jc w:val="center"/>
            </w:pPr>
            <w:r w:rsidRPr="004B37E9">
              <w:t>17937</w:t>
            </w:r>
          </w:p>
        </w:tc>
        <w:tc>
          <w:tcPr>
            <w:tcW w:w="860" w:type="dxa"/>
          </w:tcPr>
          <w:p w14:paraId="1D09BB6D" w14:textId="1D177B75" w:rsidR="00BD39B5" w:rsidRPr="004B37E9" w:rsidRDefault="00DA7B28" w:rsidP="00D5684D">
            <w:pPr>
              <w:jc w:val="center"/>
            </w:pPr>
            <w:r w:rsidRPr="004B37E9">
              <w:t>20</w:t>
            </w:r>
            <w:r w:rsidR="00BD39B5" w:rsidRPr="004B37E9">
              <w:t>15</w:t>
            </w:r>
          </w:p>
        </w:tc>
        <w:tc>
          <w:tcPr>
            <w:tcW w:w="1134" w:type="dxa"/>
          </w:tcPr>
          <w:p w14:paraId="1967FFA5" w14:textId="48333107" w:rsidR="00BD39B5" w:rsidRPr="004B37E9" w:rsidRDefault="00DA7B28" w:rsidP="00D5684D">
            <w:pPr>
              <w:spacing w:after="120"/>
              <w:jc w:val="center"/>
              <w:rPr>
                <w:rFonts w:cstheme="minorHAnsi"/>
              </w:rPr>
            </w:pPr>
            <w:r w:rsidRPr="004B37E9">
              <w:rPr>
                <w:rFonts w:cstheme="minorHAnsi"/>
              </w:rPr>
              <w:t>19</w:t>
            </w:r>
            <w:r w:rsidR="00BD39B5" w:rsidRPr="004B37E9">
              <w:rPr>
                <w:rFonts w:cstheme="minorHAnsi"/>
              </w:rPr>
              <w:t>530 (3)</w:t>
            </w:r>
          </w:p>
        </w:tc>
      </w:tr>
    </w:tbl>
    <w:p w14:paraId="019121C1" w14:textId="77777777" w:rsidR="00BD39B5" w:rsidRPr="004B37E9" w:rsidRDefault="00BD39B5" w:rsidP="00D5684D">
      <w:pPr>
        <w:pStyle w:val="ListParagraph"/>
        <w:numPr>
          <w:ilvl w:val="0"/>
          <w:numId w:val="3"/>
        </w:numPr>
        <w:spacing w:after="0" w:line="240" w:lineRule="auto"/>
        <w:ind w:left="714" w:hanging="357"/>
      </w:pPr>
      <w:r w:rsidRPr="004B37E9">
        <w:rPr>
          <w:rFonts w:cstheme="minorHAnsi"/>
        </w:rPr>
        <w:t>BAS unpublished data</w:t>
      </w:r>
    </w:p>
    <w:p w14:paraId="37C89074" w14:textId="0B87B2CF" w:rsidR="00BD39B5" w:rsidRPr="004B37E9" w:rsidRDefault="007D6913" w:rsidP="00D5684D">
      <w:pPr>
        <w:pStyle w:val="ListParagraph"/>
        <w:numPr>
          <w:ilvl w:val="0"/>
          <w:numId w:val="3"/>
        </w:numPr>
        <w:spacing w:after="0" w:line="240" w:lineRule="auto"/>
        <w:ind w:left="714" w:hanging="357"/>
      </w:pPr>
      <w:r w:rsidRPr="004B37E9">
        <w:rPr>
          <w:rFonts w:cstheme="minorHAnsi"/>
        </w:rPr>
        <w:t>(</w:t>
      </w:r>
      <w:r w:rsidR="00BD39B5" w:rsidRPr="004B37E9">
        <w:rPr>
          <w:rFonts w:cstheme="minorHAnsi"/>
        </w:rPr>
        <w:t xml:space="preserve">Poncet </w:t>
      </w:r>
      <w:r w:rsidR="00504DEE" w:rsidRPr="004B37E9">
        <w:rPr>
          <w:rFonts w:cstheme="minorHAnsi"/>
        </w:rPr>
        <w:t>&amp;</w:t>
      </w:r>
      <w:r w:rsidR="00BD39B5" w:rsidRPr="004B37E9">
        <w:rPr>
          <w:rFonts w:cstheme="minorHAnsi"/>
        </w:rPr>
        <w:t xml:space="preserve"> Poncet</w:t>
      </w:r>
      <w:r w:rsidRPr="004B37E9">
        <w:rPr>
          <w:rFonts w:cstheme="minorHAnsi"/>
        </w:rPr>
        <w:t xml:space="preserve">, </w:t>
      </w:r>
      <w:r w:rsidR="00DA7B28" w:rsidRPr="004B37E9">
        <w:rPr>
          <w:rFonts w:cstheme="minorHAnsi"/>
        </w:rPr>
        <w:t>19</w:t>
      </w:r>
      <w:r w:rsidR="00BD39B5" w:rsidRPr="004B37E9">
        <w:rPr>
          <w:rFonts w:cstheme="minorHAnsi"/>
        </w:rPr>
        <w:t>85)</w:t>
      </w:r>
    </w:p>
    <w:p w14:paraId="245A737B" w14:textId="689DDDC5" w:rsidR="00BD39B5" w:rsidRPr="004B37E9" w:rsidRDefault="007D6913" w:rsidP="00D5684D">
      <w:pPr>
        <w:pStyle w:val="ListParagraph"/>
        <w:numPr>
          <w:ilvl w:val="0"/>
          <w:numId w:val="3"/>
        </w:numPr>
        <w:spacing w:after="0" w:line="240" w:lineRule="auto"/>
        <w:ind w:left="714" w:hanging="357"/>
      </w:pPr>
      <w:r w:rsidRPr="004B37E9">
        <w:rPr>
          <w:rFonts w:cstheme="minorHAnsi"/>
        </w:rPr>
        <w:fldChar w:fldCharType="begin"/>
      </w:r>
      <w:r w:rsidRPr="004B37E9">
        <w:rPr>
          <w:rFonts w:cstheme="minorHAnsi"/>
        </w:rPr>
        <w:instrText xml:space="preserve"> ADDIN ZOTERO_ITEM CSL_CITATION {"citationID":"15h1l5edb0","properties":{"formattedCitation":"(Dunn et al., 2016)","plainCitation":"(Dunn et al., 2016)"},"citationItems":[{"id":735,"uris":["http://zotero.org/users/local/GuyVPmYX/items/IEM66F6X"],"uri":["http://zotero.org/users/local/GuyVPmYX/items/IEM66F6X"],"itemData":{"id":735,"type":"article-journal","title":"Population Size and Decadal Trends of Three Penguin Species Nesting at Signy Island, South Orkney Islands","container-title":"PLOS ONE","page":"e0164025","volume":"11","issue":"10","source":"PLoS Journals","abstract":"We report long-term changes in population size of three species of sympatrically breeding pygoscelid penguins: Adélie (Pygoscelis adeliae), chinstrap (Pygoscelis antarctica) and gentoo (Pygoscelis papua ellsworthii) over a 38 year period at Signy Island, South Orkney Islands, based on annual counts from selected colonies and decadal all-island systematic counts of occupied nests. Comparing total numbers of breeding pairs over the whole island from 1978/79 to 2015/16 revealed varying fortunes: gentoo penguin pairs increased by 255%, (3.5% per annum), chinstrap penguins declined by 68% (-3.6% per annum) and Adélie penguins declined by 42% (-1.5% per annum). The chinstrap population has declined steadily over the last four decades. In contrast, Adélie and gentoo penguins have experienced phases of population increase and decline. Annual surveys of selected chinstrap and Adélie colonies produced similar trends from those revealed by island-wide surveys, allowing total island population trends to be inferred relatively well. However, while the annual colony counts of chinstrap and Adélie penguins showed a trend consistent in direction with the results from all-island surveys, the magnitude of estimated population change was markedly different between colony wide and all island counts. Annual population patterns suggest that pair numbers in the study areas partly reflect immigration and emigration of nesting birds between different parts of the island. Breeding success for all three species remained broadly stable over time in the annually monitored colonies. Breeding success rates in gentoo and chinstrap penguins were strongly correlated, despite the differing trends in population size. This study shows the importance of effective, standardised monitoring to accurately determine long-term population trajectories. Our results indicate significant declines in the Adélie and chinstrap penguin populations at Signy Island over the last five decades, and a gradual increase in gentoo breeding pairs.","DOI":"10.1371/journal.pone.0164025","ISSN":"1932-6203","journalAbbreviation":"PLOS ONE","author":[{"family":"Dunn","given":"Michael J."},{"family":"Jackson","given":"Jennifer A."},{"family":"Adlard","given":"Stacey"},{"family":"Lynnes","given":"Amanda S."},{"family":"Briggs","given":"Dirk R."},{"family":"Fox","given":"Derren"},{"family":"Waluda","given":"Claire M."}],"issued":{"date-parts":[["2016",10,26]]}}}],"schema":"https://github.com/citation-style-language/schema/raw/master/csl-citation.json"} </w:instrText>
      </w:r>
      <w:r w:rsidRPr="004B37E9">
        <w:rPr>
          <w:rFonts w:cstheme="minorHAnsi"/>
        </w:rPr>
        <w:fldChar w:fldCharType="separate"/>
      </w:r>
      <w:r w:rsidRPr="004B37E9">
        <w:rPr>
          <w:rFonts w:ascii="Calibri" w:hAnsi="Calibri" w:cs="Calibri"/>
        </w:rPr>
        <w:t xml:space="preserve">(Dunn et al., </w:t>
      </w:r>
      <w:r w:rsidR="00DA7B28" w:rsidRPr="004B37E9">
        <w:rPr>
          <w:rFonts w:ascii="Calibri" w:hAnsi="Calibri" w:cs="Calibri"/>
        </w:rPr>
        <w:t>20</w:t>
      </w:r>
      <w:r w:rsidRPr="004B37E9">
        <w:rPr>
          <w:rFonts w:ascii="Calibri" w:hAnsi="Calibri" w:cs="Calibri"/>
        </w:rPr>
        <w:t>16)</w:t>
      </w:r>
      <w:r w:rsidRPr="004B37E9">
        <w:rPr>
          <w:rFonts w:cstheme="minorHAnsi"/>
        </w:rPr>
        <w:fldChar w:fldCharType="end"/>
      </w:r>
    </w:p>
    <w:p w14:paraId="3D0D039C" w14:textId="77777777" w:rsidR="00BD39B5" w:rsidRPr="004B37E9" w:rsidRDefault="00BD39B5" w:rsidP="00494B2C">
      <w:pPr>
        <w:spacing w:after="120" w:line="480" w:lineRule="auto"/>
      </w:pPr>
    </w:p>
    <w:p w14:paraId="37504DEA" w14:textId="77777777" w:rsidR="00BD39B5" w:rsidRPr="004B37E9" w:rsidRDefault="00BD39B5" w:rsidP="00494B2C">
      <w:pPr>
        <w:spacing w:after="120" w:line="480" w:lineRule="auto"/>
      </w:pPr>
    </w:p>
    <w:p w14:paraId="1EC9E679" w14:textId="77777777" w:rsidR="00BD39B5" w:rsidRPr="004B37E9" w:rsidRDefault="00BD39B5" w:rsidP="00494B2C">
      <w:pPr>
        <w:spacing w:line="480" w:lineRule="auto"/>
      </w:pPr>
      <w:r w:rsidRPr="004B37E9">
        <w:br w:type="page"/>
      </w:r>
    </w:p>
    <w:p w14:paraId="429B68FA" w14:textId="58AA27E5" w:rsidR="00BD39B5" w:rsidRPr="004B37E9" w:rsidRDefault="00BD39B5" w:rsidP="00494B2C">
      <w:pPr>
        <w:spacing w:after="120" w:line="480" w:lineRule="auto"/>
      </w:pPr>
      <w:r w:rsidRPr="004B37E9">
        <w:lastRenderedPageBreak/>
        <w:t xml:space="preserve">Table 2: </w:t>
      </w:r>
      <w:r w:rsidR="00200B81" w:rsidRPr="004B37E9">
        <w:t>C</w:t>
      </w:r>
      <w:r w:rsidRPr="004B37E9">
        <w:t>omparison between the marine IBA approach</w:t>
      </w:r>
      <w:r w:rsidR="00200B81" w:rsidRPr="004B37E9">
        <w:t xml:space="preserve"> and</w:t>
      </w:r>
      <w:r w:rsidRPr="004B37E9">
        <w:t xml:space="preserve"> the habitat model</w:t>
      </w:r>
      <w:r w:rsidR="00200B81" w:rsidRPr="004B37E9">
        <w:t>ling approach</w:t>
      </w:r>
      <w:r w:rsidRPr="004B37E9">
        <w:t xml:space="preserve"> applied to Chinstrap Penguins </w:t>
      </w:r>
      <w:r w:rsidR="00200B81" w:rsidRPr="004B37E9">
        <w:t xml:space="preserve">tracked </w:t>
      </w:r>
      <w:r w:rsidRPr="004B37E9">
        <w:t>in</w:t>
      </w:r>
      <w:r w:rsidR="00200B81" w:rsidRPr="004B37E9">
        <w:t xml:space="preserve"> the</w:t>
      </w:r>
      <w:r w:rsidRPr="004B37E9">
        <w:t xml:space="preserve"> South Orkney Islands. The * represent</w:t>
      </w:r>
      <w:r w:rsidR="00200B81" w:rsidRPr="004B37E9">
        <w:t>s</w:t>
      </w:r>
      <w:r w:rsidRPr="004B37E9">
        <w:t xml:space="preserve"> the results of the bootstrap tests (see Appendix 1): **=p&lt;0.01; ***=p&lt;0.001.</w:t>
      </w:r>
    </w:p>
    <w:tbl>
      <w:tblPr>
        <w:tblW w:w="9207" w:type="dxa"/>
        <w:tblInd w:w="-431" w:type="dxa"/>
        <w:tblBorders>
          <w:top w:val="single" w:sz="4" w:space="0" w:color="auto"/>
          <w:bottom w:val="single" w:sz="4" w:space="0" w:color="auto"/>
        </w:tblBorders>
        <w:tblLook w:val="04A0" w:firstRow="1" w:lastRow="0" w:firstColumn="1" w:lastColumn="0" w:noHBand="0" w:noVBand="1"/>
      </w:tblPr>
      <w:tblGrid>
        <w:gridCol w:w="1133"/>
        <w:gridCol w:w="1168"/>
        <w:gridCol w:w="1129"/>
        <w:gridCol w:w="709"/>
        <w:gridCol w:w="1268"/>
        <w:gridCol w:w="1283"/>
        <w:gridCol w:w="1418"/>
        <w:gridCol w:w="1243"/>
      </w:tblGrid>
      <w:tr w:rsidR="00BD39B5" w:rsidRPr="004B37E9" w14:paraId="6495E521" w14:textId="77777777" w:rsidTr="00494B2C">
        <w:trPr>
          <w:trHeight w:val="288"/>
        </w:trPr>
        <w:tc>
          <w:tcPr>
            <w:tcW w:w="1133" w:type="dxa"/>
            <w:tcBorders>
              <w:top w:val="single" w:sz="4" w:space="0" w:color="auto"/>
              <w:bottom w:val="single" w:sz="4" w:space="0" w:color="auto"/>
            </w:tcBorders>
            <w:shd w:val="clear" w:color="auto" w:fill="auto"/>
            <w:noWrap/>
            <w:vAlign w:val="center"/>
            <w:hideMark/>
          </w:tcPr>
          <w:p w14:paraId="5F17216D"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Colony</w:t>
            </w:r>
          </w:p>
        </w:tc>
        <w:tc>
          <w:tcPr>
            <w:tcW w:w="1168" w:type="dxa"/>
            <w:tcBorders>
              <w:top w:val="single" w:sz="4" w:space="0" w:color="auto"/>
              <w:bottom w:val="single" w:sz="4" w:space="0" w:color="auto"/>
            </w:tcBorders>
            <w:shd w:val="clear" w:color="auto" w:fill="auto"/>
            <w:noWrap/>
            <w:vAlign w:val="center"/>
            <w:hideMark/>
          </w:tcPr>
          <w:p w14:paraId="156A2DF0"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Stage</w:t>
            </w:r>
          </w:p>
        </w:tc>
        <w:tc>
          <w:tcPr>
            <w:tcW w:w="1109" w:type="dxa"/>
            <w:tcBorders>
              <w:top w:val="single" w:sz="4" w:space="0" w:color="auto"/>
              <w:bottom w:val="single" w:sz="4" w:space="0" w:color="auto"/>
            </w:tcBorders>
            <w:shd w:val="clear" w:color="auto" w:fill="auto"/>
            <w:noWrap/>
            <w:vAlign w:val="center"/>
            <w:hideMark/>
          </w:tcPr>
          <w:p w14:paraId="257113C6"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Threshold model (quantile)</w:t>
            </w:r>
          </w:p>
        </w:tc>
        <w:tc>
          <w:tcPr>
            <w:tcW w:w="849" w:type="dxa"/>
            <w:tcBorders>
              <w:top w:val="single" w:sz="4" w:space="0" w:color="auto"/>
              <w:bottom w:val="single" w:sz="4" w:space="0" w:color="auto"/>
            </w:tcBorders>
            <w:vAlign w:val="center"/>
          </w:tcPr>
          <w:p w14:paraId="7E10669F"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IBA area (km</w:t>
            </w:r>
            <w:r w:rsidRPr="004B37E9">
              <w:rPr>
                <w:rFonts w:ascii="Calibri" w:eastAsia="Times New Roman" w:hAnsi="Calibri" w:cs="Calibri"/>
                <w:b/>
                <w:color w:val="000000"/>
                <w:vertAlign w:val="superscript"/>
                <w:lang w:eastAsia="en-GB"/>
              </w:rPr>
              <w:t>2</w:t>
            </w:r>
            <w:r w:rsidRPr="004B37E9">
              <w:rPr>
                <w:rFonts w:ascii="Calibri" w:eastAsia="Times New Roman" w:hAnsi="Calibri" w:cs="Calibri"/>
                <w:b/>
                <w:color w:val="000000"/>
                <w:lang w:eastAsia="en-GB"/>
              </w:rPr>
              <w:t>)</w:t>
            </w:r>
          </w:p>
        </w:tc>
        <w:tc>
          <w:tcPr>
            <w:tcW w:w="1268" w:type="dxa"/>
            <w:tcBorders>
              <w:top w:val="single" w:sz="4" w:space="0" w:color="auto"/>
              <w:bottom w:val="single" w:sz="4" w:space="0" w:color="auto"/>
            </w:tcBorders>
            <w:shd w:val="clear" w:color="auto" w:fill="auto"/>
            <w:noWrap/>
            <w:vAlign w:val="center"/>
            <w:hideMark/>
          </w:tcPr>
          <w:p w14:paraId="563DDDD8"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Model hotspot area (km</w:t>
            </w:r>
            <w:r w:rsidRPr="004B37E9">
              <w:rPr>
                <w:rFonts w:ascii="Calibri" w:eastAsia="Times New Roman" w:hAnsi="Calibri" w:cs="Calibri"/>
                <w:b/>
                <w:color w:val="000000"/>
                <w:vertAlign w:val="superscript"/>
                <w:lang w:eastAsia="en-GB"/>
              </w:rPr>
              <w:t>2</w:t>
            </w:r>
            <w:r w:rsidRPr="004B37E9">
              <w:rPr>
                <w:rFonts w:ascii="Calibri" w:eastAsia="Times New Roman" w:hAnsi="Calibri" w:cs="Calibri"/>
                <w:b/>
                <w:color w:val="000000"/>
                <w:lang w:eastAsia="en-GB"/>
              </w:rPr>
              <w:t>)</w:t>
            </w:r>
          </w:p>
        </w:tc>
        <w:tc>
          <w:tcPr>
            <w:tcW w:w="1283" w:type="dxa"/>
            <w:tcBorders>
              <w:top w:val="single" w:sz="4" w:space="0" w:color="auto"/>
              <w:bottom w:val="single" w:sz="4" w:space="0" w:color="auto"/>
            </w:tcBorders>
            <w:shd w:val="clear" w:color="auto" w:fill="auto"/>
            <w:noWrap/>
            <w:vAlign w:val="center"/>
            <w:hideMark/>
          </w:tcPr>
          <w:p w14:paraId="1E747985"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b/>
              </w:rPr>
              <w:t>Model-IBA overlap (%)</w:t>
            </w:r>
          </w:p>
        </w:tc>
        <w:tc>
          <w:tcPr>
            <w:tcW w:w="1418" w:type="dxa"/>
            <w:tcBorders>
              <w:top w:val="single" w:sz="4" w:space="0" w:color="auto"/>
              <w:bottom w:val="single" w:sz="4" w:space="0" w:color="auto"/>
            </w:tcBorders>
            <w:shd w:val="clear" w:color="auto" w:fill="auto"/>
            <w:noWrap/>
            <w:vAlign w:val="center"/>
            <w:hideMark/>
          </w:tcPr>
          <w:p w14:paraId="756692D1"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rFonts w:ascii="Calibri" w:eastAsia="Times New Roman" w:hAnsi="Calibri" w:cs="Calibri"/>
                <w:b/>
                <w:color w:val="000000"/>
                <w:lang w:eastAsia="en-GB"/>
              </w:rPr>
              <w:t>Less suitable cells in IBA (%)</w:t>
            </w:r>
          </w:p>
        </w:tc>
        <w:tc>
          <w:tcPr>
            <w:tcW w:w="979" w:type="dxa"/>
            <w:tcBorders>
              <w:top w:val="single" w:sz="4" w:space="0" w:color="auto"/>
              <w:bottom w:val="single" w:sz="4" w:space="0" w:color="auto"/>
            </w:tcBorders>
            <w:shd w:val="clear" w:color="auto" w:fill="auto"/>
            <w:noWrap/>
            <w:vAlign w:val="center"/>
            <w:hideMark/>
          </w:tcPr>
          <w:p w14:paraId="7B1B6245" w14:textId="77777777" w:rsidR="00BD39B5" w:rsidRPr="004B37E9" w:rsidRDefault="00BD39B5" w:rsidP="00D5684D">
            <w:pPr>
              <w:spacing w:after="120" w:line="240" w:lineRule="auto"/>
              <w:jc w:val="center"/>
              <w:rPr>
                <w:rFonts w:ascii="Calibri" w:eastAsia="Times New Roman" w:hAnsi="Calibri" w:cs="Calibri"/>
                <w:b/>
                <w:color w:val="000000"/>
                <w:lang w:eastAsia="en-GB"/>
              </w:rPr>
            </w:pPr>
            <w:r w:rsidRPr="004B37E9">
              <w:rPr>
                <w:b/>
              </w:rPr>
              <w:t>Percentage of birds</w:t>
            </w:r>
          </w:p>
        </w:tc>
      </w:tr>
      <w:tr w:rsidR="00BD39B5" w:rsidRPr="004B37E9" w14:paraId="68929C25" w14:textId="77777777" w:rsidTr="00494B2C">
        <w:trPr>
          <w:trHeight w:val="288"/>
        </w:trPr>
        <w:tc>
          <w:tcPr>
            <w:tcW w:w="1133" w:type="dxa"/>
            <w:tcBorders>
              <w:top w:val="single" w:sz="4" w:space="0" w:color="auto"/>
            </w:tcBorders>
            <w:shd w:val="clear" w:color="auto" w:fill="auto"/>
            <w:noWrap/>
            <w:vAlign w:val="center"/>
            <w:hideMark/>
          </w:tcPr>
          <w:p w14:paraId="65840AC3"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Laurie</w:t>
            </w:r>
          </w:p>
        </w:tc>
        <w:tc>
          <w:tcPr>
            <w:tcW w:w="1168" w:type="dxa"/>
            <w:tcBorders>
              <w:top w:val="single" w:sz="4" w:space="0" w:color="auto"/>
            </w:tcBorders>
            <w:shd w:val="clear" w:color="auto" w:fill="auto"/>
            <w:noWrap/>
            <w:vAlign w:val="center"/>
            <w:hideMark/>
          </w:tcPr>
          <w:p w14:paraId="159DCAA3"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incubation</w:t>
            </w:r>
          </w:p>
        </w:tc>
        <w:tc>
          <w:tcPr>
            <w:tcW w:w="1109" w:type="dxa"/>
            <w:tcBorders>
              <w:top w:val="single" w:sz="4" w:space="0" w:color="auto"/>
            </w:tcBorders>
            <w:shd w:val="clear" w:color="auto" w:fill="auto"/>
            <w:noWrap/>
            <w:vAlign w:val="center"/>
            <w:hideMark/>
          </w:tcPr>
          <w:p w14:paraId="617382FD"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99.9%</w:t>
            </w:r>
          </w:p>
        </w:tc>
        <w:tc>
          <w:tcPr>
            <w:tcW w:w="849" w:type="dxa"/>
            <w:tcBorders>
              <w:top w:val="single" w:sz="4" w:space="0" w:color="auto"/>
            </w:tcBorders>
            <w:vAlign w:val="center"/>
          </w:tcPr>
          <w:p w14:paraId="2775117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759</w:t>
            </w:r>
          </w:p>
        </w:tc>
        <w:tc>
          <w:tcPr>
            <w:tcW w:w="1268" w:type="dxa"/>
            <w:tcBorders>
              <w:top w:val="single" w:sz="4" w:space="0" w:color="auto"/>
            </w:tcBorders>
            <w:shd w:val="clear" w:color="auto" w:fill="auto"/>
            <w:noWrap/>
            <w:vAlign w:val="center"/>
            <w:hideMark/>
          </w:tcPr>
          <w:p w14:paraId="512B7E69" w14:textId="59E9AA98" w:rsidR="00BD39B5" w:rsidRPr="004B37E9" w:rsidRDefault="00DA7B28"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20</w:t>
            </w:r>
            <w:r w:rsidR="00BD39B5" w:rsidRPr="004B37E9">
              <w:rPr>
                <w:rFonts w:ascii="Calibri" w:eastAsia="Times New Roman" w:hAnsi="Calibri" w:cs="Calibri"/>
                <w:color w:val="000000"/>
                <w:lang w:eastAsia="en-GB"/>
              </w:rPr>
              <w:t>4</w:t>
            </w:r>
          </w:p>
        </w:tc>
        <w:tc>
          <w:tcPr>
            <w:tcW w:w="1283" w:type="dxa"/>
            <w:tcBorders>
              <w:top w:val="single" w:sz="4" w:space="0" w:color="auto"/>
            </w:tcBorders>
            <w:shd w:val="clear" w:color="auto" w:fill="auto"/>
            <w:noWrap/>
            <w:vAlign w:val="center"/>
            <w:hideMark/>
          </w:tcPr>
          <w:p w14:paraId="0C9D51D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100</w:t>
            </w:r>
          </w:p>
        </w:tc>
        <w:tc>
          <w:tcPr>
            <w:tcW w:w="1418" w:type="dxa"/>
            <w:tcBorders>
              <w:top w:val="single" w:sz="4" w:space="0" w:color="auto"/>
            </w:tcBorders>
            <w:shd w:val="clear" w:color="auto" w:fill="auto"/>
            <w:noWrap/>
            <w:vAlign w:val="center"/>
            <w:hideMark/>
          </w:tcPr>
          <w:p w14:paraId="0A5A95AE"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0.039</w:t>
            </w:r>
          </w:p>
        </w:tc>
        <w:tc>
          <w:tcPr>
            <w:tcW w:w="979" w:type="dxa"/>
            <w:tcBorders>
              <w:top w:val="single" w:sz="4" w:space="0" w:color="auto"/>
            </w:tcBorders>
            <w:shd w:val="clear" w:color="auto" w:fill="auto"/>
            <w:noWrap/>
            <w:vAlign w:val="center"/>
            <w:hideMark/>
          </w:tcPr>
          <w:p w14:paraId="502CFA7E"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73***</w:t>
            </w:r>
          </w:p>
        </w:tc>
      </w:tr>
      <w:tr w:rsidR="00BD39B5" w:rsidRPr="004B37E9" w14:paraId="464003BF" w14:textId="77777777" w:rsidTr="00494B2C">
        <w:trPr>
          <w:trHeight w:val="288"/>
        </w:trPr>
        <w:tc>
          <w:tcPr>
            <w:tcW w:w="1133" w:type="dxa"/>
            <w:shd w:val="clear" w:color="auto" w:fill="auto"/>
            <w:noWrap/>
            <w:vAlign w:val="center"/>
            <w:hideMark/>
          </w:tcPr>
          <w:p w14:paraId="5B7D389E"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Monroe</w:t>
            </w:r>
          </w:p>
        </w:tc>
        <w:tc>
          <w:tcPr>
            <w:tcW w:w="1168" w:type="dxa"/>
            <w:shd w:val="clear" w:color="auto" w:fill="auto"/>
            <w:noWrap/>
            <w:vAlign w:val="center"/>
            <w:hideMark/>
          </w:tcPr>
          <w:p w14:paraId="6DF1E4EE"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incubation</w:t>
            </w:r>
          </w:p>
        </w:tc>
        <w:tc>
          <w:tcPr>
            <w:tcW w:w="1109" w:type="dxa"/>
            <w:shd w:val="clear" w:color="auto" w:fill="auto"/>
            <w:noWrap/>
            <w:vAlign w:val="center"/>
            <w:hideMark/>
          </w:tcPr>
          <w:p w14:paraId="73E86F0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98.5%</w:t>
            </w:r>
          </w:p>
        </w:tc>
        <w:tc>
          <w:tcPr>
            <w:tcW w:w="849" w:type="dxa"/>
            <w:vAlign w:val="center"/>
          </w:tcPr>
          <w:p w14:paraId="36F74C9C"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5343</w:t>
            </w:r>
          </w:p>
        </w:tc>
        <w:tc>
          <w:tcPr>
            <w:tcW w:w="1268" w:type="dxa"/>
            <w:shd w:val="clear" w:color="auto" w:fill="auto"/>
            <w:noWrap/>
            <w:vAlign w:val="center"/>
            <w:hideMark/>
          </w:tcPr>
          <w:p w14:paraId="4842CF0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2317</w:t>
            </w:r>
          </w:p>
        </w:tc>
        <w:tc>
          <w:tcPr>
            <w:tcW w:w="1283" w:type="dxa"/>
            <w:shd w:val="clear" w:color="auto" w:fill="auto"/>
            <w:noWrap/>
            <w:vAlign w:val="center"/>
            <w:hideMark/>
          </w:tcPr>
          <w:p w14:paraId="460CBE3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64.9</w:t>
            </w:r>
          </w:p>
        </w:tc>
        <w:tc>
          <w:tcPr>
            <w:tcW w:w="1418" w:type="dxa"/>
            <w:shd w:val="clear" w:color="auto" w:fill="auto"/>
            <w:noWrap/>
            <w:vAlign w:val="center"/>
            <w:hideMark/>
          </w:tcPr>
          <w:p w14:paraId="71E953A9"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0.13</w:t>
            </w:r>
          </w:p>
        </w:tc>
        <w:tc>
          <w:tcPr>
            <w:tcW w:w="979" w:type="dxa"/>
            <w:shd w:val="clear" w:color="auto" w:fill="auto"/>
            <w:noWrap/>
            <w:vAlign w:val="center"/>
            <w:hideMark/>
          </w:tcPr>
          <w:p w14:paraId="1F3B6FE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28</w:t>
            </w:r>
          </w:p>
        </w:tc>
      </w:tr>
      <w:tr w:rsidR="00BD39B5" w:rsidRPr="004B37E9" w14:paraId="659116B6" w14:textId="77777777" w:rsidTr="00494B2C">
        <w:trPr>
          <w:trHeight w:val="288"/>
        </w:trPr>
        <w:tc>
          <w:tcPr>
            <w:tcW w:w="1133" w:type="dxa"/>
            <w:shd w:val="clear" w:color="auto" w:fill="auto"/>
            <w:noWrap/>
            <w:vAlign w:val="center"/>
            <w:hideMark/>
          </w:tcPr>
          <w:p w14:paraId="20DC9DA4"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Powell</w:t>
            </w:r>
          </w:p>
        </w:tc>
        <w:tc>
          <w:tcPr>
            <w:tcW w:w="1168" w:type="dxa"/>
            <w:shd w:val="clear" w:color="auto" w:fill="auto"/>
            <w:noWrap/>
            <w:vAlign w:val="center"/>
            <w:hideMark/>
          </w:tcPr>
          <w:p w14:paraId="4A985B98"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incubation</w:t>
            </w:r>
          </w:p>
        </w:tc>
        <w:tc>
          <w:tcPr>
            <w:tcW w:w="1109" w:type="dxa"/>
            <w:shd w:val="clear" w:color="auto" w:fill="auto"/>
            <w:noWrap/>
            <w:vAlign w:val="center"/>
            <w:hideMark/>
          </w:tcPr>
          <w:p w14:paraId="51FEA6D7"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97.5%</w:t>
            </w:r>
          </w:p>
        </w:tc>
        <w:tc>
          <w:tcPr>
            <w:tcW w:w="849" w:type="dxa"/>
            <w:vAlign w:val="center"/>
          </w:tcPr>
          <w:p w14:paraId="31537108"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3669</w:t>
            </w:r>
          </w:p>
        </w:tc>
        <w:tc>
          <w:tcPr>
            <w:tcW w:w="1268" w:type="dxa"/>
            <w:shd w:val="clear" w:color="auto" w:fill="auto"/>
            <w:noWrap/>
            <w:vAlign w:val="center"/>
            <w:hideMark/>
          </w:tcPr>
          <w:p w14:paraId="6923FB19"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3339</w:t>
            </w:r>
          </w:p>
        </w:tc>
        <w:tc>
          <w:tcPr>
            <w:tcW w:w="1283" w:type="dxa"/>
            <w:shd w:val="clear" w:color="auto" w:fill="auto"/>
            <w:noWrap/>
            <w:vAlign w:val="center"/>
            <w:hideMark/>
          </w:tcPr>
          <w:p w14:paraId="2464DAF4"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71.04</w:t>
            </w:r>
          </w:p>
        </w:tc>
        <w:tc>
          <w:tcPr>
            <w:tcW w:w="1418" w:type="dxa"/>
            <w:shd w:val="clear" w:color="auto" w:fill="auto"/>
            <w:noWrap/>
            <w:vAlign w:val="center"/>
            <w:hideMark/>
          </w:tcPr>
          <w:p w14:paraId="4C30998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0.15</w:t>
            </w:r>
          </w:p>
        </w:tc>
        <w:tc>
          <w:tcPr>
            <w:tcW w:w="979" w:type="dxa"/>
            <w:shd w:val="clear" w:color="auto" w:fill="auto"/>
            <w:noWrap/>
            <w:vAlign w:val="center"/>
            <w:hideMark/>
          </w:tcPr>
          <w:p w14:paraId="7F7FD16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34</w:t>
            </w:r>
          </w:p>
        </w:tc>
      </w:tr>
      <w:tr w:rsidR="00BD39B5" w:rsidRPr="004B37E9" w14:paraId="6ED5A15A" w14:textId="77777777" w:rsidTr="00494B2C">
        <w:trPr>
          <w:trHeight w:val="288"/>
        </w:trPr>
        <w:tc>
          <w:tcPr>
            <w:tcW w:w="1133" w:type="dxa"/>
            <w:shd w:val="clear" w:color="auto" w:fill="auto"/>
            <w:noWrap/>
            <w:vAlign w:val="center"/>
            <w:hideMark/>
          </w:tcPr>
          <w:p w14:paraId="0A212A40" w14:textId="34040F6C"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Signy</w:t>
            </w:r>
            <w:r w:rsidR="00DA7B28" w:rsidRPr="004B37E9">
              <w:rPr>
                <w:rFonts w:ascii="Calibri" w:eastAsia="Times New Roman" w:hAnsi="Calibri" w:cs="Calibri"/>
                <w:color w:val="000000"/>
                <w:lang w:eastAsia="en-GB"/>
              </w:rPr>
              <w:t>20</w:t>
            </w:r>
            <w:r w:rsidRPr="004B37E9">
              <w:rPr>
                <w:rFonts w:ascii="Calibri" w:eastAsia="Times New Roman" w:hAnsi="Calibri" w:cs="Calibri"/>
                <w:color w:val="000000"/>
                <w:lang w:eastAsia="en-GB"/>
              </w:rPr>
              <w:t>13</w:t>
            </w:r>
          </w:p>
        </w:tc>
        <w:tc>
          <w:tcPr>
            <w:tcW w:w="1168" w:type="dxa"/>
            <w:shd w:val="clear" w:color="auto" w:fill="auto"/>
            <w:noWrap/>
            <w:vAlign w:val="center"/>
            <w:hideMark/>
          </w:tcPr>
          <w:p w14:paraId="355E7C78"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incubation</w:t>
            </w:r>
          </w:p>
        </w:tc>
        <w:tc>
          <w:tcPr>
            <w:tcW w:w="1109" w:type="dxa"/>
            <w:shd w:val="clear" w:color="auto" w:fill="auto"/>
            <w:noWrap/>
            <w:vAlign w:val="center"/>
            <w:hideMark/>
          </w:tcPr>
          <w:p w14:paraId="04D9C94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98.5%</w:t>
            </w:r>
          </w:p>
        </w:tc>
        <w:tc>
          <w:tcPr>
            <w:tcW w:w="849" w:type="dxa"/>
            <w:vAlign w:val="center"/>
          </w:tcPr>
          <w:p w14:paraId="320C9AA4"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9340</w:t>
            </w:r>
          </w:p>
        </w:tc>
        <w:tc>
          <w:tcPr>
            <w:tcW w:w="1268" w:type="dxa"/>
            <w:shd w:val="clear" w:color="auto" w:fill="auto"/>
            <w:noWrap/>
            <w:vAlign w:val="center"/>
            <w:hideMark/>
          </w:tcPr>
          <w:p w14:paraId="28954F3C" w14:textId="02334E2D" w:rsidR="00BD39B5" w:rsidRPr="004B37E9" w:rsidRDefault="00DA7B28"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19</w:t>
            </w:r>
            <w:r w:rsidR="00BD39B5" w:rsidRPr="004B37E9">
              <w:rPr>
                <w:rFonts w:ascii="Calibri" w:eastAsia="Times New Roman" w:hAnsi="Calibri" w:cs="Calibri"/>
                <w:color w:val="000000"/>
                <w:lang w:eastAsia="en-GB"/>
              </w:rPr>
              <w:t>42</w:t>
            </w:r>
          </w:p>
        </w:tc>
        <w:tc>
          <w:tcPr>
            <w:tcW w:w="1283" w:type="dxa"/>
            <w:shd w:val="clear" w:color="auto" w:fill="auto"/>
            <w:noWrap/>
            <w:vAlign w:val="center"/>
            <w:hideMark/>
          </w:tcPr>
          <w:p w14:paraId="030D797B"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79.65</w:t>
            </w:r>
          </w:p>
        </w:tc>
        <w:tc>
          <w:tcPr>
            <w:tcW w:w="1418" w:type="dxa"/>
            <w:shd w:val="clear" w:color="auto" w:fill="auto"/>
            <w:noWrap/>
            <w:vAlign w:val="center"/>
            <w:hideMark/>
          </w:tcPr>
          <w:p w14:paraId="36FA1E81"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0.21</w:t>
            </w:r>
          </w:p>
        </w:tc>
        <w:tc>
          <w:tcPr>
            <w:tcW w:w="979" w:type="dxa"/>
            <w:shd w:val="clear" w:color="auto" w:fill="auto"/>
            <w:noWrap/>
            <w:vAlign w:val="center"/>
            <w:hideMark/>
          </w:tcPr>
          <w:p w14:paraId="347104E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32***</w:t>
            </w:r>
          </w:p>
        </w:tc>
      </w:tr>
      <w:tr w:rsidR="00BD39B5" w:rsidRPr="004B37E9" w14:paraId="2F7D8B64" w14:textId="77777777" w:rsidTr="00494B2C">
        <w:trPr>
          <w:trHeight w:val="288"/>
        </w:trPr>
        <w:tc>
          <w:tcPr>
            <w:tcW w:w="1133" w:type="dxa"/>
            <w:shd w:val="clear" w:color="auto" w:fill="auto"/>
            <w:noWrap/>
            <w:vAlign w:val="center"/>
            <w:hideMark/>
          </w:tcPr>
          <w:p w14:paraId="149BE392" w14:textId="482C997E"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Signy</w:t>
            </w:r>
            <w:r w:rsidR="00DA7B28" w:rsidRPr="004B37E9">
              <w:rPr>
                <w:rFonts w:ascii="Calibri" w:eastAsia="Times New Roman" w:hAnsi="Calibri" w:cs="Calibri"/>
                <w:color w:val="000000"/>
                <w:lang w:eastAsia="en-GB"/>
              </w:rPr>
              <w:t>20</w:t>
            </w:r>
            <w:r w:rsidRPr="004B37E9">
              <w:rPr>
                <w:rFonts w:ascii="Calibri" w:eastAsia="Times New Roman" w:hAnsi="Calibri" w:cs="Calibri"/>
                <w:color w:val="000000"/>
                <w:lang w:eastAsia="en-GB"/>
              </w:rPr>
              <w:t>15</w:t>
            </w:r>
          </w:p>
        </w:tc>
        <w:tc>
          <w:tcPr>
            <w:tcW w:w="1168" w:type="dxa"/>
            <w:shd w:val="clear" w:color="auto" w:fill="auto"/>
            <w:noWrap/>
            <w:vAlign w:val="center"/>
            <w:hideMark/>
          </w:tcPr>
          <w:p w14:paraId="3B7624D7"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incubation</w:t>
            </w:r>
          </w:p>
        </w:tc>
        <w:tc>
          <w:tcPr>
            <w:tcW w:w="1109" w:type="dxa"/>
            <w:shd w:val="clear" w:color="auto" w:fill="auto"/>
            <w:noWrap/>
            <w:vAlign w:val="center"/>
            <w:hideMark/>
          </w:tcPr>
          <w:p w14:paraId="3E702CEA"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96.0%</w:t>
            </w:r>
          </w:p>
        </w:tc>
        <w:tc>
          <w:tcPr>
            <w:tcW w:w="849" w:type="dxa"/>
            <w:vAlign w:val="center"/>
          </w:tcPr>
          <w:p w14:paraId="7077DA8E"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8932</w:t>
            </w:r>
          </w:p>
        </w:tc>
        <w:tc>
          <w:tcPr>
            <w:tcW w:w="1268" w:type="dxa"/>
            <w:shd w:val="clear" w:color="auto" w:fill="auto"/>
            <w:noWrap/>
            <w:vAlign w:val="center"/>
            <w:hideMark/>
          </w:tcPr>
          <w:p w14:paraId="410879B7" w14:textId="232B20F2"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55</w:t>
            </w:r>
            <w:r w:rsidR="00DA7B28" w:rsidRPr="004B37E9">
              <w:rPr>
                <w:rFonts w:ascii="Calibri" w:eastAsia="Times New Roman" w:hAnsi="Calibri" w:cs="Calibri"/>
                <w:color w:val="000000"/>
                <w:lang w:eastAsia="en-GB"/>
              </w:rPr>
              <w:t>19</w:t>
            </w:r>
          </w:p>
        </w:tc>
        <w:tc>
          <w:tcPr>
            <w:tcW w:w="1283" w:type="dxa"/>
            <w:shd w:val="clear" w:color="auto" w:fill="auto"/>
            <w:noWrap/>
            <w:vAlign w:val="center"/>
            <w:hideMark/>
          </w:tcPr>
          <w:p w14:paraId="7D322C5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73.95</w:t>
            </w:r>
          </w:p>
        </w:tc>
        <w:tc>
          <w:tcPr>
            <w:tcW w:w="1418" w:type="dxa"/>
            <w:shd w:val="clear" w:color="auto" w:fill="auto"/>
            <w:noWrap/>
            <w:vAlign w:val="center"/>
            <w:hideMark/>
          </w:tcPr>
          <w:p w14:paraId="08DBA454"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0.148</w:t>
            </w:r>
          </w:p>
        </w:tc>
        <w:tc>
          <w:tcPr>
            <w:tcW w:w="979" w:type="dxa"/>
            <w:shd w:val="clear" w:color="auto" w:fill="auto"/>
            <w:noWrap/>
            <w:vAlign w:val="center"/>
            <w:hideMark/>
          </w:tcPr>
          <w:p w14:paraId="6D3BF04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28</w:t>
            </w:r>
          </w:p>
        </w:tc>
      </w:tr>
      <w:tr w:rsidR="00BD39B5" w:rsidRPr="004B37E9" w14:paraId="628D936B" w14:textId="77777777" w:rsidTr="00494B2C">
        <w:trPr>
          <w:trHeight w:val="288"/>
        </w:trPr>
        <w:tc>
          <w:tcPr>
            <w:tcW w:w="1133" w:type="dxa"/>
            <w:shd w:val="clear" w:color="auto" w:fill="auto"/>
            <w:noWrap/>
            <w:vAlign w:val="center"/>
            <w:hideMark/>
          </w:tcPr>
          <w:p w14:paraId="7E594CC6"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Laurie</w:t>
            </w:r>
          </w:p>
        </w:tc>
        <w:tc>
          <w:tcPr>
            <w:tcW w:w="1168" w:type="dxa"/>
            <w:shd w:val="clear" w:color="auto" w:fill="auto"/>
            <w:noWrap/>
            <w:vAlign w:val="center"/>
            <w:hideMark/>
          </w:tcPr>
          <w:p w14:paraId="42E332C7"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brood</w:t>
            </w:r>
          </w:p>
        </w:tc>
        <w:tc>
          <w:tcPr>
            <w:tcW w:w="1109" w:type="dxa"/>
            <w:shd w:val="clear" w:color="auto" w:fill="auto"/>
            <w:noWrap/>
            <w:vAlign w:val="center"/>
            <w:hideMark/>
          </w:tcPr>
          <w:p w14:paraId="211FD709"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98.5%</w:t>
            </w:r>
          </w:p>
        </w:tc>
        <w:tc>
          <w:tcPr>
            <w:tcW w:w="849" w:type="dxa"/>
            <w:vAlign w:val="center"/>
          </w:tcPr>
          <w:p w14:paraId="5D892678"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641</w:t>
            </w:r>
          </w:p>
        </w:tc>
        <w:tc>
          <w:tcPr>
            <w:tcW w:w="1268" w:type="dxa"/>
            <w:shd w:val="clear" w:color="auto" w:fill="auto"/>
            <w:noWrap/>
            <w:vAlign w:val="center"/>
            <w:hideMark/>
          </w:tcPr>
          <w:p w14:paraId="7195BE41"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404</w:t>
            </w:r>
          </w:p>
        </w:tc>
        <w:tc>
          <w:tcPr>
            <w:tcW w:w="1283" w:type="dxa"/>
            <w:shd w:val="clear" w:color="auto" w:fill="auto"/>
            <w:noWrap/>
            <w:vAlign w:val="center"/>
            <w:hideMark/>
          </w:tcPr>
          <w:p w14:paraId="18B0BCB3"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83.93</w:t>
            </w:r>
          </w:p>
        </w:tc>
        <w:tc>
          <w:tcPr>
            <w:tcW w:w="1418" w:type="dxa"/>
            <w:shd w:val="clear" w:color="auto" w:fill="auto"/>
            <w:noWrap/>
            <w:vAlign w:val="center"/>
            <w:hideMark/>
          </w:tcPr>
          <w:p w14:paraId="4F43E6E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w:t>
            </w:r>
          </w:p>
        </w:tc>
        <w:tc>
          <w:tcPr>
            <w:tcW w:w="979" w:type="dxa"/>
            <w:shd w:val="clear" w:color="auto" w:fill="auto"/>
            <w:noWrap/>
            <w:vAlign w:val="center"/>
            <w:hideMark/>
          </w:tcPr>
          <w:p w14:paraId="7AFD4D5B"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34</w:t>
            </w:r>
          </w:p>
        </w:tc>
      </w:tr>
      <w:tr w:rsidR="00BD39B5" w:rsidRPr="004B37E9" w14:paraId="38CEA90E" w14:textId="77777777" w:rsidTr="00494B2C">
        <w:trPr>
          <w:trHeight w:val="288"/>
        </w:trPr>
        <w:tc>
          <w:tcPr>
            <w:tcW w:w="1133" w:type="dxa"/>
            <w:shd w:val="clear" w:color="auto" w:fill="auto"/>
            <w:noWrap/>
            <w:vAlign w:val="center"/>
            <w:hideMark/>
          </w:tcPr>
          <w:p w14:paraId="6C5D5758"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Monroe</w:t>
            </w:r>
          </w:p>
        </w:tc>
        <w:tc>
          <w:tcPr>
            <w:tcW w:w="1168" w:type="dxa"/>
            <w:shd w:val="clear" w:color="auto" w:fill="auto"/>
            <w:noWrap/>
            <w:vAlign w:val="center"/>
            <w:hideMark/>
          </w:tcPr>
          <w:p w14:paraId="53ECC54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brood</w:t>
            </w:r>
          </w:p>
        </w:tc>
        <w:tc>
          <w:tcPr>
            <w:tcW w:w="1109" w:type="dxa"/>
            <w:shd w:val="clear" w:color="auto" w:fill="auto"/>
            <w:noWrap/>
            <w:vAlign w:val="center"/>
            <w:hideMark/>
          </w:tcPr>
          <w:p w14:paraId="3D5812E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97.5%</w:t>
            </w:r>
          </w:p>
        </w:tc>
        <w:tc>
          <w:tcPr>
            <w:tcW w:w="849" w:type="dxa"/>
            <w:vAlign w:val="center"/>
          </w:tcPr>
          <w:p w14:paraId="76D8E10E"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1056</w:t>
            </w:r>
          </w:p>
        </w:tc>
        <w:tc>
          <w:tcPr>
            <w:tcW w:w="1268" w:type="dxa"/>
            <w:shd w:val="clear" w:color="auto" w:fill="auto"/>
            <w:noWrap/>
            <w:vAlign w:val="center"/>
            <w:hideMark/>
          </w:tcPr>
          <w:p w14:paraId="793ED37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639</w:t>
            </w:r>
          </w:p>
        </w:tc>
        <w:tc>
          <w:tcPr>
            <w:tcW w:w="1283" w:type="dxa"/>
            <w:shd w:val="clear" w:color="auto" w:fill="auto"/>
            <w:noWrap/>
            <w:vAlign w:val="center"/>
            <w:hideMark/>
          </w:tcPr>
          <w:p w14:paraId="7A426B8A"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94.76</w:t>
            </w:r>
          </w:p>
        </w:tc>
        <w:tc>
          <w:tcPr>
            <w:tcW w:w="1418" w:type="dxa"/>
            <w:shd w:val="clear" w:color="auto" w:fill="auto"/>
            <w:noWrap/>
            <w:vAlign w:val="center"/>
            <w:hideMark/>
          </w:tcPr>
          <w:p w14:paraId="61249713"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w:t>
            </w:r>
          </w:p>
        </w:tc>
        <w:tc>
          <w:tcPr>
            <w:tcW w:w="979" w:type="dxa"/>
            <w:shd w:val="clear" w:color="auto" w:fill="auto"/>
            <w:noWrap/>
            <w:vAlign w:val="center"/>
            <w:hideMark/>
          </w:tcPr>
          <w:p w14:paraId="53C49D2D"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47**</w:t>
            </w:r>
          </w:p>
        </w:tc>
      </w:tr>
      <w:tr w:rsidR="00BD39B5" w:rsidRPr="004B37E9" w14:paraId="493FCE82" w14:textId="77777777" w:rsidTr="00494B2C">
        <w:trPr>
          <w:trHeight w:val="288"/>
        </w:trPr>
        <w:tc>
          <w:tcPr>
            <w:tcW w:w="1133" w:type="dxa"/>
            <w:shd w:val="clear" w:color="auto" w:fill="auto"/>
            <w:noWrap/>
            <w:vAlign w:val="center"/>
            <w:hideMark/>
          </w:tcPr>
          <w:p w14:paraId="6B385287"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Powell</w:t>
            </w:r>
          </w:p>
        </w:tc>
        <w:tc>
          <w:tcPr>
            <w:tcW w:w="1168" w:type="dxa"/>
            <w:shd w:val="clear" w:color="auto" w:fill="auto"/>
            <w:noWrap/>
            <w:vAlign w:val="center"/>
            <w:hideMark/>
          </w:tcPr>
          <w:p w14:paraId="6AC2FA14"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brood</w:t>
            </w:r>
          </w:p>
        </w:tc>
        <w:tc>
          <w:tcPr>
            <w:tcW w:w="1109" w:type="dxa"/>
            <w:shd w:val="clear" w:color="auto" w:fill="auto"/>
            <w:noWrap/>
            <w:vAlign w:val="center"/>
            <w:hideMark/>
          </w:tcPr>
          <w:p w14:paraId="5500C6FA"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98.0%</w:t>
            </w:r>
          </w:p>
        </w:tc>
        <w:tc>
          <w:tcPr>
            <w:tcW w:w="849" w:type="dxa"/>
            <w:vAlign w:val="center"/>
          </w:tcPr>
          <w:p w14:paraId="19DE4C6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694</w:t>
            </w:r>
          </w:p>
        </w:tc>
        <w:tc>
          <w:tcPr>
            <w:tcW w:w="1268" w:type="dxa"/>
            <w:shd w:val="clear" w:color="auto" w:fill="auto"/>
            <w:noWrap/>
            <w:vAlign w:val="center"/>
            <w:hideMark/>
          </w:tcPr>
          <w:p w14:paraId="0024B367"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340</w:t>
            </w:r>
          </w:p>
        </w:tc>
        <w:tc>
          <w:tcPr>
            <w:tcW w:w="1283" w:type="dxa"/>
            <w:shd w:val="clear" w:color="auto" w:fill="auto"/>
            <w:noWrap/>
            <w:vAlign w:val="center"/>
            <w:hideMark/>
          </w:tcPr>
          <w:p w14:paraId="1B03368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91.92</w:t>
            </w:r>
          </w:p>
        </w:tc>
        <w:tc>
          <w:tcPr>
            <w:tcW w:w="1418" w:type="dxa"/>
            <w:shd w:val="clear" w:color="auto" w:fill="auto"/>
            <w:noWrap/>
            <w:vAlign w:val="center"/>
            <w:hideMark/>
          </w:tcPr>
          <w:p w14:paraId="6550D20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w:t>
            </w:r>
          </w:p>
        </w:tc>
        <w:tc>
          <w:tcPr>
            <w:tcW w:w="979" w:type="dxa"/>
            <w:shd w:val="clear" w:color="auto" w:fill="auto"/>
            <w:noWrap/>
            <w:vAlign w:val="center"/>
            <w:hideMark/>
          </w:tcPr>
          <w:p w14:paraId="6895789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47</w:t>
            </w:r>
          </w:p>
        </w:tc>
      </w:tr>
      <w:tr w:rsidR="00BD39B5" w:rsidRPr="004B37E9" w14:paraId="7B5C0CB4" w14:textId="77777777" w:rsidTr="00494B2C">
        <w:trPr>
          <w:trHeight w:val="288"/>
        </w:trPr>
        <w:tc>
          <w:tcPr>
            <w:tcW w:w="1133" w:type="dxa"/>
            <w:shd w:val="clear" w:color="auto" w:fill="auto"/>
            <w:noWrap/>
            <w:vAlign w:val="center"/>
            <w:hideMark/>
          </w:tcPr>
          <w:p w14:paraId="2FE23E06" w14:textId="6A5AE939"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Signy</w:t>
            </w:r>
            <w:r w:rsidR="00DA7B28" w:rsidRPr="004B37E9">
              <w:rPr>
                <w:rFonts w:ascii="Calibri" w:eastAsia="Times New Roman" w:hAnsi="Calibri" w:cs="Calibri"/>
                <w:color w:val="000000"/>
                <w:lang w:eastAsia="en-GB"/>
              </w:rPr>
              <w:t>20</w:t>
            </w:r>
            <w:r w:rsidRPr="004B37E9">
              <w:rPr>
                <w:rFonts w:ascii="Calibri" w:eastAsia="Times New Roman" w:hAnsi="Calibri" w:cs="Calibri"/>
                <w:color w:val="000000"/>
                <w:lang w:eastAsia="en-GB"/>
              </w:rPr>
              <w:t>15</w:t>
            </w:r>
          </w:p>
        </w:tc>
        <w:tc>
          <w:tcPr>
            <w:tcW w:w="1168" w:type="dxa"/>
            <w:shd w:val="clear" w:color="auto" w:fill="auto"/>
            <w:noWrap/>
            <w:vAlign w:val="center"/>
            <w:hideMark/>
          </w:tcPr>
          <w:p w14:paraId="15723C2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brood</w:t>
            </w:r>
          </w:p>
        </w:tc>
        <w:tc>
          <w:tcPr>
            <w:tcW w:w="1109" w:type="dxa"/>
            <w:shd w:val="clear" w:color="auto" w:fill="auto"/>
            <w:noWrap/>
            <w:vAlign w:val="center"/>
            <w:hideMark/>
          </w:tcPr>
          <w:p w14:paraId="5A79908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93.0%</w:t>
            </w:r>
          </w:p>
        </w:tc>
        <w:tc>
          <w:tcPr>
            <w:tcW w:w="849" w:type="dxa"/>
            <w:vAlign w:val="center"/>
          </w:tcPr>
          <w:p w14:paraId="04AB9E3C"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2394</w:t>
            </w:r>
          </w:p>
        </w:tc>
        <w:tc>
          <w:tcPr>
            <w:tcW w:w="1268" w:type="dxa"/>
            <w:shd w:val="clear" w:color="auto" w:fill="auto"/>
            <w:noWrap/>
            <w:vAlign w:val="center"/>
            <w:hideMark/>
          </w:tcPr>
          <w:p w14:paraId="46E226EF"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1514</w:t>
            </w:r>
          </w:p>
        </w:tc>
        <w:tc>
          <w:tcPr>
            <w:tcW w:w="1283" w:type="dxa"/>
            <w:shd w:val="clear" w:color="auto" w:fill="auto"/>
            <w:noWrap/>
            <w:vAlign w:val="center"/>
            <w:hideMark/>
          </w:tcPr>
          <w:p w14:paraId="6CFC6F1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81.12</w:t>
            </w:r>
          </w:p>
        </w:tc>
        <w:tc>
          <w:tcPr>
            <w:tcW w:w="1418" w:type="dxa"/>
            <w:shd w:val="clear" w:color="auto" w:fill="auto"/>
            <w:noWrap/>
            <w:vAlign w:val="center"/>
            <w:hideMark/>
          </w:tcPr>
          <w:p w14:paraId="2B3DF3FC"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w:t>
            </w:r>
          </w:p>
        </w:tc>
        <w:tc>
          <w:tcPr>
            <w:tcW w:w="979" w:type="dxa"/>
            <w:shd w:val="clear" w:color="auto" w:fill="auto"/>
            <w:noWrap/>
            <w:vAlign w:val="center"/>
            <w:hideMark/>
          </w:tcPr>
          <w:p w14:paraId="02C5DA80"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55***</w:t>
            </w:r>
          </w:p>
        </w:tc>
      </w:tr>
      <w:tr w:rsidR="00BD39B5" w:rsidRPr="004B37E9" w14:paraId="04B82AC5" w14:textId="77777777" w:rsidTr="00494B2C">
        <w:trPr>
          <w:trHeight w:val="288"/>
        </w:trPr>
        <w:tc>
          <w:tcPr>
            <w:tcW w:w="1133" w:type="dxa"/>
            <w:shd w:val="clear" w:color="auto" w:fill="auto"/>
            <w:noWrap/>
            <w:vAlign w:val="center"/>
            <w:hideMark/>
          </w:tcPr>
          <w:p w14:paraId="15605C0B" w14:textId="77777777" w:rsidR="00BD39B5" w:rsidRPr="004B37E9" w:rsidRDefault="00BD39B5" w:rsidP="00D5684D">
            <w:pPr>
              <w:spacing w:after="120" w:line="240" w:lineRule="auto"/>
              <w:rPr>
                <w:rFonts w:ascii="Calibri" w:eastAsia="Times New Roman" w:hAnsi="Calibri" w:cs="Calibri"/>
                <w:color w:val="000000"/>
                <w:lang w:eastAsia="en-GB"/>
              </w:rPr>
            </w:pPr>
            <w:r w:rsidRPr="004B37E9">
              <w:rPr>
                <w:rFonts w:ascii="Calibri" w:eastAsia="Times New Roman" w:hAnsi="Calibri" w:cs="Calibri"/>
                <w:color w:val="000000"/>
                <w:lang w:eastAsia="en-GB"/>
              </w:rPr>
              <w:t>Monroe</w:t>
            </w:r>
          </w:p>
        </w:tc>
        <w:tc>
          <w:tcPr>
            <w:tcW w:w="1168" w:type="dxa"/>
            <w:shd w:val="clear" w:color="auto" w:fill="auto"/>
            <w:noWrap/>
            <w:vAlign w:val="center"/>
            <w:hideMark/>
          </w:tcPr>
          <w:p w14:paraId="2CB7C5C6"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crèche</w:t>
            </w:r>
          </w:p>
        </w:tc>
        <w:tc>
          <w:tcPr>
            <w:tcW w:w="1109" w:type="dxa"/>
            <w:shd w:val="clear" w:color="auto" w:fill="auto"/>
            <w:noWrap/>
            <w:vAlign w:val="center"/>
            <w:hideMark/>
          </w:tcPr>
          <w:p w14:paraId="212B041D"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96.0%</w:t>
            </w:r>
          </w:p>
        </w:tc>
        <w:tc>
          <w:tcPr>
            <w:tcW w:w="849" w:type="dxa"/>
            <w:vAlign w:val="center"/>
          </w:tcPr>
          <w:p w14:paraId="0A499572"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1632</w:t>
            </w:r>
          </w:p>
        </w:tc>
        <w:tc>
          <w:tcPr>
            <w:tcW w:w="1268" w:type="dxa"/>
            <w:shd w:val="clear" w:color="auto" w:fill="auto"/>
            <w:noWrap/>
            <w:vAlign w:val="center"/>
            <w:hideMark/>
          </w:tcPr>
          <w:p w14:paraId="43F6DFC6"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1043</w:t>
            </w:r>
          </w:p>
        </w:tc>
        <w:tc>
          <w:tcPr>
            <w:tcW w:w="1283" w:type="dxa"/>
            <w:shd w:val="clear" w:color="auto" w:fill="auto"/>
            <w:noWrap/>
            <w:vAlign w:val="center"/>
            <w:hideMark/>
          </w:tcPr>
          <w:p w14:paraId="70F392F5"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81.4</w:t>
            </w:r>
          </w:p>
        </w:tc>
        <w:tc>
          <w:tcPr>
            <w:tcW w:w="1418" w:type="dxa"/>
            <w:shd w:val="clear" w:color="auto" w:fill="auto"/>
            <w:noWrap/>
            <w:vAlign w:val="center"/>
            <w:hideMark/>
          </w:tcPr>
          <w:p w14:paraId="4B59ADA6"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0</w:t>
            </w:r>
          </w:p>
        </w:tc>
        <w:tc>
          <w:tcPr>
            <w:tcW w:w="979" w:type="dxa"/>
            <w:shd w:val="clear" w:color="auto" w:fill="auto"/>
            <w:noWrap/>
            <w:vAlign w:val="center"/>
            <w:hideMark/>
          </w:tcPr>
          <w:p w14:paraId="4A67A1D4" w14:textId="77777777" w:rsidR="00BD39B5" w:rsidRPr="004B37E9" w:rsidRDefault="00BD39B5" w:rsidP="00D5684D">
            <w:pPr>
              <w:spacing w:after="120" w:line="240" w:lineRule="auto"/>
              <w:jc w:val="center"/>
              <w:rPr>
                <w:rFonts w:ascii="Calibri" w:eastAsia="Times New Roman" w:hAnsi="Calibri" w:cs="Calibri"/>
                <w:color w:val="000000"/>
                <w:lang w:eastAsia="en-GB"/>
              </w:rPr>
            </w:pPr>
            <w:r w:rsidRPr="004B37E9">
              <w:rPr>
                <w:rFonts w:ascii="Calibri" w:eastAsia="Times New Roman" w:hAnsi="Calibri" w:cs="Calibri"/>
                <w:color w:val="000000"/>
                <w:lang w:eastAsia="en-GB"/>
              </w:rPr>
              <w:t>43</w:t>
            </w:r>
          </w:p>
        </w:tc>
      </w:tr>
    </w:tbl>
    <w:p w14:paraId="284D787F" w14:textId="77777777" w:rsidR="00BD39B5" w:rsidRPr="004B37E9" w:rsidRDefault="00BD39B5" w:rsidP="00494B2C">
      <w:pPr>
        <w:spacing w:after="120" w:line="480" w:lineRule="auto"/>
        <w:sectPr w:rsidR="00BD39B5" w:rsidRPr="004B37E9" w:rsidSect="003646F0">
          <w:pgSz w:w="11906" w:h="16838"/>
          <w:pgMar w:top="1440" w:right="1440" w:bottom="1440" w:left="1440" w:header="708" w:footer="708" w:gutter="0"/>
          <w:lnNumType w:countBy="1" w:restart="continuous"/>
          <w:cols w:space="708"/>
          <w:docGrid w:linePitch="360"/>
        </w:sectPr>
      </w:pPr>
    </w:p>
    <w:p w14:paraId="3F146B11" w14:textId="77777777" w:rsidR="00BD39B5" w:rsidRPr="004B37E9" w:rsidRDefault="00BD39B5" w:rsidP="00494B2C">
      <w:pPr>
        <w:spacing w:after="120" w:line="480" w:lineRule="auto"/>
      </w:pPr>
      <w:r w:rsidRPr="004B37E9">
        <w:lastRenderedPageBreak/>
        <w:t>Figure captions:</w:t>
      </w:r>
    </w:p>
    <w:p w14:paraId="0D5C373B" w14:textId="77777777" w:rsidR="00BD39B5" w:rsidRPr="004B37E9" w:rsidRDefault="00BD39B5" w:rsidP="00494B2C">
      <w:pPr>
        <w:spacing w:after="120" w:line="480" w:lineRule="auto"/>
      </w:pPr>
    </w:p>
    <w:p w14:paraId="2023F7ED" w14:textId="77980D29" w:rsidR="009A3D6A" w:rsidRPr="004B37E9" w:rsidRDefault="009A3D6A" w:rsidP="00494B2C">
      <w:pPr>
        <w:spacing w:after="120" w:line="480" w:lineRule="auto"/>
      </w:pPr>
      <w:r w:rsidRPr="004B37E9">
        <w:t>Figure 1: Location of the study area</w:t>
      </w:r>
    </w:p>
    <w:p w14:paraId="1EEB0C20" w14:textId="77777777" w:rsidR="009A3D6A" w:rsidRPr="004B37E9" w:rsidRDefault="009A3D6A" w:rsidP="00494B2C">
      <w:pPr>
        <w:spacing w:after="120" w:line="480" w:lineRule="auto"/>
      </w:pPr>
    </w:p>
    <w:p w14:paraId="25BF93EC" w14:textId="214AB5C5" w:rsidR="00BD39B5" w:rsidRPr="004B37E9" w:rsidRDefault="00BD39B5" w:rsidP="00494B2C">
      <w:pPr>
        <w:spacing w:after="120" w:line="480" w:lineRule="auto"/>
      </w:pPr>
      <w:r w:rsidRPr="004B37E9">
        <w:t xml:space="preserve">Figure </w:t>
      </w:r>
      <w:r w:rsidR="009A3D6A" w:rsidRPr="004B37E9">
        <w:t>2</w:t>
      </w:r>
      <w:r w:rsidRPr="004B37E9">
        <w:t>: Comparison between the results of the mIBA protocol and the predictiv</w:t>
      </w:r>
      <w:r w:rsidR="00860BD7" w:rsidRPr="004B37E9">
        <w:t xml:space="preserve">e maps based on </w:t>
      </w:r>
      <w:r w:rsidR="009012FC" w:rsidRPr="004B37E9">
        <w:t>correlative habitat</w:t>
      </w:r>
      <w:r w:rsidR="00860BD7" w:rsidRPr="004B37E9">
        <w:t xml:space="preserve"> models</w:t>
      </w:r>
      <w:r w:rsidRPr="004B37E9">
        <w:t xml:space="preserve">. Background maps show the predicted </w:t>
      </w:r>
      <w:r w:rsidR="00AD50C1" w:rsidRPr="004B37E9">
        <w:t xml:space="preserve">probability of occurrence </w:t>
      </w:r>
      <w:r w:rsidRPr="004B37E9">
        <w:t>of Chinstrap penguin from habitat models; dark blue polygons represent the boundaries of model hotspots; red polygons represent the boundaries of candidate marine IBAs.</w:t>
      </w:r>
    </w:p>
    <w:p w14:paraId="419A9522" w14:textId="77777777" w:rsidR="00BD39B5" w:rsidRPr="004B37E9" w:rsidRDefault="00BD39B5" w:rsidP="00494B2C">
      <w:pPr>
        <w:spacing w:after="120" w:line="480" w:lineRule="auto"/>
      </w:pPr>
    </w:p>
    <w:p w14:paraId="62580F5E" w14:textId="77777777" w:rsidR="00BD39B5" w:rsidRPr="004B37E9" w:rsidRDefault="00BD39B5" w:rsidP="00494B2C">
      <w:pPr>
        <w:spacing w:after="120" w:line="480" w:lineRule="auto"/>
        <w:sectPr w:rsidR="00BD39B5" w:rsidRPr="004B37E9">
          <w:pgSz w:w="11906" w:h="16838"/>
          <w:pgMar w:top="1440" w:right="1440" w:bottom="1440" w:left="1440" w:header="708" w:footer="708" w:gutter="0"/>
          <w:cols w:space="708"/>
          <w:docGrid w:linePitch="360"/>
        </w:sectPr>
      </w:pPr>
    </w:p>
    <w:p w14:paraId="7EF8B6B1" w14:textId="4434ECFD" w:rsidR="009A3D6A" w:rsidRPr="004B37E9" w:rsidRDefault="009A3D6A">
      <w:r w:rsidRPr="004B37E9">
        <w:rPr>
          <w:noProof/>
          <w:lang w:eastAsia="en-GB"/>
        </w:rPr>
        <w:lastRenderedPageBreak/>
        <w:drawing>
          <wp:inline distT="0" distB="0" distL="0" distR="0" wp14:anchorId="698639BE" wp14:editId="03C40356">
            <wp:extent cx="5731123" cy="3959750"/>
            <wp:effectExtent l="0" t="0" r="3175" b="3175"/>
            <wp:docPr id="1" name="Picture 1" descr="C:\Users\maria.dias\Maria\penguins\PEW Penguins Antarctica\paper ibas_habitat models\Polar Biology\map_study_ar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ias\Maria\penguins\PEW Penguins Antarctica\paper ibas_habitat models\Polar Biology\map_study_area.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51149"/>
                    <a:stretch/>
                  </pic:blipFill>
                  <pic:spPr bwMode="auto">
                    <a:xfrm>
                      <a:off x="0" y="0"/>
                      <a:ext cx="5731510" cy="3960018"/>
                    </a:xfrm>
                    <a:prstGeom prst="rect">
                      <a:avLst/>
                    </a:prstGeom>
                    <a:noFill/>
                    <a:ln>
                      <a:noFill/>
                    </a:ln>
                    <a:extLst>
                      <a:ext uri="{53640926-AAD7-44D8-BBD7-CCE9431645EC}">
                        <a14:shadowObscured xmlns:a14="http://schemas.microsoft.com/office/drawing/2010/main"/>
                      </a:ext>
                    </a:extLst>
                  </pic:spPr>
                </pic:pic>
              </a:graphicData>
            </a:graphic>
          </wp:inline>
        </w:drawing>
      </w:r>
      <w:r w:rsidRPr="004B37E9">
        <w:br w:type="page"/>
      </w:r>
    </w:p>
    <w:p w14:paraId="67527711" w14:textId="701E9EA1" w:rsidR="00BD39B5" w:rsidRPr="004B37E9" w:rsidRDefault="00BD39B5" w:rsidP="00494B2C">
      <w:pPr>
        <w:spacing w:after="120" w:line="480" w:lineRule="auto"/>
      </w:pPr>
      <w:r w:rsidRPr="004B37E9">
        <w:lastRenderedPageBreak/>
        <w:t xml:space="preserve">Figure </w:t>
      </w:r>
      <w:r w:rsidR="009A3D6A" w:rsidRPr="004B37E9">
        <w:t>2</w:t>
      </w:r>
    </w:p>
    <w:p w14:paraId="1C1CDB74" w14:textId="0B1761BB" w:rsidR="00C90E33" w:rsidRPr="004B37E9" w:rsidRDefault="00C90E33" w:rsidP="00494B2C">
      <w:pPr>
        <w:spacing w:after="120" w:line="480" w:lineRule="auto"/>
      </w:pPr>
      <w:r w:rsidRPr="004B37E9">
        <w:rPr>
          <w:noProof/>
          <w:lang w:eastAsia="en-GB"/>
        </w:rPr>
        <w:drawing>
          <wp:inline distT="0" distB="0" distL="0" distR="0" wp14:anchorId="5A2E6A22" wp14:editId="68DA3CF9">
            <wp:extent cx="5400000" cy="8090221"/>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8090221"/>
                    </a:xfrm>
                    <a:prstGeom prst="rect">
                      <a:avLst/>
                    </a:prstGeom>
                    <a:noFill/>
                  </pic:spPr>
                </pic:pic>
              </a:graphicData>
            </a:graphic>
          </wp:inline>
        </w:drawing>
      </w:r>
    </w:p>
    <w:p w14:paraId="34B61AF8" w14:textId="4C2E9219" w:rsidR="00C90E33" w:rsidRPr="004B37E9" w:rsidRDefault="00C90E33" w:rsidP="00494B2C">
      <w:pPr>
        <w:spacing w:after="120" w:line="480" w:lineRule="auto"/>
      </w:pPr>
      <w:r w:rsidRPr="004B37E9">
        <w:lastRenderedPageBreak/>
        <w:t>Fig. 2(cont)</w:t>
      </w:r>
    </w:p>
    <w:p w14:paraId="7BC83F3A" w14:textId="647F5579" w:rsidR="00C90E33" w:rsidRPr="00DA7B28" w:rsidRDefault="00C90E33" w:rsidP="00494B2C">
      <w:pPr>
        <w:spacing w:after="120" w:line="480" w:lineRule="auto"/>
      </w:pPr>
      <w:r w:rsidRPr="004B37E9">
        <w:rPr>
          <w:noProof/>
          <w:lang w:eastAsia="en-GB"/>
        </w:rPr>
        <w:drawing>
          <wp:inline distT="0" distB="0" distL="0" distR="0" wp14:anchorId="625E814F" wp14:editId="7F2FF413">
            <wp:extent cx="5400000" cy="5613568"/>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5613568"/>
                    </a:xfrm>
                    <a:prstGeom prst="rect">
                      <a:avLst/>
                    </a:prstGeom>
                    <a:noFill/>
                  </pic:spPr>
                </pic:pic>
              </a:graphicData>
            </a:graphic>
          </wp:inline>
        </w:drawing>
      </w:r>
    </w:p>
    <w:p w14:paraId="61AEB2EC" w14:textId="05E8D42D" w:rsidR="00BD39B5" w:rsidRPr="00DA7B28" w:rsidRDefault="00BD39B5" w:rsidP="00494B2C">
      <w:pPr>
        <w:spacing w:after="120" w:line="480" w:lineRule="auto"/>
      </w:pPr>
    </w:p>
    <w:p w14:paraId="0612E938" w14:textId="77777777" w:rsidR="00BD39B5" w:rsidRPr="00DA7B28" w:rsidRDefault="00BD39B5" w:rsidP="00494B2C">
      <w:pPr>
        <w:spacing w:after="120" w:line="480" w:lineRule="auto"/>
      </w:pPr>
    </w:p>
    <w:p w14:paraId="5827668D" w14:textId="4C29D91B" w:rsidR="00BD39B5" w:rsidRPr="00494B2C" w:rsidRDefault="00BD39B5" w:rsidP="00494B2C">
      <w:pPr>
        <w:spacing w:after="120" w:line="480" w:lineRule="auto"/>
      </w:pPr>
    </w:p>
    <w:p w14:paraId="08FD5BD9" w14:textId="77777777" w:rsidR="00BD39B5" w:rsidRPr="00494B2C" w:rsidRDefault="00BD39B5" w:rsidP="00494B2C">
      <w:pPr>
        <w:spacing w:after="120" w:line="480" w:lineRule="auto"/>
        <w:ind w:left="426" w:hanging="426"/>
        <w:rPr>
          <w:rFonts w:cstheme="minorHAnsi"/>
          <w:b/>
        </w:rPr>
      </w:pPr>
    </w:p>
    <w:sectPr w:rsidR="00BD39B5" w:rsidRPr="00494B2C" w:rsidSect="008E52A3">
      <w:headerReference w:type="default" r:id="rId12"/>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67096D" w14:textId="77777777" w:rsidR="00EB2C7C" w:rsidRDefault="00EB2C7C" w:rsidP="00CE3559">
      <w:pPr>
        <w:spacing w:after="0" w:line="240" w:lineRule="auto"/>
      </w:pPr>
      <w:r>
        <w:separator/>
      </w:r>
    </w:p>
  </w:endnote>
  <w:endnote w:type="continuationSeparator" w:id="0">
    <w:p w14:paraId="7CB06739" w14:textId="77777777" w:rsidR="00EB2C7C" w:rsidRDefault="00EB2C7C" w:rsidP="00CE35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163E53" w14:textId="77777777" w:rsidR="00EB2C7C" w:rsidRDefault="00EB2C7C" w:rsidP="00CE3559">
      <w:pPr>
        <w:spacing w:after="0" w:line="240" w:lineRule="auto"/>
      </w:pPr>
      <w:r>
        <w:separator/>
      </w:r>
    </w:p>
  </w:footnote>
  <w:footnote w:type="continuationSeparator" w:id="0">
    <w:p w14:paraId="21C4E349" w14:textId="77777777" w:rsidR="00EB2C7C" w:rsidRDefault="00EB2C7C" w:rsidP="00CE35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BA4AFF" w14:textId="4189A3DD" w:rsidR="009467AC" w:rsidRPr="00E135AF" w:rsidRDefault="009467AC" w:rsidP="00E135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E0296"/>
    <w:multiLevelType w:val="hybridMultilevel"/>
    <w:tmpl w:val="BCD6FC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C319F1"/>
    <w:multiLevelType w:val="hybridMultilevel"/>
    <w:tmpl w:val="E6281178"/>
    <w:lvl w:ilvl="0" w:tplc="193EE320">
      <w:start w:val="1"/>
      <w:numFmt w:val="decimal"/>
      <w:lvlText w:val="(%1)"/>
      <w:lvlJc w:val="left"/>
      <w:pPr>
        <w:ind w:left="720" w:hanging="360"/>
      </w:pPr>
      <w:rPr>
        <w:rFonts w:cstheme="minorHAnsi" w:hint="default"/>
        <w:sz w:val="1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0317D47"/>
    <w:multiLevelType w:val="multilevel"/>
    <w:tmpl w:val="9E440E7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3BB2"/>
    <w:rsid w:val="00003674"/>
    <w:rsid w:val="000046C8"/>
    <w:rsid w:val="00006783"/>
    <w:rsid w:val="0001523F"/>
    <w:rsid w:val="0002243E"/>
    <w:rsid w:val="00027622"/>
    <w:rsid w:val="00027B11"/>
    <w:rsid w:val="00030C99"/>
    <w:rsid w:val="00034FFB"/>
    <w:rsid w:val="00035A2D"/>
    <w:rsid w:val="00052903"/>
    <w:rsid w:val="0006025E"/>
    <w:rsid w:val="00060B71"/>
    <w:rsid w:val="0006455C"/>
    <w:rsid w:val="00066820"/>
    <w:rsid w:val="00082D35"/>
    <w:rsid w:val="000938AC"/>
    <w:rsid w:val="00094B50"/>
    <w:rsid w:val="00095C2D"/>
    <w:rsid w:val="00096887"/>
    <w:rsid w:val="00096B01"/>
    <w:rsid w:val="00096D63"/>
    <w:rsid w:val="000B0EC4"/>
    <w:rsid w:val="000B198B"/>
    <w:rsid w:val="000B2CB3"/>
    <w:rsid w:val="000B2CDF"/>
    <w:rsid w:val="000B7D69"/>
    <w:rsid w:val="000D1120"/>
    <w:rsid w:val="000D44F9"/>
    <w:rsid w:val="000E4BC6"/>
    <w:rsid w:val="000E4FCC"/>
    <w:rsid w:val="000E74E3"/>
    <w:rsid w:val="000F13B8"/>
    <w:rsid w:val="0010152E"/>
    <w:rsid w:val="001158D0"/>
    <w:rsid w:val="00123E1B"/>
    <w:rsid w:val="001254D4"/>
    <w:rsid w:val="00130F36"/>
    <w:rsid w:val="00140EA6"/>
    <w:rsid w:val="001513AB"/>
    <w:rsid w:val="00154168"/>
    <w:rsid w:val="001704F6"/>
    <w:rsid w:val="00171C76"/>
    <w:rsid w:val="00174C09"/>
    <w:rsid w:val="00174CA4"/>
    <w:rsid w:val="00194A66"/>
    <w:rsid w:val="0019566B"/>
    <w:rsid w:val="001B323E"/>
    <w:rsid w:val="001C596D"/>
    <w:rsid w:val="001C7B13"/>
    <w:rsid w:val="001D2558"/>
    <w:rsid w:val="001D595C"/>
    <w:rsid w:val="001E06FD"/>
    <w:rsid w:val="001E4870"/>
    <w:rsid w:val="001E4DFD"/>
    <w:rsid w:val="001E515E"/>
    <w:rsid w:val="001E6453"/>
    <w:rsid w:val="001F28A0"/>
    <w:rsid w:val="001F2A45"/>
    <w:rsid w:val="001F2B03"/>
    <w:rsid w:val="001F71BD"/>
    <w:rsid w:val="00200B81"/>
    <w:rsid w:val="0020219E"/>
    <w:rsid w:val="00202B82"/>
    <w:rsid w:val="00213315"/>
    <w:rsid w:val="0022077D"/>
    <w:rsid w:val="00226FAC"/>
    <w:rsid w:val="00227E00"/>
    <w:rsid w:val="00235126"/>
    <w:rsid w:val="00244B12"/>
    <w:rsid w:val="00263BA2"/>
    <w:rsid w:val="00264A7A"/>
    <w:rsid w:val="00272BD0"/>
    <w:rsid w:val="00272E6C"/>
    <w:rsid w:val="00274D3A"/>
    <w:rsid w:val="00275E69"/>
    <w:rsid w:val="00281D4D"/>
    <w:rsid w:val="00282645"/>
    <w:rsid w:val="0028379F"/>
    <w:rsid w:val="00286033"/>
    <w:rsid w:val="00286A0E"/>
    <w:rsid w:val="002A43D1"/>
    <w:rsid w:val="002A4DA4"/>
    <w:rsid w:val="002A68CC"/>
    <w:rsid w:val="002C0CAA"/>
    <w:rsid w:val="002C2782"/>
    <w:rsid w:val="002C27B1"/>
    <w:rsid w:val="002C3423"/>
    <w:rsid w:val="002D273B"/>
    <w:rsid w:val="002E1FB9"/>
    <w:rsid w:val="002F1F01"/>
    <w:rsid w:val="002F49E8"/>
    <w:rsid w:val="002F678F"/>
    <w:rsid w:val="002F75B2"/>
    <w:rsid w:val="00303157"/>
    <w:rsid w:val="003054F7"/>
    <w:rsid w:val="00305888"/>
    <w:rsid w:val="00311A90"/>
    <w:rsid w:val="0031324F"/>
    <w:rsid w:val="00315EB7"/>
    <w:rsid w:val="003202BE"/>
    <w:rsid w:val="0032032B"/>
    <w:rsid w:val="00333C34"/>
    <w:rsid w:val="0033678C"/>
    <w:rsid w:val="0034274D"/>
    <w:rsid w:val="003474FF"/>
    <w:rsid w:val="0035335B"/>
    <w:rsid w:val="0035378C"/>
    <w:rsid w:val="00357EE0"/>
    <w:rsid w:val="003642A1"/>
    <w:rsid w:val="003646F0"/>
    <w:rsid w:val="0037243C"/>
    <w:rsid w:val="00381D04"/>
    <w:rsid w:val="003871DE"/>
    <w:rsid w:val="003903BA"/>
    <w:rsid w:val="0039128D"/>
    <w:rsid w:val="003959A3"/>
    <w:rsid w:val="003A33FD"/>
    <w:rsid w:val="003A7505"/>
    <w:rsid w:val="003B2BE2"/>
    <w:rsid w:val="003B5AFB"/>
    <w:rsid w:val="003B767B"/>
    <w:rsid w:val="003C2F6D"/>
    <w:rsid w:val="003D14C0"/>
    <w:rsid w:val="003D1E03"/>
    <w:rsid w:val="003D3634"/>
    <w:rsid w:val="003D7903"/>
    <w:rsid w:val="004030C3"/>
    <w:rsid w:val="004048A2"/>
    <w:rsid w:val="00406BA5"/>
    <w:rsid w:val="00412606"/>
    <w:rsid w:val="00420413"/>
    <w:rsid w:val="0042153A"/>
    <w:rsid w:val="004230C3"/>
    <w:rsid w:val="00424F73"/>
    <w:rsid w:val="00425D59"/>
    <w:rsid w:val="00427A15"/>
    <w:rsid w:val="00437DFE"/>
    <w:rsid w:val="00440527"/>
    <w:rsid w:val="004418AD"/>
    <w:rsid w:val="00444336"/>
    <w:rsid w:val="00446669"/>
    <w:rsid w:val="00447B99"/>
    <w:rsid w:val="00453BCC"/>
    <w:rsid w:val="0045482F"/>
    <w:rsid w:val="00456C01"/>
    <w:rsid w:val="00465A9E"/>
    <w:rsid w:val="00467A5C"/>
    <w:rsid w:val="0047067A"/>
    <w:rsid w:val="0047153A"/>
    <w:rsid w:val="00472351"/>
    <w:rsid w:val="004736BE"/>
    <w:rsid w:val="0048231D"/>
    <w:rsid w:val="00485FB7"/>
    <w:rsid w:val="00487E23"/>
    <w:rsid w:val="00490883"/>
    <w:rsid w:val="00494B2C"/>
    <w:rsid w:val="00495E28"/>
    <w:rsid w:val="004A6C44"/>
    <w:rsid w:val="004B2558"/>
    <w:rsid w:val="004B37E9"/>
    <w:rsid w:val="004C628D"/>
    <w:rsid w:val="004D016B"/>
    <w:rsid w:val="004D7770"/>
    <w:rsid w:val="004E0DB1"/>
    <w:rsid w:val="004E33F7"/>
    <w:rsid w:val="004E3896"/>
    <w:rsid w:val="004F4032"/>
    <w:rsid w:val="004F5839"/>
    <w:rsid w:val="00500AFC"/>
    <w:rsid w:val="00504DEE"/>
    <w:rsid w:val="005114B2"/>
    <w:rsid w:val="00512491"/>
    <w:rsid w:val="00513BB1"/>
    <w:rsid w:val="005159FA"/>
    <w:rsid w:val="0052405E"/>
    <w:rsid w:val="00525E9F"/>
    <w:rsid w:val="00532756"/>
    <w:rsid w:val="00533F1C"/>
    <w:rsid w:val="00537E12"/>
    <w:rsid w:val="00541B0D"/>
    <w:rsid w:val="005530EC"/>
    <w:rsid w:val="0055311B"/>
    <w:rsid w:val="00554B59"/>
    <w:rsid w:val="005555E0"/>
    <w:rsid w:val="005666C0"/>
    <w:rsid w:val="0057178A"/>
    <w:rsid w:val="005801B0"/>
    <w:rsid w:val="005813B0"/>
    <w:rsid w:val="005970D1"/>
    <w:rsid w:val="005B0267"/>
    <w:rsid w:val="005B16F1"/>
    <w:rsid w:val="005C0814"/>
    <w:rsid w:val="005C13FF"/>
    <w:rsid w:val="005C40E7"/>
    <w:rsid w:val="005C57FB"/>
    <w:rsid w:val="005C7D0D"/>
    <w:rsid w:val="005D1F68"/>
    <w:rsid w:val="005E160D"/>
    <w:rsid w:val="005E6FE9"/>
    <w:rsid w:val="005F3719"/>
    <w:rsid w:val="005F46F8"/>
    <w:rsid w:val="006012BB"/>
    <w:rsid w:val="00602E09"/>
    <w:rsid w:val="0060307D"/>
    <w:rsid w:val="0061073C"/>
    <w:rsid w:val="00611DD0"/>
    <w:rsid w:val="00612321"/>
    <w:rsid w:val="0062395D"/>
    <w:rsid w:val="0063114A"/>
    <w:rsid w:val="006356C6"/>
    <w:rsid w:val="00637014"/>
    <w:rsid w:val="00644485"/>
    <w:rsid w:val="00644D2E"/>
    <w:rsid w:val="00647E97"/>
    <w:rsid w:val="00655DAB"/>
    <w:rsid w:val="006603DB"/>
    <w:rsid w:val="00661073"/>
    <w:rsid w:val="0066180D"/>
    <w:rsid w:val="006636CF"/>
    <w:rsid w:val="006637D5"/>
    <w:rsid w:val="006649EA"/>
    <w:rsid w:val="00667C2F"/>
    <w:rsid w:val="00670302"/>
    <w:rsid w:val="00671E2B"/>
    <w:rsid w:val="006844FC"/>
    <w:rsid w:val="006929DC"/>
    <w:rsid w:val="0069662C"/>
    <w:rsid w:val="006A4C5F"/>
    <w:rsid w:val="006B00C5"/>
    <w:rsid w:val="006B03B7"/>
    <w:rsid w:val="006B32C7"/>
    <w:rsid w:val="006C61F2"/>
    <w:rsid w:val="006D27D1"/>
    <w:rsid w:val="006D3ECE"/>
    <w:rsid w:val="006E053E"/>
    <w:rsid w:val="006E34E4"/>
    <w:rsid w:val="006F6BC7"/>
    <w:rsid w:val="00700C1A"/>
    <w:rsid w:val="007022E6"/>
    <w:rsid w:val="00703A83"/>
    <w:rsid w:val="007053A5"/>
    <w:rsid w:val="007055FE"/>
    <w:rsid w:val="00710EFA"/>
    <w:rsid w:val="00712B1B"/>
    <w:rsid w:val="007134FC"/>
    <w:rsid w:val="007136E2"/>
    <w:rsid w:val="00720D42"/>
    <w:rsid w:val="00721197"/>
    <w:rsid w:val="00722986"/>
    <w:rsid w:val="00724984"/>
    <w:rsid w:val="007262BB"/>
    <w:rsid w:val="007272DF"/>
    <w:rsid w:val="00732AF3"/>
    <w:rsid w:val="0073399A"/>
    <w:rsid w:val="007366AA"/>
    <w:rsid w:val="00741081"/>
    <w:rsid w:val="00742C32"/>
    <w:rsid w:val="00751490"/>
    <w:rsid w:val="00752C8A"/>
    <w:rsid w:val="00753D3A"/>
    <w:rsid w:val="007605BE"/>
    <w:rsid w:val="00761083"/>
    <w:rsid w:val="00761BAF"/>
    <w:rsid w:val="00762598"/>
    <w:rsid w:val="00762E11"/>
    <w:rsid w:val="00771141"/>
    <w:rsid w:val="00780A30"/>
    <w:rsid w:val="00781D29"/>
    <w:rsid w:val="00785ADE"/>
    <w:rsid w:val="00786680"/>
    <w:rsid w:val="00787925"/>
    <w:rsid w:val="00791467"/>
    <w:rsid w:val="00793547"/>
    <w:rsid w:val="00793B86"/>
    <w:rsid w:val="0079404F"/>
    <w:rsid w:val="00794C7D"/>
    <w:rsid w:val="007A0E5A"/>
    <w:rsid w:val="007A1E62"/>
    <w:rsid w:val="007A2DAB"/>
    <w:rsid w:val="007A2F2F"/>
    <w:rsid w:val="007B107A"/>
    <w:rsid w:val="007C4ED3"/>
    <w:rsid w:val="007C6FFD"/>
    <w:rsid w:val="007D38C4"/>
    <w:rsid w:val="007D6913"/>
    <w:rsid w:val="007E295A"/>
    <w:rsid w:val="007E2BFC"/>
    <w:rsid w:val="007E46A4"/>
    <w:rsid w:val="007E74D1"/>
    <w:rsid w:val="007F3891"/>
    <w:rsid w:val="007F4B30"/>
    <w:rsid w:val="0080170E"/>
    <w:rsid w:val="008113C5"/>
    <w:rsid w:val="0082451F"/>
    <w:rsid w:val="00844CBF"/>
    <w:rsid w:val="00853684"/>
    <w:rsid w:val="00854629"/>
    <w:rsid w:val="0085792C"/>
    <w:rsid w:val="00860BD7"/>
    <w:rsid w:val="00866048"/>
    <w:rsid w:val="00877B84"/>
    <w:rsid w:val="00880FCC"/>
    <w:rsid w:val="0088419C"/>
    <w:rsid w:val="00884BC6"/>
    <w:rsid w:val="0088762E"/>
    <w:rsid w:val="008946D5"/>
    <w:rsid w:val="008A50FA"/>
    <w:rsid w:val="008C0344"/>
    <w:rsid w:val="008C71A8"/>
    <w:rsid w:val="008D238F"/>
    <w:rsid w:val="008D345E"/>
    <w:rsid w:val="008D6EAD"/>
    <w:rsid w:val="008E4F7A"/>
    <w:rsid w:val="008E52A3"/>
    <w:rsid w:val="008E713C"/>
    <w:rsid w:val="008F362B"/>
    <w:rsid w:val="008F3A33"/>
    <w:rsid w:val="008F6958"/>
    <w:rsid w:val="008F72B8"/>
    <w:rsid w:val="009005F7"/>
    <w:rsid w:val="009012FC"/>
    <w:rsid w:val="009037CD"/>
    <w:rsid w:val="00912863"/>
    <w:rsid w:val="009154FD"/>
    <w:rsid w:val="00916F87"/>
    <w:rsid w:val="0092369F"/>
    <w:rsid w:val="00933E94"/>
    <w:rsid w:val="00934E05"/>
    <w:rsid w:val="00937B94"/>
    <w:rsid w:val="00941711"/>
    <w:rsid w:val="00942316"/>
    <w:rsid w:val="00944BB7"/>
    <w:rsid w:val="00944FF4"/>
    <w:rsid w:val="009467AC"/>
    <w:rsid w:val="0095601C"/>
    <w:rsid w:val="00956B12"/>
    <w:rsid w:val="00962C92"/>
    <w:rsid w:val="009636AD"/>
    <w:rsid w:val="00966536"/>
    <w:rsid w:val="00967481"/>
    <w:rsid w:val="00973DC5"/>
    <w:rsid w:val="0097651F"/>
    <w:rsid w:val="009766D5"/>
    <w:rsid w:val="0097719D"/>
    <w:rsid w:val="00977C06"/>
    <w:rsid w:val="00984B15"/>
    <w:rsid w:val="009872B0"/>
    <w:rsid w:val="00990044"/>
    <w:rsid w:val="00991BAC"/>
    <w:rsid w:val="00991E5E"/>
    <w:rsid w:val="009A1C31"/>
    <w:rsid w:val="009A3D6A"/>
    <w:rsid w:val="009B2762"/>
    <w:rsid w:val="009C300B"/>
    <w:rsid w:val="009C7334"/>
    <w:rsid w:val="009C7E49"/>
    <w:rsid w:val="009D219D"/>
    <w:rsid w:val="009D54F2"/>
    <w:rsid w:val="009F216D"/>
    <w:rsid w:val="009F22A9"/>
    <w:rsid w:val="009F539B"/>
    <w:rsid w:val="00A00ED7"/>
    <w:rsid w:val="00A025AC"/>
    <w:rsid w:val="00A07140"/>
    <w:rsid w:val="00A07BC3"/>
    <w:rsid w:val="00A12CC0"/>
    <w:rsid w:val="00A13BC6"/>
    <w:rsid w:val="00A14FA5"/>
    <w:rsid w:val="00A2175A"/>
    <w:rsid w:val="00A230FB"/>
    <w:rsid w:val="00A24C7C"/>
    <w:rsid w:val="00A30FAE"/>
    <w:rsid w:val="00A344B8"/>
    <w:rsid w:val="00A35ACD"/>
    <w:rsid w:val="00A37A39"/>
    <w:rsid w:val="00A41286"/>
    <w:rsid w:val="00A4534A"/>
    <w:rsid w:val="00A46720"/>
    <w:rsid w:val="00A56D29"/>
    <w:rsid w:val="00A57BAC"/>
    <w:rsid w:val="00A67146"/>
    <w:rsid w:val="00A71D30"/>
    <w:rsid w:val="00A73464"/>
    <w:rsid w:val="00A9322F"/>
    <w:rsid w:val="00A935C1"/>
    <w:rsid w:val="00A93BB2"/>
    <w:rsid w:val="00A96139"/>
    <w:rsid w:val="00AA03EF"/>
    <w:rsid w:val="00AA1352"/>
    <w:rsid w:val="00AB22A4"/>
    <w:rsid w:val="00AB74BF"/>
    <w:rsid w:val="00AD391A"/>
    <w:rsid w:val="00AD50C1"/>
    <w:rsid w:val="00AE124C"/>
    <w:rsid w:val="00AE3562"/>
    <w:rsid w:val="00AF2CC5"/>
    <w:rsid w:val="00AF598B"/>
    <w:rsid w:val="00AF7FC7"/>
    <w:rsid w:val="00B017AA"/>
    <w:rsid w:val="00B045CB"/>
    <w:rsid w:val="00B21CCD"/>
    <w:rsid w:val="00B26DE3"/>
    <w:rsid w:val="00B317E0"/>
    <w:rsid w:val="00B3268B"/>
    <w:rsid w:val="00B32A87"/>
    <w:rsid w:val="00B32B40"/>
    <w:rsid w:val="00B34A7C"/>
    <w:rsid w:val="00B37210"/>
    <w:rsid w:val="00B40844"/>
    <w:rsid w:val="00B44F94"/>
    <w:rsid w:val="00B52429"/>
    <w:rsid w:val="00B57A64"/>
    <w:rsid w:val="00B61517"/>
    <w:rsid w:val="00B61A05"/>
    <w:rsid w:val="00B7272E"/>
    <w:rsid w:val="00B72C02"/>
    <w:rsid w:val="00B772D3"/>
    <w:rsid w:val="00B839F2"/>
    <w:rsid w:val="00B8520D"/>
    <w:rsid w:val="00B8649C"/>
    <w:rsid w:val="00B87DFE"/>
    <w:rsid w:val="00B910D5"/>
    <w:rsid w:val="00B93191"/>
    <w:rsid w:val="00B957F3"/>
    <w:rsid w:val="00BA40E6"/>
    <w:rsid w:val="00BA6615"/>
    <w:rsid w:val="00BA766A"/>
    <w:rsid w:val="00BB0CB6"/>
    <w:rsid w:val="00BB5B8A"/>
    <w:rsid w:val="00BB735D"/>
    <w:rsid w:val="00BC0F1C"/>
    <w:rsid w:val="00BC1842"/>
    <w:rsid w:val="00BC3343"/>
    <w:rsid w:val="00BC4FCB"/>
    <w:rsid w:val="00BD39B5"/>
    <w:rsid w:val="00BD3C6A"/>
    <w:rsid w:val="00BD4514"/>
    <w:rsid w:val="00BD5C5A"/>
    <w:rsid w:val="00BE34AA"/>
    <w:rsid w:val="00BF1C5C"/>
    <w:rsid w:val="00BF4509"/>
    <w:rsid w:val="00C15208"/>
    <w:rsid w:val="00C170FB"/>
    <w:rsid w:val="00C211DF"/>
    <w:rsid w:val="00C22045"/>
    <w:rsid w:val="00C32073"/>
    <w:rsid w:val="00C359FA"/>
    <w:rsid w:val="00C35BB9"/>
    <w:rsid w:val="00C41B6A"/>
    <w:rsid w:val="00C46E3F"/>
    <w:rsid w:val="00C50EE9"/>
    <w:rsid w:val="00C54968"/>
    <w:rsid w:val="00C551B6"/>
    <w:rsid w:val="00C65839"/>
    <w:rsid w:val="00C72625"/>
    <w:rsid w:val="00C72910"/>
    <w:rsid w:val="00C72E46"/>
    <w:rsid w:val="00C7553D"/>
    <w:rsid w:val="00C835DC"/>
    <w:rsid w:val="00C83A21"/>
    <w:rsid w:val="00C86E36"/>
    <w:rsid w:val="00C90E33"/>
    <w:rsid w:val="00C90FE7"/>
    <w:rsid w:val="00C916E7"/>
    <w:rsid w:val="00C9332F"/>
    <w:rsid w:val="00C963F4"/>
    <w:rsid w:val="00C9654A"/>
    <w:rsid w:val="00CA034B"/>
    <w:rsid w:val="00CA2B83"/>
    <w:rsid w:val="00CA3C38"/>
    <w:rsid w:val="00CB0FA2"/>
    <w:rsid w:val="00CB1130"/>
    <w:rsid w:val="00CB2F19"/>
    <w:rsid w:val="00CB5757"/>
    <w:rsid w:val="00CB5849"/>
    <w:rsid w:val="00CB66DA"/>
    <w:rsid w:val="00CB7993"/>
    <w:rsid w:val="00CC2EF6"/>
    <w:rsid w:val="00CC3139"/>
    <w:rsid w:val="00CC6A0F"/>
    <w:rsid w:val="00CD24FE"/>
    <w:rsid w:val="00CD621F"/>
    <w:rsid w:val="00CE3559"/>
    <w:rsid w:val="00CE5C73"/>
    <w:rsid w:val="00CE7213"/>
    <w:rsid w:val="00CF085C"/>
    <w:rsid w:val="00D06F3C"/>
    <w:rsid w:val="00D12566"/>
    <w:rsid w:val="00D14D90"/>
    <w:rsid w:val="00D20237"/>
    <w:rsid w:val="00D212AA"/>
    <w:rsid w:val="00D25768"/>
    <w:rsid w:val="00D32D0D"/>
    <w:rsid w:val="00D340ED"/>
    <w:rsid w:val="00D45B12"/>
    <w:rsid w:val="00D53E19"/>
    <w:rsid w:val="00D5403E"/>
    <w:rsid w:val="00D55A31"/>
    <w:rsid w:val="00D5684D"/>
    <w:rsid w:val="00D61A3E"/>
    <w:rsid w:val="00D63EC4"/>
    <w:rsid w:val="00D71D2F"/>
    <w:rsid w:val="00D72599"/>
    <w:rsid w:val="00D74EB2"/>
    <w:rsid w:val="00D76DDC"/>
    <w:rsid w:val="00D80B64"/>
    <w:rsid w:val="00D80DF2"/>
    <w:rsid w:val="00D92688"/>
    <w:rsid w:val="00DA0A2D"/>
    <w:rsid w:val="00DA3E23"/>
    <w:rsid w:val="00DA44B4"/>
    <w:rsid w:val="00DA45C1"/>
    <w:rsid w:val="00DA5362"/>
    <w:rsid w:val="00DA61B7"/>
    <w:rsid w:val="00DA73AC"/>
    <w:rsid w:val="00DA7B28"/>
    <w:rsid w:val="00DB3D06"/>
    <w:rsid w:val="00DB5A04"/>
    <w:rsid w:val="00DC51B1"/>
    <w:rsid w:val="00DC76E2"/>
    <w:rsid w:val="00DD3C5C"/>
    <w:rsid w:val="00DD44EB"/>
    <w:rsid w:val="00DE36A0"/>
    <w:rsid w:val="00DF4BA6"/>
    <w:rsid w:val="00DF63E6"/>
    <w:rsid w:val="00E135AF"/>
    <w:rsid w:val="00E2449C"/>
    <w:rsid w:val="00E275C8"/>
    <w:rsid w:val="00E40FDD"/>
    <w:rsid w:val="00E41E94"/>
    <w:rsid w:val="00E62D66"/>
    <w:rsid w:val="00E64BFD"/>
    <w:rsid w:val="00E658D1"/>
    <w:rsid w:val="00E72C0C"/>
    <w:rsid w:val="00E72E2C"/>
    <w:rsid w:val="00E76B95"/>
    <w:rsid w:val="00E76E09"/>
    <w:rsid w:val="00E81690"/>
    <w:rsid w:val="00E82DE2"/>
    <w:rsid w:val="00E8441A"/>
    <w:rsid w:val="00E864D3"/>
    <w:rsid w:val="00E94B16"/>
    <w:rsid w:val="00E95231"/>
    <w:rsid w:val="00EA362B"/>
    <w:rsid w:val="00EA44BF"/>
    <w:rsid w:val="00EB0A45"/>
    <w:rsid w:val="00EB1E22"/>
    <w:rsid w:val="00EB202A"/>
    <w:rsid w:val="00EB2C7C"/>
    <w:rsid w:val="00EB3E0A"/>
    <w:rsid w:val="00EC0CA9"/>
    <w:rsid w:val="00EC5617"/>
    <w:rsid w:val="00EC5F25"/>
    <w:rsid w:val="00ED1CDA"/>
    <w:rsid w:val="00ED2BEE"/>
    <w:rsid w:val="00ED4C2E"/>
    <w:rsid w:val="00ED744E"/>
    <w:rsid w:val="00EE1BCF"/>
    <w:rsid w:val="00EE59B2"/>
    <w:rsid w:val="00F00E16"/>
    <w:rsid w:val="00F03453"/>
    <w:rsid w:val="00F1733E"/>
    <w:rsid w:val="00F27B36"/>
    <w:rsid w:val="00F32E3B"/>
    <w:rsid w:val="00F42371"/>
    <w:rsid w:val="00F42A10"/>
    <w:rsid w:val="00F4345C"/>
    <w:rsid w:val="00F4660D"/>
    <w:rsid w:val="00F60E66"/>
    <w:rsid w:val="00F61669"/>
    <w:rsid w:val="00F642B9"/>
    <w:rsid w:val="00F74E8D"/>
    <w:rsid w:val="00F777C0"/>
    <w:rsid w:val="00F82CA2"/>
    <w:rsid w:val="00F84B16"/>
    <w:rsid w:val="00F84C31"/>
    <w:rsid w:val="00F9182E"/>
    <w:rsid w:val="00F97237"/>
    <w:rsid w:val="00FA38C3"/>
    <w:rsid w:val="00FA5477"/>
    <w:rsid w:val="00FC0F31"/>
    <w:rsid w:val="00FD01F0"/>
    <w:rsid w:val="00FD219A"/>
    <w:rsid w:val="00FD4B39"/>
    <w:rsid w:val="00FE095B"/>
    <w:rsid w:val="00FE40F2"/>
    <w:rsid w:val="00FE5AB5"/>
    <w:rsid w:val="00FE7A4E"/>
    <w:rsid w:val="00FF0677"/>
    <w:rsid w:val="00FF31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4BC2B8"/>
  <w15:docId w15:val="{31DA6D21-309C-433D-9AE8-22C01889E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030C3"/>
    <w:rPr>
      <w:color w:val="808080"/>
    </w:rPr>
  </w:style>
  <w:style w:type="character" w:styleId="Hyperlink">
    <w:name w:val="Hyperlink"/>
    <w:basedOn w:val="DefaultParagraphFont"/>
    <w:uiPriority w:val="99"/>
    <w:unhideWhenUsed/>
    <w:rsid w:val="00F777C0"/>
    <w:rPr>
      <w:color w:val="0563C1" w:themeColor="hyperlink"/>
      <w:u w:val="single"/>
    </w:rPr>
  </w:style>
  <w:style w:type="table" w:styleId="TableGrid">
    <w:name w:val="Table Grid"/>
    <w:basedOn w:val="TableNormal"/>
    <w:uiPriority w:val="39"/>
    <w:rsid w:val="000645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B00C5"/>
    <w:pPr>
      <w:ind w:left="720"/>
      <w:contextualSpacing/>
    </w:pPr>
  </w:style>
  <w:style w:type="paragraph" w:styleId="Header">
    <w:name w:val="header"/>
    <w:basedOn w:val="Normal"/>
    <w:link w:val="HeaderChar"/>
    <w:uiPriority w:val="99"/>
    <w:unhideWhenUsed/>
    <w:rsid w:val="00CE35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3559"/>
  </w:style>
  <w:style w:type="paragraph" w:styleId="Footer">
    <w:name w:val="footer"/>
    <w:basedOn w:val="Normal"/>
    <w:link w:val="FooterChar"/>
    <w:uiPriority w:val="99"/>
    <w:unhideWhenUsed/>
    <w:rsid w:val="00CE35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3559"/>
  </w:style>
  <w:style w:type="paragraph" w:styleId="EndnoteText">
    <w:name w:val="endnote text"/>
    <w:basedOn w:val="Normal"/>
    <w:link w:val="EndnoteTextChar"/>
    <w:uiPriority w:val="99"/>
    <w:semiHidden/>
    <w:unhideWhenUsed/>
    <w:rsid w:val="00CB799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B7993"/>
    <w:rPr>
      <w:sz w:val="20"/>
      <w:szCs w:val="20"/>
    </w:rPr>
  </w:style>
  <w:style w:type="character" w:styleId="EndnoteReference">
    <w:name w:val="endnote reference"/>
    <w:basedOn w:val="DefaultParagraphFont"/>
    <w:uiPriority w:val="99"/>
    <w:semiHidden/>
    <w:unhideWhenUsed/>
    <w:rsid w:val="00CB7993"/>
    <w:rPr>
      <w:vertAlign w:val="superscript"/>
    </w:rPr>
  </w:style>
  <w:style w:type="paragraph" w:styleId="FootnoteText">
    <w:name w:val="footnote text"/>
    <w:basedOn w:val="Normal"/>
    <w:link w:val="FootnoteTextChar"/>
    <w:uiPriority w:val="99"/>
    <w:semiHidden/>
    <w:unhideWhenUsed/>
    <w:rsid w:val="00CB799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B7993"/>
    <w:rPr>
      <w:sz w:val="20"/>
      <w:szCs w:val="20"/>
    </w:rPr>
  </w:style>
  <w:style w:type="character" w:styleId="FootnoteReference">
    <w:name w:val="footnote reference"/>
    <w:basedOn w:val="DefaultParagraphFont"/>
    <w:uiPriority w:val="99"/>
    <w:semiHidden/>
    <w:unhideWhenUsed/>
    <w:rsid w:val="00CB7993"/>
    <w:rPr>
      <w:vertAlign w:val="superscript"/>
    </w:rPr>
  </w:style>
  <w:style w:type="character" w:styleId="CommentReference">
    <w:name w:val="annotation reference"/>
    <w:basedOn w:val="DefaultParagraphFont"/>
    <w:uiPriority w:val="99"/>
    <w:semiHidden/>
    <w:unhideWhenUsed/>
    <w:rsid w:val="00671E2B"/>
    <w:rPr>
      <w:sz w:val="16"/>
      <w:szCs w:val="16"/>
    </w:rPr>
  </w:style>
  <w:style w:type="paragraph" w:styleId="CommentText">
    <w:name w:val="annotation text"/>
    <w:basedOn w:val="Normal"/>
    <w:link w:val="CommentTextChar"/>
    <w:uiPriority w:val="99"/>
    <w:semiHidden/>
    <w:unhideWhenUsed/>
    <w:rsid w:val="00671E2B"/>
    <w:pPr>
      <w:spacing w:line="240" w:lineRule="auto"/>
    </w:pPr>
    <w:rPr>
      <w:sz w:val="20"/>
      <w:szCs w:val="20"/>
    </w:rPr>
  </w:style>
  <w:style w:type="character" w:customStyle="1" w:styleId="CommentTextChar">
    <w:name w:val="Comment Text Char"/>
    <w:basedOn w:val="DefaultParagraphFont"/>
    <w:link w:val="CommentText"/>
    <w:uiPriority w:val="99"/>
    <w:semiHidden/>
    <w:rsid w:val="00671E2B"/>
    <w:rPr>
      <w:sz w:val="20"/>
      <w:szCs w:val="20"/>
    </w:rPr>
  </w:style>
  <w:style w:type="paragraph" w:styleId="CommentSubject">
    <w:name w:val="annotation subject"/>
    <w:basedOn w:val="CommentText"/>
    <w:next w:val="CommentText"/>
    <w:link w:val="CommentSubjectChar"/>
    <w:uiPriority w:val="99"/>
    <w:semiHidden/>
    <w:unhideWhenUsed/>
    <w:rsid w:val="00671E2B"/>
    <w:rPr>
      <w:b/>
      <w:bCs/>
    </w:rPr>
  </w:style>
  <w:style w:type="character" w:customStyle="1" w:styleId="CommentSubjectChar">
    <w:name w:val="Comment Subject Char"/>
    <w:basedOn w:val="CommentTextChar"/>
    <w:link w:val="CommentSubject"/>
    <w:uiPriority w:val="99"/>
    <w:semiHidden/>
    <w:rsid w:val="00671E2B"/>
    <w:rPr>
      <w:b/>
      <w:bCs/>
      <w:sz w:val="20"/>
      <w:szCs w:val="20"/>
    </w:rPr>
  </w:style>
  <w:style w:type="paragraph" w:styleId="BalloonText">
    <w:name w:val="Balloon Text"/>
    <w:basedOn w:val="Normal"/>
    <w:link w:val="BalloonTextChar"/>
    <w:uiPriority w:val="99"/>
    <w:semiHidden/>
    <w:unhideWhenUsed/>
    <w:rsid w:val="00671E2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71E2B"/>
    <w:rPr>
      <w:rFonts w:ascii="Segoe UI" w:hAnsi="Segoe UI" w:cs="Segoe UI"/>
      <w:sz w:val="18"/>
      <w:szCs w:val="18"/>
    </w:rPr>
  </w:style>
  <w:style w:type="paragraph" w:customStyle="1" w:styleId="reference">
    <w:name w:val="reference"/>
    <w:basedOn w:val="Normal"/>
    <w:qFormat/>
    <w:rsid w:val="000938AC"/>
    <w:pPr>
      <w:spacing w:after="0" w:line="276" w:lineRule="auto"/>
      <w:ind w:left="851" w:hanging="851"/>
      <w:jc w:val="both"/>
    </w:pPr>
    <w:rPr>
      <w:rFonts w:eastAsia="Batang"/>
      <w:noProof/>
      <w:sz w:val="20"/>
    </w:rPr>
  </w:style>
  <w:style w:type="paragraph" w:styleId="NormalWeb">
    <w:name w:val="Normal (Web)"/>
    <w:basedOn w:val="Normal"/>
    <w:uiPriority w:val="99"/>
    <w:semiHidden/>
    <w:unhideWhenUsed/>
    <w:rsid w:val="00123E1B"/>
    <w:pPr>
      <w:spacing w:after="0" w:line="240" w:lineRule="auto"/>
    </w:pPr>
    <w:rPr>
      <w:rFonts w:ascii="Times New Roman" w:hAnsi="Times New Roman" w:cs="Times New Roman"/>
      <w:color w:val="000000"/>
      <w:sz w:val="24"/>
      <w:szCs w:val="24"/>
      <w:lang w:eastAsia="en-GB"/>
    </w:rPr>
  </w:style>
  <w:style w:type="character" w:styleId="FollowedHyperlink">
    <w:name w:val="FollowedHyperlink"/>
    <w:basedOn w:val="DefaultParagraphFont"/>
    <w:uiPriority w:val="99"/>
    <w:semiHidden/>
    <w:unhideWhenUsed/>
    <w:rsid w:val="005159FA"/>
    <w:rPr>
      <w:color w:val="954F72" w:themeColor="followedHyperlink"/>
      <w:u w:val="single"/>
    </w:rPr>
  </w:style>
  <w:style w:type="character" w:styleId="LineNumber">
    <w:name w:val="line number"/>
    <w:basedOn w:val="DefaultParagraphFont"/>
    <w:uiPriority w:val="99"/>
    <w:semiHidden/>
    <w:unhideWhenUsed/>
    <w:rsid w:val="002F1F01"/>
  </w:style>
  <w:style w:type="paragraph" w:styleId="NoSpacing">
    <w:name w:val="No Spacing"/>
    <w:uiPriority w:val="1"/>
    <w:qFormat/>
    <w:rsid w:val="004736BE"/>
    <w:pPr>
      <w:spacing w:after="0" w:line="240" w:lineRule="auto"/>
    </w:pPr>
    <w:rPr>
      <w:lang w:val="en-US"/>
    </w:rPr>
  </w:style>
  <w:style w:type="paragraph" w:styleId="Bibliography">
    <w:name w:val="Bibliography"/>
    <w:basedOn w:val="Normal"/>
    <w:next w:val="Normal"/>
    <w:uiPriority w:val="37"/>
    <w:unhideWhenUsed/>
    <w:rsid w:val="00494B2C"/>
    <w:pPr>
      <w:spacing w:after="0" w:line="24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929974">
      <w:bodyDiv w:val="1"/>
      <w:marLeft w:val="0"/>
      <w:marRight w:val="0"/>
      <w:marTop w:val="0"/>
      <w:marBottom w:val="0"/>
      <w:divBdr>
        <w:top w:val="none" w:sz="0" w:space="0" w:color="auto"/>
        <w:left w:val="none" w:sz="0" w:space="0" w:color="auto"/>
        <w:bottom w:val="none" w:sz="0" w:space="0" w:color="auto"/>
        <w:right w:val="none" w:sz="0" w:space="0" w:color="auto"/>
      </w:divBdr>
    </w:div>
    <w:div w:id="219709184">
      <w:bodyDiv w:val="1"/>
      <w:marLeft w:val="0"/>
      <w:marRight w:val="0"/>
      <w:marTop w:val="0"/>
      <w:marBottom w:val="0"/>
      <w:divBdr>
        <w:top w:val="none" w:sz="0" w:space="0" w:color="auto"/>
        <w:left w:val="none" w:sz="0" w:space="0" w:color="auto"/>
        <w:bottom w:val="none" w:sz="0" w:space="0" w:color="auto"/>
        <w:right w:val="none" w:sz="0" w:space="0" w:color="auto"/>
      </w:divBdr>
    </w:div>
    <w:div w:id="256409507">
      <w:bodyDiv w:val="1"/>
      <w:marLeft w:val="0"/>
      <w:marRight w:val="0"/>
      <w:marTop w:val="0"/>
      <w:marBottom w:val="0"/>
      <w:divBdr>
        <w:top w:val="none" w:sz="0" w:space="0" w:color="auto"/>
        <w:left w:val="none" w:sz="0" w:space="0" w:color="auto"/>
        <w:bottom w:val="none" w:sz="0" w:space="0" w:color="auto"/>
        <w:right w:val="none" w:sz="0" w:space="0" w:color="auto"/>
      </w:divBdr>
    </w:div>
    <w:div w:id="384303243">
      <w:bodyDiv w:val="1"/>
      <w:marLeft w:val="0"/>
      <w:marRight w:val="0"/>
      <w:marTop w:val="0"/>
      <w:marBottom w:val="0"/>
      <w:divBdr>
        <w:top w:val="none" w:sz="0" w:space="0" w:color="auto"/>
        <w:left w:val="none" w:sz="0" w:space="0" w:color="auto"/>
        <w:bottom w:val="none" w:sz="0" w:space="0" w:color="auto"/>
        <w:right w:val="none" w:sz="0" w:space="0" w:color="auto"/>
      </w:divBdr>
    </w:div>
    <w:div w:id="655570126">
      <w:bodyDiv w:val="1"/>
      <w:marLeft w:val="0"/>
      <w:marRight w:val="0"/>
      <w:marTop w:val="0"/>
      <w:marBottom w:val="0"/>
      <w:divBdr>
        <w:top w:val="none" w:sz="0" w:space="0" w:color="auto"/>
        <w:left w:val="none" w:sz="0" w:space="0" w:color="auto"/>
        <w:bottom w:val="none" w:sz="0" w:space="0" w:color="auto"/>
        <w:right w:val="none" w:sz="0" w:space="0" w:color="auto"/>
      </w:divBdr>
    </w:div>
    <w:div w:id="847713235">
      <w:bodyDiv w:val="1"/>
      <w:marLeft w:val="0"/>
      <w:marRight w:val="0"/>
      <w:marTop w:val="0"/>
      <w:marBottom w:val="0"/>
      <w:divBdr>
        <w:top w:val="none" w:sz="0" w:space="0" w:color="auto"/>
        <w:left w:val="none" w:sz="0" w:space="0" w:color="auto"/>
        <w:bottom w:val="none" w:sz="0" w:space="0" w:color="auto"/>
        <w:right w:val="none" w:sz="0" w:space="0" w:color="auto"/>
      </w:divBdr>
    </w:div>
    <w:div w:id="853769247">
      <w:bodyDiv w:val="1"/>
      <w:marLeft w:val="0"/>
      <w:marRight w:val="0"/>
      <w:marTop w:val="0"/>
      <w:marBottom w:val="0"/>
      <w:divBdr>
        <w:top w:val="none" w:sz="0" w:space="0" w:color="auto"/>
        <w:left w:val="none" w:sz="0" w:space="0" w:color="auto"/>
        <w:bottom w:val="none" w:sz="0" w:space="0" w:color="auto"/>
        <w:right w:val="none" w:sz="0" w:space="0" w:color="auto"/>
      </w:divBdr>
    </w:div>
    <w:div w:id="1223515814">
      <w:bodyDiv w:val="1"/>
      <w:marLeft w:val="0"/>
      <w:marRight w:val="0"/>
      <w:marTop w:val="0"/>
      <w:marBottom w:val="0"/>
      <w:divBdr>
        <w:top w:val="none" w:sz="0" w:space="0" w:color="auto"/>
        <w:left w:val="none" w:sz="0" w:space="0" w:color="auto"/>
        <w:bottom w:val="none" w:sz="0" w:space="0" w:color="auto"/>
        <w:right w:val="none" w:sz="0" w:space="0" w:color="auto"/>
      </w:divBdr>
    </w:div>
    <w:div w:id="1474785907">
      <w:bodyDiv w:val="1"/>
      <w:marLeft w:val="0"/>
      <w:marRight w:val="0"/>
      <w:marTop w:val="0"/>
      <w:marBottom w:val="0"/>
      <w:divBdr>
        <w:top w:val="none" w:sz="0" w:space="0" w:color="auto"/>
        <w:left w:val="none" w:sz="0" w:space="0" w:color="auto"/>
        <w:bottom w:val="none" w:sz="0" w:space="0" w:color="auto"/>
        <w:right w:val="none" w:sz="0" w:space="0" w:color="auto"/>
      </w:divBdr>
    </w:div>
    <w:div w:id="1510676435">
      <w:bodyDiv w:val="1"/>
      <w:marLeft w:val="0"/>
      <w:marRight w:val="0"/>
      <w:marTop w:val="0"/>
      <w:marBottom w:val="0"/>
      <w:divBdr>
        <w:top w:val="none" w:sz="0" w:space="0" w:color="auto"/>
        <w:left w:val="none" w:sz="0" w:space="0" w:color="auto"/>
        <w:bottom w:val="none" w:sz="0" w:space="0" w:color="auto"/>
        <w:right w:val="none" w:sz="0" w:space="0" w:color="auto"/>
      </w:divBdr>
      <w:divsChild>
        <w:div w:id="1716081567">
          <w:marLeft w:val="0"/>
          <w:marRight w:val="0"/>
          <w:marTop w:val="0"/>
          <w:marBottom w:val="0"/>
          <w:divBdr>
            <w:top w:val="none" w:sz="0" w:space="0" w:color="auto"/>
            <w:left w:val="none" w:sz="0" w:space="0" w:color="auto"/>
            <w:bottom w:val="none" w:sz="0" w:space="0" w:color="auto"/>
            <w:right w:val="none" w:sz="0" w:space="0" w:color="auto"/>
          </w:divBdr>
        </w:div>
        <w:div w:id="745878967">
          <w:marLeft w:val="0"/>
          <w:marRight w:val="0"/>
          <w:marTop w:val="0"/>
          <w:marBottom w:val="0"/>
          <w:divBdr>
            <w:top w:val="none" w:sz="0" w:space="0" w:color="auto"/>
            <w:left w:val="none" w:sz="0" w:space="0" w:color="auto"/>
            <w:bottom w:val="none" w:sz="0" w:space="0" w:color="auto"/>
            <w:right w:val="none" w:sz="0" w:space="0" w:color="auto"/>
          </w:divBdr>
        </w:div>
        <w:div w:id="989023520">
          <w:marLeft w:val="0"/>
          <w:marRight w:val="0"/>
          <w:marTop w:val="0"/>
          <w:marBottom w:val="0"/>
          <w:divBdr>
            <w:top w:val="none" w:sz="0" w:space="0" w:color="auto"/>
            <w:left w:val="none" w:sz="0" w:space="0" w:color="auto"/>
            <w:bottom w:val="none" w:sz="0" w:space="0" w:color="auto"/>
            <w:right w:val="none" w:sz="0" w:space="0" w:color="auto"/>
          </w:divBdr>
        </w:div>
      </w:divsChild>
    </w:div>
    <w:div w:id="1534658196">
      <w:bodyDiv w:val="1"/>
      <w:marLeft w:val="0"/>
      <w:marRight w:val="0"/>
      <w:marTop w:val="0"/>
      <w:marBottom w:val="0"/>
      <w:divBdr>
        <w:top w:val="none" w:sz="0" w:space="0" w:color="auto"/>
        <w:left w:val="none" w:sz="0" w:space="0" w:color="auto"/>
        <w:bottom w:val="none" w:sz="0" w:space="0" w:color="auto"/>
        <w:right w:val="none" w:sz="0" w:space="0" w:color="auto"/>
      </w:divBdr>
    </w:div>
    <w:div w:id="1599174795">
      <w:bodyDiv w:val="1"/>
      <w:marLeft w:val="0"/>
      <w:marRight w:val="0"/>
      <w:marTop w:val="0"/>
      <w:marBottom w:val="0"/>
      <w:divBdr>
        <w:top w:val="none" w:sz="0" w:space="0" w:color="auto"/>
        <w:left w:val="none" w:sz="0" w:space="0" w:color="auto"/>
        <w:bottom w:val="none" w:sz="0" w:space="0" w:color="auto"/>
        <w:right w:val="none" w:sz="0" w:space="0" w:color="auto"/>
      </w:divBdr>
    </w:div>
    <w:div w:id="1676490376">
      <w:bodyDiv w:val="1"/>
      <w:marLeft w:val="0"/>
      <w:marRight w:val="0"/>
      <w:marTop w:val="0"/>
      <w:marBottom w:val="0"/>
      <w:divBdr>
        <w:top w:val="none" w:sz="0" w:space="0" w:color="auto"/>
        <w:left w:val="none" w:sz="0" w:space="0" w:color="auto"/>
        <w:bottom w:val="none" w:sz="0" w:space="0" w:color="auto"/>
        <w:right w:val="none" w:sz="0" w:space="0" w:color="auto"/>
      </w:divBdr>
    </w:div>
    <w:div w:id="1751464831">
      <w:bodyDiv w:val="1"/>
      <w:marLeft w:val="0"/>
      <w:marRight w:val="0"/>
      <w:marTop w:val="0"/>
      <w:marBottom w:val="0"/>
      <w:divBdr>
        <w:top w:val="none" w:sz="0" w:space="0" w:color="auto"/>
        <w:left w:val="none" w:sz="0" w:space="0" w:color="auto"/>
        <w:bottom w:val="none" w:sz="0" w:space="0" w:color="auto"/>
        <w:right w:val="none" w:sz="0" w:space="0" w:color="auto"/>
      </w:divBdr>
    </w:div>
    <w:div w:id="1926571626">
      <w:bodyDiv w:val="1"/>
      <w:marLeft w:val="0"/>
      <w:marRight w:val="0"/>
      <w:marTop w:val="0"/>
      <w:marBottom w:val="0"/>
      <w:divBdr>
        <w:top w:val="none" w:sz="0" w:space="0" w:color="auto"/>
        <w:left w:val="none" w:sz="0" w:space="0" w:color="auto"/>
        <w:bottom w:val="none" w:sz="0" w:space="0" w:color="auto"/>
        <w:right w:val="none" w:sz="0" w:space="0" w:color="auto"/>
      </w:divBdr>
    </w:div>
    <w:div w:id="1937059779">
      <w:bodyDiv w:val="1"/>
      <w:marLeft w:val="0"/>
      <w:marRight w:val="0"/>
      <w:marTop w:val="0"/>
      <w:marBottom w:val="0"/>
      <w:divBdr>
        <w:top w:val="none" w:sz="0" w:space="0" w:color="auto"/>
        <w:left w:val="none" w:sz="0" w:space="0" w:color="auto"/>
        <w:bottom w:val="none" w:sz="0" w:space="0" w:color="auto"/>
        <w:right w:val="none" w:sz="0" w:space="0" w:color="auto"/>
      </w:divBdr>
      <w:divsChild>
        <w:div w:id="2114133334">
          <w:marLeft w:val="0"/>
          <w:marRight w:val="0"/>
          <w:marTop w:val="0"/>
          <w:marBottom w:val="0"/>
          <w:divBdr>
            <w:top w:val="none" w:sz="0" w:space="0" w:color="auto"/>
            <w:left w:val="none" w:sz="0" w:space="0" w:color="auto"/>
            <w:bottom w:val="none" w:sz="0" w:space="0" w:color="auto"/>
            <w:right w:val="none" w:sz="0" w:space="0" w:color="auto"/>
          </w:divBdr>
        </w:div>
        <w:div w:id="183250420">
          <w:marLeft w:val="0"/>
          <w:marRight w:val="0"/>
          <w:marTop w:val="0"/>
          <w:marBottom w:val="0"/>
          <w:divBdr>
            <w:top w:val="none" w:sz="0" w:space="0" w:color="auto"/>
            <w:left w:val="none" w:sz="0" w:space="0" w:color="auto"/>
            <w:bottom w:val="none" w:sz="0" w:space="0" w:color="auto"/>
            <w:right w:val="none" w:sz="0" w:space="0" w:color="auto"/>
          </w:divBdr>
        </w:div>
      </w:divsChild>
    </w:div>
    <w:div w:id="1942911019">
      <w:bodyDiv w:val="1"/>
      <w:marLeft w:val="0"/>
      <w:marRight w:val="0"/>
      <w:marTop w:val="0"/>
      <w:marBottom w:val="0"/>
      <w:divBdr>
        <w:top w:val="none" w:sz="0" w:space="0" w:color="auto"/>
        <w:left w:val="none" w:sz="0" w:space="0" w:color="auto"/>
        <w:bottom w:val="none" w:sz="0" w:space="0" w:color="auto"/>
        <w:right w:val="none" w:sz="0" w:space="0" w:color="auto"/>
      </w:divBdr>
      <w:divsChild>
        <w:div w:id="726879774">
          <w:marLeft w:val="0"/>
          <w:marRight w:val="0"/>
          <w:marTop w:val="0"/>
          <w:marBottom w:val="0"/>
          <w:divBdr>
            <w:top w:val="none" w:sz="0" w:space="0" w:color="auto"/>
            <w:left w:val="none" w:sz="0" w:space="0" w:color="auto"/>
            <w:bottom w:val="none" w:sz="0" w:space="0" w:color="auto"/>
            <w:right w:val="none" w:sz="0" w:space="0" w:color="auto"/>
          </w:divBdr>
        </w:div>
        <w:div w:id="1778483198">
          <w:marLeft w:val="0"/>
          <w:marRight w:val="0"/>
          <w:marTop w:val="0"/>
          <w:marBottom w:val="0"/>
          <w:divBdr>
            <w:top w:val="none" w:sz="0" w:space="0" w:color="auto"/>
            <w:left w:val="none" w:sz="0" w:space="0" w:color="auto"/>
            <w:bottom w:val="none" w:sz="0" w:space="0" w:color="auto"/>
            <w:right w:val="none" w:sz="0" w:space="0" w:color="auto"/>
          </w:divBdr>
        </w:div>
      </w:divsChild>
    </w:div>
    <w:div w:id="2107341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abirdtracking.org"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4AF584-EE27-4F33-B38B-A3268C516C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934A5863</Template>
  <TotalTime>189</TotalTime>
  <Pages>22</Pages>
  <Words>12265</Words>
  <Characters>69916</Characters>
  <Application>Microsoft Office Word</Application>
  <DocSecurity>0</DocSecurity>
  <Lines>582</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Dias</dc:creator>
  <cp:lastModifiedBy>Blanshard, Lisa</cp:lastModifiedBy>
  <cp:revision>18</cp:revision>
  <cp:lastPrinted>2017-06-18T20:22:00Z</cp:lastPrinted>
  <dcterms:created xsi:type="dcterms:W3CDTF">2018-05-27T15:28:00Z</dcterms:created>
  <dcterms:modified xsi:type="dcterms:W3CDTF">2018-09-24T15:26:00Z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zotero-version="4.0.29.10"&gt;&lt;session id="AHFlKe4F"/&gt;&lt;style id="http://www.zotero.org/styles/elsevier-harvard" hasBibliography="1" bibliographyStyleHasBeenSet="1"/&gt;&lt;prefs&gt;&lt;pref name="fieldType" value="Field"/&gt;&lt;pref name="storeReferenc</vt:lpwstr>
  </property>
  <property fmtid="{D5CDD505-2E9C-101B-9397-08002B2CF9AE}" pid="3" name="ZOTERO_PREF_2">
    <vt:lpwstr>es" value="true"/&gt;&lt;pref name="automaticJournalAbbreviations" value="true"/&gt;&lt;pref name="noteType" value=""/&gt;&lt;/prefs&gt;&lt;/data&gt;</vt:lpwstr>
  </property>
</Properties>
</file>