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261" w:rsidRPr="002B35E4" w:rsidRDefault="00814261" w:rsidP="00814261">
      <w:pPr>
        <w:rPr>
          <w:rFonts w:ascii="Times New Roman" w:hAnsi="Times New Roman" w:cs="Times New Roman"/>
        </w:rPr>
      </w:pPr>
      <w:r w:rsidRPr="002B35E4">
        <w:rPr>
          <w:rFonts w:ascii="Times New Roman" w:hAnsi="Times New Roman" w:cs="Times New Roman"/>
        </w:rPr>
        <w:t>Table1: Baseline patient characteristics</w:t>
      </w:r>
    </w:p>
    <w:tbl>
      <w:tblPr>
        <w:tblW w:w="14842" w:type="dxa"/>
        <w:tblInd w:w="-6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3"/>
        <w:gridCol w:w="992"/>
        <w:gridCol w:w="1305"/>
        <w:gridCol w:w="1276"/>
        <w:gridCol w:w="1275"/>
        <w:gridCol w:w="1388"/>
        <w:gridCol w:w="993"/>
        <w:gridCol w:w="1305"/>
        <w:gridCol w:w="1417"/>
        <w:gridCol w:w="1276"/>
        <w:gridCol w:w="992"/>
      </w:tblGrid>
      <w:tr w:rsidR="00814261" w:rsidTr="00785B09">
        <w:trPr>
          <w:trHeight w:val="352"/>
        </w:trPr>
        <w:tc>
          <w:tcPr>
            <w:tcW w:w="2623" w:type="dxa"/>
            <w:vMerge w:val="restart"/>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rPr>
                <w:rFonts w:ascii="Times New Roman" w:eastAsia="Calibri" w:hAnsi="Times New Roman"/>
                <w:sz w:val="20"/>
                <w:szCs w:val="20"/>
                <w:lang w:eastAsia="en-US"/>
              </w:rPr>
            </w:pPr>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Missing</w:t>
            </w:r>
          </w:p>
        </w:tc>
        <w:tc>
          <w:tcPr>
            <w:tcW w:w="1305" w:type="dxa"/>
            <w:vMerge w:val="restart"/>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All patients</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(n=1,998)</w:t>
            </w:r>
          </w:p>
        </w:tc>
        <w:tc>
          <w:tcPr>
            <w:tcW w:w="4932" w:type="dxa"/>
            <w:gridSpan w:val="4"/>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360" w:lineRule="auto"/>
              <w:jc w:val="center"/>
              <w:rPr>
                <w:rFonts w:ascii="Times New Roman" w:eastAsia="Calibri" w:hAnsi="Times New Roman"/>
                <w:sz w:val="20"/>
                <w:szCs w:val="20"/>
                <w:lang w:eastAsia="en-US"/>
              </w:rPr>
            </w:pPr>
            <w:r>
              <w:rPr>
                <w:rFonts w:ascii="Times New Roman" w:hAnsi="Times New Roman"/>
                <w:sz w:val="20"/>
                <w:szCs w:val="20"/>
              </w:rPr>
              <w:t>Survived at 3 years</w:t>
            </w:r>
          </w:p>
        </w:tc>
        <w:tc>
          <w:tcPr>
            <w:tcW w:w="4990" w:type="dxa"/>
            <w:gridSpan w:val="4"/>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360" w:lineRule="auto"/>
              <w:jc w:val="center"/>
              <w:rPr>
                <w:rFonts w:ascii="Times New Roman" w:eastAsia="Calibri" w:hAnsi="Times New Roman"/>
                <w:sz w:val="20"/>
                <w:szCs w:val="20"/>
                <w:lang w:eastAsia="en-US"/>
              </w:rPr>
            </w:pPr>
            <w:r>
              <w:rPr>
                <w:rFonts w:ascii="Times New Roman" w:hAnsi="Times New Roman"/>
                <w:sz w:val="20"/>
                <w:szCs w:val="20"/>
              </w:rPr>
              <w:t>Died at 3 years</w:t>
            </w:r>
          </w:p>
        </w:tc>
      </w:tr>
      <w:tr w:rsidR="00814261" w:rsidTr="00785B09">
        <w:trPr>
          <w:trHeight w:val="246"/>
        </w:trPr>
        <w:tc>
          <w:tcPr>
            <w:tcW w:w="2623" w:type="dxa"/>
            <w:vMerge/>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spacing w:after="0" w:line="240" w:lineRule="auto"/>
              <w:rPr>
                <w:rFonts w:ascii="Times New Roman" w:eastAsia="Calibri" w:hAnsi="Times New Roman"/>
                <w:sz w:val="20"/>
                <w:szCs w:val="20"/>
                <w:lang w:eastAsia="en-US"/>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spacing w:after="0" w:line="240" w:lineRule="auto"/>
              <w:rPr>
                <w:rFonts w:ascii="Times New Roman" w:eastAsia="Calibri" w:hAnsi="Times New Roman"/>
                <w:sz w:val="20"/>
                <w:szCs w:val="20"/>
                <w:lang w:eastAsia="en-US"/>
              </w:rPr>
            </w:pPr>
          </w:p>
        </w:tc>
        <w:tc>
          <w:tcPr>
            <w:tcW w:w="1305" w:type="dxa"/>
            <w:vMerge/>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spacing w:after="0" w:line="240" w:lineRule="auto"/>
              <w:rPr>
                <w:rFonts w:ascii="Times New Roman" w:eastAsia="Calibri" w:hAnsi="Times New Roman"/>
                <w:sz w:val="20"/>
                <w:szCs w:val="20"/>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hAnsi="Times New Roman"/>
                <w:sz w:val="20"/>
                <w:szCs w:val="20"/>
              </w:rPr>
            </w:pPr>
            <w:r w:rsidRPr="009A2653">
              <w:rPr>
                <w:rFonts w:ascii="Times New Roman" w:hAnsi="Times New Roman"/>
                <w:sz w:val="20"/>
                <w:szCs w:val="20"/>
              </w:rPr>
              <w:t>Total</w:t>
            </w:r>
          </w:p>
          <w:p w:rsidR="00814261" w:rsidRPr="009A2653" w:rsidRDefault="00814261" w:rsidP="00785B09">
            <w:pPr>
              <w:spacing w:after="0" w:line="240" w:lineRule="auto"/>
              <w:jc w:val="center"/>
              <w:rPr>
                <w:rFonts w:ascii="Times New Roman" w:hAnsi="Times New Roman"/>
                <w:sz w:val="20"/>
                <w:szCs w:val="20"/>
              </w:rPr>
            </w:pPr>
            <w:r w:rsidRPr="009A2653">
              <w:rPr>
                <w:rFonts w:ascii="Times New Roman" w:hAnsi="Times New Roman"/>
                <w:sz w:val="20"/>
                <w:szCs w:val="20"/>
              </w:rPr>
              <w:t>(n = 1,744)</w:t>
            </w:r>
          </w:p>
        </w:tc>
        <w:tc>
          <w:tcPr>
            <w:tcW w:w="127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Not SR</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 xml:space="preserve"> (n=527)</w:t>
            </w:r>
          </w:p>
        </w:tc>
        <w:tc>
          <w:tcPr>
            <w:tcW w:w="1388"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jc w:val="center"/>
              <w:rPr>
                <w:rFonts w:ascii="Times New Roman" w:hAnsi="Times New Roman"/>
                <w:sz w:val="20"/>
                <w:szCs w:val="20"/>
              </w:rPr>
            </w:pPr>
            <w:r>
              <w:rPr>
                <w:rFonts w:ascii="Times New Roman" w:hAnsi="Times New Roman"/>
                <w:sz w:val="20"/>
                <w:szCs w:val="20"/>
              </w:rPr>
              <w:t xml:space="preserve">SR </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(n=1,217)</w:t>
            </w:r>
          </w:p>
        </w:tc>
        <w:tc>
          <w:tcPr>
            <w:tcW w:w="99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p-value*</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hAnsi="Times New Roman"/>
                <w:sz w:val="20"/>
                <w:szCs w:val="20"/>
              </w:rPr>
            </w:pPr>
            <w:r w:rsidRPr="009A2653">
              <w:rPr>
                <w:rFonts w:ascii="Times New Roman" w:hAnsi="Times New Roman"/>
                <w:sz w:val="20"/>
                <w:szCs w:val="20"/>
              </w:rPr>
              <w:t xml:space="preserve">Total </w:t>
            </w:r>
          </w:p>
          <w:p w:rsidR="00814261" w:rsidRPr="009A2653" w:rsidRDefault="00814261" w:rsidP="00785B09">
            <w:pPr>
              <w:spacing w:after="0" w:line="240" w:lineRule="auto"/>
              <w:jc w:val="center"/>
              <w:rPr>
                <w:rFonts w:ascii="Times New Roman" w:hAnsi="Times New Roman"/>
                <w:sz w:val="20"/>
                <w:szCs w:val="20"/>
              </w:rPr>
            </w:pPr>
            <w:r w:rsidRPr="009A2653">
              <w:rPr>
                <w:rFonts w:ascii="Times New Roman" w:hAnsi="Times New Roman"/>
                <w:sz w:val="20"/>
                <w:szCs w:val="20"/>
              </w:rPr>
              <w:t>(n = 254)</w:t>
            </w:r>
          </w:p>
        </w:tc>
        <w:tc>
          <w:tcPr>
            <w:tcW w:w="1417"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 xml:space="preserve">Not SR </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(n=87)</w:t>
            </w:r>
          </w:p>
        </w:tc>
        <w:tc>
          <w:tcPr>
            <w:tcW w:w="127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SR</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 xml:space="preserve"> (n=167)</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 xml:space="preserve">p-value* </w:t>
            </w:r>
          </w:p>
          <w:p w:rsidR="00814261" w:rsidRDefault="00814261" w:rsidP="00785B09">
            <w:pPr>
              <w:spacing w:after="0" w:line="240" w:lineRule="auto"/>
              <w:jc w:val="center"/>
              <w:rPr>
                <w:rFonts w:ascii="Times New Roman" w:eastAsia="Calibri" w:hAnsi="Times New Roman"/>
                <w:sz w:val="20"/>
                <w:szCs w:val="20"/>
                <w:lang w:eastAsia="en-US"/>
              </w:rPr>
            </w:pPr>
          </w:p>
        </w:tc>
      </w:tr>
      <w:tr w:rsidR="00814261" w:rsidTr="00785B09">
        <w:tc>
          <w:tcPr>
            <w:tcW w:w="2623" w:type="dxa"/>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Age (</w:t>
            </w:r>
            <w:proofErr w:type="spellStart"/>
            <w:r>
              <w:rPr>
                <w:rFonts w:ascii="Times New Roman" w:hAnsi="Times New Roman"/>
                <w:color w:val="000000"/>
                <w:sz w:val="20"/>
                <w:szCs w:val="20"/>
              </w:rPr>
              <w:t>yrs</w:t>
            </w:r>
            <w:proofErr w:type="spellEnd"/>
            <w:r>
              <w:rPr>
                <w:rFonts w:ascii="Times New Roman" w:hAnsi="Times New Roman"/>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1</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73 (64-79)</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72 (66-78)</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74 (67-81)</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70 (63-77)</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&lt;0.001</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76 (70-82)</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78 (72-83)</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76 (69-82)</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0.21</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Men (</w:t>
            </w:r>
            <w:proofErr w:type="gramStart"/>
            <w:r>
              <w:rPr>
                <w:rFonts w:ascii="Times New Roman" w:hAnsi="Times New Roman"/>
                <w:color w:val="000000"/>
                <w:sz w:val="20"/>
                <w:szCs w:val="20"/>
              </w:rPr>
              <w:t>n;</w:t>
            </w:r>
            <w:proofErr w:type="gramEnd"/>
            <w:r>
              <w:rPr>
                <w:rFonts w:ascii="Times New Roman" w:hAnsi="Times New Roman"/>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0</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1,397 (70%)</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1,215 (70%)</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382 (72%)</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833 (68%)</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0.09</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182 (72%)</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66 (76%)</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116 (69%)</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0.28</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IHD (</w:t>
            </w:r>
            <w:proofErr w:type="gramStart"/>
            <w:r>
              <w:rPr>
                <w:rFonts w:ascii="Times New Roman" w:hAnsi="Times New Roman"/>
                <w:color w:val="000000"/>
                <w:sz w:val="20"/>
                <w:szCs w:val="20"/>
              </w:rPr>
              <w:t>n;</w:t>
            </w:r>
            <w:proofErr w:type="gramEnd"/>
            <w:r>
              <w:rPr>
                <w:rFonts w:ascii="Times New Roman" w:hAnsi="Times New Roman"/>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0</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1,227 (61%)</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1,062 (61%)</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253 (48%)</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809 (66%)</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&lt;0.001</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165 (65%)</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48 (55%)</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117 (70%)</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0.02</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COPD (</w:t>
            </w:r>
            <w:proofErr w:type="gramStart"/>
            <w:r>
              <w:rPr>
                <w:rFonts w:ascii="Times New Roman" w:hAnsi="Times New Roman"/>
                <w:color w:val="000000"/>
                <w:sz w:val="20"/>
                <w:szCs w:val="20"/>
              </w:rPr>
              <w:t>n;</w:t>
            </w:r>
            <w:proofErr w:type="gramEnd"/>
            <w:r>
              <w:rPr>
                <w:rFonts w:ascii="Times New Roman" w:hAnsi="Times New Roman"/>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0</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214 (11%)</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174 (10%)</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45 (9%)</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129 (11%)</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0.19</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40 (16%)</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14 (16%)</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26 (16%)</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0.61</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spacing w:after="0" w:line="240" w:lineRule="auto"/>
              <w:jc w:val="both"/>
              <w:rPr>
                <w:rFonts w:ascii="Times New Roman" w:eastAsia="Calibri" w:hAnsi="Times New Roman"/>
                <w:sz w:val="20"/>
                <w:szCs w:val="20"/>
                <w:lang w:eastAsia="en-US"/>
              </w:rPr>
            </w:pPr>
            <w:r>
              <w:rPr>
                <w:rFonts w:ascii="Times New Roman" w:hAnsi="Times New Roman"/>
                <w:sz w:val="20"/>
                <w:szCs w:val="20"/>
              </w:rPr>
              <w:t xml:space="preserve"> Diabetes </w:t>
            </w:r>
            <w:r>
              <w:rPr>
                <w:rFonts w:ascii="Times New Roman" w:hAnsi="Times New Roman"/>
                <w:color w:val="000000"/>
                <w:sz w:val="20"/>
                <w:szCs w:val="20"/>
              </w:rPr>
              <w:t>(</w:t>
            </w:r>
            <w:proofErr w:type="gramStart"/>
            <w:r>
              <w:rPr>
                <w:rFonts w:ascii="Times New Roman" w:hAnsi="Times New Roman"/>
                <w:color w:val="000000"/>
                <w:sz w:val="20"/>
                <w:szCs w:val="20"/>
              </w:rPr>
              <w:t>n;</w:t>
            </w:r>
            <w:proofErr w:type="gramEnd"/>
            <w:r>
              <w:rPr>
                <w:rFonts w:ascii="Times New Roman" w:hAnsi="Times New Roman"/>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0</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494 (25%)</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437 (25%)</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127 (24%)</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310 (25%)</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0.54</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57 (22%)</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24 (28%)</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33 (20%)</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0.16</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jc w:val="both"/>
              <w:rPr>
                <w:rFonts w:ascii="Times New Roman" w:eastAsia="Calibri" w:hAnsi="Times New Roman"/>
                <w:sz w:val="20"/>
                <w:szCs w:val="20"/>
                <w:lang w:eastAsia="en-US"/>
              </w:rPr>
            </w:pPr>
            <w:r>
              <w:rPr>
                <w:rFonts w:ascii="Times New Roman" w:hAnsi="Times New Roman"/>
                <w:sz w:val="20"/>
                <w:szCs w:val="20"/>
              </w:rPr>
              <w:t xml:space="preserve"> NYHA Class III/IV </w:t>
            </w:r>
            <w:r>
              <w:rPr>
                <w:rFonts w:ascii="Times New Roman" w:hAnsi="Times New Roman"/>
                <w:color w:val="000000"/>
                <w:sz w:val="20"/>
                <w:szCs w:val="20"/>
              </w:rPr>
              <w:t>(</w:t>
            </w:r>
            <w:proofErr w:type="gramStart"/>
            <w:r>
              <w:rPr>
                <w:rFonts w:ascii="Times New Roman" w:hAnsi="Times New Roman"/>
                <w:color w:val="000000"/>
                <w:sz w:val="20"/>
                <w:szCs w:val="20"/>
              </w:rPr>
              <w:t>n;</w:t>
            </w:r>
            <w:proofErr w:type="gramEnd"/>
            <w:r>
              <w:rPr>
                <w:rFonts w:ascii="Times New Roman" w:hAnsi="Times New Roman"/>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0</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595 (31%)</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491 (28%)</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181 (34%)</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310 (25%)</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&lt;0.001</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104 (41%)</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37 (43%)</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67 (40%)</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0.71</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smartTag w:uri="urn:schemas-microsoft-com:office:smarttags" w:element="stockticker">
              <w:r>
                <w:rPr>
                  <w:rFonts w:ascii="Times New Roman" w:hAnsi="Times New Roman"/>
                  <w:color w:val="000000"/>
                  <w:sz w:val="20"/>
                  <w:szCs w:val="20"/>
                </w:rPr>
                <w:t>BMI</w:t>
              </w:r>
            </w:smartTag>
            <w:r>
              <w:rPr>
                <w:rFonts w:ascii="Times New Roman" w:hAnsi="Times New Roman"/>
                <w:color w:val="000000"/>
                <w:sz w:val="20"/>
                <w:szCs w:val="20"/>
              </w:rPr>
              <w:t xml:space="preserve"> (kg/m</w:t>
            </w:r>
            <w:r>
              <w:rPr>
                <w:rFonts w:ascii="Times New Roman" w:hAnsi="Times New Roman"/>
                <w:color w:val="000000"/>
                <w:sz w:val="20"/>
                <w:szCs w:val="20"/>
                <w:vertAlign w:val="superscript"/>
              </w:rPr>
              <w:t>2</w:t>
            </w:r>
            <w:r>
              <w:rPr>
                <w:rFonts w:ascii="Times New Roman" w:hAnsi="Times New Roman"/>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53</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29 (25-32)</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29 (25-32)</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28 (25-33)</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29 (25-32)</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0.82</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28 (24-31)</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29 (24-30)</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28 (23-31)</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0.85</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Heart Rate (bpm)</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68</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71 (60-84)</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70 (60-83)</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77 (66-90)</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68 (59-79)</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&lt;0.001</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77 (65-88)</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80 (69-92)</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75 (63-85)</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0.09</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Systolic BP (mmHg)</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54</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134</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(118-152)</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134</w:t>
            </w:r>
          </w:p>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(118-152)</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132</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(117-149)</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135</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(119-153)</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0.04</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132</w:t>
            </w:r>
          </w:p>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(116-150)</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130</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(112-149)</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133</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(117-151)</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0.38</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Oedema (&gt; trivial)</w:t>
            </w:r>
          </w:p>
        </w:tc>
        <w:tc>
          <w:tcPr>
            <w:tcW w:w="992" w:type="dxa"/>
            <w:tcBorders>
              <w:top w:val="single" w:sz="4" w:space="0" w:color="000000"/>
              <w:left w:val="single" w:sz="4" w:space="0" w:color="000000"/>
              <w:bottom w:val="single" w:sz="4" w:space="0" w:color="000000"/>
              <w:right w:val="single" w:sz="4" w:space="0" w:color="000000"/>
            </w:tcBorders>
            <w:hideMark/>
          </w:tcPr>
          <w:p w:rsidR="00814261" w:rsidRPr="00321FE3" w:rsidRDefault="00814261" w:rsidP="00785B09">
            <w:pPr>
              <w:spacing w:after="0" w:line="240" w:lineRule="auto"/>
              <w:rPr>
                <w:rFonts w:ascii="Times New Roman" w:eastAsia="Calibri" w:hAnsi="Times New Roman"/>
                <w:sz w:val="20"/>
                <w:szCs w:val="20"/>
                <w:lang w:eastAsia="en-US"/>
              </w:rPr>
            </w:pPr>
            <w:r w:rsidRPr="00321FE3">
              <w:rPr>
                <w:rFonts w:ascii="Times New Roman" w:hAnsi="Times New Roman"/>
                <w:sz w:val="20"/>
                <w:szCs w:val="20"/>
              </w:rPr>
              <w:t>225</w:t>
            </w:r>
          </w:p>
        </w:tc>
        <w:tc>
          <w:tcPr>
            <w:tcW w:w="1305" w:type="dxa"/>
            <w:tcBorders>
              <w:top w:val="single" w:sz="4" w:space="0" w:color="000000"/>
              <w:left w:val="single" w:sz="4" w:space="0" w:color="000000"/>
              <w:bottom w:val="single" w:sz="4" w:space="0" w:color="000000"/>
              <w:right w:val="single" w:sz="4" w:space="0" w:color="000000"/>
            </w:tcBorders>
          </w:tcPr>
          <w:p w:rsidR="00814261" w:rsidRPr="00321FE3" w:rsidRDefault="00814261" w:rsidP="00785B09">
            <w:pPr>
              <w:spacing w:after="0" w:line="240" w:lineRule="auto"/>
              <w:jc w:val="center"/>
              <w:rPr>
                <w:rFonts w:ascii="Times New Roman" w:eastAsia="Calibri" w:hAnsi="Times New Roman"/>
                <w:sz w:val="20"/>
                <w:szCs w:val="20"/>
                <w:lang w:eastAsia="en-US"/>
              </w:rPr>
            </w:pPr>
            <w:r w:rsidRPr="00321FE3">
              <w:rPr>
                <w:rFonts w:ascii="Times New Roman" w:hAnsi="Times New Roman"/>
                <w:sz w:val="20"/>
                <w:szCs w:val="20"/>
              </w:rPr>
              <w:t>443 (22%)</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highlight w:val="yellow"/>
                <w:lang w:eastAsia="en-US"/>
              </w:rPr>
            </w:pPr>
            <w:r w:rsidRPr="009A2653">
              <w:rPr>
                <w:rFonts w:ascii="Times New Roman" w:eastAsia="Calibri" w:hAnsi="Times New Roman"/>
                <w:sz w:val="20"/>
                <w:szCs w:val="20"/>
                <w:lang w:eastAsia="en-US"/>
              </w:rPr>
              <w:t>357 (20%)</w:t>
            </w:r>
          </w:p>
        </w:tc>
        <w:tc>
          <w:tcPr>
            <w:tcW w:w="1275" w:type="dxa"/>
            <w:tcBorders>
              <w:top w:val="single" w:sz="4" w:space="0" w:color="000000"/>
              <w:left w:val="single" w:sz="4" w:space="0" w:color="000000"/>
              <w:bottom w:val="single" w:sz="4" w:space="0" w:color="000000"/>
              <w:right w:val="single" w:sz="4" w:space="0" w:color="000000"/>
            </w:tcBorders>
          </w:tcPr>
          <w:p w:rsidR="00814261" w:rsidRPr="00001EF2"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166 (32</w:t>
            </w:r>
            <w:r w:rsidRPr="00001EF2">
              <w:rPr>
                <w:rFonts w:ascii="Times New Roman" w:eastAsia="Calibri" w:hAnsi="Times New Roman"/>
                <w:sz w:val="20"/>
                <w:szCs w:val="20"/>
                <w:lang w:eastAsia="en-US"/>
              </w:rPr>
              <w:t>%)</w:t>
            </w:r>
          </w:p>
        </w:tc>
        <w:tc>
          <w:tcPr>
            <w:tcW w:w="1388" w:type="dxa"/>
            <w:tcBorders>
              <w:top w:val="single" w:sz="4" w:space="0" w:color="000000"/>
              <w:left w:val="single" w:sz="4" w:space="0" w:color="000000"/>
              <w:bottom w:val="single" w:sz="4" w:space="0" w:color="000000"/>
              <w:right w:val="single" w:sz="4" w:space="0" w:color="000000"/>
            </w:tcBorders>
          </w:tcPr>
          <w:p w:rsidR="00814261" w:rsidRPr="00001EF2"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191 (16</w:t>
            </w:r>
            <w:r w:rsidRPr="00001EF2">
              <w:rPr>
                <w:rFonts w:ascii="Times New Roman" w:eastAsia="Calibri" w:hAnsi="Times New Roman"/>
                <w:sz w:val="20"/>
                <w:szCs w:val="20"/>
                <w:lang w:eastAsia="en-US"/>
              </w:rPr>
              <w:t>%)</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&lt;0.001</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86 (34%)</w:t>
            </w:r>
          </w:p>
        </w:tc>
        <w:tc>
          <w:tcPr>
            <w:tcW w:w="1417" w:type="dxa"/>
            <w:tcBorders>
              <w:top w:val="single" w:sz="4" w:space="0" w:color="000000"/>
              <w:left w:val="single" w:sz="4" w:space="0" w:color="000000"/>
              <w:bottom w:val="single" w:sz="4" w:space="0" w:color="000000"/>
              <w:right w:val="single" w:sz="4" w:space="0" w:color="000000"/>
            </w:tcBorders>
          </w:tcPr>
          <w:p w:rsidR="00814261" w:rsidRPr="00001EF2"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32 (37</w:t>
            </w:r>
            <w:r w:rsidRPr="00001EF2">
              <w:rPr>
                <w:rFonts w:ascii="Times New Roman" w:eastAsia="Calibri" w:hAnsi="Times New Roman"/>
                <w:sz w:val="20"/>
                <w:szCs w:val="20"/>
                <w:lang w:eastAsia="en-US"/>
              </w:rPr>
              <w:t>%)</w:t>
            </w:r>
          </w:p>
        </w:tc>
        <w:tc>
          <w:tcPr>
            <w:tcW w:w="1276" w:type="dxa"/>
            <w:tcBorders>
              <w:top w:val="single" w:sz="4" w:space="0" w:color="000000"/>
              <w:left w:val="single" w:sz="4" w:space="0" w:color="000000"/>
              <w:bottom w:val="single" w:sz="4" w:space="0" w:color="000000"/>
              <w:right w:val="single" w:sz="4" w:space="0" w:color="000000"/>
            </w:tcBorders>
          </w:tcPr>
          <w:p w:rsidR="00814261" w:rsidRPr="00001EF2"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54 (32</w:t>
            </w:r>
            <w:r w:rsidRPr="00001EF2">
              <w:rPr>
                <w:rFonts w:ascii="Times New Roman" w:eastAsia="Calibri" w:hAnsi="Times New Roman"/>
                <w:sz w:val="20"/>
                <w:szCs w:val="20"/>
                <w:lang w:eastAsia="en-US"/>
              </w:rPr>
              <w:t>%)</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0.74</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NT-</w:t>
            </w:r>
            <w:proofErr w:type="spellStart"/>
            <w:r>
              <w:rPr>
                <w:rFonts w:ascii="Times New Roman" w:hAnsi="Times New Roman"/>
                <w:color w:val="000000"/>
                <w:sz w:val="20"/>
                <w:szCs w:val="20"/>
              </w:rPr>
              <w:t>proBNP</w:t>
            </w:r>
            <w:proofErr w:type="spellEnd"/>
            <w:r>
              <w:rPr>
                <w:rFonts w:ascii="Times New Roman" w:hAnsi="Times New Roman"/>
                <w:color w:val="000000"/>
                <w:sz w:val="20"/>
                <w:szCs w:val="20"/>
              </w:rPr>
              <w:t xml:space="preserve"> (ng/L)</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0</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1,108</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(448-2,613)</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1,023</w:t>
            </w:r>
          </w:p>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(404-2,329)</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1,758</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(992-3,254)</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741</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(279-1,784)</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&lt;0.001</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2,428</w:t>
            </w:r>
          </w:p>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(941-5,532)</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3,187</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(1,548-5,700)</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1,996</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(774-5,208)</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0.01</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proofErr w:type="spellStart"/>
            <w:r>
              <w:rPr>
                <w:rFonts w:ascii="Times New Roman" w:hAnsi="Times New Roman"/>
                <w:color w:val="000000"/>
                <w:sz w:val="20"/>
                <w:szCs w:val="20"/>
              </w:rPr>
              <w:t>eGFR</w:t>
            </w:r>
            <w:proofErr w:type="spellEnd"/>
            <w:r>
              <w:rPr>
                <w:rFonts w:ascii="Times New Roman" w:hAnsi="Times New Roman"/>
                <w:color w:val="000000"/>
                <w:sz w:val="20"/>
                <w:szCs w:val="20"/>
              </w:rPr>
              <w:t>(4-variable) (ml/min/1.73m</w:t>
            </w:r>
            <w:r>
              <w:rPr>
                <w:rFonts w:ascii="Times New Roman" w:hAnsi="Times New Roman"/>
                <w:color w:val="000000"/>
                <w:sz w:val="20"/>
                <w:szCs w:val="20"/>
                <w:vertAlign w:val="superscript"/>
              </w:rPr>
              <w:t>2</w:t>
            </w:r>
            <w:r>
              <w:rPr>
                <w:rFonts w:ascii="Times New Roman" w:hAnsi="Times New Roman"/>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59</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62 (48-76)</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64 (51-77)</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61 (48-74)</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64 (52-78)</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0.001</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52 (35-67)</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54 (35-68)</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51 (37-65)</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0.71</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Haemoglobin (d/</w:t>
            </w:r>
            <w:proofErr w:type="spellStart"/>
            <w:r>
              <w:rPr>
                <w:rFonts w:ascii="Times New Roman" w:hAnsi="Times New Roman"/>
                <w:color w:val="000000"/>
                <w:sz w:val="20"/>
                <w:szCs w:val="20"/>
              </w:rPr>
              <w:t>dL</w:t>
            </w:r>
            <w:proofErr w:type="spellEnd"/>
            <w:r>
              <w:rPr>
                <w:rFonts w:ascii="Times New Roman" w:hAnsi="Times New Roman"/>
                <w:color w:val="000000"/>
                <w:sz w:val="20"/>
                <w:szCs w:val="20"/>
              </w:rPr>
              <w:t>)</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63</w:t>
            </w:r>
          </w:p>
        </w:tc>
        <w:tc>
          <w:tcPr>
            <w:tcW w:w="130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13.5</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hAnsi="Times New Roman"/>
                <w:sz w:val="20"/>
                <w:szCs w:val="20"/>
              </w:rPr>
              <w:t>(12.3-14.6)</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13.6</w:t>
            </w:r>
          </w:p>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(12.4-14.7)</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13.8</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(12.6-15.0)</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13.5</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(12.4-14.6)</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0.003</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12.9</w:t>
            </w:r>
          </w:p>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(11.6-14.4)</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13.0</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(11.8-14.5)</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12.9</w:t>
            </w:r>
          </w:p>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(11.5-14.3)</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0.42</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proofErr w:type="spellStart"/>
            <w:r>
              <w:rPr>
                <w:rFonts w:ascii="Times New Roman" w:hAnsi="Times New Roman"/>
                <w:color w:val="000000"/>
                <w:sz w:val="20"/>
                <w:szCs w:val="20"/>
              </w:rPr>
              <w:t>ACEi</w:t>
            </w:r>
            <w:proofErr w:type="spellEnd"/>
            <w:r>
              <w:rPr>
                <w:rFonts w:ascii="Times New Roman" w:hAnsi="Times New Roman"/>
                <w:color w:val="000000"/>
                <w:sz w:val="20"/>
                <w:szCs w:val="20"/>
              </w:rPr>
              <w:t>/ARB (n; %)</w:t>
            </w:r>
          </w:p>
        </w:tc>
        <w:tc>
          <w:tcPr>
            <w:tcW w:w="992" w:type="dxa"/>
            <w:tcBorders>
              <w:top w:val="single" w:sz="4" w:space="0" w:color="000000"/>
              <w:left w:val="single" w:sz="4" w:space="0" w:color="000000"/>
              <w:bottom w:val="single" w:sz="4" w:space="0" w:color="000000"/>
              <w:right w:val="single" w:sz="4" w:space="0" w:color="000000"/>
            </w:tcBorders>
            <w:hideMark/>
          </w:tcPr>
          <w:p w:rsidR="00814261" w:rsidRPr="00091560" w:rsidRDefault="00814261" w:rsidP="00785B09">
            <w:pPr>
              <w:spacing w:after="0" w:line="240" w:lineRule="auto"/>
              <w:rPr>
                <w:rFonts w:ascii="Times New Roman" w:eastAsia="Calibri" w:hAnsi="Times New Roman"/>
                <w:sz w:val="20"/>
                <w:szCs w:val="20"/>
                <w:lang w:eastAsia="en-US"/>
              </w:rPr>
            </w:pPr>
            <w:r w:rsidRPr="00091560">
              <w:rPr>
                <w:rFonts w:ascii="Times New Roman" w:hAnsi="Times New Roman"/>
                <w:sz w:val="20"/>
                <w:szCs w:val="20"/>
              </w:rPr>
              <w:t>0</w:t>
            </w:r>
          </w:p>
        </w:tc>
        <w:tc>
          <w:tcPr>
            <w:tcW w:w="1305" w:type="dxa"/>
            <w:tcBorders>
              <w:top w:val="single" w:sz="4" w:space="0" w:color="000000"/>
              <w:left w:val="single" w:sz="4" w:space="0" w:color="000000"/>
              <w:bottom w:val="single" w:sz="4" w:space="0" w:color="000000"/>
              <w:right w:val="single" w:sz="4" w:space="0" w:color="000000"/>
            </w:tcBorders>
          </w:tcPr>
          <w:p w:rsidR="00814261" w:rsidRPr="00091560" w:rsidRDefault="00814261" w:rsidP="00785B09">
            <w:pPr>
              <w:spacing w:after="0" w:line="240" w:lineRule="auto"/>
              <w:jc w:val="center"/>
              <w:rPr>
                <w:rFonts w:ascii="Times New Roman" w:eastAsia="Calibri" w:hAnsi="Times New Roman"/>
                <w:sz w:val="20"/>
                <w:szCs w:val="20"/>
                <w:lang w:eastAsia="en-US"/>
              </w:rPr>
            </w:pPr>
            <w:r w:rsidRPr="00091560">
              <w:rPr>
                <w:rFonts w:ascii="Times New Roman" w:hAnsi="Times New Roman"/>
                <w:sz w:val="20"/>
                <w:szCs w:val="20"/>
              </w:rPr>
              <w:t>1,587 (79%)</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1,399 (80%)</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414 (79%)</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985 (81%)</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0.25</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188 (74%)</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65 (75%)</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123 (74%)</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0.86</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Beta blocker (n; %)</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0</w:t>
            </w:r>
          </w:p>
        </w:tc>
        <w:tc>
          <w:tcPr>
            <w:tcW w:w="1305" w:type="dxa"/>
            <w:tcBorders>
              <w:top w:val="single" w:sz="4" w:space="0" w:color="000000"/>
              <w:left w:val="single" w:sz="4" w:space="0" w:color="000000"/>
              <w:bottom w:val="single" w:sz="4" w:space="0" w:color="000000"/>
              <w:right w:val="single" w:sz="4" w:space="0" w:color="000000"/>
            </w:tcBorders>
          </w:tcPr>
          <w:p w:rsidR="00814261" w:rsidRPr="00C56C5B" w:rsidRDefault="00814261" w:rsidP="00785B09">
            <w:pPr>
              <w:spacing w:after="0" w:line="240" w:lineRule="auto"/>
              <w:jc w:val="center"/>
              <w:rPr>
                <w:rFonts w:ascii="Times New Roman" w:eastAsia="Calibri" w:hAnsi="Times New Roman"/>
                <w:sz w:val="20"/>
                <w:szCs w:val="20"/>
                <w:highlight w:val="yellow"/>
                <w:lang w:eastAsia="en-US"/>
              </w:rPr>
            </w:pPr>
            <w:r w:rsidRPr="00091560">
              <w:rPr>
                <w:rFonts w:ascii="Times New Roman" w:hAnsi="Times New Roman"/>
                <w:sz w:val="20"/>
                <w:szCs w:val="20"/>
              </w:rPr>
              <w:t>1,253 (63%)</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1,117 (64%)</w:t>
            </w:r>
          </w:p>
        </w:tc>
        <w:tc>
          <w:tcPr>
            <w:tcW w:w="1275"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325 (62%)</w:t>
            </w:r>
          </w:p>
        </w:tc>
        <w:tc>
          <w:tcPr>
            <w:tcW w:w="1388"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792 (65%)</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0.17</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136 (54%)</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53 (61%)</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83 (50%)</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0.09</w:t>
            </w:r>
          </w:p>
        </w:tc>
      </w:tr>
      <w:tr w:rsidR="00814261" w:rsidTr="00785B09">
        <w:tc>
          <w:tcPr>
            <w:tcW w:w="2623"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autoSpaceDE w:val="0"/>
              <w:autoSpaceDN w:val="0"/>
              <w:adjustRightInd w:val="0"/>
              <w:spacing w:after="0" w:line="240" w:lineRule="auto"/>
              <w:ind w:left="60" w:right="60"/>
              <w:jc w:val="both"/>
              <w:rPr>
                <w:rFonts w:ascii="Times New Roman" w:eastAsia="Calibri" w:hAnsi="Times New Roman"/>
                <w:color w:val="000000"/>
                <w:sz w:val="20"/>
                <w:szCs w:val="20"/>
                <w:lang w:eastAsia="en-US"/>
              </w:rPr>
            </w:pPr>
            <w:r>
              <w:rPr>
                <w:rFonts w:ascii="Times New Roman" w:hAnsi="Times New Roman"/>
                <w:color w:val="000000"/>
                <w:sz w:val="20"/>
                <w:szCs w:val="20"/>
              </w:rPr>
              <w:t>Diuretic (n; %)</w:t>
            </w:r>
          </w:p>
        </w:tc>
        <w:tc>
          <w:tcPr>
            <w:tcW w:w="99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rPr>
                <w:rFonts w:ascii="Times New Roman" w:eastAsia="Calibri" w:hAnsi="Times New Roman"/>
                <w:sz w:val="20"/>
                <w:szCs w:val="20"/>
                <w:lang w:eastAsia="en-US"/>
              </w:rPr>
            </w:pPr>
            <w:r>
              <w:rPr>
                <w:rFonts w:ascii="Times New Roman" w:hAnsi="Times New Roman"/>
                <w:sz w:val="20"/>
                <w:szCs w:val="20"/>
              </w:rPr>
              <w:t>0</w:t>
            </w:r>
          </w:p>
        </w:tc>
        <w:tc>
          <w:tcPr>
            <w:tcW w:w="1305" w:type="dxa"/>
            <w:tcBorders>
              <w:top w:val="single" w:sz="4" w:space="0" w:color="000000"/>
              <w:left w:val="single" w:sz="4" w:space="0" w:color="000000"/>
              <w:bottom w:val="single" w:sz="4" w:space="0" w:color="000000"/>
              <w:right w:val="single" w:sz="4" w:space="0" w:color="000000"/>
            </w:tcBorders>
          </w:tcPr>
          <w:p w:rsidR="00814261" w:rsidRPr="00C56C5B" w:rsidRDefault="00814261" w:rsidP="00785B09">
            <w:pPr>
              <w:spacing w:after="0" w:line="240" w:lineRule="auto"/>
              <w:jc w:val="center"/>
              <w:rPr>
                <w:rFonts w:ascii="Times New Roman" w:eastAsia="Calibri" w:hAnsi="Times New Roman"/>
                <w:sz w:val="20"/>
                <w:szCs w:val="20"/>
                <w:highlight w:val="yellow"/>
                <w:lang w:eastAsia="en-US"/>
              </w:rPr>
            </w:pPr>
            <w:r w:rsidRPr="00C42E49">
              <w:rPr>
                <w:rFonts w:ascii="Times New Roman" w:hAnsi="Times New Roman"/>
                <w:sz w:val="20"/>
                <w:szCs w:val="20"/>
              </w:rPr>
              <w:t>1,516 (76%)</w:t>
            </w:r>
          </w:p>
        </w:tc>
        <w:tc>
          <w:tcPr>
            <w:tcW w:w="1276"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1,303 (75%)</w:t>
            </w:r>
          </w:p>
        </w:tc>
        <w:tc>
          <w:tcPr>
            <w:tcW w:w="1275" w:type="dxa"/>
            <w:tcBorders>
              <w:top w:val="single" w:sz="4" w:space="0" w:color="000000"/>
              <w:left w:val="single" w:sz="4" w:space="0" w:color="000000"/>
              <w:bottom w:val="single" w:sz="4" w:space="0" w:color="000000"/>
              <w:right w:val="single" w:sz="4" w:space="0" w:color="000000"/>
            </w:tcBorders>
          </w:tcPr>
          <w:p w:rsidR="00814261" w:rsidRPr="004A0360" w:rsidRDefault="00814261" w:rsidP="00785B09">
            <w:pPr>
              <w:spacing w:after="0" w:line="240" w:lineRule="auto"/>
              <w:jc w:val="center"/>
              <w:rPr>
                <w:rFonts w:ascii="Times New Roman" w:eastAsia="Calibri" w:hAnsi="Times New Roman"/>
                <w:sz w:val="20"/>
                <w:szCs w:val="20"/>
                <w:lang w:eastAsia="en-US"/>
              </w:rPr>
            </w:pPr>
            <w:r w:rsidRPr="004A0360">
              <w:rPr>
                <w:rFonts w:ascii="Times New Roman" w:eastAsia="Calibri" w:hAnsi="Times New Roman"/>
                <w:sz w:val="20"/>
                <w:szCs w:val="20"/>
                <w:lang w:eastAsia="en-US"/>
              </w:rPr>
              <w:t>426 (81%)</w:t>
            </w:r>
          </w:p>
        </w:tc>
        <w:tc>
          <w:tcPr>
            <w:tcW w:w="1388" w:type="dxa"/>
            <w:tcBorders>
              <w:top w:val="single" w:sz="4" w:space="0" w:color="000000"/>
              <w:left w:val="single" w:sz="4" w:space="0" w:color="000000"/>
              <w:bottom w:val="single" w:sz="4" w:space="0" w:color="000000"/>
              <w:right w:val="single" w:sz="4" w:space="0" w:color="000000"/>
            </w:tcBorders>
          </w:tcPr>
          <w:p w:rsidR="00814261" w:rsidRPr="004A0360" w:rsidRDefault="00814261" w:rsidP="00785B09">
            <w:pPr>
              <w:spacing w:after="0" w:line="240" w:lineRule="auto"/>
              <w:jc w:val="center"/>
              <w:rPr>
                <w:rFonts w:ascii="Times New Roman" w:eastAsia="Calibri" w:hAnsi="Times New Roman"/>
                <w:sz w:val="20"/>
                <w:szCs w:val="20"/>
                <w:lang w:eastAsia="en-US"/>
              </w:rPr>
            </w:pPr>
            <w:r w:rsidRPr="004A0360">
              <w:rPr>
                <w:rFonts w:ascii="Times New Roman" w:eastAsia="Calibri" w:hAnsi="Times New Roman"/>
                <w:sz w:val="20"/>
                <w:szCs w:val="20"/>
                <w:lang w:eastAsia="en-US"/>
              </w:rPr>
              <w:t>877 (72%)</w:t>
            </w:r>
          </w:p>
        </w:tc>
        <w:tc>
          <w:tcPr>
            <w:tcW w:w="993"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&lt;0.001</w:t>
            </w:r>
          </w:p>
        </w:tc>
        <w:tc>
          <w:tcPr>
            <w:tcW w:w="1305" w:type="dxa"/>
            <w:tcBorders>
              <w:top w:val="single" w:sz="4" w:space="0" w:color="000000"/>
              <w:left w:val="single" w:sz="4" w:space="0" w:color="000000"/>
              <w:bottom w:val="single" w:sz="4" w:space="0" w:color="000000"/>
              <w:right w:val="single" w:sz="4" w:space="0" w:color="000000"/>
            </w:tcBorders>
          </w:tcPr>
          <w:p w:rsidR="00814261" w:rsidRPr="009A2653" w:rsidRDefault="00814261" w:rsidP="00785B09">
            <w:pPr>
              <w:spacing w:after="0" w:line="240" w:lineRule="auto"/>
              <w:jc w:val="center"/>
              <w:rPr>
                <w:rFonts w:ascii="Times New Roman" w:eastAsia="Calibri" w:hAnsi="Times New Roman"/>
                <w:sz w:val="20"/>
                <w:szCs w:val="20"/>
                <w:lang w:eastAsia="en-US"/>
              </w:rPr>
            </w:pPr>
            <w:r w:rsidRPr="009A2653">
              <w:rPr>
                <w:rFonts w:ascii="Times New Roman" w:eastAsia="Calibri" w:hAnsi="Times New Roman"/>
                <w:sz w:val="20"/>
                <w:szCs w:val="20"/>
                <w:lang w:eastAsia="en-US"/>
              </w:rPr>
              <w:t>213 (84%)</w:t>
            </w:r>
          </w:p>
        </w:tc>
        <w:tc>
          <w:tcPr>
            <w:tcW w:w="1417"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78 (90%)</w:t>
            </w:r>
          </w:p>
        </w:tc>
        <w:tc>
          <w:tcPr>
            <w:tcW w:w="1276"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135 (81%)</w:t>
            </w:r>
          </w:p>
        </w:tc>
        <w:tc>
          <w:tcPr>
            <w:tcW w:w="99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line="240" w:lineRule="auto"/>
              <w:jc w:val="center"/>
              <w:rPr>
                <w:rFonts w:ascii="Times New Roman" w:eastAsia="Calibri" w:hAnsi="Times New Roman"/>
                <w:sz w:val="20"/>
                <w:szCs w:val="20"/>
                <w:lang w:eastAsia="en-US"/>
              </w:rPr>
            </w:pPr>
            <w:r>
              <w:rPr>
                <w:rFonts w:ascii="Times New Roman" w:eastAsia="Calibri" w:hAnsi="Times New Roman"/>
                <w:sz w:val="20"/>
                <w:szCs w:val="20"/>
                <w:lang w:eastAsia="en-US"/>
              </w:rPr>
              <w:t>0.07</w:t>
            </w:r>
          </w:p>
        </w:tc>
      </w:tr>
    </w:tbl>
    <w:p w:rsidR="00814261" w:rsidRPr="00FD040B" w:rsidRDefault="00814261" w:rsidP="00814261">
      <w:pPr>
        <w:spacing w:line="240" w:lineRule="auto"/>
        <w:rPr>
          <w:rFonts w:ascii="Times New Roman" w:hAnsi="Times New Roman" w:cs="Times New Roman"/>
          <w:sz w:val="20"/>
          <w:szCs w:val="20"/>
        </w:rPr>
      </w:pPr>
      <w:r w:rsidRPr="002B6B13">
        <w:rPr>
          <w:rFonts w:ascii="Times New Roman" w:hAnsi="Times New Roman" w:cs="Times New Roman"/>
          <w:sz w:val="20"/>
          <w:szCs w:val="20"/>
        </w:rPr>
        <w:t>Abbreviations: IHD: Ischaemic heart disease; COPD: Chronic obstructive pulmonary disease; NYHA Class: New York Heart Association classes;</w:t>
      </w:r>
      <w:r>
        <w:rPr>
          <w:rFonts w:ascii="Times New Roman" w:hAnsi="Times New Roman" w:cs="Times New Roman"/>
          <w:sz w:val="20"/>
          <w:szCs w:val="20"/>
        </w:rPr>
        <w:t xml:space="preserve"> </w:t>
      </w:r>
      <w:r w:rsidRPr="002B6B13">
        <w:rPr>
          <w:rFonts w:ascii="Times New Roman" w:hAnsi="Times New Roman" w:cs="Times New Roman"/>
          <w:sz w:val="20"/>
          <w:szCs w:val="20"/>
        </w:rPr>
        <w:t xml:space="preserve">BMI: Body mass index; Systolic BP: Systolic blood pressure; </w:t>
      </w:r>
      <w:proofErr w:type="spellStart"/>
      <w:r w:rsidRPr="002B6B13">
        <w:rPr>
          <w:rFonts w:ascii="Times New Roman" w:hAnsi="Times New Roman" w:cs="Times New Roman"/>
          <w:sz w:val="20"/>
          <w:szCs w:val="20"/>
        </w:rPr>
        <w:t>eGFR</w:t>
      </w:r>
      <w:proofErr w:type="spellEnd"/>
      <w:r w:rsidRPr="002B6B13">
        <w:rPr>
          <w:rFonts w:ascii="Times New Roman" w:hAnsi="Times New Roman" w:cs="Times New Roman"/>
          <w:sz w:val="20"/>
          <w:szCs w:val="20"/>
        </w:rPr>
        <w:t>: Estimated glomerular filtration rate;</w:t>
      </w:r>
      <w:r w:rsidRPr="002B6B13">
        <w:rPr>
          <w:rFonts w:ascii="Times New Roman" w:hAnsi="Times New Roman" w:cs="Times New Roman"/>
          <w:color w:val="000000"/>
          <w:sz w:val="20"/>
          <w:szCs w:val="20"/>
        </w:rPr>
        <w:t xml:space="preserve"> </w:t>
      </w:r>
      <w:proofErr w:type="spellStart"/>
      <w:r w:rsidRPr="002B6B13">
        <w:rPr>
          <w:rFonts w:ascii="Times New Roman" w:hAnsi="Times New Roman" w:cs="Times New Roman"/>
          <w:color w:val="000000"/>
          <w:sz w:val="20"/>
          <w:szCs w:val="20"/>
        </w:rPr>
        <w:t>ACEi</w:t>
      </w:r>
      <w:proofErr w:type="spellEnd"/>
      <w:r w:rsidRPr="002B6B13">
        <w:rPr>
          <w:rFonts w:ascii="Times New Roman" w:hAnsi="Times New Roman" w:cs="Times New Roman"/>
          <w:color w:val="000000"/>
          <w:sz w:val="20"/>
          <w:szCs w:val="20"/>
        </w:rPr>
        <w:t>/ARB: Angiotensin-Converting enzyme inhibitors/angiotensin receptor blockers</w:t>
      </w:r>
      <w:r>
        <w:rPr>
          <w:rFonts w:ascii="Times New Roman" w:hAnsi="Times New Roman" w:cs="Times New Roman"/>
          <w:color w:val="000000"/>
          <w:sz w:val="20"/>
          <w:szCs w:val="20"/>
        </w:rPr>
        <w:t>, SR: Sinus rhythm.</w:t>
      </w:r>
    </w:p>
    <w:p w:rsidR="00814261" w:rsidRPr="009A2653" w:rsidRDefault="00814261" w:rsidP="00814261">
      <w:pPr>
        <w:rPr>
          <w:rFonts w:ascii="Times New Roman" w:hAnsi="Times New Roman" w:cs="Times New Roman"/>
          <w:sz w:val="20"/>
          <w:szCs w:val="20"/>
        </w:rPr>
      </w:pPr>
      <w:r w:rsidRPr="009A2653">
        <w:rPr>
          <w:rFonts w:ascii="Times New Roman" w:hAnsi="Times New Roman" w:cs="Times New Roman"/>
          <w:sz w:val="20"/>
          <w:szCs w:val="20"/>
        </w:rPr>
        <w:t>* Comparison between groups of patients with SR and not SR.</w:t>
      </w:r>
    </w:p>
    <w:p w:rsidR="00104DB1" w:rsidRDefault="00814261"/>
    <w:p w:rsidR="00814261" w:rsidRDefault="00814261"/>
    <w:p w:rsidR="00814261" w:rsidRDefault="00814261"/>
    <w:p w:rsidR="00814261" w:rsidRPr="0034175C" w:rsidRDefault="00814261" w:rsidP="00814261">
      <w:pPr>
        <w:rPr>
          <w:rFonts w:ascii="Times New Roman" w:hAnsi="Times New Roman" w:cs="Times New Roman"/>
          <w:sz w:val="24"/>
          <w:szCs w:val="24"/>
        </w:rPr>
      </w:pPr>
      <w:r>
        <w:rPr>
          <w:rFonts w:ascii="Times New Roman" w:hAnsi="Times New Roman" w:cs="Times New Roman"/>
          <w:sz w:val="24"/>
          <w:szCs w:val="24"/>
        </w:rPr>
        <w:lastRenderedPageBreak/>
        <w:t>Table 2</w:t>
      </w:r>
      <w:r w:rsidRPr="0034175C">
        <w:rPr>
          <w:rFonts w:ascii="Times New Roman" w:hAnsi="Times New Roman" w:cs="Times New Roman"/>
          <w:sz w:val="24"/>
          <w:szCs w:val="24"/>
        </w:rPr>
        <w:t xml:space="preserve">: Survival models using baseline </w:t>
      </w:r>
      <w:proofErr w:type="gramStart"/>
      <w:r w:rsidRPr="0034175C">
        <w:rPr>
          <w:rFonts w:ascii="Times New Roman" w:hAnsi="Times New Roman" w:cs="Times New Roman"/>
          <w:sz w:val="24"/>
          <w:szCs w:val="24"/>
        </w:rPr>
        <w:t>log(</w:t>
      </w:r>
      <w:proofErr w:type="gramEnd"/>
      <w:r w:rsidRPr="0034175C">
        <w:rPr>
          <w:rFonts w:ascii="Times New Roman" w:hAnsi="Times New Roman" w:cs="Times New Roman"/>
          <w:sz w:val="24"/>
          <w:szCs w:val="24"/>
        </w:rPr>
        <w:t>NT-</w:t>
      </w:r>
      <w:proofErr w:type="spellStart"/>
      <w:r w:rsidRPr="0034175C">
        <w:rPr>
          <w:rFonts w:ascii="Times New Roman" w:hAnsi="Times New Roman" w:cs="Times New Roman"/>
          <w:sz w:val="24"/>
          <w:szCs w:val="24"/>
        </w:rPr>
        <w:t>proBNP</w:t>
      </w:r>
      <w:proofErr w:type="spellEnd"/>
      <w:r w:rsidRPr="0034175C">
        <w:rPr>
          <w:rFonts w:ascii="Times New Roman" w:hAnsi="Times New Roman" w:cs="Times New Roman"/>
          <w:sz w:val="24"/>
          <w:szCs w:val="24"/>
        </w:rPr>
        <w:t>) only/adjusted for baseline age and sex; serial measurements of log(NT-</w:t>
      </w:r>
      <w:proofErr w:type="spellStart"/>
      <w:r w:rsidRPr="0034175C">
        <w:rPr>
          <w:rFonts w:ascii="Times New Roman" w:hAnsi="Times New Roman" w:cs="Times New Roman"/>
          <w:sz w:val="24"/>
          <w:szCs w:val="24"/>
        </w:rPr>
        <w:t>proBNP</w:t>
      </w:r>
      <w:proofErr w:type="spellEnd"/>
      <w:r w:rsidRPr="0034175C">
        <w:rPr>
          <w:rFonts w:ascii="Times New Roman" w:hAnsi="Times New Roman" w:cs="Times New Roman"/>
          <w:sz w:val="24"/>
          <w:szCs w:val="24"/>
        </w:rPr>
        <w:t>); and most recent value of log(NT-</w:t>
      </w:r>
      <w:proofErr w:type="spellStart"/>
      <w:r w:rsidRPr="0034175C">
        <w:rPr>
          <w:rFonts w:ascii="Times New Roman" w:hAnsi="Times New Roman" w:cs="Times New Roman"/>
          <w:sz w:val="24"/>
          <w:szCs w:val="24"/>
        </w:rPr>
        <w:t>proBNP</w:t>
      </w:r>
      <w:proofErr w:type="spellEnd"/>
      <w:r w:rsidRPr="0034175C">
        <w:rPr>
          <w:rFonts w:ascii="Times New Roman" w:hAnsi="Times New Roman" w:cs="Times New Roman"/>
          <w:sz w:val="24"/>
          <w:szCs w:val="24"/>
        </w:rPr>
        <w:t>) for all-cause mortality at 3 years</w:t>
      </w: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6"/>
        <w:gridCol w:w="2126"/>
        <w:gridCol w:w="1559"/>
        <w:gridCol w:w="1701"/>
        <w:gridCol w:w="1701"/>
      </w:tblGrid>
      <w:tr w:rsidR="00814261" w:rsidTr="00785B09">
        <w:tc>
          <w:tcPr>
            <w:tcW w:w="3686" w:type="dxa"/>
            <w:vMerge w:val="restart"/>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rPr>
                <w:rFonts w:ascii="Times New Roman" w:eastAsia="Calibri" w:hAnsi="Times New Roman"/>
                <w:sz w:val="24"/>
                <w:szCs w:val="24"/>
                <w:lang w:eastAsia="en-US"/>
              </w:rPr>
            </w:pPr>
          </w:p>
        </w:tc>
        <w:tc>
          <w:tcPr>
            <w:tcW w:w="5386" w:type="dxa"/>
            <w:gridSpan w:val="3"/>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Log(NT-</w:t>
            </w:r>
            <w:proofErr w:type="spellStart"/>
            <w:r>
              <w:rPr>
                <w:rFonts w:ascii="Times New Roman" w:hAnsi="Times New Roman"/>
                <w:sz w:val="24"/>
                <w:szCs w:val="24"/>
              </w:rPr>
              <w:t>proBNP</w:t>
            </w:r>
            <w:proofErr w:type="spellEnd"/>
            <w:r>
              <w:rPr>
                <w:rFonts w:ascii="Times New Roman"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jc w:val="center"/>
              <w:rPr>
                <w:rFonts w:ascii="Times New Roman" w:eastAsia="Calibri" w:hAnsi="Times New Roman"/>
                <w:sz w:val="24"/>
                <w:szCs w:val="24"/>
                <w:lang w:eastAsia="en-US"/>
              </w:rPr>
            </w:pPr>
          </w:p>
        </w:tc>
      </w:tr>
      <w:tr w:rsidR="00814261" w:rsidTr="00785B09">
        <w:tc>
          <w:tcPr>
            <w:tcW w:w="3686" w:type="dxa"/>
            <w:vMerge/>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spacing w:after="0" w:line="240" w:lineRule="auto"/>
              <w:rPr>
                <w:rFonts w:ascii="Times New Roman" w:eastAsia="Calibri" w:hAnsi="Times New Roman"/>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jc w:val="center"/>
              <w:rPr>
                <w:rFonts w:ascii="Times New Roman" w:eastAsia="Calibri" w:hAnsi="Times New Roman"/>
                <w:sz w:val="24"/>
                <w:szCs w:val="24"/>
                <w:lang w:eastAsia="en-US"/>
              </w:rPr>
            </w:pPr>
            <w:r>
              <w:rPr>
                <w:rFonts w:ascii="Times New Roman" w:hAnsi="Times New Roman"/>
                <w:sz w:val="24"/>
                <w:szCs w:val="24"/>
              </w:rPr>
              <w:t>HR (95%CI)</w:t>
            </w:r>
          </w:p>
        </w:tc>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jc w:val="center"/>
              <w:rPr>
                <w:rFonts w:ascii="Times New Roman" w:eastAsia="Calibri" w:hAnsi="Times New Roman"/>
                <w:sz w:val="24"/>
                <w:szCs w:val="24"/>
                <w:lang w:eastAsia="en-US"/>
              </w:rPr>
            </w:pPr>
            <w:r>
              <w:rPr>
                <w:rFonts w:ascii="Times New Roman" w:hAnsi="Times New Roman"/>
                <w:sz w:val="24"/>
                <w:szCs w:val="24"/>
              </w:rPr>
              <w:t>z-statistic</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jc w:val="center"/>
              <w:rPr>
                <w:rFonts w:ascii="Times New Roman" w:eastAsia="Calibri" w:hAnsi="Times New Roman"/>
                <w:sz w:val="24"/>
                <w:szCs w:val="24"/>
                <w:lang w:eastAsia="en-US"/>
              </w:rPr>
            </w:pPr>
            <w:r>
              <w:rPr>
                <w:rFonts w:ascii="Times New Roman" w:hAnsi="Times New Roman"/>
                <w:sz w:val="24"/>
                <w:szCs w:val="24"/>
              </w:rPr>
              <w:t>p-value</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jc w:val="center"/>
              <w:rPr>
                <w:rFonts w:ascii="Times New Roman" w:eastAsia="Calibri" w:hAnsi="Times New Roman"/>
                <w:sz w:val="24"/>
                <w:szCs w:val="24"/>
                <w:lang w:eastAsia="en-US"/>
              </w:rPr>
            </w:pPr>
            <w:r>
              <w:rPr>
                <w:rFonts w:ascii="Times New Roman" w:hAnsi="Times New Roman"/>
                <w:sz w:val="24"/>
                <w:szCs w:val="24"/>
              </w:rPr>
              <w:t>c-statistic (SE)</w:t>
            </w:r>
          </w:p>
        </w:tc>
      </w:tr>
      <w:tr w:rsidR="00814261" w:rsidTr="00785B09">
        <w:tc>
          <w:tcPr>
            <w:tcW w:w="368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Baseline Cox model</w:t>
            </w:r>
          </w:p>
        </w:tc>
        <w:tc>
          <w:tcPr>
            <w:tcW w:w="212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3.05 (2.42-3.85)</w:t>
            </w:r>
          </w:p>
        </w:tc>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9.42</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&lt;0.0001</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0.67 (0.02)</w:t>
            </w:r>
          </w:p>
        </w:tc>
      </w:tr>
      <w:tr w:rsidR="00814261" w:rsidTr="00785B09">
        <w:tc>
          <w:tcPr>
            <w:tcW w:w="368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Model adjusted for age and sex</w:t>
            </w:r>
          </w:p>
        </w:tc>
        <w:tc>
          <w:tcPr>
            <w:tcW w:w="212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2.57 (2.02-3.28)</w:t>
            </w:r>
          </w:p>
        </w:tc>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7.62</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&lt;0.0001</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0.69 (0.02)</w:t>
            </w:r>
          </w:p>
        </w:tc>
      </w:tr>
      <w:tr w:rsidR="00814261" w:rsidTr="00785B09">
        <w:tc>
          <w:tcPr>
            <w:tcW w:w="3686"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rPr>
                <w:rFonts w:ascii="Times New Roman" w:eastAsia="Calibri" w:hAnsi="Times New Roman"/>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jc w:val="center"/>
              <w:rPr>
                <w:rFonts w:ascii="Times New Roman" w:eastAsia="Calibri" w:hAnsi="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jc w:val="center"/>
              <w:rPr>
                <w:rFonts w:ascii="Times New Roman" w:eastAsia="Calibri" w:hAnsi="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jc w:val="center"/>
              <w:rPr>
                <w:rFonts w:ascii="Times New Roman" w:eastAsia="Calibri" w:hAnsi="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jc w:val="center"/>
              <w:rPr>
                <w:rFonts w:ascii="Times New Roman" w:eastAsia="Calibri" w:hAnsi="Times New Roman"/>
                <w:sz w:val="24"/>
                <w:szCs w:val="24"/>
                <w:lang w:eastAsia="en-US"/>
              </w:rPr>
            </w:pPr>
          </w:p>
        </w:tc>
      </w:tr>
      <w:tr w:rsidR="00814261" w:rsidTr="00785B09">
        <w:tc>
          <w:tcPr>
            <w:tcW w:w="368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Time-dependent Cox model</w:t>
            </w:r>
          </w:p>
        </w:tc>
        <w:tc>
          <w:tcPr>
            <w:tcW w:w="212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4.49 (3.54-5.70)</w:t>
            </w:r>
          </w:p>
        </w:tc>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12.40</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&lt;0.0001</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0.71 (0.02)</w:t>
            </w:r>
          </w:p>
        </w:tc>
      </w:tr>
      <w:tr w:rsidR="00814261" w:rsidTr="00785B09">
        <w:tc>
          <w:tcPr>
            <w:tcW w:w="368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Model adjusted for age and sex</w:t>
            </w:r>
          </w:p>
        </w:tc>
        <w:tc>
          <w:tcPr>
            <w:tcW w:w="212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3.92 (3.04-5.06)</w:t>
            </w:r>
          </w:p>
        </w:tc>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10.58</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&lt;0.0001</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0.73 (0.02)</w:t>
            </w:r>
          </w:p>
        </w:tc>
      </w:tr>
      <w:tr w:rsidR="00814261" w:rsidTr="00785B09">
        <w:tc>
          <w:tcPr>
            <w:tcW w:w="3686"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rPr>
                <w:rFonts w:ascii="Times New Roman" w:eastAsia="Calibri" w:hAnsi="Times New Roman"/>
                <w:sz w:val="24"/>
                <w:szCs w:val="24"/>
                <w:lang w:eastAsia="en-US"/>
              </w:rPr>
            </w:pPr>
          </w:p>
        </w:tc>
        <w:tc>
          <w:tcPr>
            <w:tcW w:w="2126"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jc w:val="center"/>
              <w:rPr>
                <w:rFonts w:ascii="Times New Roman" w:eastAsia="Calibri" w:hAnsi="Times New Roman"/>
                <w:sz w:val="24"/>
                <w:szCs w:val="24"/>
                <w:lang w:eastAsia="en-US"/>
              </w:rPr>
            </w:pPr>
          </w:p>
        </w:tc>
        <w:tc>
          <w:tcPr>
            <w:tcW w:w="1559"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jc w:val="center"/>
              <w:rPr>
                <w:rFonts w:ascii="Times New Roman" w:eastAsia="Calibri" w:hAnsi="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jc w:val="center"/>
              <w:rPr>
                <w:rFonts w:ascii="Times New Roman" w:eastAsia="Calibri" w:hAnsi="Times New Roman"/>
                <w:sz w:val="24"/>
                <w:szCs w:val="24"/>
                <w:lang w:eastAsia="en-US"/>
              </w:rPr>
            </w:pPr>
          </w:p>
        </w:tc>
        <w:tc>
          <w:tcPr>
            <w:tcW w:w="1701" w:type="dxa"/>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jc w:val="center"/>
              <w:rPr>
                <w:rFonts w:ascii="Times New Roman" w:eastAsia="Calibri" w:hAnsi="Times New Roman"/>
                <w:sz w:val="24"/>
                <w:szCs w:val="24"/>
                <w:lang w:eastAsia="en-US"/>
              </w:rPr>
            </w:pPr>
          </w:p>
        </w:tc>
      </w:tr>
      <w:tr w:rsidR="00814261" w:rsidTr="00785B09">
        <w:tc>
          <w:tcPr>
            <w:tcW w:w="368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Most recent Cox model*</w:t>
            </w:r>
          </w:p>
        </w:tc>
        <w:tc>
          <w:tcPr>
            <w:tcW w:w="212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4.51 (3.57-5.71)</w:t>
            </w:r>
          </w:p>
        </w:tc>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12.54</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&lt;0.0001</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0.72 (0.02)</w:t>
            </w:r>
          </w:p>
        </w:tc>
      </w:tr>
      <w:tr w:rsidR="00814261" w:rsidTr="00785B09">
        <w:tc>
          <w:tcPr>
            <w:tcW w:w="368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Model adjusted for age and sex*</w:t>
            </w:r>
          </w:p>
        </w:tc>
        <w:tc>
          <w:tcPr>
            <w:tcW w:w="2126"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4.11 (3.20-5.29)</w:t>
            </w:r>
          </w:p>
        </w:tc>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11.04</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&lt;0.0001</w:t>
            </w:r>
          </w:p>
        </w:tc>
        <w:tc>
          <w:tcPr>
            <w:tcW w:w="1701"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0.72 (0.02)</w:t>
            </w:r>
          </w:p>
        </w:tc>
      </w:tr>
    </w:tbl>
    <w:p w:rsidR="00814261" w:rsidRPr="00A04DE0" w:rsidRDefault="00814261" w:rsidP="00814261">
      <w:pPr>
        <w:rPr>
          <w:rFonts w:ascii="Times New Roman" w:hAnsi="Times New Roman" w:cs="Times New Roman"/>
        </w:rPr>
      </w:pPr>
      <w:r w:rsidRPr="00A04DE0">
        <w:rPr>
          <w:rFonts w:ascii="Times New Roman" w:hAnsi="Times New Roman" w:cs="Times New Roman"/>
        </w:rPr>
        <w:t>* Models were generated using the same cohort but starting from the time of the most recent measurement of NT-</w:t>
      </w:r>
      <w:proofErr w:type="spellStart"/>
      <w:r w:rsidRPr="00A04DE0">
        <w:rPr>
          <w:rFonts w:ascii="Times New Roman" w:hAnsi="Times New Roman" w:cs="Times New Roman"/>
        </w:rPr>
        <w:t>proBNP</w:t>
      </w:r>
      <w:proofErr w:type="spellEnd"/>
    </w:p>
    <w:p w:rsidR="00814261" w:rsidRDefault="00814261"/>
    <w:p w:rsidR="00814261" w:rsidRDefault="00814261"/>
    <w:p w:rsidR="00814261" w:rsidRDefault="00814261"/>
    <w:p w:rsidR="00814261" w:rsidRDefault="00814261"/>
    <w:p w:rsidR="00814261" w:rsidRDefault="00814261"/>
    <w:p w:rsidR="00814261" w:rsidRDefault="00814261"/>
    <w:p w:rsidR="00814261" w:rsidRPr="006F58DD" w:rsidRDefault="00814261" w:rsidP="00814261">
      <w:pPr>
        <w:rPr>
          <w:rFonts w:ascii="Times New Roman" w:hAnsi="Times New Roman" w:cs="Times New Roman"/>
          <w:sz w:val="24"/>
          <w:szCs w:val="24"/>
        </w:rPr>
      </w:pPr>
      <w:r>
        <w:rPr>
          <w:rFonts w:ascii="Times New Roman" w:hAnsi="Times New Roman" w:cs="Times New Roman"/>
          <w:sz w:val="24"/>
          <w:szCs w:val="24"/>
        </w:rPr>
        <w:t>Supplemental table S1</w:t>
      </w:r>
    </w:p>
    <w:p w:rsidR="00814261" w:rsidRPr="002602B0" w:rsidRDefault="00814261" w:rsidP="00814261">
      <w:pPr>
        <w:rPr>
          <w:rFonts w:ascii="Times New Roman" w:hAnsi="Times New Roman" w:cs="Times New Roman"/>
          <w:sz w:val="24"/>
          <w:szCs w:val="24"/>
        </w:rPr>
      </w:pPr>
      <w:r w:rsidRPr="002602B0">
        <w:rPr>
          <w:rFonts w:ascii="Times New Roman" w:hAnsi="Times New Roman" w:cs="Times New Roman"/>
          <w:sz w:val="24"/>
          <w:szCs w:val="24"/>
        </w:rPr>
        <w:t>Table</w:t>
      </w:r>
      <w:r>
        <w:rPr>
          <w:rFonts w:ascii="Times New Roman" w:hAnsi="Times New Roman" w:cs="Times New Roman"/>
          <w:sz w:val="24"/>
          <w:szCs w:val="24"/>
        </w:rPr>
        <w:t>:</w:t>
      </w:r>
      <w:r w:rsidRPr="002602B0">
        <w:rPr>
          <w:rFonts w:ascii="Times New Roman" w:hAnsi="Times New Roman" w:cs="Times New Roman"/>
          <w:sz w:val="24"/>
          <w:szCs w:val="24"/>
        </w:rPr>
        <w:t xml:space="preserve"> </w:t>
      </w:r>
      <w:r>
        <w:rPr>
          <w:rFonts w:ascii="Times New Roman" w:hAnsi="Times New Roman" w:cs="Times New Roman"/>
          <w:sz w:val="24"/>
          <w:szCs w:val="24"/>
        </w:rPr>
        <w:t>S1_A</w:t>
      </w:r>
    </w:p>
    <w:tbl>
      <w:tblPr>
        <w:tblStyle w:val="TableGrid"/>
        <w:tblpPr w:leftFromText="180" w:rightFromText="180" w:vertAnchor="text" w:horzAnchor="margin" w:tblpY="189"/>
        <w:tblW w:w="14176" w:type="dxa"/>
        <w:tblLayout w:type="fixed"/>
        <w:tblLook w:val="04A0" w:firstRow="1" w:lastRow="0" w:firstColumn="1" w:lastColumn="0" w:noHBand="0" w:noVBand="1"/>
      </w:tblPr>
      <w:tblGrid>
        <w:gridCol w:w="1518"/>
        <w:gridCol w:w="1460"/>
        <w:gridCol w:w="1808"/>
        <w:gridCol w:w="1310"/>
        <w:gridCol w:w="1701"/>
        <w:gridCol w:w="1808"/>
        <w:gridCol w:w="4571"/>
      </w:tblGrid>
      <w:tr w:rsidR="00814261" w:rsidRPr="0074053D" w:rsidTr="00785B09">
        <w:tc>
          <w:tcPr>
            <w:tcW w:w="1518" w:type="dxa"/>
          </w:tcPr>
          <w:p w:rsidR="00814261" w:rsidRPr="002602B0" w:rsidRDefault="00814261" w:rsidP="00785B09">
            <w:pPr>
              <w:jc w:val="center"/>
              <w:rPr>
                <w:b/>
                <w:sz w:val="16"/>
                <w:szCs w:val="16"/>
              </w:rPr>
            </w:pPr>
            <w:r w:rsidRPr="002602B0">
              <w:rPr>
                <w:b/>
                <w:sz w:val="16"/>
                <w:szCs w:val="16"/>
              </w:rPr>
              <w:t>Acute HF</w:t>
            </w:r>
          </w:p>
        </w:tc>
        <w:tc>
          <w:tcPr>
            <w:tcW w:w="1460" w:type="dxa"/>
          </w:tcPr>
          <w:p w:rsidR="00814261" w:rsidRPr="002602B0" w:rsidRDefault="00814261" w:rsidP="00785B09">
            <w:pPr>
              <w:jc w:val="center"/>
              <w:rPr>
                <w:b/>
                <w:sz w:val="16"/>
                <w:szCs w:val="16"/>
              </w:rPr>
            </w:pPr>
            <w:r w:rsidRPr="002602B0">
              <w:rPr>
                <w:b/>
                <w:sz w:val="16"/>
                <w:szCs w:val="16"/>
              </w:rPr>
              <w:t>Type of study</w:t>
            </w:r>
          </w:p>
        </w:tc>
        <w:tc>
          <w:tcPr>
            <w:tcW w:w="1808" w:type="dxa"/>
          </w:tcPr>
          <w:p w:rsidR="00814261" w:rsidRPr="002602B0" w:rsidRDefault="00814261" w:rsidP="00785B09">
            <w:pPr>
              <w:jc w:val="center"/>
              <w:rPr>
                <w:b/>
                <w:sz w:val="16"/>
                <w:szCs w:val="16"/>
              </w:rPr>
            </w:pPr>
            <w:r w:rsidRPr="002602B0">
              <w:rPr>
                <w:b/>
                <w:sz w:val="16"/>
                <w:szCs w:val="16"/>
              </w:rPr>
              <w:t>HF phenotype</w:t>
            </w:r>
          </w:p>
        </w:tc>
        <w:tc>
          <w:tcPr>
            <w:tcW w:w="1310" w:type="dxa"/>
          </w:tcPr>
          <w:p w:rsidR="00814261" w:rsidRPr="002602B0" w:rsidRDefault="00814261" w:rsidP="00785B09">
            <w:pPr>
              <w:jc w:val="center"/>
              <w:rPr>
                <w:b/>
                <w:sz w:val="16"/>
                <w:szCs w:val="16"/>
              </w:rPr>
            </w:pPr>
            <w:r w:rsidRPr="002602B0">
              <w:rPr>
                <w:b/>
                <w:sz w:val="16"/>
                <w:szCs w:val="16"/>
              </w:rPr>
              <w:t>Number of patients</w:t>
            </w:r>
          </w:p>
        </w:tc>
        <w:tc>
          <w:tcPr>
            <w:tcW w:w="1701" w:type="dxa"/>
          </w:tcPr>
          <w:p w:rsidR="00814261" w:rsidRPr="002602B0" w:rsidRDefault="00814261" w:rsidP="00785B09">
            <w:pPr>
              <w:jc w:val="center"/>
              <w:rPr>
                <w:b/>
                <w:sz w:val="16"/>
                <w:szCs w:val="16"/>
              </w:rPr>
            </w:pPr>
            <w:r w:rsidRPr="002602B0">
              <w:rPr>
                <w:b/>
                <w:sz w:val="16"/>
                <w:szCs w:val="16"/>
              </w:rPr>
              <w:t>NP measurements</w:t>
            </w:r>
          </w:p>
        </w:tc>
        <w:tc>
          <w:tcPr>
            <w:tcW w:w="1808" w:type="dxa"/>
          </w:tcPr>
          <w:p w:rsidR="00814261" w:rsidRPr="002602B0" w:rsidRDefault="00814261" w:rsidP="00785B09">
            <w:pPr>
              <w:jc w:val="center"/>
              <w:rPr>
                <w:b/>
                <w:sz w:val="16"/>
                <w:szCs w:val="16"/>
              </w:rPr>
            </w:pPr>
            <w:r w:rsidRPr="002602B0">
              <w:rPr>
                <w:b/>
                <w:sz w:val="16"/>
                <w:szCs w:val="16"/>
              </w:rPr>
              <w:t>Potential modifiers of BNP</w:t>
            </w:r>
          </w:p>
        </w:tc>
        <w:tc>
          <w:tcPr>
            <w:tcW w:w="4571" w:type="dxa"/>
          </w:tcPr>
          <w:p w:rsidR="00814261" w:rsidRPr="002602B0" w:rsidRDefault="00814261" w:rsidP="00785B09">
            <w:pPr>
              <w:jc w:val="center"/>
              <w:rPr>
                <w:b/>
                <w:sz w:val="16"/>
                <w:szCs w:val="16"/>
              </w:rPr>
            </w:pPr>
            <w:r w:rsidRPr="002602B0">
              <w:rPr>
                <w:b/>
                <w:sz w:val="16"/>
                <w:szCs w:val="16"/>
              </w:rPr>
              <w:t>Findings</w:t>
            </w:r>
          </w:p>
        </w:tc>
      </w:tr>
      <w:tr w:rsidR="00814261" w:rsidRPr="0074053D" w:rsidTr="00785B09">
        <w:tc>
          <w:tcPr>
            <w:tcW w:w="1518" w:type="dxa"/>
          </w:tcPr>
          <w:p w:rsidR="00814261" w:rsidRPr="0074053D" w:rsidRDefault="00814261" w:rsidP="00785B09">
            <w:pPr>
              <w:rPr>
                <w:b/>
                <w:sz w:val="16"/>
                <w:szCs w:val="16"/>
                <w:u w:val="single"/>
              </w:rPr>
            </w:pPr>
            <w:r w:rsidRPr="0074053D">
              <w:rPr>
                <w:b/>
                <w:sz w:val="16"/>
                <w:szCs w:val="16"/>
                <w:u w:val="single"/>
              </w:rPr>
              <w:t>Bettencourt et al 2004</w:t>
            </w:r>
            <w:r>
              <w:rPr>
                <w:b/>
                <w:sz w:val="16"/>
                <w:szCs w:val="16"/>
                <w:u w:val="single"/>
              </w:rPr>
              <w:t xml:space="preserve"> </w:t>
            </w:r>
            <w:r>
              <w:rPr>
                <w:b/>
                <w:sz w:val="16"/>
                <w:szCs w:val="16"/>
                <w:u w:val="single"/>
              </w:rPr>
              <w:fldChar w:fldCharType="begin" w:fldLock="1"/>
            </w:r>
            <w:r>
              <w:rPr>
                <w:b/>
                <w:sz w:val="16"/>
                <w:szCs w:val="16"/>
                <w:u w:val="single"/>
              </w:rPr>
              <w:instrText>ADDIN CSL_CITATION { "citationItems" : [ { "id" : "ITEM-1", "itemData" : { "DOI" : "10.1161/01.CIR.0000144310.04433.BE", "ISBN" : "1524-4539 (Electronic)\\r0009-7322 (Linking)", "ISSN" : "00097322", "PMID" : "15451800", "abstract" : "BACKGROUND: Heart failure (HF) is responsible for a huge burden in hospital care. Our goal was to evaluate the value of N-terminal-pro-brain natriuretic peptide (NT-proBNP) in predicting death or hospital readmission after discharge of HF patients. METHODS AND RESULTS: We included 182 patients consecutively admitted to hospital because of decompensated HF. Patients were followed up for 6 months. The primary end point was death or readmission. Twenty-six patients died in hospital. The median admission NT-proBNP level was 6778.5 pg/mL, and the median level at discharge was 4137.0 pg/mL (P&lt;0.001). Patients were classified into 3 groups: (1) decreasing NT-proBNP levels by at least 30% (n=82), (2) no significant modifications on NT-proBNP levels (n=49), and (3) increasing NT-proBNP levels by at least 30% (n=25). The primary end point was observed in 42.9% patients. Variables associated with an increased hazard of death and/or hospital readmission in univariate analysis were length of hospitalization, heart rate, signs of volume overload, no use of ACE inhibitors, higher NYHA class at discharge, admission and discharge NT-proBNP, and the change in NT-proBNP levels. The variation in NT-proBNP was the strongest predictor of an adverse outcome. Independent variables associated with an increased risk of readmission or death were signs of volume overload and the change in NT-proBNP levels. CONCLUSIONS: Variations in NT-proBNP levels are related to hospital readmission and death within 6 months. NT-proBNP levels are potentially useful in the evaluation of treatment efficacy and might help clinicians in planning discharge of HF patients. Whether therapeutic strategies aimed to lower NT-proBNP levels modify prognosis warrants future investigation.", "author" : [ { "dropping-particle" : "", "family" : "Bettencourt", "given" : "Paulo", "non-dropping-particle" : "", "parse-names" : false, "suffix" : "" }, { "dropping-particle" : "", "family" : "Azevedo", "given" : "Ana", "non-dropping-particle" : "", "parse-names" : false, "suffix" : "" }, { "dropping-particle" : "", "family" : "Pimenta", "given" : "Joana", "non-dropping-particle" : "", "parse-names" : false, "suffix" : "" }, { "dropping-particle" : "", "family" : "Fri\u00f5es", "given" : "Fernando", "non-dropping-particle" : "", "parse-names" : false, "suffix" : "" }, { "dropping-particle" : "", "family" : "Ferreira", "given" : "Susana", "non-dropping-particle" : "", "parse-names" : false, "suffix" : "" }, { "dropping-particle" : "", "family" : "Ferreira", "given" : "Ant\u00f3nio", "non-dropping-particle" : "", "parse-names" : false, "suffix" : "" } ], "container-title" : "Circulation", "id" : "ITEM-1", "issued" : { "date-parts" : [ [ "2004" ] ] }, "title" : "N-terminal-pro-brain natriuretic peptide predicts outcome after hospital discharge in heart failure patients", "type" : "article-journal" }, "uris" : [ "http://www.mendeley.com/documents/?uuid=14c9df8f-68bf-3167-8b3e-0875333cff49" ] } ], "mendeley" : { "formattedCitation" : "(1)", "plainTextFormattedCitation" : "(1)", "previouslyFormattedCitation" : "(1)" }, "properties" : { "noteIndex" : 0 }, "schema" : "https://github.com/citation-style-language/schema/raw/master/csl-citation.json" }</w:instrText>
            </w:r>
            <w:r>
              <w:rPr>
                <w:b/>
                <w:sz w:val="16"/>
                <w:szCs w:val="16"/>
                <w:u w:val="single"/>
              </w:rPr>
              <w:fldChar w:fldCharType="separate"/>
            </w:r>
            <w:r w:rsidRPr="00AF6D82">
              <w:rPr>
                <w:noProof/>
                <w:sz w:val="16"/>
                <w:szCs w:val="16"/>
              </w:rPr>
              <w:t>(1)</w:t>
            </w:r>
            <w:r>
              <w:rPr>
                <w:b/>
                <w:sz w:val="16"/>
                <w:szCs w:val="16"/>
                <w:u w:val="single"/>
              </w:rPr>
              <w:fldChar w:fldCharType="end"/>
            </w:r>
          </w:p>
        </w:tc>
        <w:tc>
          <w:tcPr>
            <w:tcW w:w="1460" w:type="dxa"/>
          </w:tcPr>
          <w:p w:rsidR="00814261" w:rsidRPr="0074053D" w:rsidRDefault="00814261" w:rsidP="00785B09">
            <w:pPr>
              <w:rPr>
                <w:sz w:val="16"/>
                <w:szCs w:val="16"/>
              </w:rPr>
            </w:pPr>
            <w:r w:rsidRPr="0074053D">
              <w:rPr>
                <w:sz w:val="16"/>
                <w:szCs w:val="16"/>
              </w:rPr>
              <w:t xml:space="preserve">Observational </w:t>
            </w:r>
          </w:p>
          <w:p w:rsidR="00814261" w:rsidRPr="0074053D" w:rsidRDefault="00814261" w:rsidP="00785B09">
            <w:pPr>
              <w:rPr>
                <w:sz w:val="16"/>
                <w:szCs w:val="16"/>
              </w:rPr>
            </w:pPr>
          </w:p>
        </w:tc>
        <w:tc>
          <w:tcPr>
            <w:tcW w:w="1808" w:type="dxa"/>
          </w:tcPr>
          <w:p w:rsidR="00814261" w:rsidRPr="0074053D" w:rsidRDefault="00814261" w:rsidP="00785B09">
            <w:pPr>
              <w:rPr>
                <w:sz w:val="16"/>
                <w:szCs w:val="16"/>
              </w:rPr>
            </w:pPr>
            <w:r>
              <w:rPr>
                <w:sz w:val="16"/>
                <w:szCs w:val="16"/>
              </w:rPr>
              <w:t>ADHF</w:t>
            </w:r>
          </w:p>
        </w:tc>
        <w:tc>
          <w:tcPr>
            <w:tcW w:w="1310" w:type="dxa"/>
          </w:tcPr>
          <w:p w:rsidR="00814261" w:rsidRPr="0074053D" w:rsidRDefault="00814261" w:rsidP="00785B09">
            <w:pPr>
              <w:rPr>
                <w:sz w:val="16"/>
                <w:szCs w:val="16"/>
              </w:rPr>
            </w:pPr>
            <w:r w:rsidRPr="0074053D">
              <w:rPr>
                <w:sz w:val="16"/>
                <w:szCs w:val="16"/>
              </w:rPr>
              <w:t>182</w:t>
            </w:r>
          </w:p>
        </w:tc>
        <w:tc>
          <w:tcPr>
            <w:tcW w:w="1701" w:type="dxa"/>
          </w:tcPr>
          <w:p w:rsidR="00814261" w:rsidRPr="0074053D" w:rsidRDefault="00814261" w:rsidP="00785B09">
            <w:pPr>
              <w:rPr>
                <w:sz w:val="16"/>
                <w:szCs w:val="16"/>
              </w:rPr>
            </w:pPr>
            <w:r w:rsidRPr="0074053D">
              <w:rPr>
                <w:sz w:val="16"/>
                <w:szCs w:val="16"/>
              </w:rPr>
              <w:t>Measured every day until discharge</w:t>
            </w:r>
          </w:p>
        </w:tc>
        <w:tc>
          <w:tcPr>
            <w:tcW w:w="1808" w:type="dxa"/>
          </w:tcPr>
          <w:p w:rsidR="00814261" w:rsidRPr="0074053D" w:rsidRDefault="00814261" w:rsidP="00785B09">
            <w:pPr>
              <w:rPr>
                <w:sz w:val="16"/>
                <w:szCs w:val="16"/>
              </w:rPr>
            </w:pPr>
            <w:r>
              <w:rPr>
                <w:sz w:val="16"/>
                <w:szCs w:val="16"/>
              </w:rPr>
              <w:t>Length of stay</w:t>
            </w:r>
          </w:p>
          <w:p w:rsidR="00814261" w:rsidRPr="0074053D" w:rsidRDefault="00814261" w:rsidP="00785B09">
            <w:pPr>
              <w:rPr>
                <w:sz w:val="16"/>
                <w:szCs w:val="16"/>
              </w:rPr>
            </w:pPr>
            <w:r w:rsidRPr="0074053D">
              <w:rPr>
                <w:sz w:val="16"/>
                <w:szCs w:val="16"/>
              </w:rPr>
              <w:t>Heart rate</w:t>
            </w:r>
          </w:p>
          <w:p w:rsidR="00814261" w:rsidRPr="0074053D" w:rsidRDefault="00814261" w:rsidP="00785B09">
            <w:pPr>
              <w:rPr>
                <w:sz w:val="16"/>
                <w:szCs w:val="16"/>
              </w:rPr>
            </w:pPr>
            <w:r w:rsidRPr="0074053D">
              <w:rPr>
                <w:sz w:val="16"/>
                <w:szCs w:val="16"/>
              </w:rPr>
              <w:t>Volume overload signs</w:t>
            </w:r>
          </w:p>
          <w:p w:rsidR="00814261" w:rsidRPr="0074053D" w:rsidRDefault="00814261" w:rsidP="00785B09">
            <w:pPr>
              <w:rPr>
                <w:sz w:val="16"/>
                <w:szCs w:val="16"/>
              </w:rPr>
            </w:pPr>
            <w:r w:rsidRPr="0074053D">
              <w:rPr>
                <w:sz w:val="16"/>
                <w:szCs w:val="16"/>
              </w:rPr>
              <w:t xml:space="preserve">No </w:t>
            </w:r>
            <w:proofErr w:type="spellStart"/>
            <w:r w:rsidRPr="0074053D">
              <w:rPr>
                <w:sz w:val="16"/>
                <w:szCs w:val="16"/>
              </w:rPr>
              <w:t>ACEi</w:t>
            </w:r>
            <w:proofErr w:type="spellEnd"/>
          </w:p>
          <w:p w:rsidR="00814261" w:rsidRPr="0074053D" w:rsidRDefault="00814261" w:rsidP="00785B09">
            <w:pPr>
              <w:rPr>
                <w:sz w:val="16"/>
                <w:szCs w:val="16"/>
              </w:rPr>
            </w:pPr>
            <w:r w:rsidRPr="0074053D">
              <w:rPr>
                <w:sz w:val="16"/>
                <w:szCs w:val="16"/>
              </w:rPr>
              <w:t>Higher discharge NYHA</w:t>
            </w:r>
          </w:p>
        </w:tc>
        <w:tc>
          <w:tcPr>
            <w:tcW w:w="4571" w:type="dxa"/>
          </w:tcPr>
          <w:p w:rsidR="00814261" w:rsidRDefault="00814261" w:rsidP="00785B09">
            <w:pPr>
              <w:rPr>
                <w:sz w:val="16"/>
                <w:szCs w:val="16"/>
              </w:rPr>
            </w:pPr>
            <w:r>
              <w:rPr>
                <w:sz w:val="16"/>
                <w:szCs w:val="16"/>
              </w:rPr>
              <w:t xml:space="preserve">Patients who were readmitted had higher </w:t>
            </w:r>
            <w:r w:rsidRPr="0074053D">
              <w:rPr>
                <w:sz w:val="16"/>
                <w:szCs w:val="16"/>
              </w:rPr>
              <w:t xml:space="preserve"> NT-</w:t>
            </w:r>
            <w:proofErr w:type="spellStart"/>
            <w:r w:rsidRPr="0074053D">
              <w:rPr>
                <w:sz w:val="16"/>
                <w:szCs w:val="16"/>
              </w:rPr>
              <w:t>proBNP</w:t>
            </w:r>
            <w:proofErr w:type="spellEnd"/>
            <w:r w:rsidRPr="0074053D">
              <w:rPr>
                <w:sz w:val="16"/>
                <w:szCs w:val="16"/>
              </w:rPr>
              <w:t xml:space="preserve"> </w:t>
            </w:r>
          </w:p>
          <w:p w:rsidR="00814261" w:rsidRPr="0074053D" w:rsidRDefault="00814261" w:rsidP="00785B09">
            <w:pPr>
              <w:rPr>
                <w:sz w:val="16"/>
                <w:szCs w:val="16"/>
              </w:rPr>
            </w:pPr>
          </w:p>
          <w:p w:rsidR="00814261" w:rsidRPr="0074053D" w:rsidRDefault="00814261" w:rsidP="00785B09">
            <w:pPr>
              <w:rPr>
                <w:sz w:val="16"/>
                <w:szCs w:val="16"/>
              </w:rPr>
            </w:pPr>
          </w:p>
          <w:p w:rsidR="00814261" w:rsidRPr="00DF5200" w:rsidRDefault="00814261" w:rsidP="00785B09">
            <w:pPr>
              <w:rPr>
                <w:i/>
                <w:sz w:val="16"/>
                <w:szCs w:val="16"/>
              </w:rPr>
            </w:pPr>
            <w:r>
              <w:rPr>
                <w:i/>
                <w:sz w:val="16"/>
                <w:szCs w:val="16"/>
              </w:rPr>
              <w:t>Changes in NT-</w:t>
            </w:r>
            <w:proofErr w:type="spellStart"/>
            <w:r>
              <w:rPr>
                <w:i/>
                <w:sz w:val="16"/>
                <w:szCs w:val="16"/>
              </w:rPr>
              <w:t>proBNP</w:t>
            </w:r>
            <w:proofErr w:type="spellEnd"/>
            <w:r>
              <w:rPr>
                <w:i/>
                <w:sz w:val="16"/>
                <w:szCs w:val="16"/>
              </w:rPr>
              <w:t xml:space="preserve"> we</w:t>
            </w:r>
            <w:r w:rsidRPr="00DF5200">
              <w:rPr>
                <w:i/>
                <w:sz w:val="16"/>
                <w:szCs w:val="16"/>
              </w:rPr>
              <w:t xml:space="preserve">re associated with mortality and readmission </w:t>
            </w:r>
          </w:p>
        </w:tc>
      </w:tr>
      <w:tr w:rsidR="00814261" w:rsidRPr="0074053D" w:rsidTr="00785B09">
        <w:tc>
          <w:tcPr>
            <w:tcW w:w="1518" w:type="dxa"/>
          </w:tcPr>
          <w:p w:rsidR="00814261" w:rsidRPr="0074053D" w:rsidRDefault="00814261" w:rsidP="00785B09">
            <w:pPr>
              <w:rPr>
                <w:b/>
                <w:sz w:val="16"/>
                <w:szCs w:val="16"/>
                <w:u w:val="single"/>
              </w:rPr>
            </w:pPr>
            <w:proofErr w:type="spellStart"/>
            <w:r>
              <w:rPr>
                <w:b/>
                <w:sz w:val="16"/>
                <w:szCs w:val="16"/>
                <w:u w:val="single"/>
              </w:rPr>
              <w:t>Lo</w:t>
            </w:r>
            <w:r w:rsidRPr="0074053D">
              <w:rPr>
                <w:b/>
                <w:sz w:val="16"/>
                <w:szCs w:val="16"/>
                <w:u w:val="single"/>
              </w:rPr>
              <w:t>geart</w:t>
            </w:r>
            <w:proofErr w:type="spellEnd"/>
            <w:r w:rsidRPr="0074053D">
              <w:rPr>
                <w:b/>
                <w:sz w:val="16"/>
                <w:szCs w:val="16"/>
                <w:u w:val="single"/>
              </w:rPr>
              <w:t xml:space="preserve"> et al 2003</w:t>
            </w:r>
            <w:r>
              <w:rPr>
                <w:b/>
                <w:sz w:val="16"/>
                <w:szCs w:val="16"/>
                <w:u w:val="single"/>
              </w:rPr>
              <w:t xml:space="preserve"> </w:t>
            </w:r>
            <w:r>
              <w:rPr>
                <w:b/>
                <w:sz w:val="16"/>
                <w:szCs w:val="16"/>
                <w:u w:val="single"/>
              </w:rPr>
              <w:fldChar w:fldCharType="begin" w:fldLock="1"/>
            </w:r>
            <w:r>
              <w:rPr>
                <w:b/>
                <w:sz w:val="16"/>
                <w:szCs w:val="16"/>
                <w:u w:val="single"/>
              </w:rPr>
              <w:instrText>ADDIN CSL_CITATION { "citationItems" : [ { "id" : "ITEM-1", "itemData" : { "DOI" : "10.1016/j.jacc.2003.09.044", "ISBN" : "0735-1097 (Print)\\r0735-1097 (Linking)", "ISSN" : "07351097", "PMID" : "14975475", "abstract" : "OBJECTIVES: The aim of this study was to determine the value of serial B-type natriuretic peptide (BNP) assay for predicting post-discharge outcome of patients admitted for decompensated congestive heart failure (CHF). BACKGROUND: Patients hospitalized for decompensated CHF are frequently re-admitted. Thus, identification of high-risk patients before their discharge is a major issue that remains challenging. B-type natriuretic peptide measurement could be useful. METHODS: Serial BNP measurements were performed from admission to discharge in two samples of consecutive patients. Survivors were monitored for six months; the main end point combined death or first re-admission for CHF. RESULTS: Among the 105 survivors of the derivation study, all serial BNP values, percentage change in BNP levels, and predischarge Doppler mitral pattern correlated with the outcome. In contrast, clinical variables and left ventricular ejection fraction were poorly predictive. The predischarge BNP assay had the best discriminative power (area under the receiver operating characteristic [ROC] curve = 0.80) and remained the lone significant variable in multivariate analysis (hazard ratio [HR] = 1.14 [95% confidence interval {CI}, 1.02 to 1.28], p = 0.027). Among the 97 survivors of the validation study, the predischarge BNP assay was also the most predictive parameter (area under the ROC curve = 0.83). The risk of death or re-admission increased in stepwise fashion across increasing predischarge BNP ranges (p &lt; 0.0001). After adjustment for baseline covariables, the HRs were 5.1 [95% CI 2.8 to 9.1] for BNP levels between 350 and 700 ng/l and 15.2 [95% CI 8.5 to 27] for BNP levels &gt;700 ng/l, compared with BNP &lt;350 ng/l. CONCLUSIONS: High predischarge BNP assay is a strong, independent marker of death or re-admission after decompensated CHF, more relevant than common clinical or echocardiographic parameters and more relevant than changes in BNP levels during acute cares. ?? 2004 by the American College of Cardiology Foundation.", "author" : [ { "dropping-particle" : "", "family" : "Logeart", "given" : "Damien", "non-dropping-particle" : "", "parse-names" : false, "suffix" : "" }, { "dropping-particle" : "", "family" : "Thabut", "given" : "Gabriel", "non-dropping-particle" : "", "parse-names" : false, "suffix" : "" }, { "dropping-particle" : "", "family" : "Jourdain", "given" : "Patrick", "non-dropping-particle" : "", "parse-names" : false, "suffix" : "" }, { "dropping-particle" : "", "family" : "Chavelas", "given" : "Christophe", "non-dropping-particle" : "", "parse-names" : false, "suffix" : "" }, { "dropping-particle" : "", "family" : "Beyne", "given" : "Pascale", "non-dropping-particle" : "", "parse-names" : false, "suffix" : "" }, { "dropping-particle" : "", "family" : "Beauvais", "given" : "Florence", "non-dropping-particle" : "", "parse-names" : false, "suffix" : "" }, { "dropping-particle" : "", "family" : "Bouvier", "given" : "Erik", "non-dropping-particle" : "", "parse-names" : false, "suffix" : "" }, { "dropping-particle" : "", "family" : "Solal", "given" : "Alain Cohen", "non-dropping-particle" : "", "parse-names" : false, "suffix" : "" } ], "container-title" : "Journal of the American College of Cardiology", "id" : "ITEM-1", "issued" : { "date-parts" : [ [ "2004" ] ] }, "title" : "Predischarge B-type natriuretic peptide assay for identifying patients at high risk of re-admission after decompensated heart failure", "type" : "article-journal" }, "uris" : [ "http://www.mendeley.com/documents/?uuid=599ba1b1-9620-39a6-a2f3-25c479b2b348" ] } ], "mendeley" : { "formattedCitation" : "(2)", "plainTextFormattedCitation" : "(2)", "previouslyFormattedCitation" : "(2)" }, "properties" : { "noteIndex" : 0 }, "schema" : "https://github.com/citation-style-language/schema/raw/master/csl-citation.json" }</w:instrText>
            </w:r>
            <w:r>
              <w:rPr>
                <w:b/>
                <w:sz w:val="16"/>
                <w:szCs w:val="16"/>
                <w:u w:val="single"/>
              </w:rPr>
              <w:fldChar w:fldCharType="separate"/>
            </w:r>
            <w:r w:rsidRPr="00AF6D82">
              <w:rPr>
                <w:noProof/>
                <w:sz w:val="16"/>
                <w:szCs w:val="16"/>
              </w:rPr>
              <w:t>(2)</w:t>
            </w:r>
            <w:r>
              <w:rPr>
                <w:b/>
                <w:sz w:val="16"/>
                <w:szCs w:val="16"/>
                <w:u w:val="single"/>
              </w:rPr>
              <w:fldChar w:fldCharType="end"/>
            </w:r>
          </w:p>
        </w:tc>
        <w:tc>
          <w:tcPr>
            <w:tcW w:w="1460" w:type="dxa"/>
          </w:tcPr>
          <w:p w:rsidR="00814261" w:rsidRPr="0074053D" w:rsidRDefault="00814261" w:rsidP="00785B09">
            <w:pPr>
              <w:rPr>
                <w:sz w:val="16"/>
                <w:szCs w:val="16"/>
              </w:rPr>
            </w:pPr>
            <w:r w:rsidRPr="0074053D">
              <w:rPr>
                <w:sz w:val="16"/>
                <w:szCs w:val="16"/>
              </w:rPr>
              <w:t>Observational</w:t>
            </w:r>
            <w:r>
              <w:rPr>
                <w:sz w:val="16"/>
                <w:szCs w:val="16"/>
              </w:rPr>
              <w:t xml:space="preserve">; </w:t>
            </w:r>
          </w:p>
          <w:p w:rsidR="00814261" w:rsidRPr="0074053D" w:rsidRDefault="00814261" w:rsidP="00785B09">
            <w:pPr>
              <w:rPr>
                <w:sz w:val="16"/>
                <w:szCs w:val="16"/>
              </w:rPr>
            </w:pPr>
          </w:p>
          <w:p w:rsidR="00814261" w:rsidRPr="0074053D" w:rsidRDefault="00814261" w:rsidP="00785B09">
            <w:pPr>
              <w:rPr>
                <w:sz w:val="16"/>
                <w:szCs w:val="16"/>
              </w:rPr>
            </w:pPr>
          </w:p>
          <w:p w:rsidR="00814261" w:rsidRPr="0074053D" w:rsidRDefault="00814261" w:rsidP="00785B09">
            <w:pPr>
              <w:rPr>
                <w:sz w:val="16"/>
                <w:szCs w:val="16"/>
              </w:rPr>
            </w:pPr>
          </w:p>
          <w:p w:rsidR="00814261" w:rsidRPr="0074053D" w:rsidRDefault="00814261" w:rsidP="00785B09">
            <w:pPr>
              <w:jc w:val="center"/>
              <w:rPr>
                <w:sz w:val="16"/>
                <w:szCs w:val="16"/>
              </w:rPr>
            </w:pPr>
          </w:p>
        </w:tc>
        <w:tc>
          <w:tcPr>
            <w:tcW w:w="1808" w:type="dxa"/>
          </w:tcPr>
          <w:p w:rsidR="00814261" w:rsidRPr="0074053D" w:rsidRDefault="00814261" w:rsidP="00785B09">
            <w:pPr>
              <w:rPr>
                <w:sz w:val="16"/>
                <w:szCs w:val="16"/>
              </w:rPr>
            </w:pPr>
            <w:r>
              <w:rPr>
                <w:sz w:val="16"/>
                <w:szCs w:val="16"/>
              </w:rPr>
              <w:t>ADHF</w:t>
            </w:r>
            <w:r w:rsidRPr="0074053D">
              <w:rPr>
                <w:sz w:val="16"/>
                <w:szCs w:val="16"/>
              </w:rPr>
              <w:t xml:space="preserve"> </w:t>
            </w:r>
          </w:p>
        </w:tc>
        <w:tc>
          <w:tcPr>
            <w:tcW w:w="1310" w:type="dxa"/>
          </w:tcPr>
          <w:p w:rsidR="00814261" w:rsidRPr="0074053D" w:rsidRDefault="00814261" w:rsidP="00785B09">
            <w:pPr>
              <w:rPr>
                <w:sz w:val="16"/>
                <w:szCs w:val="16"/>
              </w:rPr>
            </w:pPr>
            <w:r w:rsidRPr="0074053D">
              <w:rPr>
                <w:sz w:val="16"/>
                <w:szCs w:val="16"/>
              </w:rPr>
              <w:t>114</w:t>
            </w:r>
          </w:p>
        </w:tc>
        <w:tc>
          <w:tcPr>
            <w:tcW w:w="1701" w:type="dxa"/>
          </w:tcPr>
          <w:p w:rsidR="00814261" w:rsidRPr="0074053D" w:rsidRDefault="00814261" w:rsidP="00785B09">
            <w:pPr>
              <w:rPr>
                <w:sz w:val="16"/>
                <w:szCs w:val="16"/>
              </w:rPr>
            </w:pPr>
            <w:r w:rsidRPr="0074053D">
              <w:rPr>
                <w:sz w:val="16"/>
                <w:szCs w:val="16"/>
              </w:rPr>
              <w:t>Measured every day until discharge</w:t>
            </w:r>
          </w:p>
        </w:tc>
        <w:tc>
          <w:tcPr>
            <w:tcW w:w="1808" w:type="dxa"/>
          </w:tcPr>
          <w:p w:rsidR="00814261" w:rsidRPr="0074053D" w:rsidRDefault="00814261" w:rsidP="00785B09">
            <w:pPr>
              <w:rPr>
                <w:sz w:val="16"/>
                <w:szCs w:val="16"/>
              </w:rPr>
            </w:pPr>
            <w:r w:rsidRPr="0074053D">
              <w:rPr>
                <w:sz w:val="16"/>
                <w:szCs w:val="16"/>
              </w:rPr>
              <w:t xml:space="preserve">High LV filling pressures </w:t>
            </w:r>
          </w:p>
        </w:tc>
        <w:tc>
          <w:tcPr>
            <w:tcW w:w="4571" w:type="dxa"/>
          </w:tcPr>
          <w:p w:rsidR="00814261" w:rsidRDefault="00814261" w:rsidP="00785B09">
            <w:pPr>
              <w:rPr>
                <w:sz w:val="16"/>
                <w:szCs w:val="16"/>
              </w:rPr>
            </w:pPr>
            <w:r w:rsidRPr="0074053D">
              <w:rPr>
                <w:sz w:val="16"/>
                <w:szCs w:val="16"/>
              </w:rPr>
              <w:t>High pre</w:t>
            </w:r>
            <w:r>
              <w:rPr>
                <w:sz w:val="16"/>
                <w:szCs w:val="16"/>
              </w:rPr>
              <w:t>-</w:t>
            </w:r>
            <w:r w:rsidRPr="0074053D">
              <w:rPr>
                <w:sz w:val="16"/>
                <w:szCs w:val="16"/>
              </w:rPr>
              <w:t>discharge BNP is a strong independent marker of death or readmission after decompensated HF</w:t>
            </w:r>
            <w:r>
              <w:rPr>
                <w:sz w:val="16"/>
                <w:szCs w:val="16"/>
              </w:rPr>
              <w:t xml:space="preserve">. Those with value &lt;300pg/mL had lowest readmission rates. </w:t>
            </w:r>
          </w:p>
          <w:p w:rsidR="00814261" w:rsidRDefault="00814261" w:rsidP="00785B09">
            <w:pPr>
              <w:rPr>
                <w:sz w:val="16"/>
                <w:szCs w:val="16"/>
              </w:rPr>
            </w:pPr>
          </w:p>
          <w:p w:rsidR="00814261" w:rsidRPr="0074053D" w:rsidRDefault="00814261" w:rsidP="00785B09">
            <w:pPr>
              <w:rPr>
                <w:sz w:val="16"/>
                <w:szCs w:val="16"/>
              </w:rPr>
            </w:pPr>
            <w:r w:rsidRPr="007C1B65">
              <w:rPr>
                <w:i/>
                <w:sz w:val="16"/>
                <w:szCs w:val="16"/>
              </w:rPr>
              <w:t xml:space="preserve">Patients with the greatest decrease in BNP had </w:t>
            </w:r>
            <w:r>
              <w:rPr>
                <w:i/>
                <w:sz w:val="16"/>
                <w:szCs w:val="16"/>
              </w:rPr>
              <w:t>the best outcome</w:t>
            </w:r>
          </w:p>
        </w:tc>
      </w:tr>
      <w:tr w:rsidR="00814261" w:rsidRPr="0074053D" w:rsidTr="00785B09">
        <w:tc>
          <w:tcPr>
            <w:tcW w:w="1518" w:type="dxa"/>
          </w:tcPr>
          <w:p w:rsidR="00814261" w:rsidRPr="0074053D" w:rsidRDefault="00814261" w:rsidP="00785B09">
            <w:pPr>
              <w:rPr>
                <w:b/>
                <w:sz w:val="16"/>
                <w:szCs w:val="16"/>
                <w:u w:val="single"/>
              </w:rPr>
            </w:pPr>
            <w:r>
              <w:rPr>
                <w:b/>
                <w:sz w:val="16"/>
                <w:szCs w:val="16"/>
                <w:u w:val="single"/>
              </w:rPr>
              <w:t xml:space="preserve">O’Brien et al 2003 </w:t>
            </w:r>
            <w:r>
              <w:rPr>
                <w:b/>
                <w:sz w:val="16"/>
                <w:szCs w:val="16"/>
                <w:u w:val="single"/>
              </w:rPr>
              <w:fldChar w:fldCharType="begin" w:fldLock="1"/>
            </w:r>
            <w:r>
              <w:rPr>
                <w:b/>
                <w:sz w:val="16"/>
                <w:szCs w:val="16"/>
                <w:u w:val="single"/>
              </w:rPr>
              <w:instrText>ADDIN CSL_CITATION { "citationItems" : [ { "id" : "ITEM-1", "itemData" : { "DOI" : "10.1016/S1388-9842(03)00098-9", "ISSN" : "13889842", "PMID" : "12921811", "abstract" : "Background: Circulating natriuretic peptide levels provide prognostic information following acute coronary syndromes and in chronic heart failure. Little evidence exists of their utility following hospitalisation with acute left ventricular failure (LVF). Aims: To examine the relative prognostic value of admission and pre-discharge plasma N-terminal pro B-type natriuretic peptide (NT-proBNP) following hospitalisation with acute heart failure. Methods: NT-proBNP was measured at admission in 96 patients hospitalised with acute LVF. In a subset of 34 patients, NT-proBNP was also measured prior to discharge. Multivariate analysis was performed of the clinical and serological predictors of a combined primary endpoint of death or heart failure (hospitalisation or as an outpatient). Results: During follow up (median 350 days, range 2-762), 37 (38.5%) patients died (n = 16, 16.7%), or experienced at least 1 heart failure event (n = 21, 21.9%). For the entire cohort of 96 patients, only a prior history of heart failure was associated with the primary endpoint (OR 3.5 [1.10-11.08], P = 0.034). Admission plasma NT-proBNP was not predictive (OR 1. 84 [0.75-4.51], P = 0.185). In the 34 patients for whom both admission and pre-discharge NT-proBNP was available, 19 (55.9%) died (n = 8, 23.5%) or experienced heart failure (n = 11, 32.4%). Only pre-discharge plasma NT-proBNP (OR 15.30 [95% CI: 1.4-168.9], P=0.026) was independently predictive of the composite endpoint. The area under the receiver-operator-characteristic (AUC ROC) curve for pre-discharge NT-proBNP was superior to that for admission NT-proBNP for prediction of death or heart failure (AUC ROC 0.87 cf 0.70), for death (0.79 cf 0.66), LVF hospitalisation (0.78 cf 0.70) or heart failure as an outpatient (0.71 cf 0.61). Conclusions: Plasma NT-proBNP measured pre-discharge provides useful prognostic information following hospitalisation with acute LVF. ?? 2003 European Society of Cardiology. Published by Elsevier B.V. All rights reserved.", "author" : [ { "dropping-particle" : "", "family" : "O'Brien", "given" : "Russell J.", "non-dropping-particle" : "", "parse-names" : false, "suffix" : "" }, { "dropping-particle" : "", "family" : "Squire", "given" : "Iain B.", "non-dropping-particle" : "", "parse-names" : false, "suffix" : "" }, { "dropping-particle" : "", "family" : "Demme", "given" : "Bettina", "non-dropping-particle" : "", "parse-names" : false, "suffix" : "" }, { "dropping-particle" : "", "family" : "Davies", "given" : "Joan E.", "non-dropping-particle" : "", "parse-names" : false, "suffix" : "" }, { "dropping-particle" : "", "family" : "Ng", "given" : "Leong L.", "non-dropping-particle" : "", "parse-names" : false, "suffix" : "" } ], "container-title" : "European Journal of Heart Failure", "id" : "ITEM-1", "issued" : { "date-parts" : [ [ "2003" ] ] }, "title" : "Pre-discharge, but not admission, levels of NT-proBNP predict adverse prognosis following acute LVF", "type" : "article-journal" }, "uris" : [ "http://www.mendeley.com/documents/?uuid=a3cc79ff-9fcf-38de-ae9f-bb1473d60adb" ] } ], "mendeley" : { "formattedCitation" : "(3)", "plainTextFormattedCitation" : "(3)", "previouslyFormattedCitation" : "(3)" }, "properties" : { "noteIndex" : 0 }, "schema" : "https://github.com/citation-style-language/schema/raw/master/csl-citation.json" }</w:instrText>
            </w:r>
            <w:r>
              <w:rPr>
                <w:b/>
                <w:sz w:val="16"/>
                <w:szCs w:val="16"/>
                <w:u w:val="single"/>
              </w:rPr>
              <w:fldChar w:fldCharType="separate"/>
            </w:r>
            <w:r w:rsidRPr="00AF6D82">
              <w:rPr>
                <w:noProof/>
                <w:sz w:val="16"/>
                <w:szCs w:val="16"/>
              </w:rPr>
              <w:t>(3)</w:t>
            </w:r>
            <w:r>
              <w:rPr>
                <w:b/>
                <w:sz w:val="16"/>
                <w:szCs w:val="16"/>
                <w:u w:val="single"/>
              </w:rPr>
              <w:fldChar w:fldCharType="end"/>
            </w:r>
          </w:p>
        </w:tc>
        <w:tc>
          <w:tcPr>
            <w:tcW w:w="1460" w:type="dxa"/>
          </w:tcPr>
          <w:p w:rsidR="00814261" w:rsidRPr="0074053D" w:rsidRDefault="00814261" w:rsidP="00785B09">
            <w:pPr>
              <w:rPr>
                <w:sz w:val="16"/>
                <w:szCs w:val="16"/>
              </w:rPr>
            </w:pPr>
            <w:r>
              <w:rPr>
                <w:sz w:val="16"/>
                <w:szCs w:val="16"/>
              </w:rPr>
              <w:t>Observational</w:t>
            </w:r>
          </w:p>
        </w:tc>
        <w:tc>
          <w:tcPr>
            <w:tcW w:w="1808" w:type="dxa"/>
          </w:tcPr>
          <w:p w:rsidR="00814261" w:rsidRPr="0074053D" w:rsidRDefault="00814261" w:rsidP="00785B09">
            <w:pPr>
              <w:rPr>
                <w:sz w:val="16"/>
                <w:szCs w:val="16"/>
              </w:rPr>
            </w:pPr>
            <w:r>
              <w:rPr>
                <w:sz w:val="16"/>
                <w:szCs w:val="16"/>
              </w:rPr>
              <w:t>ADHF</w:t>
            </w:r>
          </w:p>
        </w:tc>
        <w:tc>
          <w:tcPr>
            <w:tcW w:w="1310" w:type="dxa"/>
          </w:tcPr>
          <w:p w:rsidR="00814261" w:rsidRPr="0074053D" w:rsidRDefault="00814261" w:rsidP="00785B09">
            <w:pPr>
              <w:rPr>
                <w:sz w:val="16"/>
                <w:szCs w:val="16"/>
              </w:rPr>
            </w:pPr>
            <w:r>
              <w:rPr>
                <w:sz w:val="16"/>
                <w:szCs w:val="16"/>
              </w:rPr>
              <w:t>96</w:t>
            </w:r>
          </w:p>
        </w:tc>
        <w:tc>
          <w:tcPr>
            <w:tcW w:w="1701" w:type="dxa"/>
          </w:tcPr>
          <w:p w:rsidR="00814261" w:rsidRPr="0074053D" w:rsidRDefault="00814261" w:rsidP="00785B09">
            <w:pPr>
              <w:rPr>
                <w:sz w:val="16"/>
                <w:szCs w:val="16"/>
              </w:rPr>
            </w:pPr>
            <w:r>
              <w:rPr>
                <w:sz w:val="16"/>
                <w:szCs w:val="16"/>
              </w:rPr>
              <w:t>At admission, discharge</w:t>
            </w:r>
          </w:p>
        </w:tc>
        <w:tc>
          <w:tcPr>
            <w:tcW w:w="1808" w:type="dxa"/>
          </w:tcPr>
          <w:p w:rsidR="00814261" w:rsidRPr="0074053D" w:rsidRDefault="00814261" w:rsidP="00785B09">
            <w:pPr>
              <w:rPr>
                <w:sz w:val="16"/>
                <w:szCs w:val="16"/>
              </w:rPr>
            </w:pPr>
          </w:p>
        </w:tc>
        <w:tc>
          <w:tcPr>
            <w:tcW w:w="4571" w:type="dxa"/>
          </w:tcPr>
          <w:p w:rsidR="00814261" w:rsidRDefault="00814261" w:rsidP="00785B09">
            <w:pPr>
              <w:rPr>
                <w:sz w:val="16"/>
                <w:szCs w:val="16"/>
              </w:rPr>
            </w:pPr>
            <w:r>
              <w:rPr>
                <w:sz w:val="16"/>
                <w:szCs w:val="16"/>
              </w:rPr>
              <w:t xml:space="preserve">Pre-discharge rather than admission BNP concentration is better predictor of death/readmission with HF. </w:t>
            </w:r>
          </w:p>
          <w:p w:rsidR="00814261" w:rsidRDefault="00814261" w:rsidP="00785B09">
            <w:pPr>
              <w:rPr>
                <w:sz w:val="16"/>
                <w:szCs w:val="16"/>
              </w:rPr>
            </w:pPr>
          </w:p>
          <w:p w:rsidR="00814261" w:rsidRPr="00FA2D64" w:rsidRDefault="00814261" w:rsidP="00785B09">
            <w:pPr>
              <w:rPr>
                <w:sz w:val="16"/>
                <w:szCs w:val="16"/>
              </w:rPr>
            </w:pPr>
            <w:r>
              <w:rPr>
                <w:i/>
                <w:sz w:val="16"/>
                <w:szCs w:val="16"/>
              </w:rPr>
              <w:t xml:space="preserve">NO </w:t>
            </w:r>
            <w:r>
              <w:rPr>
                <w:sz w:val="16"/>
                <w:szCs w:val="16"/>
              </w:rPr>
              <w:t>association between magnitude/direction of change in NT-</w:t>
            </w:r>
            <w:proofErr w:type="spellStart"/>
            <w:r>
              <w:rPr>
                <w:sz w:val="16"/>
                <w:szCs w:val="16"/>
              </w:rPr>
              <w:t>proBNP</w:t>
            </w:r>
            <w:proofErr w:type="spellEnd"/>
            <w:r>
              <w:rPr>
                <w:sz w:val="16"/>
                <w:szCs w:val="16"/>
              </w:rPr>
              <w:t xml:space="preserve"> and occurrence of death/hospitalisation</w:t>
            </w:r>
          </w:p>
        </w:tc>
      </w:tr>
      <w:tr w:rsidR="00814261" w:rsidRPr="0074053D" w:rsidTr="00785B09">
        <w:tc>
          <w:tcPr>
            <w:tcW w:w="1518" w:type="dxa"/>
          </w:tcPr>
          <w:p w:rsidR="00814261" w:rsidRPr="001A6ED3" w:rsidRDefault="00814261" w:rsidP="00785B09">
            <w:pPr>
              <w:rPr>
                <w:b/>
                <w:sz w:val="16"/>
                <w:szCs w:val="16"/>
                <w:u w:val="single"/>
              </w:rPr>
            </w:pPr>
            <w:proofErr w:type="spellStart"/>
            <w:r>
              <w:rPr>
                <w:b/>
                <w:sz w:val="16"/>
                <w:szCs w:val="16"/>
                <w:u w:val="single"/>
              </w:rPr>
              <w:t>Gackowski</w:t>
            </w:r>
            <w:proofErr w:type="spellEnd"/>
            <w:r>
              <w:rPr>
                <w:b/>
                <w:sz w:val="16"/>
                <w:szCs w:val="16"/>
                <w:u w:val="single"/>
              </w:rPr>
              <w:t xml:space="preserve"> et al 2004 </w:t>
            </w:r>
            <w:r>
              <w:rPr>
                <w:b/>
                <w:sz w:val="16"/>
                <w:szCs w:val="16"/>
                <w:u w:val="single"/>
              </w:rPr>
              <w:fldChar w:fldCharType="begin" w:fldLock="1"/>
            </w:r>
            <w:r>
              <w:rPr>
                <w:b/>
                <w:sz w:val="16"/>
                <w:szCs w:val="16"/>
                <w:u w:val="single"/>
              </w:rPr>
              <w:instrText>ADDIN CSL_CITATION { "citationItems" : [ { "id" : "ITEM-1", "itemData" : { "DOI" : "10.1016/j.ehj.2004.07.038", "abstract" : "Aims Comparison of the value of echocardiography and B-type natriuretic peptide (BNP) in monitoring response to treatment in patients admitted for acute heart failure (HF). Methods and results Ninety-five consecutive patients admitted with acute HF under-went bedside Doppler echocardiography and BNP measurements on admission, after 24 h of intravenous treatment, and at day 7. We then studied the association between the clinical status, the Doppler echocardiographic findings, the BNP measurements and subsequent 60-day adverse outcome (death, resuscitated cardiac arrest, urgent heart transplantation, readmission). On admission and during hospitalisation, relationships were found between plasma BNP and Doppler echocardiographic findings, and between their changes. During a 60 day follow-up, 37 events occurred. Multivariable analysis taking into account clinical factors, Doppler echocardiography and BNP showed that the two best models to predict outcome were (1) early evaluation at day 2 (previous CHF treatment, dobutamine use, relative BNP change during first 24 h) and (2) late evaluation at day 7 (previous CHF treatment, dobutamine use, BNP at day 7). Patients with a decrease in plasma BNP &gt;10% at day 2, or with plasma BNP &lt;300 pg/ml at day 7 had a better outcome than the others (19% versus 65% and 16% versus 72% events, respectively, p &lt; 0.0001). Conclusions Serial BNP measurements during the treatment of acute HF provide incre-mental prognostic information over clinical presentation and repetitive echocardio-graphic examination.", "author" : [ { "dropping-particle" : "", "family" : "Gackowski", "given" : "Andrzej", "non-dropping-particle" : "", "parse-names" : false, "suffix" : "" }, { "dropping-particle" : "", "family" : "Isnard", "given" : "Richard", "non-dropping-particle" : "", "parse-names" : false, "suffix" : "" }, { "dropping-particle" : "", "family" : "Golmard", "given" : "Jean-Louis", "non-dropping-particle" : "", "parse-names" : false, "suffix" : "" }, { "dropping-particle" : "", "family" : "Pousset", "given" : "Fran\u00e7oise", "non-dropping-particle" : "", "parse-names" : false, "suffix" : "" }, { "dropping-particle" : "", "family" : "Carayon", "given" : "Alain", "non-dropping-particle" : "", "parse-names" : false, "suffix" : "" }, { "dropping-particle" : "", "family" : "Montalescot", "given" : "Gilles", "non-dropping-particle" : "", "parse-names" : false, "suffix" : "" }, { "dropping-particle" : "", "family" : "Hulot", "given" : "Jean-S\u00e9bastien", "non-dropping-particle" : "", "parse-names" : false, "suffix" : "" }, { "dropping-particle" : "", "family" : "Thomas", "given" : "Daniel", "non-dropping-particle" : "", "parse-names" : false, "suffix" : "" }, { "dropping-particle" : "", "family" : "Piwowarska", "given" : "Wieslawa", "non-dropping-particle" : "", "parse-names" : false, "suffix" : "" }, { "dropping-particle" : "", "family" : "Komajda", "given" : "Michel", "non-dropping-particle" : "", "parse-names" : false, "suffix" : "" } ], "container-title" : "European Heart Journal", "id" : "ITEM-1", "issued" : { "date-parts" : [ [ "2004" ] ] }, "page" : "1788-1796", "title" : "Comparison of echocardiography and plasma B-type natriuretic peptide for monitoring the response to treatment in acute heart failure", "type" : "article-journal", "volume" : "25" }, "uris" : [ "http://www.mendeley.com/documents/?uuid=972836f4-95f9-3476-9044-bdbfef38111d" ] } ], "mendeley" : { "formattedCitation" : "(4)", "plainTextFormattedCitation" : "(4)", "previouslyFormattedCitation" : "(4)" }, "properties" : { "noteIndex" : 0 }, "schema" : "https://github.com/citation-style-language/schema/raw/master/csl-citation.json" }</w:instrText>
            </w:r>
            <w:r>
              <w:rPr>
                <w:b/>
                <w:sz w:val="16"/>
                <w:szCs w:val="16"/>
                <w:u w:val="single"/>
              </w:rPr>
              <w:fldChar w:fldCharType="separate"/>
            </w:r>
            <w:r w:rsidRPr="00AF6D82">
              <w:rPr>
                <w:noProof/>
                <w:sz w:val="16"/>
                <w:szCs w:val="16"/>
              </w:rPr>
              <w:t>(4)</w:t>
            </w:r>
            <w:r>
              <w:rPr>
                <w:b/>
                <w:sz w:val="16"/>
                <w:szCs w:val="16"/>
                <w:u w:val="single"/>
              </w:rPr>
              <w:fldChar w:fldCharType="end"/>
            </w:r>
          </w:p>
        </w:tc>
        <w:tc>
          <w:tcPr>
            <w:tcW w:w="1460" w:type="dxa"/>
          </w:tcPr>
          <w:p w:rsidR="00814261" w:rsidRPr="001A6ED3" w:rsidRDefault="00814261" w:rsidP="00785B09">
            <w:pPr>
              <w:rPr>
                <w:sz w:val="16"/>
                <w:szCs w:val="16"/>
              </w:rPr>
            </w:pPr>
            <w:r>
              <w:rPr>
                <w:sz w:val="16"/>
                <w:szCs w:val="16"/>
              </w:rPr>
              <w:t>Observational</w:t>
            </w:r>
          </w:p>
        </w:tc>
        <w:tc>
          <w:tcPr>
            <w:tcW w:w="1808" w:type="dxa"/>
          </w:tcPr>
          <w:p w:rsidR="00814261" w:rsidRDefault="00814261" w:rsidP="00785B09">
            <w:pPr>
              <w:rPr>
                <w:sz w:val="16"/>
                <w:szCs w:val="16"/>
              </w:rPr>
            </w:pPr>
            <w:r>
              <w:rPr>
                <w:sz w:val="16"/>
                <w:szCs w:val="16"/>
              </w:rPr>
              <w:t>ADHF</w:t>
            </w:r>
          </w:p>
        </w:tc>
        <w:tc>
          <w:tcPr>
            <w:tcW w:w="1310" w:type="dxa"/>
          </w:tcPr>
          <w:p w:rsidR="00814261" w:rsidRDefault="00814261" w:rsidP="00785B09">
            <w:pPr>
              <w:rPr>
                <w:sz w:val="16"/>
                <w:szCs w:val="16"/>
              </w:rPr>
            </w:pPr>
            <w:r>
              <w:rPr>
                <w:sz w:val="16"/>
                <w:szCs w:val="16"/>
              </w:rPr>
              <w:t>95</w:t>
            </w:r>
          </w:p>
        </w:tc>
        <w:tc>
          <w:tcPr>
            <w:tcW w:w="1701" w:type="dxa"/>
          </w:tcPr>
          <w:p w:rsidR="00814261" w:rsidRDefault="00814261" w:rsidP="00785B09">
            <w:pPr>
              <w:rPr>
                <w:sz w:val="16"/>
                <w:szCs w:val="16"/>
              </w:rPr>
            </w:pPr>
            <w:r>
              <w:rPr>
                <w:sz w:val="16"/>
                <w:szCs w:val="16"/>
              </w:rPr>
              <w:t>At admission, after 24 hours, and 7</w:t>
            </w:r>
            <w:r w:rsidRPr="001A6ED3">
              <w:rPr>
                <w:sz w:val="16"/>
                <w:szCs w:val="16"/>
                <w:vertAlign w:val="superscript"/>
              </w:rPr>
              <w:t>th</w:t>
            </w:r>
            <w:r>
              <w:rPr>
                <w:sz w:val="16"/>
                <w:szCs w:val="16"/>
              </w:rPr>
              <w:t xml:space="preserve"> day/at discharge. </w:t>
            </w:r>
          </w:p>
        </w:tc>
        <w:tc>
          <w:tcPr>
            <w:tcW w:w="1808" w:type="dxa"/>
          </w:tcPr>
          <w:p w:rsidR="00814261" w:rsidRPr="0074053D" w:rsidRDefault="00814261" w:rsidP="00785B09">
            <w:pPr>
              <w:rPr>
                <w:sz w:val="16"/>
                <w:szCs w:val="16"/>
              </w:rPr>
            </w:pPr>
          </w:p>
        </w:tc>
        <w:tc>
          <w:tcPr>
            <w:tcW w:w="4571" w:type="dxa"/>
          </w:tcPr>
          <w:p w:rsidR="00814261" w:rsidRDefault="00814261" w:rsidP="00785B09">
            <w:pPr>
              <w:rPr>
                <w:sz w:val="16"/>
                <w:szCs w:val="16"/>
              </w:rPr>
            </w:pPr>
            <w:r>
              <w:rPr>
                <w:sz w:val="16"/>
                <w:szCs w:val="16"/>
              </w:rPr>
              <w:t xml:space="preserve">Serial measurements of BNP plasma levels provide incremental prognostic information over clinical and echocardiographic data in high-risk populations </w:t>
            </w:r>
          </w:p>
        </w:tc>
      </w:tr>
      <w:tr w:rsidR="00814261" w:rsidRPr="0074053D" w:rsidTr="00785B09">
        <w:tc>
          <w:tcPr>
            <w:tcW w:w="1518" w:type="dxa"/>
          </w:tcPr>
          <w:p w:rsidR="00814261" w:rsidRDefault="00814261" w:rsidP="00785B09">
            <w:pPr>
              <w:rPr>
                <w:b/>
                <w:sz w:val="16"/>
                <w:szCs w:val="16"/>
                <w:u w:val="single"/>
              </w:rPr>
            </w:pPr>
            <w:r>
              <w:rPr>
                <w:b/>
                <w:sz w:val="16"/>
                <w:szCs w:val="16"/>
                <w:u w:val="single"/>
              </w:rPr>
              <w:t xml:space="preserve">Cheng et al, 2000 </w:t>
            </w:r>
            <w:r>
              <w:rPr>
                <w:b/>
                <w:sz w:val="16"/>
                <w:szCs w:val="16"/>
                <w:u w:val="single"/>
              </w:rPr>
              <w:fldChar w:fldCharType="begin" w:fldLock="1"/>
            </w:r>
            <w:r>
              <w:rPr>
                <w:b/>
                <w:sz w:val="16"/>
                <w:szCs w:val="16"/>
                <w:u w:val="single"/>
              </w:rPr>
              <w:instrText>ADDIN CSL_CITATION { "citationItems" : [ { "id" : "ITEM-1", "itemData" : { "DOI" : "10.1016/S0735-1097(00)01157-8", "ISSN" : "07351097", "PMID" : "11216951", "abstract" : "OBJECTIVES: The goal of this study was to determine if B-type natriuretic peptide (BNP) levels predict outcomes of patients admitted with decompensated heart failure. BACKGROUND: Treatment of decompensated congestive heart failure (CHF) has often been based on titration of drugs to relieve patient's symptoms, a case that could be made for attempting to also treat neurohormonal abnormalities. Because BNP reflects both elevated left ventricular pressure as well as neurohormonal modulation, we hypothesized that BNP might be useful in assessing outcomes in patients admitted with decompensated CHF. METHODS: We followed 72 patients admitted with decompensated New York Heart Association class III to IV CHF, measuring daily BNP levels. We then determined the association between initial BNP measurement and the predischarge or premoribund BNP measurement and subsequent adverse outcomes (death and 30-day readmission). RESULTS: Of the 72 patients admitted with decompensated CHF, 22 end points occurred (death: n = 13, readmission: n = 9). In these patients, BNP levels increased during hospitalization (mean increase, 233 pg/ml, p &lt; 0.001). In patients without end points, BNP decreased (mean decrease 215 pg/ml). Univariate analysis revealed that the last measured BNP was strongly associated with the combined end point. In patients surviving hospitalization, BNP discharge concentrations were strong predictors of subsequent readmission (area under the receiver operator curve of 0.73). CONCLUSIONS: In patients admitted with decompensated CHF, changes in BNP levels during treatment are strong predictors for mortality and early readmission. The results suggest that BNP levels might be used successfully to guide treatment of patients admitted for decompensated CHF. \u00a9 2001 by the American College of Cardiology.", "author" : [ { "dropping-particle" : "", "family" : "Cheng", "given" : "Van", "non-dropping-particle" : "", "parse-names" : false, "suffix" : "" }, { "dropping-particle" : "", "family" : "Kazanagra", "given" : "Radmila", "non-dropping-particle" : "", "parse-names" : false, "suffix" : "" }, { "dropping-particle" : "", "family" : "Garcia", "given" : "Alex", "non-dropping-particle" : "", "parse-names" : false, "suffix" : "" }, { "dropping-particle" : "", "family" : "Lenert", "given" : "Leslie", "non-dropping-particle" : "", "parse-names" : false, "suffix" : "" }, { "dropping-particle" : "", "family" : "Krishnaswamy", "given" : "Padma", "non-dropping-particle" : "", "parse-names" : false, "suffix" : "" }, { "dropping-particle" : "", "family" : "Gardetto", "given" : "Nancy", "non-dropping-particle" : "", "parse-names" : false, "suffix" : "" }, { "dropping-particle" : "", "family" : "Clopton", "given" : "Paul", "non-dropping-particle" : "", "parse-names" : false, "suffix" : "" }, { "dropping-particle" : "", "family" : "Maisel", "given" : "Alan", "non-dropping-particle" : "", "parse-names" : false, "suffix" : "" } ], "container-title" : "Journal of the American College of Cardiology", "id" : "ITEM-1", "issued" : { "date-parts" : [ [ "2001" ] ] }, "title" : "A rapid bedside test for B-type peptide predicts treatment outcomes in patients admitted for decompensated heart failure: A pilot study", "type" : "article-journal" }, "uris" : [ "http://www.mendeley.com/documents/?uuid=486b0e96-3eeb-349f-b26e-c07964105a57" ] } ], "mendeley" : { "formattedCitation" : "(5)", "plainTextFormattedCitation" : "(5)", "previouslyFormattedCitation" : "(5)" }, "properties" : { "noteIndex" : 0 }, "schema" : "https://github.com/citation-style-language/schema/raw/master/csl-citation.json" }</w:instrText>
            </w:r>
            <w:r>
              <w:rPr>
                <w:b/>
                <w:sz w:val="16"/>
                <w:szCs w:val="16"/>
                <w:u w:val="single"/>
              </w:rPr>
              <w:fldChar w:fldCharType="separate"/>
            </w:r>
            <w:r w:rsidRPr="00AF6D82">
              <w:rPr>
                <w:noProof/>
                <w:sz w:val="16"/>
                <w:szCs w:val="16"/>
              </w:rPr>
              <w:t>(5)</w:t>
            </w:r>
            <w:r>
              <w:rPr>
                <w:b/>
                <w:sz w:val="16"/>
                <w:szCs w:val="16"/>
                <w:u w:val="single"/>
              </w:rPr>
              <w:fldChar w:fldCharType="end"/>
            </w:r>
          </w:p>
        </w:tc>
        <w:tc>
          <w:tcPr>
            <w:tcW w:w="1460" w:type="dxa"/>
          </w:tcPr>
          <w:p w:rsidR="00814261" w:rsidRDefault="00814261" w:rsidP="00785B09">
            <w:pPr>
              <w:rPr>
                <w:sz w:val="16"/>
                <w:szCs w:val="16"/>
              </w:rPr>
            </w:pPr>
            <w:r>
              <w:rPr>
                <w:sz w:val="16"/>
                <w:szCs w:val="16"/>
              </w:rPr>
              <w:t>Observational</w:t>
            </w:r>
          </w:p>
        </w:tc>
        <w:tc>
          <w:tcPr>
            <w:tcW w:w="1808" w:type="dxa"/>
          </w:tcPr>
          <w:p w:rsidR="00814261" w:rsidRDefault="00814261" w:rsidP="00785B09">
            <w:pPr>
              <w:rPr>
                <w:sz w:val="16"/>
                <w:szCs w:val="16"/>
              </w:rPr>
            </w:pPr>
            <w:r>
              <w:rPr>
                <w:sz w:val="16"/>
                <w:szCs w:val="16"/>
              </w:rPr>
              <w:t xml:space="preserve">ADHF </w:t>
            </w:r>
          </w:p>
        </w:tc>
        <w:tc>
          <w:tcPr>
            <w:tcW w:w="1310" w:type="dxa"/>
          </w:tcPr>
          <w:p w:rsidR="00814261" w:rsidRDefault="00814261" w:rsidP="00785B09">
            <w:pPr>
              <w:rPr>
                <w:sz w:val="16"/>
                <w:szCs w:val="16"/>
              </w:rPr>
            </w:pPr>
            <w:r>
              <w:rPr>
                <w:sz w:val="16"/>
                <w:szCs w:val="16"/>
              </w:rPr>
              <w:t>72</w:t>
            </w:r>
          </w:p>
        </w:tc>
        <w:tc>
          <w:tcPr>
            <w:tcW w:w="1701" w:type="dxa"/>
          </w:tcPr>
          <w:p w:rsidR="00814261" w:rsidRDefault="00814261" w:rsidP="00785B09">
            <w:pPr>
              <w:rPr>
                <w:sz w:val="16"/>
                <w:szCs w:val="16"/>
              </w:rPr>
            </w:pPr>
            <w:r>
              <w:rPr>
                <w:sz w:val="16"/>
                <w:szCs w:val="16"/>
              </w:rPr>
              <w:t>Within 24 hours of admission and prior to discharge</w:t>
            </w:r>
          </w:p>
        </w:tc>
        <w:tc>
          <w:tcPr>
            <w:tcW w:w="1808" w:type="dxa"/>
          </w:tcPr>
          <w:p w:rsidR="00814261" w:rsidRPr="0074053D" w:rsidRDefault="00814261" w:rsidP="00785B09">
            <w:pPr>
              <w:rPr>
                <w:sz w:val="16"/>
                <w:szCs w:val="16"/>
              </w:rPr>
            </w:pPr>
            <w:r>
              <w:rPr>
                <w:sz w:val="16"/>
                <w:szCs w:val="16"/>
              </w:rPr>
              <w:t>NYHA classification</w:t>
            </w:r>
          </w:p>
        </w:tc>
        <w:tc>
          <w:tcPr>
            <w:tcW w:w="4571" w:type="dxa"/>
          </w:tcPr>
          <w:p w:rsidR="00814261" w:rsidRDefault="00814261" w:rsidP="00785B09">
            <w:pPr>
              <w:rPr>
                <w:sz w:val="16"/>
                <w:szCs w:val="16"/>
              </w:rPr>
            </w:pPr>
            <w:r>
              <w:rPr>
                <w:sz w:val="16"/>
                <w:szCs w:val="16"/>
              </w:rPr>
              <w:t>Patients who died or were readmitted tended to have increase in BNP during hospitalisation, those who had successful treatment tended to have decreases in their BNP concentration during hospitalisation</w:t>
            </w:r>
          </w:p>
          <w:p w:rsidR="00814261" w:rsidRDefault="00814261" w:rsidP="00785B09">
            <w:pPr>
              <w:rPr>
                <w:sz w:val="16"/>
                <w:szCs w:val="16"/>
              </w:rPr>
            </w:pPr>
          </w:p>
          <w:p w:rsidR="00814261" w:rsidRDefault="00814261" w:rsidP="00785B09">
            <w:pPr>
              <w:rPr>
                <w:sz w:val="16"/>
                <w:szCs w:val="16"/>
              </w:rPr>
            </w:pPr>
            <w:r>
              <w:rPr>
                <w:sz w:val="16"/>
                <w:szCs w:val="16"/>
              </w:rPr>
              <w:t xml:space="preserve">A final BNP level &lt;430pg/ml had a strong negative predictive value for 30 day readmission.  </w:t>
            </w:r>
          </w:p>
        </w:tc>
      </w:tr>
      <w:tr w:rsidR="00814261" w:rsidRPr="0074053D" w:rsidTr="00785B09">
        <w:tc>
          <w:tcPr>
            <w:tcW w:w="1518" w:type="dxa"/>
          </w:tcPr>
          <w:p w:rsidR="00814261" w:rsidRDefault="00814261" w:rsidP="00785B09">
            <w:pPr>
              <w:rPr>
                <w:b/>
                <w:sz w:val="16"/>
                <w:szCs w:val="16"/>
                <w:u w:val="single"/>
              </w:rPr>
            </w:pPr>
            <w:r>
              <w:rPr>
                <w:b/>
                <w:sz w:val="16"/>
                <w:szCs w:val="16"/>
                <w:u w:val="single"/>
              </w:rPr>
              <w:t>Greene et al, 2015</w:t>
            </w:r>
            <w:r>
              <w:rPr>
                <w:b/>
                <w:sz w:val="16"/>
                <w:szCs w:val="16"/>
                <w:u w:val="single"/>
              </w:rPr>
              <w:fldChar w:fldCharType="begin" w:fldLock="1"/>
            </w:r>
            <w:r>
              <w:rPr>
                <w:b/>
                <w:sz w:val="16"/>
                <w:szCs w:val="16"/>
                <w:u w:val="single"/>
              </w:rPr>
              <w:instrText>ADDIN CSL_CITATION { "citationItems" : [ { "id" : "ITEM-1", "itemData" : { "DOI" : "10.1002/ejhf.201", "ISBN" : "1388-9842", "ISSN" : "18790844", "PMID" : "25597870", "abstract" : "AIMS: The purpose of this study was to determine the prognostic significance and associated clinical profile of early post-discharge N-terminal pro-B-type natriuretic peptide (NT-proBNP) trajectory among patients hospitalized for worsening chronic heart failure (HHF). METHODS AND RESULTS: This post-hoc analysis of the Aliskiren Trial in Acute Heart Failure Outcomes (ASTRONAUT) included 1351 HHF patients with ejection fraction (EF) \u226440%, elevated B-type natriuretic peptide \u2265400 pg/mL or NT-proBNP \u22651600 pg/mL at admission, and available NT-proBNP measurements (from a central core laboratory) at baseline (median 5 days after admission) and 1-month follow-up. The co-primary endpoints were all-cause mortality and cardiovascular mortality or HHF within 12 months. Median follow-up was 11.3 months. Patients with decreasing post-discharge NT-proBNP trajectory tended to be younger and have non-ischaemic HF aetiology. The presence of baseline atrial fibrillation was associated with high NT-proBNP at 1 month (i.e. above the median), regardless of the baseline value. After adjustment for patient characteristics and 1-month NT-proBNP level, every twofold increase in continuous NT-proBNP change from baseline to 1 month was predictive of increased cardiovascular mortality or HHF (hazard ratio 1.14; 95% confidence interval 1.02-1.26), but not all-cause mortality (hazard ratio 0.95; 95% confidence interval 0.81-1.11). CONCLUSION: In this cohort of HHF patients with reduced EF, early post-discharge NT-proBNP trajectory was associated with a distinct clinical profile and carried independent prognostic value after adjustment for patient characteristics and absolute NT-proBNP level. Future prospective study of serial NT-proBNP measurement during the hospital and early post-discharge periods is warranted to validate these findings and evaluate post-discharge NT-proBNP trajectory as a therapeutic target.", "author" : [ { "dropping-particle" : "", "family" : "Greene", "given" : "Stephen J.", "non-dropping-particle" : "", "parse-names" : false, "suffix" : "" }, { "dropping-particle" : "", "family" : "Maggioni", "given" : "Aldo P.", "non-dropping-particle" : "", "parse-names" : false, "suffix" : "" }, { "dropping-particle" : "", "family" : "Fonarow", "given" : "Gregg C.", "non-dropping-particle" : "", "parse-names" : false, "suffix" : "" }, { "dropping-particle" : "", "family" : "Solomon", "given" : "Scott D.", "non-dropping-particle" : "", "parse-names" : false, "suffix" : "" }, { "dropping-particle" : "", "family" : "B??hm", "given" : "Michael", "non-dropping-particle" : "", "parse-names" : false, "suffix" : "" }, { "dropping-particle" : "", "family" : "Kandra", "given" : "Albert", "non-dropping-particle" : "", "parse-names" : false, "suffix" : "" }, { "dropping-particle" : "", "family" : "Prescott", "given" : "Margaret F.", "non-dropping-particle" : "", "parse-names" : false, "suffix" : "" }, { "dropping-particle" : "", "family" : "Reimund", "given" : "Bernard", "non-dropping-particle" : "", "parse-names" : false, "suffix" : "" }, { "dropping-particle" : "", "family" : "Hua", "given" : "Tsushung A.", "non-dropping-particle" : "", "parse-names" : false, "suffix" : "" }, { "dropping-particle" : "", "family" : "Lesogor", "given" : "Anastasia", "non-dropping-particle" : "", "parse-names" : false, "suffix" : "" }, { "dropping-particle" : "", "family" : "Zannad", "given" : "Faiez", "non-dropping-particle" : "", "parse-names" : false, "suffix" : "" }, { "dropping-particle" : "", "family" : "Gheorghiade", "given" : "Mihai", "non-dropping-particle" : "", "parse-names" : false, "suffix" : "" } ], "container-title" : "European Journal of Heart Failure", "id" : "ITEM-1", "issued" : { "date-parts" : [ [ "2015" ] ] }, "title" : "Clinical profile and prognostic significance of natriuretic peptide trajectory following hospitalization for worsening chronic heart failure: Findings from the astronaut trial", "type" : "article-journal" }, "uris" : [ "http://www.mendeley.com/documents/?uuid=e40604e2-1961-3523-88a7-c274870dfbbb" ] } ], "mendeley" : { "formattedCitation" : "(6)", "plainTextFormattedCitation" : "(6)", "previouslyFormattedCitation" : "(6)" }, "properties" : { "noteIndex" : 0 }, "schema" : "https://github.com/citation-style-language/schema/raw/master/csl-citation.json" }</w:instrText>
            </w:r>
            <w:r>
              <w:rPr>
                <w:b/>
                <w:sz w:val="16"/>
                <w:szCs w:val="16"/>
                <w:u w:val="single"/>
              </w:rPr>
              <w:fldChar w:fldCharType="separate"/>
            </w:r>
            <w:r w:rsidRPr="00AF6D82">
              <w:rPr>
                <w:noProof/>
                <w:sz w:val="16"/>
                <w:szCs w:val="16"/>
              </w:rPr>
              <w:t>(6)</w:t>
            </w:r>
            <w:r>
              <w:rPr>
                <w:b/>
                <w:sz w:val="16"/>
                <w:szCs w:val="16"/>
                <w:u w:val="single"/>
              </w:rPr>
              <w:fldChar w:fldCharType="end"/>
            </w:r>
            <w:r>
              <w:rPr>
                <w:b/>
                <w:sz w:val="16"/>
                <w:szCs w:val="16"/>
                <w:u w:val="single"/>
              </w:rPr>
              <w:t xml:space="preserve"> </w:t>
            </w:r>
          </w:p>
        </w:tc>
        <w:tc>
          <w:tcPr>
            <w:tcW w:w="1460" w:type="dxa"/>
          </w:tcPr>
          <w:p w:rsidR="00814261" w:rsidRDefault="00814261" w:rsidP="00785B09">
            <w:pPr>
              <w:rPr>
                <w:sz w:val="16"/>
                <w:szCs w:val="16"/>
              </w:rPr>
            </w:pPr>
            <w:r>
              <w:rPr>
                <w:sz w:val="16"/>
                <w:szCs w:val="16"/>
              </w:rPr>
              <w:t>ASTRONAUT</w:t>
            </w:r>
          </w:p>
        </w:tc>
        <w:tc>
          <w:tcPr>
            <w:tcW w:w="1808" w:type="dxa"/>
          </w:tcPr>
          <w:p w:rsidR="00814261" w:rsidRDefault="00814261" w:rsidP="00785B09">
            <w:pPr>
              <w:rPr>
                <w:sz w:val="16"/>
                <w:szCs w:val="16"/>
              </w:rPr>
            </w:pPr>
            <w:r>
              <w:rPr>
                <w:sz w:val="16"/>
                <w:szCs w:val="16"/>
              </w:rPr>
              <w:t xml:space="preserve">ADHF </w:t>
            </w:r>
          </w:p>
          <w:p w:rsidR="00814261" w:rsidRDefault="00814261" w:rsidP="00785B09">
            <w:pPr>
              <w:rPr>
                <w:sz w:val="16"/>
                <w:szCs w:val="16"/>
              </w:rPr>
            </w:pPr>
            <w:r>
              <w:rPr>
                <w:sz w:val="16"/>
                <w:szCs w:val="16"/>
              </w:rPr>
              <w:t>EF &lt;40%, BNP &gt;400pg/mL</w:t>
            </w:r>
          </w:p>
          <w:p w:rsidR="00814261" w:rsidRDefault="00814261" w:rsidP="00785B09">
            <w:pPr>
              <w:rPr>
                <w:sz w:val="16"/>
                <w:szCs w:val="16"/>
              </w:rPr>
            </w:pPr>
            <w:r>
              <w:rPr>
                <w:sz w:val="16"/>
                <w:szCs w:val="16"/>
              </w:rPr>
              <w:t>NT-</w:t>
            </w:r>
            <w:proofErr w:type="spellStart"/>
            <w:r>
              <w:rPr>
                <w:sz w:val="16"/>
                <w:szCs w:val="16"/>
              </w:rPr>
              <w:t>roBNP</w:t>
            </w:r>
            <w:proofErr w:type="spellEnd"/>
            <w:r>
              <w:rPr>
                <w:sz w:val="16"/>
                <w:szCs w:val="16"/>
              </w:rPr>
              <w:t xml:space="preserve"> &gt;1600pg/ml </w:t>
            </w:r>
          </w:p>
        </w:tc>
        <w:tc>
          <w:tcPr>
            <w:tcW w:w="1310" w:type="dxa"/>
          </w:tcPr>
          <w:p w:rsidR="00814261" w:rsidRDefault="00814261" w:rsidP="00785B09">
            <w:pPr>
              <w:rPr>
                <w:sz w:val="16"/>
                <w:szCs w:val="16"/>
              </w:rPr>
            </w:pPr>
            <w:r>
              <w:rPr>
                <w:sz w:val="16"/>
                <w:szCs w:val="16"/>
              </w:rPr>
              <w:t xml:space="preserve">1,351 </w:t>
            </w:r>
          </w:p>
        </w:tc>
        <w:tc>
          <w:tcPr>
            <w:tcW w:w="1701" w:type="dxa"/>
          </w:tcPr>
          <w:p w:rsidR="00814261" w:rsidRDefault="00814261" w:rsidP="00785B09">
            <w:pPr>
              <w:rPr>
                <w:sz w:val="16"/>
                <w:szCs w:val="16"/>
              </w:rPr>
            </w:pPr>
            <w:r>
              <w:rPr>
                <w:sz w:val="16"/>
                <w:szCs w:val="16"/>
              </w:rPr>
              <w:t>Measured at admission,  5 days and 1m</w:t>
            </w:r>
          </w:p>
          <w:p w:rsidR="00814261" w:rsidRDefault="00814261" w:rsidP="00785B09">
            <w:pPr>
              <w:rPr>
                <w:sz w:val="16"/>
                <w:szCs w:val="16"/>
              </w:rPr>
            </w:pPr>
          </w:p>
          <w:p w:rsidR="00814261" w:rsidRPr="005768B6" w:rsidRDefault="00814261" w:rsidP="00785B09">
            <w:pPr>
              <w:jc w:val="center"/>
              <w:rPr>
                <w:sz w:val="16"/>
                <w:szCs w:val="16"/>
              </w:rPr>
            </w:pPr>
          </w:p>
        </w:tc>
        <w:tc>
          <w:tcPr>
            <w:tcW w:w="1808" w:type="dxa"/>
          </w:tcPr>
          <w:p w:rsidR="00814261" w:rsidRDefault="00814261" w:rsidP="00785B09">
            <w:pPr>
              <w:rPr>
                <w:sz w:val="16"/>
                <w:szCs w:val="16"/>
              </w:rPr>
            </w:pPr>
            <w:r>
              <w:rPr>
                <w:sz w:val="16"/>
                <w:szCs w:val="16"/>
              </w:rPr>
              <w:t>Weight loss / decongestion, renal dysfunction, AF</w:t>
            </w:r>
          </w:p>
          <w:p w:rsidR="00814261" w:rsidRDefault="00814261" w:rsidP="00785B09">
            <w:pPr>
              <w:rPr>
                <w:sz w:val="16"/>
                <w:szCs w:val="16"/>
              </w:rPr>
            </w:pPr>
          </w:p>
        </w:tc>
        <w:tc>
          <w:tcPr>
            <w:tcW w:w="4571" w:type="dxa"/>
          </w:tcPr>
          <w:p w:rsidR="00814261" w:rsidRDefault="00814261" w:rsidP="00785B09">
            <w:pPr>
              <w:rPr>
                <w:sz w:val="16"/>
                <w:szCs w:val="16"/>
              </w:rPr>
            </w:pPr>
            <w:r>
              <w:rPr>
                <w:sz w:val="16"/>
                <w:szCs w:val="16"/>
              </w:rPr>
              <w:t>NT-</w:t>
            </w:r>
            <w:proofErr w:type="spellStart"/>
            <w:r>
              <w:rPr>
                <w:sz w:val="16"/>
                <w:szCs w:val="16"/>
              </w:rPr>
              <w:t>proBNP</w:t>
            </w:r>
            <w:proofErr w:type="spellEnd"/>
            <w:r>
              <w:rPr>
                <w:sz w:val="16"/>
                <w:szCs w:val="16"/>
              </w:rPr>
              <w:t xml:space="preserve"> 1 month post-discharge but not during admission predicted cardiovascular readmission/decompensation but not all cause mortality. </w:t>
            </w:r>
          </w:p>
        </w:tc>
      </w:tr>
      <w:tr w:rsidR="00814261" w:rsidRPr="0074053D" w:rsidTr="00785B09">
        <w:tc>
          <w:tcPr>
            <w:tcW w:w="1518" w:type="dxa"/>
          </w:tcPr>
          <w:p w:rsidR="00814261" w:rsidRPr="001E7C45" w:rsidRDefault="00814261" w:rsidP="00785B09">
            <w:pPr>
              <w:rPr>
                <w:b/>
                <w:sz w:val="16"/>
                <w:szCs w:val="16"/>
                <w:u w:val="single"/>
              </w:rPr>
            </w:pPr>
            <w:proofErr w:type="spellStart"/>
            <w:r w:rsidRPr="001E7C45">
              <w:rPr>
                <w:b/>
                <w:sz w:val="16"/>
                <w:szCs w:val="16"/>
                <w:u w:val="single"/>
              </w:rPr>
              <w:t>Maisel</w:t>
            </w:r>
            <w:proofErr w:type="spellEnd"/>
            <w:r w:rsidRPr="001E7C45">
              <w:rPr>
                <w:b/>
                <w:sz w:val="16"/>
                <w:szCs w:val="16"/>
                <w:u w:val="single"/>
              </w:rPr>
              <w:t xml:space="preserve"> et al, 2013</w:t>
            </w:r>
            <w:r>
              <w:rPr>
                <w:b/>
                <w:sz w:val="16"/>
                <w:szCs w:val="16"/>
                <w:u w:val="single"/>
              </w:rPr>
              <w:t xml:space="preserve"> </w:t>
            </w:r>
            <w:r>
              <w:rPr>
                <w:b/>
                <w:sz w:val="16"/>
                <w:szCs w:val="16"/>
                <w:u w:val="single"/>
              </w:rPr>
              <w:fldChar w:fldCharType="begin" w:fldLock="1"/>
            </w:r>
            <w:r>
              <w:rPr>
                <w:b/>
                <w:sz w:val="16"/>
                <w:szCs w:val="16"/>
                <w:u w:val="single"/>
              </w:rPr>
              <w:instrText>ADDIN CSL_CITATION { "citationItems" : [ { "id" : "ITEM-1", "itemData" : { "DOI" : "10.1016/j.jacc.2013.01.052", "ISBN" : "1558-3597 (Electronic)\\n0735-1097 (Linking)", "ISSN" : "07351097", "PMID" : "23500322", "abstract" : "Objectives: This study was a multicenter, single-arm, double-blinded observational prospective clinical trial designed to monitor daily concentrations of B-type natriuretic peptide (BNP) and to determine how these concentrations correlate with acute clinical heart failure decompensation (ADHF) and related adverse clinical outcomes in at-risk HF patients. Background: Although BNP at discharge is predictive of 30-day outcomes, outpatient serial testing may improve the risk of detecting early decompensation. Methods: A total of 163 patients with HF signs and symptoms of ADHF discharged from the hospital or in an outpatient setting measured their weight and BNP levels daily for 60 days with a finger-stick test. Patients and physicians were blinded to BNP levels. The composite outcome was ADHF events: cardiovascular death, admission for decompensated HF, or clinical HF decompensation requiring either parenteral HF therapy or changes in oral HF medications. Results: A total of 6,934 daily BNP values were recorded, with a median of 46 measures per patient over a monitoring period of 65 days. Forty patients had 56 events. Correlations between BNP measures weakened over time, and the dispersion between BNP measures grew. During 10,035 patient-days, there were 494 (4.9%) days of weight gain (???5 lbs). The hazard ratio per unit increase of ln BNP was 1.84, and the hazard ratio on a day of weight gain was 3.63. These effects retained significance when controlling for symptoms. When the monitoring period for each subject was broken into intervals based on ADHF events, there were 39 (18.4%) intervals of upward trending BNP corresponding to a risk increase of 59.8% and 64 (30.2%) downward trending intervals corresponding to a risk decrease of 39.0%. There were 94 (44.3%) intervals with 1 or more days of weight gain corresponding to a risk increase of 26.1%. Conclusions: This pilot study demonstrates that home BNP testing is feasible and that trials using home monitoring for guiding therapy are justifiable in high-risk patients. Daily weight monitoring is complementary to BNP, but BNP changes correspond to larger changes in risk, both upward and downward. (Heart Failure [HF] Assessment with B-type Natriuretic Peptide [BNP] In the Home [HABIT]; NCT00946231) ?? 2013 American College of Cardiology Foundation.", "author" : [ { "dropping-particle" : "", "family" : "Maisel", "given" : "Alan", "non-dropping-particle" : "", "parse-names" : false, "suffix" : "" }, { "dropping-particle" : "", "family" : "Barnard", "given" : "Denise", "non-dropping-particle" : "", "parse-names" : false, "suffix" : "" }, { "dropping-particle" : "", "family" : "Jaski", "given" : "Brian", "non-dropping-particle" : "", "parse-names" : false, "suffix" : "" }, { "dropping-particle" : "", "family" : "Frivold", "given" : "Geir", "non-dropping-particle" : "", "parse-names" : false, "suffix" : "" }, { "dropping-particle" : "", "family" : "Marais", "given" : "John", "non-dropping-particle" : "", "parse-names" : false, "suffix" : "" }, { "dropping-particle" : "", "family" : "Azer", "given" : "Maged", "non-dropping-particle" : "", "parse-names" : false, "suffix" : "" }, { "dropping-particle" : "", "family" : "Miyamoto", "given" : "Michael I.", "non-dropping-particle" : "", "parse-names" : false, "suffix" : "" }, { "dropping-particle" : "", "family" : "Lombardo", "given" : "Dawn", "non-dropping-particle" : "", "parse-names" : false, "suffix" : "" }, { "dropping-particle" : "", "family" : "Kelsay", "given" : "Damon", "non-dropping-particle" : "", "parse-names" : false, "suffix" : "" }, { "dropping-particle" : "", "family" : "Borden", "given" : "Kelly", "non-dropping-particle" : "", "parse-names" : false, "suffix" : "" }, { "dropping-particle" : "", "family" : "Iqbal", "given" : "Navaid", "non-dropping-particle" : "", "parse-names" : false, "suffix" : "" }, { "dropping-particle" : "", "family" : "Taub", "given" : "Pam R.", "non-dropping-particle" : "", "parse-names" : false, "suffix" : "" }, { "dropping-particle" : "", "family" : "Kupfer", "given" : "Ken", "non-dropping-particle" : "", "parse-names" : false, "suffix" : "" }, { "dropping-particle" : "", "family" : "Clopton", "given" : "Paul", "non-dropping-particle" : "", "parse-names" : false, "suffix" : "" }, { "dropping-particle" : "", "family" : "Greenberg", "given" : "Barry", "non-dropping-particle" : "", "parse-names" : false, "suffix" : "" } ], "container-title" : "Journal of the American College of Cardiology", "id" : "ITEM-1", "issued" : { "date-parts" : [ [ "2013" ] ] }, "title" : "Primary results of the HABIT trial (heart failure assessment with BNP in the home)", "type" : "article-journal" }, "uris" : [ "http://www.mendeley.com/documents/?uuid=285bedb4-2212-3158-a2b7-019526dd27ba" ] } ], "mendeley" : { "formattedCitation" : "(7)", "plainTextFormattedCitation" : "(7)", "previouslyFormattedCitation" : "(7)" }, "properties" : { "noteIndex" : 0 }, "schema" : "https://github.com/citation-style-language/schema/raw/master/csl-citation.json" }</w:instrText>
            </w:r>
            <w:r>
              <w:rPr>
                <w:b/>
                <w:sz w:val="16"/>
                <w:szCs w:val="16"/>
                <w:u w:val="single"/>
              </w:rPr>
              <w:fldChar w:fldCharType="separate"/>
            </w:r>
            <w:r w:rsidRPr="00AF6D82">
              <w:rPr>
                <w:noProof/>
                <w:sz w:val="16"/>
                <w:szCs w:val="16"/>
              </w:rPr>
              <w:t>(7)</w:t>
            </w:r>
            <w:r>
              <w:rPr>
                <w:b/>
                <w:sz w:val="16"/>
                <w:szCs w:val="16"/>
                <w:u w:val="single"/>
              </w:rPr>
              <w:fldChar w:fldCharType="end"/>
            </w:r>
          </w:p>
        </w:tc>
        <w:tc>
          <w:tcPr>
            <w:tcW w:w="1460" w:type="dxa"/>
          </w:tcPr>
          <w:p w:rsidR="00814261" w:rsidRPr="001E7C45" w:rsidRDefault="00814261" w:rsidP="00785B09">
            <w:pPr>
              <w:rPr>
                <w:sz w:val="16"/>
                <w:szCs w:val="16"/>
              </w:rPr>
            </w:pPr>
            <w:r>
              <w:rPr>
                <w:sz w:val="16"/>
                <w:szCs w:val="16"/>
              </w:rPr>
              <w:t xml:space="preserve">Observational study, monitoring daily concentrations of BNP </w:t>
            </w:r>
          </w:p>
        </w:tc>
        <w:tc>
          <w:tcPr>
            <w:tcW w:w="1808" w:type="dxa"/>
          </w:tcPr>
          <w:p w:rsidR="00814261" w:rsidRDefault="00814261" w:rsidP="00785B09">
            <w:pPr>
              <w:rPr>
                <w:sz w:val="16"/>
                <w:szCs w:val="16"/>
              </w:rPr>
            </w:pPr>
            <w:r>
              <w:rPr>
                <w:sz w:val="16"/>
                <w:szCs w:val="16"/>
              </w:rPr>
              <w:t>ADHF</w:t>
            </w:r>
          </w:p>
        </w:tc>
        <w:tc>
          <w:tcPr>
            <w:tcW w:w="1310" w:type="dxa"/>
          </w:tcPr>
          <w:p w:rsidR="00814261" w:rsidRDefault="00814261" w:rsidP="00785B09">
            <w:pPr>
              <w:rPr>
                <w:sz w:val="16"/>
                <w:szCs w:val="16"/>
              </w:rPr>
            </w:pPr>
            <w:r>
              <w:rPr>
                <w:sz w:val="16"/>
                <w:szCs w:val="16"/>
              </w:rPr>
              <w:t>163</w:t>
            </w:r>
          </w:p>
        </w:tc>
        <w:tc>
          <w:tcPr>
            <w:tcW w:w="1701" w:type="dxa"/>
          </w:tcPr>
          <w:p w:rsidR="00814261" w:rsidRDefault="00814261" w:rsidP="00785B09">
            <w:pPr>
              <w:rPr>
                <w:sz w:val="16"/>
                <w:szCs w:val="16"/>
              </w:rPr>
            </w:pPr>
            <w:proofErr w:type="spellStart"/>
            <w:r>
              <w:rPr>
                <w:sz w:val="16"/>
                <w:szCs w:val="16"/>
              </w:rPr>
              <w:t>Peri</w:t>
            </w:r>
            <w:proofErr w:type="spellEnd"/>
            <w:r>
              <w:rPr>
                <w:sz w:val="16"/>
                <w:szCs w:val="16"/>
              </w:rPr>
              <w:t xml:space="preserve">-discharge then daily until day 60. </w:t>
            </w:r>
          </w:p>
        </w:tc>
        <w:tc>
          <w:tcPr>
            <w:tcW w:w="1808" w:type="dxa"/>
          </w:tcPr>
          <w:p w:rsidR="00814261" w:rsidRDefault="00814261" w:rsidP="00785B09">
            <w:pPr>
              <w:rPr>
                <w:sz w:val="16"/>
                <w:szCs w:val="16"/>
              </w:rPr>
            </w:pPr>
          </w:p>
        </w:tc>
        <w:tc>
          <w:tcPr>
            <w:tcW w:w="4571" w:type="dxa"/>
          </w:tcPr>
          <w:p w:rsidR="00814261" w:rsidRDefault="00814261" w:rsidP="00785B09">
            <w:pPr>
              <w:rPr>
                <w:sz w:val="16"/>
                <w:szCs w:val="16"/>
              </w:rPr>
            </w:pPr>
            <w:r>
              <w:rPr>
                <w:sz w:val="16"/>
                <w:szCs w:val="16"/>
              </w:rPr>
              <w:t xml:space="preserve">Correlations between BNP measurements weakened over time. </w:t>
            </w:r>
          </w:p>
          <w:p w:rsidR="00814261" w:rsidRDefault="00814261" w:rsidP="00785B09">
            <w:pPr>
              <w:rPr>
                <w:sz w:val="16"/>
                <w:szCs w:val="16"/>
              </w:rPr>
            </w:pPr>
          </w:p>
          <w:p w:rsidR="00814261" w:rsidRDefault="00814261" w:rsidP="00785B09">
            <w:pPr>
              <w:rPr>
                <w:sz w:val="16"/>
                <w:szCs w:val="16"/>
              </w:rPr>
            </w:pPr>
            <w:r>
              <w:rPr>
                <w:sz w:val="16"/>
                <w:szCs w:val="16"/>
              </w:rPr>
              <w:t xml:space="preserve">Hazard ratio per unit increase of BNP was 1.84. Upward trending BNP corresponded to risk increase of 59.8% and downward trending BNP corresponded to risk decrease of 39.0%. </w:t>
            </w:r>
          </w:p>
        </w:tc>
      </w:tr>
      <w:tr w:rsidR="00814261" w:rsidRPr="0074053D" w:rsidTr="00785B09">
        <w:tc>
          <w:tcPr>
            <w:tcW w:w="1518" w:type="dxa"/>
          </w:tcPr>
          <w:p w:rsidR="00814261" w:rsidRDefault="00814261" w:rsidP="00785B09">
            <w:pPr>
              <w:rPr>
                <w:b/>
                <w:sz w:val="16"/>
                <w:szCs w:val="16"/>
                <w:u w:val="single"/>
              </w:rPr>
            </w:pPr>
            <w:r>
              <w:rPr>
                <w:b/>
                <w:sz w:val="16"/>
                <w:szCs w:val="16"/>
                <w:u w:val="single"/>
              </w:rPr>
              <w:t xml:space="preserve">Wu et al, 2006 </w:t>
            </w:r>
            <w:r>
              <w:rPr>
                <w:b/>
                <w:sz w:val="16"/>
                <w:szCs w:val="16"/>
                <w:u w:val="single"/>
              </w:rPr>
              <w:fldChar w:fldCharType="begin" w:fldLock="1"/>
            </w:r>
            <w:r>
              <w:rPr>
                <w:b/>
                <w:sz w:val="16"/>
                <w:szCs w:val="16"/>
                <w:u w:val="single"/>
              </w:rPr>
              <w:instrText>ADDIN CSL_CITATION { "citationItems" : [ { "id" : "ITEM-1", "itemData" : { "DOI" : "10.1016/j.ahj.2006.08.021", "ISBN" : "1097-6744 (Electronic)\\r0002-8703 (Linking)", "ISSN" : "00028703", "PMID" : "17070141", "abstract" : "Background: B-Type natriuretic peptide (BNP) and NTpro-BNP are widely used for diagnosis and risk stratification of patients with heart failure (HF). Although not currently cleared by the Food and Drug Administration as a test indication, there is interest in using these biomarkers for monitoring the success of HF medications. An assessment of the analytical and biologic variations is necessary to interpret the results of serial testing. Methods and Results: The intra-individual biologic variances and analytical assay variances of BNP and NT-proBNP from healthy subjects and those with stable HF were reviewed. The analytical variability of BNP and NT-proBNP assays was reported, as some have suggested that only the analytical variance is important in interpreting the results of tightly regulated hormones. The reference change values (RCV) for serial measurements were derived and used to interpret results of therapeutic studies whereby serial changes in BNP and NT-proBNP concentrations were obtained to evaluate the therapeutic success of short-term (inpatient) and long-term (outpatient) management. The use of RCV may also be important in studies comparing BNP-guided versus physician-guided HF drug therapy. Conclusions: Relative to the RCV, short-term therapeutic studies of inpatients have largely resulted in a statistically significant decline in BNP and NT-proBNP with clinical evidence of patient improvements. In contrast, many therapeutic studies involving long-term outpatient monitoring have produced changes in BNP/NT-proBNP that do not exceed the biologic variances. The value of BNP for monitoring therapeutic success can be questioned for trials that demonstrate clinical benefit without statistically significant decreases in biomarker levels. ?? 2006 Mosby, Inc. All rights reserved.", "author" : [ { "dropping-particle" : "", "family" : "Wu", "given" : "Alan H B", "non-dropping-particle" : "", "parse-names" : false, "suffix" : "" } ], "container-title" : "American Heart Journal", "id" : "ITEM-1", "issued" : { "date-parts" : [ [ "2006" ] ] }, "title" : "Serial testing of B-type natriuretic peptide and NTpro-BNP for monitoring therapy of heart failure: The role of biologic variation in the interpretation of results", "type" : "article" }, "uris" : [ "http://www.mendeley.com/documents/?uuid=408889c7-861c-32c7-b6c3-d758056f77fa" ] } ], "mendeley" : { "formattedCitation" : "(8)", "plainTextFormattedCitation" : "(8)", "previouslyFormattedCitation" : "(8)" }, "properties" : { "noteIndex" : 0 }, "schema" : "https://github.com/citation-style-language/schema/raw/master/csl-citation.json" }</w:instrText>
            </w:r>
            <w:r>
              <w:rPr>
                <w:b/>
                <w:sz w:val="16"/>
                <w:szCs w:val="16"/>
                <w:u w:val="single"/>
              </w:rPr>
              <w:fldChar w:fldCharType="separate"/>
            </w:r>
            <w:r w:rsidRPr="00AF6D82">
              <w:rPr>
                <w:noProof/>
                <w:sz w:val="16"/>
                <w:szCs w:val="16"/>
              </w:rPr>
              <w:t>(8)</w:t>
            </w:r>
            <w:r>
              <w:rPr>
                <w:b/>
                <w:sz w:val="16"/>
                <w:szCs w:val="16"/>
                <w:u w:val="single"/>
              </w:rPr>
              <w:fldChar w:fldCharType="end"/>
            </w:r>
          </w:p>
        </w:tc>
        <w:tc>
          <w:tcPr>
            <w:tcW w:w="1460" w:type="dxa"/>
          </w:tcPr>
          <w:p w:rsidR="00814261" w:rsidRDefault="00814261" w:rsidP="00785B09">
            <w:pPr>
              <w:rPr>
                <w:sz w:val="16"/>
                <w:szCs w:val="16"/>
              </w:rPr>
            </w:pPr>
            <w:r>
              <w:rPr>
                <w:sz w:val="16"/>
                <w:szCs w:val="16"/>
              </w:rPr>
              <w:t>Observational study of multiple studies</w:t>
            </w:r>
          </w:p>
        </w:tc>
        <w:tc>
          <w:tcPr>
            <w:tcW w:w="1808" w:type="dxa"/>
          </w:tcPr>
          <w:p w:rsidR="00814261" w:rsidRDefault="00814261" w:rsidP="00785B09">
            <w:pPr>
              <w:rPr>
                <w:sz w:val="16"/>
                <w:szCs w:val="16"/>
              </w:rPr>
            </w:pPr>
          </w:p>
        </w:tc>
        <w:tc>
          <w:tcPr>
            <w:tcW w:w="1310" w:type="dxa"/>
          </w:tcPr>
          <w:p w:rsidR="00814261" w:rsidRDefault="00814261" w:rsidP="00785B09">
            <w:pPr>
              <w:rPr>
                <w:sz w:val="16"/>
                <w:szCs w:val="16"/>
              </w:rPr>
            </w:pPr>
          </w:p>
        </w:tc>
        <w:tc>
          <w:tcPr>
            <w:tcW w:w="1701" w:type="dxa"/>
          </w:tcPr>
          <w:p w:rsidR="00814261" w:rsidRDefault="00814261" w:rsidP="00785B09">
            <w:pPr>
              <w:rPr>
                <w:sz w:val="16"/>
                <w:szCs w:val="16"/>
              </w:rPr>
            </w:pPr>
          </w:p>
        </w:tc>
        <w:tc>
          <w:tcPr>
            <w:tcW w:w="1808" w:type="dxa"/>
          </w:tcPr>
          <w:p w:rsidR="00814261" w:rsidRDefault="00814261" w:rsidP="00785B09">
            <w:pPr>
              <w:rPr>
                <w:sz w:val="16"/>
                <w:szCs w:val="16"/>
              </w:rPr>
            </w:pPr>
          </w:p>
        </w:tc>
        <w:tc>
          <w:tcPr>
            <w:tcW w:w="4571" w:type="dxa"/>
          </w:tcPr>
          <w:p w:rsidR="00814261" w:rsidRDefault="00814261" w:rsidP="00785B09">
            <w:pPr>
              <w:rPr>
                <w:sz w:val="16"/>
                <w:szCs w:val="16"/>
              </w:rPr>
            </w:pPr>
            <w:r>
              <w:rPr>
                <w:sz w:val="16"/>
                <w:szCs w:val="16"/>
              </w:rPr>
              <w:t>For inpatient monitoring, serial BNP/NT-pro BNP measurements are useful for detecting short-term improvements with diuretics. BNP/NT-</w:t>
            </w:r>
            <w:proofErr w:type="spellStart"/>
            <w:r>
              <w:rPr>
                <w:sz w:val="16"/>
                <w:szCs w:val="16"/>
              </w:rPr>
              <w:t>proBNP</w:t>
            </w:r>
            <w:proofErr w:type="spellEnd"/>
            <w:r>
              <w:rPr>
                <w:sz w:val="16"/>
                <w:szCs w:val="16"/>
              </w:rPr>
              <w:t xml:space="preserve"> concentrations double in patients with stable HF who suddenly decompensate. </w:t>
            </w:r>
          </w:p>
        </w:tc>
      </w:tr>
    </w:tbl>
    <w:p w:rsidR="00814261" w:rsidRDefault="00814261" w:rsidP="00814261">
      <w:pPr>
        <w:rPr>
          <w:sz w:val="16"/>
          <w:szCs w:val="16"/>
        </w:rPr>
      </w:pPr>
    </w:p>
    <w:p w:rsidR="00814261" w:rsidRDefault="00814261" w:rsidP="00814261">
      <w:pPr>
        <w:rPr>
          <w:b/>
          <w:sz w:val="16"/>
          <w:szCs w:val="16"/>
        </w:rPr>
      </w:pPr>
    </w:p>
    <w:p w:rsidR="00814261" w:rsidRDefault="00814261" w:rsidP="00814261">
      <w:pPr>
        <w:rPr>
          <w:b/>
          <w:sz w:val="16"/>
          <w:szCs w:val="16"/>
        </w:rPr>
      </w:pPr>
    </w:p>
    <w:p w:rsidR="00814261" w:rsidRDefault="00814261" w:rsidP="00814261">
      <w:pPr>
        <w:rPr>
          <w:b/>
          <w:sz w:val="16"/>
          <w:szCs w:val="16"/>
        </w:rPr>
      </w:pPr>
    </w:p>
    <w:p w:rsidR="00814261" w:rsidRDefault="00814261" w:rsidP="00814261">
      <w:pPr>
        <w:rPr>
          <w:sz w:val="16"/>
          <w:szCs w:val="16"/>
        </w:rPr>
      </w:pPr>
    </w:p>
    <w:p w:rsidR="00814261" w:rsidRPr="002602B0" w:rsidRDefault="00814261" w:rsidP="00814261">
      <w:pPr>
        <w:rPr>
          <w:rFonts w:ascii="Times New Roman" w:hAnsi="Times New Roman" w:cs="Times New Roman"/>
          <w:sz w:val="24"/>
          <w:szCs w:val="24"/>
        </w:rPr>
      </w:pPr>
      <w:r w:rsidRPr="002602B0">
        <w:rPr>
          <w:rFonts w:ascii="Times New Roman" w:hAnsi="Times New Roman" w:cs="Times New Roman"/>
          <w:sz w:val="24"/>
          <w:szCs w:val="24"/>
        </w:rPr>
        <w:t>Table</w:t>
      </w:r>
      <w:r>
        <w:rPr>
          <w:rFonts w:ascii="Times New Roman" w:hAnsi="Times New Roman" w:cs="Times New Roman"/>
          <w:sz w:val="24"/>
          <w:szCs w:val="24"/>
        </w:rPr>
        <w:t>:</w:t>
      </w:r>
      <w:r w:rsidRPr="002602B0">
        <w:rPr>
          <w:rFonts w:ascii="Times New Roman" w:hAnsi="Times New Roman" w:cs="Times New Roman"/>
          <w:sz w:val="24"/>
          <w:szCs w:val="24"/>
        </w:rPr>
        <w:t xml:space="preserve"> </w:t>
      </w:r>
      <w:r>
        <w:rPr>
          <w:rFonts w:ascii="Times New Roman" w:hAnsi="Times New Roman" w:cs="Times New Roman"/>
          <w:sz w:val="24"/>
          <w:szCs w:val="24"/>
        </w:rPr>
        <w:t>S1_</w:t>
      </w:r>
      <w:r w:rsidRPr="002602B0">
        <w:rPr>
          <w:rFonts w:ascii="Times New Roman" w:hAnsi="Times New Roman" w:cs="Times New Roman"/>
          <w:sz w:val="24"/>
          <w:szCs w:val="24"/>
        </w:rPr>
        <w:t>B</w:t>
      </w:r>
    </w:p>
    <w:tbl>
      <w:tblPr>
        <w:tblStyle w:val="TableGrid"/>
        <w:tblpPr w:leftFromText="180" w:rightFromText="180" w:vertAnchor="text" w:horzAnchor="margin" w:tblpY="189"/>
        <w:tblW w:w="14176" w:type="dxa"/>
        <w:tblLayout w:type="fixed"/>
        <w:tblLook w:val="04A0" w:firstRow="1" w:lastRow="0" w:firstColumn="1" w:lastColumn="0" w:noHBand="0" w:noVBand="1"/>
      </w:tblPr>
      <w:tblGrid>
        <w:gridCol w:w="1809"/>
        <w:gridCol w:w="1560"/>
        <w:gridCol w:w="1559"/>
        <w:gridCol w:w="1168"/>
        <w:gridCol w:w="1701"/>
        <w:gridCol w:w="1808"/>
        <w:gridCol w:w="4571"/>
      </w:tblGrid>
      <w:tr w:rsidR="00814261" w:rsidRPr="0074053D" w:rsidTr="00785B09">
        <w:tc>
          <w:tcPr>
            <w:tcW w:w="1809" w:type="dxa"/>
          </w:tcPr>
          <w:p w:rsidR="00814261" w:rsidRPr="002602B0" w:rsidRDefault="00814261" w:rsidP="00785B09">
            <w:pPr>
              <w:jc w:val="center"/>
              <w:rPr>
                <w:b/>
                <w:sz w:val="16"/>
                <w:szCs w:val="16"/>
              </w:rPr>
            </w:pPr>
            <w:r w:rsidRPr="002602B0">
              <w:rPr>
                <w:b/>
                <w:sz w:val="16"/>
                <w:szCs w:val="16"/>
              </w:rPr>
              <w:t>Chronic HF</w:t>
            </w:r>
          </w:p>
        </w:tc>
        <w:tc>
          <w:tcPr>
            <w:tcW w:w="1560" w:type="dxa"/>
          </w:tcPr>
          <w:p w:rsidR="00814261" w:rsidRPr="002602B0" w:rsidRDefault="00814261" w:rsidP="00785B09">
            <w:pPr>
              <w:jc w:val="center"/>
              <w:rPr>
                <w:b/>
                <w:sz w:val="16"/>
                <w:szCs w:val="16"/>
              </w:rPr>
            </w:pPr>
            <w:r w:rsidRPr="002602B0">
              <w:rPr>
                <w:b/>
                <w:sz w:val="16"/>
                <w:szCs w:val="16"/>
              </w:rPr>
              <w:t>Type of study</w:t>
            </w:r>
          </w:p>
        </w:tc>
        <w:tc>
          <w:tcPr>
            <w:tcW w:w="1559" w:type="dxa"/>
          </w:tcPr>
          <w:p w:rsidR="00814261" w:rsidRPr="002602B0" w:rsidRDefault="00814261" w:rsidP="00785B09">
            <w:pPr>
              <w:jc w:val="center"/>
              <w:rPr>
                <w:b/>
                <w:sz w:val="16"/>
                <w:szCs w:val="16"/>
              </w:rPr>
            </w:pPr>
            <w:r w:rsidRPr="002602B0">
              <w:rPr>
                <w:b/>
                <w:sz w:val="16"/>
                <w:szCs w:val="16"/>
              </w:rPr>
              <w:t>HF phenotype</w:t>
            </w:r>
          </w:p>
        </w:tc>
        <w:tc>
          <w:tcPr>
            <w:tcW w:w="1168" w:type="dxa"/>
          </w:tcPr>
          <w:p w:rsidR="00814261" w:rsidRPr="002602B0" w:rsidRDefault="00814261" w:rsidP="00785B09">
            <w:pPr>
              <w:jc w:val="center"/>
              <w:rPr>
                <w:b/>
                <w:sz w:val="16"/>
                <w:szCs w:val="16"/>
              </w:rPr>
            </w:pPr>
            <w:r w:rsidRPr="002602B0">
              <w:rPr>
                <w:b/>
                <w:sz w:val="16"/>
                <w:szCs w:val="16"/>
              </w:rPr>
              <w:t>Number of patients</w:t>
            </w:r>
          </w:p>
        </w:tc>
        <w:tc>
          <w:tcPr>
            <w:tcW w:w="1701" w:type="dxa"/>
          </w:tcPr>
          <w:p w:rsidR="00814261" w:rsidRPr="002602B0" w:rsidRDefault="00814261" w:rsidP="00785B09">
            <w:pPr>
              <w:jc w:val="center"/>
              <w:rPr>
                <w:b/>
                <w:sz w:val="16"/>
                <w:szCs w:val="16"/>
              </w:rPr>
            </w:pPr>
            <w:r w:rsidRPr="002602B0">
              <w:rPr>
                <w:b/>
                <w:sz w:val="16"/>
                <w:szCs w:val="16"/>
              </w:rPr>
              <w:t>NP measurements</w:t>
            </w:r>
          </w:p>
        </w:tc>
        <w:tc>
          <w:tcPr>
            <w:tcW w:w="1808" w:type="dxa"/>
          </w:tcPr>
          <w:p w:rsidR="00814261" w:rsidRPr="002602B0" w:rsidRDefault="00814261" w:rsidP="00785B09">
            <w:pPr>
              <w:jc w:val="center"/>
              <w:rPr>
                <w:b/>
                <w:sz w:val="16"/>
                <w:szCs w:val="16"/>
              </w:rPr>
            </w:pPr>
            <w:r w:rsidRPr="002602B0">
              <w:rPr>
                <w:b/>
                <w:sz w:val="16"/>
                <w:szCs w:val="16"/>
              </w:rPr>
              <w:t>Potential modifiers of BNP</w:t>
            </w:r>
          </w:p>
        </w:tc>
        <w:tc>
          <w:tcPr>
            <w:tcW w:w="4571" w:type="dxa"/>
          </w:tcPr>
          <w:p w:rsidR="00814261" w:rsidRPr="002602B0" w:rsidRDefault="00814261" w:rsidP="00785B09">
            <w:pPr>
              <w:jc w:val="center"/>
              <w:rPr>
                <w:b/>
                <w:sz w:val="16"/>
                <w:szCs w:val="16"/>
              </w:rPr>
            </w:pPr>
            <w:r w:rsidRPr="002602B0">
              <w:rPr>
                <w:b/>
                <w:sz w:val="16"/>
                <w:szCs w:val="16"/>
              </w:rPr>
              <w:t>Findings</w:t>
            </w:r>
          </w:p>
        </w:tc>
      </w:tr>
      <w:tr w:rsidR="00814261" w:rsidRPr="0074053D" w:rsidTr="00785B09">
        <w:tc>
          <w:tcPr>
            <w:tcW w:w="1809" w:type="dxa"/>
          </w:tcPr>
          <w:p w:rsidR="00814261" w:rsidRPr="0074053D" w:rsidRDefault="00814261" w:rsidP="00785B09">
            <w:pPr>
              <w:rPr>
                <w:b/>
                <w:sz w:val="16"/>
                <w:szCs w:val="16"/>
                <w:u w:val="single"/>
              </w:rPr>
            </w:pPr>
            <w:r>
              <w:rPr>
                <w:b/>
                <w:sz w:val="16"/>
                <w:szCs w:val="16"/>
                <w:u w:val="single"/>
              </w:rPr>
              <w:t xml:space="preserve">Masson et al 2008 </w:t>
            </w:r>
            <w:r>
              <w:rPr>
                <w:b/>
                <w:sz w:val="16"/>
                <w:szCs w:val="16"/>
                <w:u w:val="single"/>
              </w:rPr>
              <w:fldChar w:fldCharType="begin" w:fldLock="1"/>
            </w:r>
            <w:r>
              <w:rPr>
                <w:b/>
                <w:sz w:val="16"/>
                <w:szCs w:val="16"/>
                <w:u w:val="single"/>
              </w:rPr>
              <w:instrText>ADDIN CSL_CITATION { "citationItems" : [ { "id" : "ITEM-1", "itemData" : { "DOI" : "10.1016/j.jacc.2008.04.069", "ISBN" : "1558-3597 (Electronic)\\r0735-1097 (Linking)", "ISSN" : "07351097", "PMID" : "18786480", "abstract" : "Objectives: This study sought to evaluate the association between changes over time of N-terminal pro-brain natriuretic peptide (NT-proBNP) expressed in different ways and outcome in patients with stable and chronic heart failure (HF). Background: Although previous studies examined the prognostic value of repeated determinations of BNP in HF, there are only limited data on the clinical utility of serial measurements of the inactive peptide NT-proBNP in a large population of ambulatory patients with chronic HF with sufficient follow-up time. Methods: The NT-proBNP was measured at randomization and after 4 months in 1,742 patients enrolled in the placebo arm of Val-HeFT (Valsartan Heart Failure Trial). Changes in NT-proBNP concentrations over 4 months were expressed as absolute change from baseline, percent relative changes, or categorical changes across a threshold value and related to subsequent mortality. Results: A single determination of NT-proBNP (area under the curve at 4 months: 0.702, 95% confidence interval [CI]: 0.669 to 0.735) showed a higher prognostic discrimination than continuous changes of concentrations, expressed either as absolute (0.592, 95% CI: 0.549 to 0.634) or relative changes (0.602, 95% CI: 0.566 to 0.639). A Cox proportional hazards model showed that stratification of patients into 4 categories according to NT-proBNP levels at 2 time points 4 months apart with respect to a threshold concentration provided prognostic information in patients with chronic HF beyond that of a single determination. Conclusions: Serial determinations of NT-proBNP concentration and classification into few categories of changes according to threshold levels may be a superior strategy for risk stratification of patients with chronic and stable HF. ?? 2008 American College of Cardiology Foundation.", "author" : [ { "dropping-particle" : "", "family" : "Masson", "given" : "Serge", "non-dropping-particle" : "", "parse-names" : false, "suffix" : "" }, { "dropping-particle" : "", "family" : "Latini", "given" : "Roberto", "non-dropping-particle" : "", "parse-names" : false, "suffix" : "" }, { "dropping-particle" : "", "family" : "Anand", "given" : "Inder S.", "non-dropping-particle" : "", "parse-names" : false, "suffix" : "" }, { "dropping-particle" : "", "family" : "Barlera", "given" : "Simona", "non-dropping-particle" : "", "parse-names" : false, "suffix" : "" }, { "dropping-particle" : "", "family" : "Angelici", "given" : "Laura", "non-dropping-particle" : "", "parse-names" : false, "suffix" : "" }, { "dropping-particle" : "", "family" : "Vago", "given" : "Tarcisio", "non-dropping-particle" : "", "parse-names" : false, "suffix" : "" }, { "dropping-particle" : "", "family" : "Tognoni", "given" : "Gianni", "non-dropping-particle" : "", "parse-names" : false, "suffix" : "" }, { "dropping-particle" : "", "family" : "Cohn", "given" : "Jay N.", "non-dropping-particle" : "", "parse-names" : false, "suffix" : "" } ], "container-title" : "Journal of the American College of Cardiology", "id" : "ITEM-1", "issued" : { "date-parts" : [ [ "2008" ] ] }, "title" : "Prognostic Value of Changes in N-Terminal Pro-Brain Natriuretic Peptide in Val-HeFT (Valsartan Heart Failure Trial)", "type" : "article-journal" }, "uris" : [ "http://www.mendeley.com/documents/?uuid=afc29a59-3259-3901-a8a4-40ce08bd0580" ] } ], "mendeley" : { "formattedCitation" : "(9)", "plainTextFormattedCitation" : "(9)", "previouslyFormattedCitation" : "(9)" }, "properties" : { "noteIndex" : 0 }, "schema" : "https://github.com/citation-style-language/schema/raw/master/csl-citation.json" }</w:instrText>
            </w:r>
            <w:r>
              <w:rPr>
                <w:b/>
                <w:sz w:val="16"/>
                <w:szCs w:val="16"/>
                <w:u w:val="single"/>
              </w:rPr>
              <w:fldChar w:fldCharType="separate"/>
            </w:r>
            <w:r w:rsidRPr="00AF6D82">
              <w:rPr>
                <w:noProof/>
                <w:sz w:val="16"/>
                <w:szCs w:val="16"/>
              </w:rPr>
              <w:t>(9)</w:t>
            </w:r>
            <w:r>
              <w:rPr>
                <w:b/>
                <w:sz w:val="16"/>
                <w:szCs w:val="16"/>
                <w:u w:val="single"/>
              </w:rPr>
              <w:fldChar w:fldCharType="end"/>
            </w:r>
          </w:p>
        </w:tc>
        <w:tc>
          <w:tcPr>
            <w:tcW w:w="1560" w:type="dxa"/>
          </w:tcPr>
          <w:p w:rsidR="00814261" w:rsidRPr="0074053D" w:rsidRDefault="00814261" w:rsidP="00785B09">
            <w:pPr>
              <w:rPr>
                <w:sz w:val="16"/>
                <w:szCs w:val="16"/>
              </w:rPr>
            </w:pPr>
            <w:r>
              <w:rPr>
                <w:sz w:val="16"/>
                <w:szCs w:val="16"/>
              </w:rPr>
              <w:t>Placebo arm of Val-HF</w:t>
            </w:r>
          </w:p>
        </w:tc>
        <w:tc>
          <w:tcPr>
            <w:tcW w:w="1559" w:type="dxa"/>
          </w:tcPr>
          <w:p w:rsidR="00814261" w:rsidRPr="0074053D" w:rsidRDefault="00814261" w:rsidP="00785B09">
            <w:pPr>
              <w:rPr>
                <w:sz w:val="16"/>
                <w:szCs w:val="16"/>
              </w:rPr>
            </w:pPr>
            <w:r>
              <w:rPr>
                <w:sz w:val="16"/>
                <w:szCs w:val="16"/>
              </w:rPr>
              <w:t>LVEF &lt;40%</w:t>
            </w:r>
          </w:p>
        </w:tc>
        <w:tc>
          <w:tcPr>
            <w:tcW w:w="1168" w:type="dxa"/>
          </w:tcPr>
          <w:p w:rsidR="00814261" w:rsidRPr="0074053D" w:rsidRDefault="00814261" w:rsidP="00785B09">
            <w:pPr>
              <w:rPr>
                <w:sz w:val="16"/>
                <w:szCs w:val="16"/>
              </w:rPr>
            </w:pPr>
            <w:r>
              <w:rPr>
                <w:sz w:val="16"/>
                <w:szCs w:val="16"/>
              </w:rPr>
              <w:t>1,742</w:t>
            </w:r>
          </w:p>
        </w:tc>
        <w:tc>
          <w:tcPr>
            <w:tcW w:w="1701" w:type="dxa"/>
          </w:tcPr>
          <w:p w:rsidR="00814261" w:rsidRPr="0074053D" w:rsidRDefault="00814261" w:rsidP="00785B09">
            <w:pPr>
              <w:rPr>
                <w:sz w:val="16"/>
                <w:szCs w:val="16"/>
              </w:rPr>
            </w:pPr>
            <w:r>
              <w:rPr>
                <w:sz w:val="16"/>
                <w:szCs w:val="16"/>
              </w:rPr>
              <w:t>Baseline &amp; at 4 months</w:t>
            </w:r>
          </w:p>
        </w:tc>
        <w:tc>
          <w:tcPr>
            <w:tcW w:w="1808" w:type="dxa"/>
          </w:tcPr>
          <w:p w:rsidR="00814261" w:rsidRPr="0074053D" w:rsidRDefault="00814261" w:rsidP="00785B09">
            <w:pPr>
              <w:rPr>
                <w:sz w:val="16"/>
                <w:szCs w:val="16"/>
              </w:rPr>
            </w:pPr>
          </w:p>
        </w:tc>
        <w:tc>
          <w:tcPr>
            <w:tcW w:w="4571" w:type="dxa"/>
          </w:tcPr>
          <w:p w:rsidR="00814261" w:rsidRPr="00DF5200" w:rsidRDefault="00814261" w:rsidP="00785B09">
            <w:pPr>
              <w:rPr>
                <w:i/>
                <w:sz w:val="16"/>
                <w:szCs w:val="16"/>
              </w:rPr>
            </w:pPr>
            <w:r>
              <w:rPr>
                <w:sz w:val="16"/>
                <w:szCs w:val="16"/>
              </w:rPr>
              <w:t>Achieved NT-</w:t>
            </w:r>
            <w:proofErr w:type="spellStart"/>
            <w:r>
              <w:rPr>
                <w:sz w:val="16"/>
                <w:szCs w:val="16"/>
              </w:rPr>
              <w:t>proBNP</w:t>
            </w:r>
            <w:proofErr w:type="spellEnd"/>
            <w:r>
              <w:rPr>
                <w:sz w:val="16"/>
                <w:szCs w:val="16"/>
              </w:rPr>
              <w:t xml:space="preserve"> more important than change</w:t>
            </w:r>
            <w:r w:rsidRPr="00DF5200">
              <w:rPr>
                <w:i/>
                <w:sz w:val="16"/>
                <w:szCs w:val="16"/>
              </w:rPr>
              <w:t xml:space="preserve"> </w:t>
            </w:r>
          </w:p>
        </w:tc>
      </w:tr>
      <w:tr w:rsidR="00814261" w:rsidRPr="0074053D" w:rsidTr="00785B09">
        <w:tc>
          <w:tcPr>
            <w:tcW w:w="1809" w:type="dxa"/>
          </w:tcPr>
          <w:p w:rsidR="00814261" w:rsidRPr="0074053D" w:rsidRDefault="00814261" w:rsidP="00785B09">
            <w:pPr>
              <w:rPr>
                <w:b/>
                <w:sz w:val="16"/>
                <w:szCs w:val="16"/>
                <w:u w:val="single"/>
              </w:rPr>
            </w:pPr>
            <w:proofErr w:type="spellStart"/>
            <w:r>
              <w:rPr>
                <w:b/>
                <w:sz w:val="16"/>
                <w:szCs w:val="16"/>
                <w:u w:val="single"/>
              </w:rPr>
              <w:t>Anand</w:t>
            </w:r>
            <w:proofErr w:type="spellEnd"/>
            <w:r>
              <w:rPr>
                <w:b/>
                <w:sz w:val="16"/>
                <w:szCs w:val="16"/>
                <w:u w:val="single"/>
              </w:rPr>
              <w:t xml:space="preserve"> et al 2007</w:t>
            </w:r>
            <w:r>
              <w:rPr>
                <w:b/>
                <w:sz w:val="16"/>
                <w:szCs w:val="16"/>
                <w:u w:val="single"/>
              </w:rPr>
              <w:fldChar w:fldCharType="begin" w:fldLock="1"/>
            </w:r>
            <w:r>
              <w:rPr>
                <w:b/>
                <w:sz w:val="16"/>
                <w:szCs w:val="16"/>
                <w:u w:val="single"/>
              </w:rPr>
              <w:instrText>ADDIN CSL_CITATION { "citationItems" : [ { "id" : "ITEM-1", "itemData" : { "DOI" : "10.1161/01.CIR.0000054164.99881.00", "ISBN" : "0009-7322\\n1524-4539", "ISSN" : "00097322", "PMID" : "12628948", "abstract" : "BACKGROUND: Neurohormones are considered markers of heart failure progression. We examined whether changes in brain natriuretic peptide (BNP) and norepinephrine (NE) over time are associated with corresponding changes in mortality and morbidity in the Valsartan Heart Failure Trial. METHODS AND RESULTS: Plasma BNP and NE were measured before randomization and during follow-up in approximately 4300 patients in the Valsartan Heart Failure Trial. The relation between baseline BNP and NE and all-cause mortality and first morbid event (M&amp;M) was analyzed in subgroups, with values above and below the median, and by quartiles. The change and percent change from baseline to 4 and 12 months in BNP and NE were also analyzed by quartiles for subsequent M&amp;M. Risk ratios for M&amp;M were calculated using a Cox proportional hazard model. Risk ratio of M&amp;M for patients with baseline BNP or NE above the median was significantly higher than that for patients with values below the median. Baseline BNP and NE in quartiles also showed a quartile-dependent increase in M&amp;M. BNP had a stronger association with M&amp;M than NE. Patients with the greatest percent decrease in BNP and NE from baseline to 4 and 12 months had the lowest whereas patients with greatest percent increase in BNP and NE had the highest M&amp;M. CONCLUSIONS: Not only are plasma BNP and NE important predictors of heart failure M&amp;M, but changes in these neurohormones over time are associated with corresponding changes in M&amp;M. These data further reinforce their role as significant surrogate markers in HF and underscore the importance of including their measurement in HF trials.", "author" : [ { "dropping-particle" : "", "family" : "Anand", "given" : "Inder S.", "non-dropping-particle" : "", "parse-names" : false, "suffix" : "" }, { "dropping-particle" : "", "family" : "Fisher", "given" : "Lloyd D.", "non-dropping-particle" : "", "parse-names" : false, "suffix" : "" }, { "dropping-particle" : "", "family" : "Chiang", "given" : "Yann Tong", "non-dropping-particle" : "", "parse-names" : false, "suffix" : "" }, { "dropping-particle" : "", "family" : "Latini", "given" : "Roberto", "non-dropping-particle" : "", "parse-names" : false, "suffix" : "" }, { "dropping-particle" : "", "family" : "Masson", "given" : "Serge", "non-dropping-particle" : "", "parse-names" : false, "suffix" : "" }, { "dropping-particle" : "", "family" : "Maggioni", "given" : "Aldo P.", "non-dropping-particle" : "", "parse-names" : false, "suffix" : "" }, { "dropping-particle" : "", "family" : "Glazer", "given" : "Robert D.", "non-dropping-particle" : "", "parse-names" : false, "suffix" : "" }, { "dropping-particle" : "", "family" : "Tognoni", "given" : "Gianni", "non-dropping-particle" : "", "parse-names" : false, "suffix" : "" }, { "dropping-particle" : "", "family" : "Cohn", "given" : "Jay N.", "non-dropping-particle" : "", "parse-names" : false, "suffix" : "" } ], "container-title" : "Circulation", "id" : "ITEM-1", "issued" : { "date-parts" : [ [ "2003" ] ] }, "title" : "Changes in brain natriuretic peptide and norepinephrine over time and mortality and morbidity in the Valsartan Heart Failure Trial (Val-HeFT)", "type" : "article-journal" }, "uris" : [ "http://www.mendeley.com/documents/?uuid=aa4b01e0-8ef0-39e2-b1cd-c932c5d5e8fe" ] } ], "mendeley" : { "formattedCitation" : "(10)", "plainTextFormattedCitation" : "(10)", "previouslyFormattedCitation" : "(10)" }, "properties" : { "noteIndex" : 0 }, "schema" : "https://github.com/citation-style-language/schema/raw/master/csl-citation.json" }</w:instrText>
            </w:r>
            <w:r>
              <w:rPr>
                <w:b/>
                <w:sz w:val="16"/>
                <w:szCs w:val="16"/>
                <w:u w:val="single"/>
              </w:rPr>
              <w:fldChar w:fldCharType="separate"/>
            </w:r>
            <w:r w:rsidRPr="00AF6D82">
              <w:rPr>
                <w:noProof/>
                <w:sz w:val="16"/>
                <w:szCs w:val="16"/>
              </w:rPr>
              <w:t>(10)</w:t>
            </w:r>
            <w:r>
              <w:rPr>
                <w:b/>
                <w:sz w:val="16"/>
                <w:szCs w:val="16"/>
                <w:u w:val="single"/>
              </w:rPr>
              <w:fldChar w:fldCharType="end"/>
            </w:r>
            <w:r>
              <w:rPr>
                <w:b/>
                <w:sz w:val="16"/>
                <w:szCs w:val="16"/>
                <w:u w:val="single"/>
              </w:rPr>
              <w:t xml:space="preserve"> </w:t>
            </w:r>
          </w:p>
        </w:tc>
        <w:tc>
          <w:tcPr>
            <w:tcW w:w="1560" w:type="dxa"/>
          </w:tcPr>
          <w:p w:rsidR="00814261" w:rsidRPr="0074053D" w:rsidRDefault="00814261" w:rsidP="00785B09">
            <w:pPr>
              <w:rPr>
                <w:sz w:val="16"/>
                <w:szCs w:val="16"/>
              </w:rPr>
            </w:pPr>
            <w:r>
              <w:rPr>
                <w:sz w:val="16"/>
                <w:szCs w:val="16"/>
              </w:rPr>
              <w:t xml:space="preserve">RCT Val-HF </w:t>
            </w:r>
          </w:p>
          <w:p w:rsidR="00814261" w:rsidRPr="0074053D" w:rsidRDefault="00814261" w:rsidP="00785B09">
            <w:pPr>
              <w:rPr>
                <w:sz w:val="16"/>
                <w:szCs w:val="16"/>
              </w:rPr>
            </w:pPr>
          </w:p>
          <w:p w:rsidR="00814261" w:rsidRPr="0074053D" w:rsidRDefault="00814261" w:rsidP="00785B09">
            <w:pPr>
              <w:rPr>
                <w:sz w:val="16"/>
                <w:szCs w:val="16"/>
              </w:rPr>
            </w:pPr>
          </w:p>
          <w:p w:rsidR="00814261" w:rsidRPr="0074053D" w:rsidRDefault="00814261" w:rsidP="00785B09">
            <w:pPr>
              <w:rPr>
                <w:sz w:val="16"/>
                <w:szCs w:val="16"/>
              </w:rPr>
            </w:pPr>
          </w:p>
          <w:p w:rsidR="00814261" w:rsidRPr="0074053D" w:rsidRDefault="00814261" w:rsidP="00785B09">
            <w:pPr>
              <w:jc w:val="center"/>
              <w:rPr>
                <w:sz w:val="16"/>
                <w:szCs w:val="16"/>
              </w:rPr>
            </w:pPr>
          </w:p>
        </w:tc>
        <w:tc>
          <w:tcPr>
            <w:tcW w:w="1559" w:type="dxa"/>
          </w:tcPr>
          <w:p w:rsidR="00814261" w:rsidRPr="0074053D" w:rsidRDefault="00814261" w:rsidP="00785B09">
            <w:pPr>
              <w:rPr>
                <w:sz w:val="16"/>
                <w:szCs w:val="16"/>
              </w:rPr>
            </w:pPr>
            <w:r>
              <w:rPr>
                <w:sz w:val="16"/>
                <w:szCs w:val="16"/>
              </w:rPr>
              <w:t>LVEF&lt;40%</w:t>
            </w:r>
          </w:p>
        </w:tc>
        <w:tc>
          <w:tcPr>
            <w:tcW w:w="1168" w:type="dxa"/>
          </w:tcPr>
          <w:p w:rsidR="00814261" w:rsidRPr="0074053D" w:rsidRDefault="00814261" w:rsidP="00785B09">
            <w:pPr>
              <w:rPr>
                <w:sz w:val="16"/>
                <w:szCs w:val="16"/>
              </w:rPr>
            </w:pPr>
            <w:r>
              <w:rPr>
                <w:sz w:val="16"/>
                <w:szCs w:val="16"/>
              </w:rPr>
              <w:t>4,305</w:t>
            </w:r>
          </w:p>
        </w:tc>
        <w:tc>
          <w:tcPr>
            <w:tcW w:w="1701" w:type="dxa"/>
          </w:tcPr>
          <w:p w:rsidR="00814261" w:rsidRPr="0074053D" w:rsidRDefault="00814261" w:rsidP="00785B09">
            <w:pPr>
              <w:rPr>
                <w:sz w:val="16"/>
                <w:szCs w:val="16"/>
              </w:rPr>
            </w:pPr>
            <w:r>
              <w:rPr>
                <w:sz w:val="16"/>
                <w:szCs w:val="16"/>
              </w:rPr>
              <w:t>Baseline, to 4 months and 12 months</w:t>
            </w:r>
          </w:p>
        </w:tc>
        <w:tc>
          <w:tcPr>
            <w:tcW w:w="1808" w:type="dxa"/>
          </w:tcPr>
          <w:p w:rsidR="00814261" w:rsidRPr="0074053D" w:rsidRDefault="00814261" w:rsidP="00785B09">
            <w:pPr>
              <w:rPr>
                <w:sz w:val="16"/>
                <w:szCs w:val="16"/>
              </w:rPr>
            </w:pPr>
            <w:r>
              <w:rPr>
                <w:sz w:val="16"/>
                <w:szCs w:val="16"/>
              </w:rPr>
              <w:t>Valsartan caused a sustained reduction in BNP regardless of trend</w:t>
            </w:r>
          </w:p>
        </w:tc>
        <w:tc>
          <w:tcPr>
            <w:tcW w:w="4571" w:type="dxa"/>
          </w:tcPr>
          <w:p w:rsidR="00814261" w:rsidRDefault="00814261" w:rsidP="00785B09">
            <w:pPr>
              <w:rPr>
                <w:sz w:val="16"/>
                <w:szCs w:val="16"/>
              </w:rPr>
            </w:pPr>
            <w:r>
              <w:rPr>
                <w:sz w:val="16"/>
                <w:szCs w:val="16"/>
              </w:rPr>
              <w:t>BNP changes over time are associated with corresponding changes in subsequent mortality and morbidity</w:t>
            </w:r>
          </w:p>
          <w:p w:rsidR="00814261" w:rsidRDefault="00814261" w:rsidP="00785B09">
            <w:pPr>
              <w:rPr>
                <w:sz w:val="16"/>
                <w:szCs w:val="16"/>
              </w:rPr>
            </w:pPr>
          </w:p>
          <w:p w:rsidR="00814261" w:rsidRPr="00F2535E" w:rsidRDefault="00814261" w:rsidP="00785B09">
            <w:pPr>
              <w:rPr>
                <w:i/>
                <w:sz w:val="16"/>
                <w:szCs w:val="16"/>
              </w:rPr>
            </w:pPr>
            <w:r>
              <w:rPr>
                <w:i/>
                <w:sz w:val="16"/>
                <w:szCs w:val="16"/>
              </w:rPr>
              <w:t>% change are relevant for morbidity and mortality</w:t>
            </w:r>
          </w:p>
        </w:tc>
      </w:tr>
      <w:tr w:rsidR="00814261" w:rsidRPr="0074053D" w:rsidTr="00785B09">
        <w:tc>
          <w:tcPr>
            <w:tcW w:w="1809" w:type="dxa"/>
          </w:tcPr>
          <w:p w:rsidR="00814261" w:rsidRPr="0074053D" w:rsidRDefault="00814261" w:rsidP="00785B09">
            <w:pPr>
              <w:rPr>
                <w:b/>
                <w:sz w:val="16"/>
                <w:szCs w:val="16"/>
                <w:u w:val="single"/>
              </w:rPr>
            </w:pPr>
            <w:proofErr w:type="spellStart"/>
            <w:r>
              <w:rPr>
                <w:b/>
                <w:sz w:val="16"/>
                <w:szCs w:val="16"/>
                <w:u w:val="single"/>
              </w:rPr>
              <w:t>Zile</w:t>
            </w:r>
            <w:proofErr w:type="spellEnd"/>
            <w:r>
              <w:rPr>
                <w:b/>
                <w:sz w:val="16"/>
                <w:szCs w:val="16"/>
                <w:u w:val="single"/>
              </w:rPr>
              <w:t xml:space="preserve"> et al, 2006</w:t>
            </w:r>
            <w:r>
              <w:rPr>
                <w:b/>
                <w:sz w:val="16"/>
                <w:szCs w:val="16"/>
                <w:u w:val="single"/>
              </w:rPr>
              <w:fldChar w:fldCharType="begin" w:fldLock="1"/>
            </w:r>
            <w:r>
              <w:rPr>
                <w:b/>
                <w:sz w:val="16"/>
                <w:szCs w:val="16"/>
                <w:u w:val="single"/>
              </w:rPr>
              <w:instrText>ADDIN CSL_CITATION { "citationItems" : [ { "id" : "ITEM-1", "itemData" : { "DOI" : "10.1016/j.jacc.2016.09.931", "abstract" : "BACKGROUND Natriuretic peptides (NP) have prognostic value in heart failure (HF), although the clinical importance", "author" : [ { "dropping-particle" : "", "family" : "Zile", "given" : "Michael R", "non-dropping-particle" : "", "parse-names" : false, "suffix" : "" }, { "dropping-particle" : "", "family" : "Claggett", "given" : "Brian L", "non-dropping-particle" : "", "parse-names" : false, "suffix" : "" }, { "dropping-particle" : "", "family" : "Prescott", "given" : "Margaret F", "non-dropping-particle" : "", "parse-names" : false, "suffix" : "" }, { "dropping-particle" : "V", "family" : "Mcmurray", "given" : "John J", "non-dropping-particle" : "", "parse-names" : false, "suffix" : "" }, { "dropping-particle" : "", "family" : "Packer", "given" : "Milton", "non-dropping-particle" : "", "parse-names" : false, "suffix" : "" }, { "dropping-particle" : "", "family" : "Rouleau", "given" : "Jean L", "non-dropping-particle" : "", "parse-names" : false, "suffix" : "" }, { "dropping-particle" : "", "family" : "Swedberg", "given" : "Karl", "non-dropping-particle" : "", "parse-names" : false, "suffix" : "" }, { "dropping-particle" : "", "family" : "Desai", "given" : "Akshay S", "non-dropping-particle" : "", "parse-names" : false, "suffix" : "" }, { "dropping-particle" : "", "family" : "Gong", "given" : "Jianjian", "non-dropping-particle" : "", "parse-names" : false, "suffix" : "" }, { "dropping-particle" : "", "family" : "Shi", "given" : "Victor C", "non-dropping-particle" : "", "parse-names" : false, "suffix" : "" }, { "dropping-particle" : "", "family" : "Solomon", "given" : "Scott D", "non-dropping-particle" : "", "parse-names" : false, "suffix" : "" } ], "container-title" : "Journal of the American College of Cardiology", "id" : "ITEM-1", "issued" : { "date-parts" : [ [ "2016" ] ] }, "page" : "2425-2436", "title" : "Prognostic Implications of Changes in N-Terminal Pro-B-Type Natriuretic Peptide in Patients With Heart Failure", "type" : "article-journal", "volume" : "68" }, "uris" : [ "http://www.mendeley.com/documents/?uuid=9c68cddd-440b-34cf-a79b-d31c0254dd0d" ] } ], "mendeley" : { "formattedCitation" : "(11)", "plainTextFormattedCitation" : "(11)", "previouslyFormattedCitation" : "(11)" }, "properties" : { "noteIndex" : 0 }, "schema" : "https://github.com/citation-style-language/schema/raw/master/csl-citation.json" }</w:instrText>
            </w:r>
            <w:r>
              <w:rPr>
                <w:b/>
                <w:sz w:val="16"/>
                <w:szCs w:val="16"/>
                <w:u w:val="single"/>
              </w:rPr>
              <w:fldChar w:fldCharType="separate"/>
            </w:r>
            <w:r w:rsidRPr="00AF6D82">
              <w:rPr>
                <w:noProof/>
                <w:sz w:val="16"/>
                <w:szCs w:val="16"/>
              </w:rPr>
              <w:t>(11)</w:t>
            </w:r>
            <w:r>
              <w:rPr>
                <w:b/>
                <w:sz w:val="16"/>
                <w:szCs w:val="16"/>
                <w:u w:val="single"/>
              </w:rPr>
              <w:fldChar w:fldCharType="end"/>
            </w:r>
          </w:p>
        </w:tc>
        <w:tc>
          <w:tcPr>
            <w:tcW w:w="1560" w:type="dxa"/>
          </w:tcPr>
          <w:p w:rsidR="00814261" w:rsidRPr="0074053D" w:rsidRDefault="00814261" w:rsidP="00785B09">
            <w:pPr>
              <w:rPr>
                <w:sz w:val="16"/>
                <w:szCs w:val="16"/>
              </w:rPr>
            </w:pPr>
            <w:r>
              <w:rPr>
                <w:sz w:val="16"/>
                <w:szCs w:val="16"/>
              </w:rPr>
              <w:t>RCT PARADIGM-HF</w:t>
            </w:r>
          </w:p>
        </w:tc>
        <w:tc>
          <w:tcPr>
            <w:tcW w:w="1559" w:type="dxa"/>
          </w:tcPr>
          <w:p w:rsidR="00814261" w:rsidRPr="00D146EC" w:rsidRDefault="00814261" w:rsidP="00785B09">
            <w:pPr>
              <w:spacing w:after="160" w:line="259" w:lineRule="auto"/>
              <w:rPr>
                <w:sz w:val="16"/>
                <w:szCs w:val="16"/>
              </w:rPr>
            </w:pPr>
            <w:r w:rsidRPr="00D146EC">
              <w:rPr>
                <w:sz w:val="16"/>
                <w:szCs w:val="16"/>
              </w:rPr>
              <w:t>LVEF &lt;35%</w:t>
            </w:r>
          </w:p>
          <w:p w:rsidR="00814261" w:rsidRPr="00D146EC" w:rsidRDefault="00814261" w:rsidP="00785B09">
            <w:pPr>
              <w:spacing w:after="160" w:line="259" w:lineRule="auto"/>
              <w:rPr>
                <w:sz w:val="16"/>
                <w:szCs w:val="16"/>
              </w:rPr>
            </w:pPr>
            <w:r w:rsidRPr="00D146EC">
              <w:rPr>
                <w:sz w:val="16"/>
                <w:szCs w:val="16"/>
              </w:rPr>
              <w:t>BNP &gt;100pg/ml</w:t>
            </w:r>
          </w:p>
          <w:p w:rsidR="00814261" w:rsidRPr="0074053D" w:rsidRDefault="00814261" w:rsidP="00785B09">
            <w:pPr>
              <w:rPr>
                <w:sz w:val="16"/>
                <w:szCs w:val="16"/>
              </w:rPr>
            </w:pPr>
            <w:r w:rsidRPr="00D146EC">
              <w:rPr>
                <w:sz w:val="16"/>
                <w:szCs w:val="16"/>
              </w:rPr>
              <w:t>NT-</w:t>
            </w:r>
            <w:proofErr w:type="spellStart"/>
            <w:r w:rsidRPr="00D146EC">
              <w:rPr>
                <w:sz w:val="16"/>
                <w:szCs w:val="16"/>
              </w:rPr>
              <w:t>proBNP</w:t>
            </w:r>
            <w:proofErr w:type="spellEnd"/>
            <w:r w:rsidRPr="00D146EC">
              <w:rPr>
                <w:sz w:val="16"/>
                <w:szCs w:val="16"/>
              </w:rPr>
              <w:t>&gt;400pg/ml</w:t>
            </w:r>
          </w:p>
        </w:tc>
        <w:tc>
          <w:tcPr>
            <w:tcW w:w="1168" w:type="dxa"/>
          </w:tcPr>
          <w:p w:rsidR="00814261" w:rsidRPr="0074053D" w:rsidRDefault="00814261" w:rsidP="00785B09">
            <w:pPr>
              <w:rPr>
                <w:sz w:val="16"/>
                <w:szCs w:val="16"/>
              </w:rPr>
            </w:pPr>
            <w:r>
              <w:rPr>
                <w:sz w:val="16"/>
                <w:szCs w:val="16"/>
              </w:rPr>
              <w:t>2,080</w:t>
            </w:r>
          </w:p>
        </w:tc>
        <w:tc>
          <w:tcPr>
            <w:tcW w:w="1701" w:type="dxa"/>
          </w:tcPr>
          <w:p w:rsidR="00814261" w:rsidRPr="0074053D" w:rsidRDefault="00814261" w:rsidP="00785B09">
            <w:pPr>
              <w:rPr>
                <w:sz w:val="16"/>
                <w:szCs w:val="16"/>
              </w:rPr>
            </w:pPr>
            <w:r>
              <w:rPr>
                <w:sz w:val="16"/>
                <w:szCs w:val="16"/>
              </w:rPr>
              <w:t>Baseline, 1 month and 8 months</w:t>
            </w:r>
          </w:p>
        </w:tc>
        <w:tc>
          <w:tcPr>
            <w:tcW w:w="1808" w:type="dxa"/>
          </w:tcPr>
          <w:p w:rsidR="00814261" w:rsidRPr="0074053D" w:rsidRDefault="00814261" w:rsidP="00785B09">
            <w:pPr>
              <w:rPr>
                <w:sz w:val="16"/>
                <w:szCs w:val="16"/>
              </w:rPr>
            </w:pPr>
            <w:proofErr w:type="spellStart"/>
            <w:r>
              <w:rPr>
                <w:sz w:val="16"/>
                <w:szCs w:val="16"/>
              </w:rPr>
              <w:t>Sacubitril</w:t>
            </w:r>
            <w:proofErr w:type="spellEnd"/>
            <w:r>
              <w:rPr>
                <w:sz w:val="16"/>
                <w:szCs w:val="16"/>
              </w:rPr>
              <w:t xml:space="preserve">/valsartan nearly twice as likely as </w:t>
            </w:r>
            <w:proofErr w:type="spellStart"/>
            <w:r>
              <w:rPr>
                <w:sz w:val="16"/>
                <w:szCs w:val="16"/>
              </w:rPr>
              <w:t>enalapril</w:t>
            </w:r>
            <w:proofErr w:type="spellEnd"/>
            <w:r>
              <w:rPr>
                <w:sz w:val="16"/>
                <w:szCs w:val="16"/>
              </w:rPr>
              <w:t xml:space="preserve"> to reduce NT-</w:t>
            </w:r>
            <w:proofErr w:type="spellStart"/>
            <w:r>
              <w:rPr>
                <w:sz w:val="16"/>
                <w:szCs w:val="16"/>
              </w:rPr>
              <w:t>proBNP</w:t>
            </w:r>
            <w:proofErr w:type="spellEnd"/>
            <w:r>
              <w:rPr>
                <w:sz w:val="16"/>
                <w:szCs w:val="16"/>
              </w:rPr>
              <w:t xml:space="preserve"> to values &lt; 1,000pg/ml</w:t>
            </w:r>
          </w:p>
        </w:tc>
        <w:tc>
          <w:tcPr>
            <w:tcW w:w="4571" w:type="dxa"/>
          </w:tcPr>
          <w:p w:rsidR="00814261" w:rsidRDefault="00814261" w:rsidP="00785B09">
            <w:pPr>
              <w:rPr>
                <w:sz w:val="16"/>
                <w:szCs w:val="16"/>
              </w:rPr>
            </w:pPr>
            <w:r>
              <w:rPr>
                <w:sz w:val="16"/>
                <w:szCs w:val="16"/>
              </w:rPr>
              <w:t>Percent reduction from baseline similarly important, regardless of treatment.</w:t>
            </w:r>
          </w:p>
          <w:p w:rsidR="00814261" w:rsidRDefault="00814261" w:rsidP="00785B09">
            <w:pPr>
              <w:rPr>
                <w:sz w:val="16"/>
                <w:szCs w:val="16"/>
              </w:rPr>
            </w:pPr>
          </w:p>
          <w:p w:rsidR="00814261" w:rsidRPr="00FA2D64" w:rsidRDefault="00814261" w:rsidP="00785B09">
            <w:pPr>
              <w:rPr>
                <w:sz w:val="16"/>
                <w:szCs w:val="16"/>
              </w:rPr>
            </w:pPr>
            <w:r>
              <w:rPr>
                <w:sz w:val="16"/>
                <w:szCs w:val="16"/>
              </w:rPr>
              <w:t>Risk of primary endpoint was 59% lower in patients with a fall in NT-</w:t>
            </w:r>
            <w:proofErr w:type="spellStart"/>
            <w:r>
              <w:rPr>
                <w:sz w:val="16"/>
                <w:szCs w:val="16"/>
              </w:rPr>
              <w:t>proBNP</w:t>
            </w:r>
            <w:proofErr w:type="spellEnd"/>
            <w:r>
              <w:rPr>
                <w:sz w:val="16"/>
                <w:szCs w:val="16"/>
              </w:rPr>
              <w:t xml:space="preserve"> to &lt;1,000pg/ml than in those without such a fall.</w:t>
            </w:r>
          </w:p>
        </w:tc>
      </w:tr>
      <w:tr w:rsidR="00814261" w:rsidRPr="0074053D" w:rsidTr="00785B09">
        <w:tc>
          <w:tcPr>
            <w:tcW w:w="1809" w:type="dxa"/>
          </w:tcPr>
          <w:p w:rsidR="00814261" w:rsidRPr="001A6ED3" w:rsidRDefault="00814261" w:rsidP="00785B09">
            <w:pPr>
              <w:rPr>
                <w:b/>
                <w:sz w:val="16"/>
                <w:szCs w:val="16"/>
                <w:u w:val="single"/>
              </w:rPr>
            </w:pPr>
            <w:proofErr w:type="spellStart"/>
            <w:r>
              <w:rPr>
                <w:b/>
                <w:sz w:val="16"/>
                <w:szCs w:val="16"/>
                <w:u w:val="single"/>
              </w:rPr>
              <w:t>Kubanek</w:t>
            </w:r>
            <w:proofErr w:type="spellEnd"/>
            <w:r>
              <w:rPr>
                <w:b/>
                <w:sz w:val="16"/>
                <w:szCs w:val="16"/>
                <w:u w:val="single"/>
              </w:rPr>
              <w:t xml:space="preserve"> et al 2009</w:t>
            </w:r>
            <w:r>
              <w:rPr>
                <w:b/>
                <w:sz w:val="16"/>
                <w:szCs w:val="16"/>
                <w:u w:val="single"/>
              </w:rPr>
              <w:fldChar w:fldCharType="begin" w:fldLock="1"/>
            </w:r>
            <w:r>
              <w:rPr>
                <w:b/>
                <w:sz w:val="16"/>
                <w:szCs w:val="16"/>
                <w:u w:val="single"/>
              </w:rPr>
              <w:instrText>ADDIN CSL_CITATION { "citationItems" : [ { "id" : "ITEM-1", "itemData" : { "author" : [ { "dropping-particle" : "", "family" : "Kubanek, Milos.; Goode, Kevin M..; Lanska, Vera.; Clark, Andrew L.; Cleland", "given" : "John G.F.", "non-dropping-particle" : "", "parse-names" : false, "suffix" : "" } ], "container-title" : "European Journal of Heart Failure", "id" : "ITEM-1", "issued" : { "date-parts" : [ [ "2009" ] ] }, "page" : "367-377", "title" : "The prognostic value of repeated measurement of N-terminal pro-B-type natriuretic peptide in patients with chronic heart failure due to left ventricular systolic dysfunction", "type" : "article-journal", "volume" : "11" }, "uris" : [ "http://www.mendeley.com/documents/?uuid=c34f010f-3e90-3209-b3f3-70c3d3072153" ] } ], "mendeley" : { "formattedCitation" : "(12)", "plainTextFormattedCitation" : "(12)", "previouslyFormattedCitation" : "(12)" }, "properties" : { "noteIndex" : 0 }, "schema" : "https://github.com/citation-style-language/schema/raw/master/csl-citation.json" }</w:instrText>
            </w:r>
            <w:r>
              <w:rPr>
                <w:b/>
                <w:sz w:val="16"/>
                <w:szCs w:val="16"/>
                <w:u w:val="single"/>
              </w:rPr>
              <w:fldChar w:fldCharType="separate"/>
            </w:r>
            <w:r w:rsidRPr="00AF6D82">
              <w:rPr>
                <w:noProof/>
                <w:sz w:val="16"/>
                <w:szCs w:val="16"/>
              </w:rPr>
              <w:t>(12)</w:t>
            </w:r>
            <w:r>
              <w:rPr>
                <w:b/>
                <w:sz w:val="16"/>
                <w:szCs w:val="16"/>
                <w:u w:val="single"/>
              </w:rPr>
              <w:fldChar w:fldCharType="end"/>
            </w:r>
            <w:r>
              <w:rPr>
                <w:b/>
                <w:sz w:val="16"/>
                <w:szCs w:val="16"/>
                <w:u w:val="single"/>
              </w:rPr>
              <w:t xml:space="preserve"> </w:t>
            </w:r>
          </w:p>
        </w:tc>
        <w:tc>
          <w:tcPr>
            <w:tcW w:w="1560" w:type="dxa"/>
          </w:tcPr>
          <w:p w:rsidR="00814261" w:rsidRPr="001A6ED3" w:rsidRDefault="00814261" w:rsidP="00785B09">
            <w:pPr>
              <w:rPr>
                <w:sz w:val="16"/>
                <w:szCs w:val="16"/>
              </w:rPr>
            </w:pPr>
            <w:r>
              <w:rPr>
                <w:sz w:val="16"/>
                <w:szCs w:val="16"/>
              </w:rPr>
              <w:t>Observational</w:t>
            </w:r>
          </w:p>
        </w:tc>
        <w:tc>
          <w:tcPr>
            <w:tcW w:w="1559" w:type="dxa"/>
          </w:tcPr>
          <w:p w:rsidR="00814261" w:rsidRDefault="00814261" w:rsidP="00785B09">
            <w:pPr>
              <w:rPr>
                <w:sz w:val="16"/>
                <w:szCs w:val="16"/>
              </w:rPr>
            </w:pPr>
            <w:r>
              <w:rPr>
                <w:sz w:val="16"/>
                <w:szCs w:val="16"/>
              </w:rPr>
              <w:t>LVEF&lt;45%</w:t>
            </w:r>
          </w:p>
        </w:tc>
        <w:tc>
          <w:tcPr>
            <w:tcW w:w="1168" w:type="dxa"/>
          </w:tcPr>
          <w:p w:rsidR="00814261" w:rsidRDefault="00814261" w:rsidP="00785B09">
            <w:pPr>
              <w:rPr>
                <w:sz w:val="16"/>
                <w:szCs w:val="16"/>
              </w:rPr>
            </w:pPr>
            <w:r>
              <w:rPr>
                <w:sz w:val="16"/>
                <w:szCs w:val="16"/>
              </w:rPr>
              <w:t>361</w:t>
            </w:r>
          </w:p>
        </w:tc>
        <w:tc>
          <w:tcPr>
            <w:tcW w:w="1701" w:type="dxa"/>
          </w:tcPr>
          <w:p w:rsidR="00814261" w:rsidRDefault="00814261" w:rsidP="00785B09">
            <w:pPr>
              <w:rPr>
                <w:sz w:val="16"/>
                <w:szCs w:val="16"/>
              </w:rPr>
            </w:pPr>
            <w:r>
              <w:rPr>
                <w:sz w:val="16"/>
                <w:szCs w:val="16"/>
              </w:rPr>
              <w:t>Baseline, 4</w:t>
            </w:r>
            <w:r w:rsidRPr="00F2535E">
              <w:rPr>
                <w:sz w:val="16"/>
                <w:szCs w:val="16"/>
                <w:vertAlign w:val="superscript"/>
              </w:rPr>
              <w:t>th</w:t>
            </w:r>
            <w:r>
              <w:rPr>
                <w:sz w:val="16"/>
                <w:szCs w:val="16"/>
              </w:rPr>
              <w:t xml:space="preserve"> month and 6</w:t>
            </w:r>
            <w:r w:rsidRPr="00F2535E">
              <w:rPr>
                <w:sz w:val="16"/>
                <w:szCs w:val="16"/>
                <w:vertAlign w:val="superscript"/>
              </w:rPr>
              <w:t>th</w:t>
            </w:r>
            <w:r>
              <w:rPr>
                <w:sz w:val="16"/>
                <w:szCs w:val="16"/>
              </w:rPr>
              <w:t xml:space="preserve"> month</w:t>
            </w:r>
          </w:p>
        </w:tc>
        <w:tc>
          <w:tcPr>
            <w:tcW w:w="1808" w:type="dxa"/>
          </w:tcPr>
          <w:p w:rsidR="00814261" w:rsidRPr="0074053D" w:rsidRDefault="00814261" w:rsidP="00785B09">
            <w:pPr>
              <w:rPr>
                <w:sz w:val="16"/>
                <w:szCs w:val="16"/>
              </w:rPr>
            </w:pPr>
          </w:p>
        </w:tc>
        <w:tc>
          <w:tcPr>
            <w:tcW w:w="4571" w:type="dxa"/>
          </w:tcPr>
          <w:p w:rsidR="00814261" w:rsidRPr="00F2535E" w:rsidRDefault="00814261" w:rsidP="00785B09">
            <w:pPr>
              <w:spacing w:after="160" w:line="259" w:lineRule="auto"/>
              <w:rPr>
                <w:sz w:val="16"/>
                <w:szCs w:val="16"/>
              </w:rPr>
            </w:pPr>
            <w:r w:rsidRPr="00F2535E">
              <w:rPr>
                <w:sz w:val="16"/>
                <w:szCs w:val="16"/>
              </w:rPr>
              <w:t>Plasma NT-</w:t>
            </w:r>
            <w:proofErr w:type="spellStart"/>
            <w:r w:rsidRPr="00F2535E">
              <w:rPr>
                <w:sz w:val="16"/>
                <w:szCs w:val="16"/>
              </w:rPr>
              <w:t>proBNP</w:t>
            </w:r>
            <w:proofErr w:type="spellEnd"/>
            <w:r w:rsidRPr="00F2535E">
              <w:rPr>
                <w:sz w:val="16"/>
                <w:szCs w:val="16"/>
              </w:rPr>
              <w:t xml:space="preserve"> levels are the strongest predictor of mortality and first unplanned CV hospitalisation.</w:t>
            </w:r>
          </w:p>
          <w:p w:rsidR="00814261" w:rsidRDefault="00814261" w:rsidP="00785B09">
            <w:pPr>
              <w:rPr>
                <w:sz w:val="16"/>
                <w:szCs w:val="16"/>
              </w:rPr>
            </w:pPr>
            <w:r w:rsidRPr="00F2535E">
              <w:rPr>
                <w:sz w:val="16"/>
                <w:szCs w:val="16"/>
              </w:rPr>
              <w:t>NT-</w:t>
            </w:r>
            <w:proofErr w:type="spellStart"/>
            <w:r w:rsidRPr="00F2535E">
              <w:rPr>
                <w:sz w:val="16"/>
                <w:szCs w:val="16"/>
              </w:rPr>
              <w:t>proBNP</w:t>
            </w:r>
            <w:proofErr w:type="spellEnd"/>
            <w:r w:rsidRPr="00F2535E">
              <w:rPr>
                <w:sz w:val="16"/>
                <w:szCs w:val="16"/>
              </w:rPr>
              <w:t xml:space="preserve"> levels after optimization of pharmacotherapy better predict subsequent mortality and CV hospitalization events than baseline values or change between baseline and follow-up</w:t>
            </w:r>
          </w:p>
        </w:tc>
      </w:tr>
      <w:tr w:rsidR="00814261" w:rsidRPr="0074053D" w:rsidTr="00785B09">
        <w:tc>
          <w:tcPr>
            <w:tcW w:w="1809" w:type="dxa"/>
          </w:tcPr>
          <w:p w:rsidR="00814261" w:rsidRDefault="00814261" w:rsidP="00785B09">
            <w:pPr>
              <w:rPr>
                <w:b/>
                <w:sz w:val="16"/>
                <w:szCs w:val="16"/>
                <w:u w:val="single"/>
              </w:rPr>
            </w:pPr>
            <w:r>
              <w:rPr>
                <w:b/>
                <w:sz w:val="16"/>
                <w:szCs w:val="16"/>
                <w:u w:val="single"/>
              </w:rPr>
              <w:t>Gardner et al, 2007</w:t>
            </w:r>
            <w:r>
              <w:rPr>
                <w:b/>
                <w:sz w:val="16"/>
                <w:szCs w:val="16"/>
                <w:u w:val="single"/>
              </w:rPr>
              <w:fldChar w:fldCharType="begin" w:fldLock="1"/>
            </w:r>
            <w:r>
              <w:rPr>
                <w:b/>
                <w:sz w:val="16"/>
                <w:szCs w:val="16"/>
                <w:u w:val="single"/>
              </w:rPr>
              <w:instrText>ADDIN CSL_CITATION { "citationItems" : [ { "id" : "ITEM-1", "itemData" : { "DOI" : "10.1016/j.ejheart.2006.07.002", "ISSN" : "13889842", "PMID" : "17023207", "abstract" : "Background: The prognosis of chronic heart failure has improved with modern medical therapy. However, identifying those patients who fail to respond to such therapy and therefore those who remain at high risk is notoriously difficult. The B-type natriuretic peptides are established independent predictors of prognosis in CHF. However, the relevance of a change in NT-proBNP concentration over time in advanced heart failure is unknown. Methods: We prospectively studied 133 patients with advanced CHF referred for consideration of cardiac transplantation. Plasma for NT-proBNP analysis was sampled at baseline and a median of 4??months later in the 112 patients surviving without cardiac transplantation. Patients were followed up for a median of 1003??days. Results: The primary endpoint of all-cause mortality occurred in 30 (26.8%) patients. Those subjects who had the highest NT-proBNP concentration at 4??months were at the greatest risk of death (log rank statistic = 10.4, p = 0.001). On Cox regression analysis, both a NT-proBNP concentration above the median and an absolute increase in NT-proBNP were independent predictors of mortality (??2 = 53, p &lt; 0.0001 and ??2 = 17.3, p &lt; 0.0001, respectively). Conclusion: A single NT-proBNP concentration above the median and a change in NT-proBNP concentration over a 4-month period were independent predictors of mortality in patients with advanced heart failure. ?? 2006 European Society of Cardiology.", "author" : [ { "dropping-particle" : "", "family" : "Gardner", "given" : "Roy S.", "non-dropping-particle" : "", "parse-names" : false, "suffix" : "" }, { "dropping-particle" : "", "family" : "Chong", "given" : "Kwok S.", "non-dropping-particle" : "", "parse-names" : false, "suffix" : "" }, { "dropping-particle" : "", "family" : "Morton", "given" : "James J.", "non-dropping-particle" : "", "parse-names" : false, "suffix" : "" }, { "dropping-particle" : "", "family" : "McDonagh", "given" : "Theresa A.", "non-dropping-particle" : "", "parse-names" : false, "suffix" : "" } ], "container-title" : "European Journal of Heart Failure", "id" : "ITEM-1", "issued" : { "date-parts" : [ [ "2007" ] ] }, "title" : "A change in N-terminal pro-brain natriuretic peptide is predictive of outcome in patients with advanced heart failure", "type" : "article-journal" }, "uris" : [ "http://www.mendeley.com/documents/?uuid=433794c8-97db-3d7a-8e73-27e7f5d481f0" ] } ], "mendeley" : { "formattedCitation" : "(13)", "plainTextFormattedCitation" : "(13)", "previouslyFormattedCitation" : "(13)" }, "properties" : { "noteIndex" : 0 }, "schema" : "https://github.com/citation-style-language/schema/raw/master/csl-citation.json" }</w:instrText>
            </w:r>
            <w:r>
              <w:rPr>
                <w:b/>
                <w:sz w:val="16"/>
                <w:szCs w:val="16"/>
                <w:u w:val="single"/>
              </w:rPr>
              <w:fldChar w:fldCharType="separate"/>
            </w:r>
            <w:r w:rsidRPr="00AF6D82">
              <w:rPr>
                <w:noProof/>
                <w:sz w:val="16"/>
                <w:szCs w:val="16"/>
              </w:rPr>
              <w:t>(13)</w:t>
            </w:r>
            <w:r>
              <w:rPr>
                <w:b/>
                <w:sz w:val="16"/>
                <w:szCs w:val="16"/>
                <w:u w:val="single"/>
              </w:rPr>
              <w:fldChar w:fldCharType="end"/>
            </w:r>
          </w:p>
        </w:tc>
        <w:tc>
          <w:tcPr>
            <w:tcW w:w="1560" w:type="dxa"/>
          </w:tcPr>
          <w:p w:rsidR="00814261" w:rsidRDefault="00814261" w:rsidP="00785B09">
            <w:pPr>
              <w:rPr>
                <w:sz w:val="16"/>
                <w:szCs w:val="16"/>
              </w:rPr>
            </w:pPr>
            <w:r>
              <w:rPr>
                <w:sz w:val="16"/>
                <w:szCs w:val="16"/>
              </w:rPr>
              <w:t>Prospective observational</w:t>
            </w:r>
          </w:p>
        </w:tc>
        <w:tc>
          <w:tcPr>
            <w:tcW w:w="1559" w:type="dxa"/>
          </w:tcPr>
          <w:p w:rsidR="00814261" w:rsidRPr="00D146EC" w:rsidRDefault="00814261" w:rsidP="00785B09">
            <w:pPr>
              <w:rPr>
                <w:sz w:val="16"/>
                <w:szCs w:val="16"/>
              </w:rPr>
            </w:pPr>
            <w:r w:rsidRPr="00D146EC">
              <w:rPr>
                <w:sz w:val="16"/>
                <w:szCs w:val="16"/>
              </w:rPr>
              <w:t>LVEF &lt;35%</w:t>
            </w:r>
          </w:p>
        </w:tc>
        <w:tc>
          <w:tcPr>
            <w:tcW w:w="1168" w:type="dxa"/>
          </w:tcPr>
          <w:p w:rsidR="00814261" w:rsidRDefault="00814261" w:rsidP="00785B09">
            <w:pPr>
              <w:rPr>
                <w:sz w:val="16"/>
                <w:szCs w:val="16"/>
              </w:rPr>
            </w:pPr>
            <w:r>
              <w:rPr>
                <w:sz w:val="16"/>
                <w:szCs w:val="16"/>
              </w:rPr>
              <w:t>112</w:t>
            </w:r>
          </w:p>
        </w:tc>
        <w:tc>
          <w:tcPr>
            <w:tcW w:w="1701" w:type="dxa"/>
          </w:tcPr>
          <w:p w:rsidR="00814261" w:rsidRDefault="00814261" w:rsidP="00785B09">
            <w:pPr>
              <w:rPr>
                <w:sz w:val="16"/>
                <w:szCs w:val="16"/>
              </w:rPr>
            </w:pPr>
            <w:r>
              <w:rPr>
                <w:sz w:val="16"/>
                <w:szCs w:val="16"/>
              </w:rPr>
              <w:t>Baseline and at 4 months</w:t>
            </w:r>
          </w:p>
        </w:tc>
        <w:tc>
          <w:tcPr>
            <w:tcW w:w="1808" w:type="dxa"/>
          </w:tcPr>
          <w:p w:rsidR="00814261" w:rsidRPr="0074053D" w:rsidRDefault="00814261" w:rsidP="00785B09">
            <w:pPr>
              <w:rPr>
                <w:sz w:val="16"/>
                <w:szCs w:val="16"/>
              </w:rPr>
            </w:pPr>
          </w:p>
        </w:tc>
        <w:tc>
          <w:tcPr>
            <w:tcW w:w="4571" w:type="dxa"/>
          </w:tcPr>
          <w:p w:rsidR="00814261" w:rsidRPr="00D146EC" w:rsidRDefault="00814261" w:rsidP="00785B09">
            <w:pPr>
              <w:rPr>
                <w:sz w:val="16"/>
                <w:szCs w:val="16"/>
              </w:rPr>
            </w:pPr>
            <w:r w:rsidRPr="00D146EC">
              <w:rPr>
                <w:sz w:val="16"/>
                <w:szCs w:val="16"/>
              </w:rPr>
              <w:t>NT-</w:t>
            </w:r>
            <w:proofErr w:type="spellStart"/>
            <w:r w:rsidRPr="00D146EC">
              <w:rPr>
                <w:sz w:val="16"/>
                <w:szCs w:val="16"/>
              </w:rPr>
              <w:t>proBNP</w:t>
            </w:r>
            <w:proofErr w:type="spellEnd"/>
            <w:r w:rsidRPr="00D146EC">
              <w:rPr>
                <w:sz w:val="16"/>
                <w:szCs w:val="16"/>
              </w:rPr>
              <w:t xml:space="preserve"> above the median and a change in NT-</w:t>
            </w:r>
            <w:proofErr w:type="spellStart"/>
            <w:r w:rsidRPr="00D146EC">
              <w:rPr>
                <w:sz w:val="16"/>
                <w:szCs w:val="16"/>
              </w:rPr>
              <w:t>proBNP</w:t>
            </w:r>
            <w:proofErr w:type="spellEnd"/>
            <w:r w:rsidRPr="00D146EC">
              <w:rPr>
                <w:sz w:val="16"/>
                <w:szCs w:val="16"/>
              </w:rPr>
              <w:t xml:space="preserve"> concentration over a 4 month period were independent predictors of mortality in patients with advanced heart failure</w:t>
            </w:r>
          </w:p>
        </w:tc>
      </w:tr>
      <w:tr w:rsidR="00814261" w:rsidRPr="0074053D" w:rsidTr="00785B09">
        <w:tc>
          <w:tcPr>
            <w:tcW w:w="1809" w:type="dxa"/>
          </w:tcPr>
          <w:p w:rsidR="00814261" w:rsidRDefault="00814261" w:rsidP="00785B09">
            <w:pPr>
              <w:rPr>
                <w:b/>
                <w:sz w:val="16"/>
                <w:szCs w:val="16"/>
                <w:u w:val="single"/>
              </w:rPr>
            </w:pPr>
            <w:r w:rsidRPr="00BA5884">
              <w:rPr>
                <w:b/>
                <w:sz w:val="16"/>
                <w:szCs w:val="16"/>
                <w:u w:val="single"/>
              </w:rPr>
              <w:t xml:space="preserve">O’Hanlon et al, 2006 </w:t>
            </w:r>
            <w:r>
              <w:rPr>
                <w:b/>
                <w:sz w:val="16"/>
                <w:szCs w:val="16"/>
                <w:u w:val="single"/>
              </w:rPr>
              <w:fldChar w:fldCharType="begin" w:fldLock="1"/>
            </w:r>
            <w:r>
              <w:rPr>
                <w:b/>
                <w:sz w:val="16"/>
                <w:szCs w:val="16"/>
                <w:u w:val="single"/>
              </w:rPr>
              <w:instrText>ADDIN CSL_CITATION { "citationItems" : [ { "id" : "ITEM-1", "itemData" : { "DOI" : "10.1016/j.cardfail.2006.09.003", "ISSN" : "10719164", "PMID" : "17339003", "abstract" : "Background: There are conflicting data on the usefulness of B-type natriuretic peptide (BNP) and N-terminal proBNP (NT-proBNP) in the optimization of therapy for heart failure (HF). Discordant results may be explained by the intra-individual variability of these peptides. This study evaluates the intraindividual variability of BNP and NT-proBNP and the impact of the covariates of age, sex, and renal function. Methods and Results: Stable HF patients attending our unit were included. Blood samples were drawn 1 hour apart on 2 occasions 1 week apart. Forty-five patients were enrolled (69.6 \u00b1 12.1 years, 64% male, 84% systolic HF). Within-hour and within-week intraindividual variability were: 6.9% and 21.1% for NT-proBNP; 14.6% and 28.4% for BNP (P &lt; .01 for within-hour comparison of BNP and NT-proBNP). Reference change values over 1 week for NT-proBNP and BNP were 49.2% and 66.2%, respectively. There were no significant relationships identified between variability and age, gender, or glomerular filtration rate. Conclusion: There is considerable intraindividual variability in these peptides in stable HF patients. Changes of approximately 50% and 66% for NT-proBNP and BNP from week to week are needed to indicate an altered clinical status and caution should be exercised in interpreting serial changes in these peptide levels when monitoring patient responses to treatment or clinical status. \u00a9 2007 Elsevier Inc. All rights reserved.", "author" : [ { "dropping-particle" : "", "family" : "O'Hanlon", "given" : "Rory", "non-dropping-particle" : "", "parse-names" : false, "suffix" : "" }, { "dropping-particle" : "", "family" : "O'Shea", "given" : "Paula", "non-dropping-particle" : "", "parse-names" : false, "suffix" : "" }, { "dropping-particle" : "", "family" : "Ledwidge", "given" : "Mark", "non-dropping-particle" : "", "parse-names" : false, "suffix" : "" }, { "dropping-particle" : "", "family" : "O'Loughlin", "given" : "Christina", "non-dropping-particle" : "", "parse-names" : false, "suffix" : "" }, { "dropping-particle" : "", "family" : "Lange", "given" : "Sophie", "non-dropping-particle" : "", "parse-names" : false, "suffix" : "" }, { "dropping-particle" : "", "family" : "Conlon", "given" : "Carmel", "non-dropping-particle" : "", "parse-names" : false, "suffix" : "" }, { "dropping-particle" : "", "family" : "Phelan", "given" : "Dermot", "non-dropping-particle" : "", "parse-names" : false, "suffix" : "" }, { "dropping-particle" : "", "family" : "Cunningham", "given" : "Sean", "non-dropping-particle" : "", "parse-names" : false, "suffix" : "" }, { "dropping-particle" : "", "family" : "McDonald", "given" : "Ken", "non-dropping-particle" : "", "parse-names" : false, "suffix" : "" } ], "container-title" : "Journal of Cardiac Failure", "id" : "ITEM-1", "issued" : { "date-parts" : [ [ "2007" ] ] }, "title" : "The Biologic Variability of B-Type Natriuretic Peptide and N-Terminal Pro-B-Type Natriuretic Peptide in Stable Heart Failure Patients", "type" : "article" }, "uris" : [ "http://www.mendeley.com/documents/?uuid=e9e266e7-71c4-3474-a637-c5ac85ed4847" ] } ], "mendeley" : { "formattedCitation" : "(14)", "plainTextFormattedCitation" : "(14)", "previouslyFormattedCitation" : "(14)" }, "properties" : { "noteIndex" : 0 }, "schema" : "https://github.com/citation-style-language/schema/raw/master/csl-citation.json" }</w:instrText>
            </w:r>
            <w:r>
              <w:rPr>
                <w:b/>
                <w:sz w:val="16"/>
                <w:szCs w:val="16"/>
                <w:u w:val="single"/>
              </w:rPr>
              <w:fldChar w:fldCharType="separate"/>
            </w:r>
            <w:r w:rsidRPr="00AF6D82">
              <w:rPr>
                <w:noProof/>
                <w:sz w:val="16"/>
                <w:szCs w:val="16"/>
              </w:rPr>
              <w:t>(14)</w:t>
            </w:r>
            <w:r>
              <w:rPr>
                <w:b/>
                <w:sz w:val="16"/>
                <w:szCs w:val="16"/>
                <w:u w:val="single"/>
              </w:rPr>
              <w:fldChar w:fldCharType="end"/>
            </w:r>
          </w:p>
        </w:tc>
        <w:tc>
          <w:tcPr>
            <w:tcW w:w="1560" w:type="dxa"/>
          </w:tcPr>
          <w:p w:rsidR="00814261" w:rsidRPr="00D146EC" w:rsidRDefault="00814261" w:rsidP="00785B09">
            <w:pPr>
              <w:rPr>
                <w:sz w:val="16"/>
                <w:szCs w:val="16"/>
              </w:rPr>
            </w:pPr>
            <w:r w:rsidRPr="00D146EC">
              <w:rPr>
                <w:sz w:val="16"/>
                <w:szCs w:val="16"/>
              </w:rPr>
              <w:t>Observational study, evaluating intra-individual variability of BNP and NT-</w:t>
            </w:r>
            <w:proofErr w:type="spellStart"/>
            <w:r w:rsidRPr="00D146EC">
              <w:rPr>
                <w:sz w:val="16"/>
                <w:szCs w:val="16"/>
              </w:rPr>
              <w:t>pr</w:t>
            </w:r>
            <w:r>
              <w:rPr>
                <w:sz w:val="16"/>
                <w:szCs w:val="16"/>
              </w:rPr>
              <w:t>o</w:t>
            </w:r>
            <w:r w:rsidRPr="00D146EC">
              <w:rPr>
                <w:sz w:val="16"/>
                <w:szCs w:val="16"/>
              </w:rPr>
              <w:t>BNP</w:t>
            </w:r>
            <w:proofErr w:type="spellEnd"/>
          </w:p>
        </w:tc>
        <w:tc>
          <w:tcPr>
            <w:tcW w:w="1559" w:type="dxa"/>
          </w:tcPr>
          <w:p w:rsidR="00814261" w:rsidRPr="00D146EC" w:rsidRDefault="00814261" w:rsidP="00785B09">
            <w:pPr>
              <w:rPr>
                <w:sz w:val="16"/>
                <w:szCs w:val="16"/>
              </w:rPr>
            </w:pPr>
            <w:r w:rsidRPr="00D146EC">
              <w:rPr>
                <w:sz w:val="16"/>
                <w:szCs w:val="16"/>
              </w:rPr>
              <w:t xml:space="preserve">Stable HF patients  </w:t>
            </w:r>
          </w:p>
        </w:tc>
        <w:tc>
          <w:tcPr>
            <w:tcW w:w="1168" w:type="dxa"/>
          </w:tcPr>
          <w:p w:rsidR="00814261" w:rsidRDefault="00814261" w:rsidP="00785B09">
            <w:pPr>
              <w:rPr>
                <w:sz w:val="16"/>
                <w:szCs w:val="16"/>
              </w:rPr>
            </w:pPr>
            <w:r w:rsidRPr="00BA5884">
              <w:rPr>
                <w:b/>
                <w:sz w:val="16"/>
                <w:szCs w:val="16"/>
              </w:rPr>
              <w:t>45</w:t>
            </w:r>
          </w:p>
        </w:tc>
        <w:tc>
          <w:tcPr>
            <w:tcW w:w="1701" w:type="dxa"/>
          </w:tcPr>
          <w:p w:rsidR="00814261" w:rsidRPr="005768B6" w:rsidRDefault="00814261" w:rsidP="00785B09">
            <w:pPr>
              <w:jc w:val="center"/>
              <w:rPr>
                <w:sz w:val="16"/>
                <w:szCs w:val="16"/>
              </w:rPr>
            </w:pPr>
            <w:r w:rsidRPr="00D146EC">
              <w:rPr>
                <w:sz w:val="16"/>
                <w:szCs w:val="16"/>
              </w:rPr>
              <w:t>1 hour apart on day 1, then at one week</w:t>
            </w:r>
            <w:r w:rsidRPr="00BA5884">
              <w:rPr>
                <w:b/>
                <w:sz w:val="16"/>
                <w:szCs w:val="16"/>
              </w:rPr>
              <w:t xml:space="preserve">. </w:t>
            </w:r>
          </w:p>
        </w:tc>
        <w:tc>
          <w:tcPr>
            <w:tcW w:w="1808" w:type="dxa"/>
          </w:tcPr>
          <w:p w:rsidR="00814261" w:rsidRDefault="00814261" w:rsidP="00785B09">
            <w:pPr>
              <w:rPr>
                <w:sz w:val="16"/>
                <w:szCs w:val="16"/>
              </w:rPr>
            </w:pPr>
          </w:p>
        </w:tc>
        <w:tc>
          <w:tcPr>
            <w:tcW w:w="4571" w:type="dxa"/>
          </w:tcPr>
          <w:p w:rsidR="00814261" w:rsidRPr="00D146EC" w:rsidRDefault="00814261" w:rsidP="00785B09">
            <w:pPr>
              <w:spacing w:after="160" w:line="259" w:lineRule="auto"/>
              <w:rPr>
                <w:sz w:val="16"/>
                <w:szCs w:val="16"/>
              </w:rPr>
            </w:pPr>
            <w:r w:rsidRPr="00D146EC">
              <w:rPr>
                <w:sz w:val="16"/>
                <w:szCs w:val="16"/>
              </w:rPr>
              <w:t xml:space="preserve">Large intra-individual variability in clinically stable HF patients, both within 1 hour and in samples taken 1 week apart. </w:t>
            </w:r>
          </w:p>
          <w:p w:rsidR="00814261" w:rsidRDefault="00814261" w:rsidP="00785B09">
            <w:pPr>
              <w:rPr>
                <w:sz w:val="16"/>
                <w:szCs w:val="16"/>
              </w:rPr>
            </w:pPr>
            <w:r w:rsidRPr="00D146EC">
              <w:rPr>
                <w:sz w:val="16"/>
                <w:szCs w:val="16"/>
              </w:rPr>
              <w:t>Care needs to be taken when interpreting changes in natriuretic peptide levels when monitoring a patient’s response to therapy/assessing clinical status.</w:t>
            </w:r>
          </w:p>
        </w:tc>
      </w:tr>
      <w:tr w:rsidR="00814261" w:rsidRPr="0074053D" w:rsidTr="00785B09">
        <w:tc>
          <w:tcPr>
            <w:tcW w:w="1809" w:type="dxa"/>
          </w:tcPr>
          <w:p w:rsidR="00814261" w:rsidRPr="001E7C45" w:rsidRDefault="00814261" w:rsidP="00785B09">
            <w:pPr>
              <w:rPr>
                <w:b/>
                <w:sz w:val="16"/>
                <w:szCs w:val="16"/>
                <w:u w:val="single"/>
              </w:rPr>
            </w:pPr>
            <w:r w:rsidRPr="00BA5884">
              <w:rPr>
                <w:b/>
                <w:sz w:val="16"/>
                <w:szCs w:val="16"/>
                <w:u w:val="single"/>
              </w:rPr>
              <w:t xml:space="preserve">Wu et al, 2006 </w:t>
            </w:r>
            <w:r>
              <w:rPr>
                <w:b/>
                <w:sz w:val="16"/>
                <w:szCs w:val="16"/>
                <w:u w:val="single"/>
              </w:rPr>
              <w:fldChar w:fldCharType="begin" w:fldLock="1"/>
            </w:r>
            <w:r>
              <w:rPr>
                <w:b/>
                <w:sz w:val="16"/>
                <w:szCs w:val="16"/>
                <w:u w:val="single"/>
              </w:rPr>
              <w:instrText>ADDIN CSL_CITATION { "citationItems" : [ { "id" : "ITEM-1", "itemData" : { "DOI" : "10.1016/j.ahj.2006.08.021", "ISBN" : "1097-6744 (Electronic)\\r0002-8703 (Linking)", "ISSN" : "00028703", "PMID" : "17070141", "abstract" : "Background: B-Type natriuretic peptide (BNP) and NTpro-BNP are widely used for diagnosis and risk stratification of patients with heart failure (HF). Although not currently cleared by the Food and Drug Administration as a test indication, there is interest in using these biomarkers for monitoring the success of HF medications. An assessment of the analytical and biologic variations is necessary to interpret the results of serial testing. Methods and Results: The intra-individual biologic variances and analytical assay variances of BNP and NT-proBNP from healthy subjects and those with stable HF were reviewed. The analytical variability of BNP and NT-proBNP assays was reported, as some have suggested that only the analytical variance is important in interpreting the results of tightly regulated hormones. The reference change values (RCV) for serial measurements were derived and used to interpret results of therapeutic studies whereby serial changes in BNP and NT-proBNP concentrations were obtained to evaluate the therapeutic success of short-term (inpatient) and long-term (outpatient) management. The use of RCV may also be important in studies comparing BNP-guided versus physician-guided HF drug therapy. Conclusions: Relative to the RCV, short-term therapeutic studies of inpatients have largely resulted in a statistically significant decline in BNP and NT-proBNP with clinical evidence of patient improvements. In contrast, many therapeutic studies involving long-term outpatient monitoring have produced changes in BNP/NT-proBNP that do not exceed the biologic variances. The value of BNP for monitoring therapeutic success can be questioned for trials that demonstrate clinical benefit without statistically significant decreases in biomarker levels. ?? 2006 Mosby, Inc. All rights reserved.", "author" : [ { "dropping-particle" : "", "family" : "Wu", "given" : "Alan H B", "non-dropping-particle" : "", "parse-names" : false, "suffix" : "" } ], "container-title" : "American Heart Journal", "id" : "ITEM-1", "issued" : { "date-parts" : [ [ "2006" ] ] }, "title" : "Serial testing of B-type natriuretic peptide and NTpro-BNP for monitoring therapy of heart failure: The role of biologic variation in the interpretation of results", "type" : "article" }, "uris" : [ "http://www.mendeley.com/documents/?uuid=408889c7-861c-32c7-b6c3-d758056f77fa" ] } ], "mendeley" : { "formattedCitation" : "(8)", "plainTextFormattedCitation" : "(8)", "previouslyFormattedCitation" : "(8)" }, "properties" : { "noteIndex" : 0 }, "schema" : "https://github.com/citation-style-language/schema/raw/master/csl-citation.json" }</w:instrText>
            </w:r>
            <w:r>
              <w:rPr>
                <w:b/>
                <w:sz w:val="16"/>
                <w:szCs w:val="16"/>
                <w:u w:val="single"/>
              </w:rPr>
              <w:fldChar w:fldCharType="separate"/>
            </w:r>
            <w:r w:rsidRPr="00AF6D82">
              <w:rPr>
                <w:noProof/>
                <w:sz w:val="16"/>
                <w:szCs w:val="16"/>
              </w:rPr>
              <w:t>(8)</w:t>
            </w:r>
            <w:r>
              <w:rPr>
                <w:b/>
                <w:sz w:val="16"/>
                <w:szCs w:val="16"/>
                <w:u w:val="single"/>
              </w:rPr>
              <w:fldChar w:fldCharType="end"/>
            </w:r>
          </w:p>
        </w:tc>
        <w:tc>
          <w:tcPr>
            <w:tcW w:w="1560" w:type="dxa"/>
          </w:tcPr>
          <w:p w:rsidR="00814261" w:rsidRPr="001E7C45" w:rsidRDefault="00814261" w:rsidP="00785B09">
            <w:pPr>
              <w:rPr>
                <w:sz w:val="16"/>
                <w:szCs w:val="16"/>
              </w:rPr>
            </w:pPr>
            <w:r>
              <w:rPr>
                <w:sz w:val="16"/>
                <w:szCs w:val="16"/>
              </w:rPr>
              <w:t xml:space="preserve">Observational study, monitoring daily concentrations of BNP </w:t>
            </w:r>
          </w:p>
        </w:tc>
        <w:tc>
          <w:tcPr>
            <w:tcW w:w="1559" w:type="dxa"/>
          </w:tcPr>
          <w:p w:rsidR="00814261" w:rsidRDefault="00814261" w:rsidP="00785B09">
            <w:pPr>
              <w:rPr>
                <w:sz w:val="16"/>
                <w:szCs w:val="16"/>
              </w:rPr>
            </w:pPr>
          </w:p>
        </w:tc>
        <w:tc>
          <w:tcPr>
            <w:tcW w:w="1168" w:type="dxa"/>
          </w:tcPr>
          <w:p w:rsidR="00814261" w:rsidRDefault="00814261" w:rsidP="00785B09">
            <w:pPr>
              <w:rPr>
                <w:sz w:val="16"/>
                <w:szCs w:val="16"/>
              </w:rPr>
            </w:pPr>
          </w:p>
        </w:tc>
        <w:tc>
          <w:tcPr>
            <w:tcW w:w="1701" w:type="dxa"/>
          </w:tcPr>
          <w:p w:rsidR="00814261" w:rsidRDefault="00814261" w:rsidP="00785B09">
            <w:pPr>
              <w:rPr>
                <w:sz w:val="16"/>
                <w:szCs w:val="16"/>
              </w:rPr>
            </w:pPr>
          </w:p>
        </w:tc>
        <w:tc>
          <w:tcPr>
            <w:tcW w:w="1808" w:type="dxa"/>
          </w:tcPr>
          <w:p w:rsidR="00814261" w:rsidRDefault="00814261" w:rsidP="00785B09">
            <w:pPr>
              <w:rPr>
                <w:sz w:val="16"/>
                <w:szCs w:val="16"/>
              </w:rPr>
            </w:pPr>
          </w:p>
        </w:tc>
        <w:tc>
          <w:tcPr>
            <w:tcW w:w="4571" w:type="dxa"/>
          </w:tcPr>
          <w:p w:rsidR="00814261" w:rsidRPr="00D146EC" w:rsidRDefault="00814261" w:rsidP="00785B09">
            <w:pPr>
              <w:rPr>
                <w:sz w:val="16"/>
                <w:szCs w:val="16"/>
              </w:rPr>
            </w:pPr>
            <w:r w:rsidRPr="00D146EC">
              <w:rPr>
                <w:sz w:val="16"/>
                <w:szCs w:val="16"/>
              </w:rPr>
              <w:t>In long term outpatient monitoring, changes in BNP-NT-</w:t>
            </w:r>
            <w:proofErr w:type="spellStart"/>
            <w:r w:rsidRPr="00D146EC">
              <w:rPr>
                <w:sz w:val="16"/>
                <w:szCs w:val="16"/>
              </w:rPr>
              <w:t>proBNP</w:t>
            </w:r>
            <w:proofErr w:type="spellEnd"/>
            <w:r w:rsidRPr="00D146EC">
              <w:rPr>
                <w:sz w:val="16"/>
                <w:szCs w:val="16"/>
              </w:rPr>
              <w:t xml:space="preserve"> do not exceed their normal biological variance.</w:t>
            </w:r>
          </w:p>
        </w:tc>
      </w:tr>
    </w:tbl>
    <w:p w:rsidR="00814261" w:rsidRDefault="00814261" w:rsidP="00814261">
      <w:pPr>
        <w:rPr>
          <w:sz w:val="16"/>
          <w:szCs w:val="16"/>
        </w:rPr>
      </w:pP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sz w:val="24"/>
          <w:szCs w:val="24"/>
        </w:rPr>
        <w:fldChar w:fldCharType="begin" w:fldLock="1"/>
      </w:r>
      <w:r w:rsidRPr="00DD5F36">
        <w:rPr>
          <w:rFonts w:ascii="Times New Roman" w:hAnsi="Times New Roman" w:cs="Times New Roman"/>
          <w:sz w:val="24"/>
          <w:szCs w:val="24"/>
        </w:rPr>
        <w:instrText xml:space="preserve">ADDIN Mendeley Bibliography CSL_BIBLIOGRAPHY </w:instrText>
      </w:r>
      <w:r w:rsidRPr="00DD5F36">
        <w:rPr>
          <w:rFonts w:ascii="Times New Roman" w:hAnsi="Times New Roman" w:cs="Times New Roman"/>
          <w:sz w:val="24"/>
          <w:szCs w:val="24"/>
        </w:rPr>
        <w:fldChar w:fldCharType="separate"/>
      </w:r>
      <w:r w:rsidRPr="00DD5F36">
        <w:rPr>
          <w:rFonts w:ascii="Times New Roman" w:hAnsi="Times New Roman" w:cs="Times New Roman"/>
          <w:noProof/>
          <w:sz w:val="24"/>
          <w:szCs w:val="24"/>
        </w:rPr>
        <w:t xml:space="preserve">1. </w:t>
      </w:r>
      <w:r w:rsidRPr="00DD5F36">
        <w:rPr>
          <w:rFonts w:ascii="Times New Roman" w:hAnsi="Times New Roman" w:cs="Times New Roman"/>
          <w:noProof/>
          <w:sz w:val="24"/>
          <w:szCs w:val="24"/>
        </w:rPr>
        <w:tab/>
        <w:t>Bettencourt P, Azevedo A, Pimenta J, Friões F, Ferreira S, Ferreira A. N-terminal-pro-brain natriuretic peptide predicts outcome after hospital discharge in heart failure patients.</w:t>
      </w:r>
      <w:r w:rsidRPr="00DB30A8">
        <w:rPr>
          <w:rFonts w:ascii="Times New Roman" w:hAnsi="Times New Roman" w:cs="Times New Roman"/>
          <w:i/>
          <w:noProof/>
          <w:sz w:val="24"/>
          <w:szCs w:val="24"/>
        </w:rPr>
        <w:t xml:space="preserve"> Circulation</w:t>
      </w:r>
      <w:r w:rsidRPr="00DD5F36">
        <w:rPr>
          <w:rFonts w:ascii="Times New Roman" w:hAnsi="Times New Roman" w:cs="Times New Roman"/>
          <w:noProof/>
          <w:sz w:val="24"/>
          <w:szCs w:val="24"/>
        </w:rPr>
        <w:t xml:space="preserve">. 2004;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2. </w:t>
      </w:r>
      <w:r w:rsidRPr="00DD5F36">
        <w:rPr>
          <w:rFonts w:ascii="Times New Roman" w:hAnsi="Times New Roman" w:cs="Times New Roman"/>
          <w:noProof/>
          <w:sz w:val="24"/>
          <w:szCs w:val="24"/>
        </w:rPr>
        <w:tab/>
        <w:t xml:space="preserve">Logeart D, Thabut G, Jourdain P, Chavelas C, Beyne P, Beauvais F, et al. Predischarge B-type natriuretic peptide assay for identifying patients at high risk of re-admission after decompensated heart failure. </w:t>
      </w:r>
      <w:r w:rsidRPr="00DB30A8">
        <w:rPr>
          <w:rFonts w:ascii="Times New Roman" w:hAnsi="Times New Roman" w:cs="Times New Roman"/>
          <w:i/>
          <w:noProof/>
          <w:sz w:val="24"/>
          <w:szCs w:val="24"/>
        </w:rPr>
        <w:t>J Am Coll Cardiol</w:t>
      </w:r>
      <w:r w:rsidRPr="00DD5F36">
        <w:rPr>
          <w:rFonts w:ascii="Times New Roman" w:hAnsi="Times New Roman" w:cs="Times New Roman"/>
          <w:noProof/>
          <w:sz w:val="24"/>
          <w:szCs w:val="24"/>
        </w:rPr>
        <w:t xml:space="preserve">. 2004;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3. </w:t>
      </w:r>
      <w:r w:rsidRPr="00DD5F36">
        <w:rPr>
          <w:rFonts w:ascii="Times New Roman" w:hAnsi="Times New Roman" w:cs="Times New Roman"/>
          <w:noProof/>
          <w:sz w:val="24"/>
          <w:szCs w:val="24"/>
        </w:rPr>
        <w:tab/>
        <w:t xml:space="preserve">O’Brien RJ, Squire IB, Demme B, Davies JE, Ng LL. Pre-discharge, but not admission, levels of NT-proBNP predict adverse prognosis following acute LVF. </w:t>
      </w:r>
      <w:r w:rsidRPr="00DB30A8">
        <w:rPr>
          <w:rFonts w:ascii="Times New Roman" w:hAnsi="Times New Roman" w:cs="Times New Roman"/>
          <w:i/>
          <w:noProof/>
          <w:sz w:val="24"/>
          <w:szCs w:val="24"/>
        </w:rPr>
        <w:t>Eur J Heart Fail</w:t>
      </w:r>
      <w:r w:rsidRPr="00DD5F36">
        <w:rPr>
          <w:rFonts w:ascii="Times New Roman" w:hAnsi="Times New Roman" w:cs="Times New Roman"/>
          <w:noProof/>
          <w:sz w:val="24"/>
          <w:szCs w:val="24"/>
        </w:rPr>
        <w:t xml:space="preserve">. 2003;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4. </w:t>
      </w:r>
      <w:r w:rsidRPr="00DD5F36">
        <w:rPr>
          <w:rFonts w:ascii="Times New Roman" w:hAnsi="Times New Roman" w:cs="Times New Roman"/>
          <w:noProof/>
          <w:sz w:val="24"/>
          <w:szCs w:val="24"/>
        </w:rPr>
        <w:tab/>
        <w:t xml:space="preserve">Gackowski A, Isnard R, Golmard J-L, Pousset F, Carayon A, Montalescot G, et al. Comparison of echocardiography and plasma B-type natriuretic peptide for monitoring the response to treatment in acute heart failure. </w:t>
      </w:r>
      <w:r w:rsidRPr="00DB30A8">
        <w:rPr>
          <w:rFonts w:ascii="Times New Roman" w:hAnsi="Times New Roman" w:cs="Times New Roman"/>
          <w:i/>
          <w:noProof/>
          <w:sz w:val="24"/>
          <w:szCs w:val="24"/>
        </w:rPr>
        <w:t>Eur Heart J.</w:t>
      </w:r>
      <w:r w:rsidRPr="00DD5F36">
        <w:rPr>
          <w:rFonts w:ascii="Times New Roman" w:hAnsi="Times New Roman" w:cs="Times New Roman"/>
          <w:noProof/>
          <w:sz w:val="24"/>
          <w:szCs w:val="24"/>
        </w:rPr>
        <w:t xml:space="preserve"> 2004;25:1788–96.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5. </w:t>
      </w:r>
      <w:r w:rsidRPr="00DD5F36">
        <w:rPr>
          <w:rFonts w:ascii="Times New Roman" w:hAnsi="Times New Roman" w:cs="Times New Roman"/>
          <w:noProof/>
          <w:sz w:val="24"/>
          <w:szCs w:val="24"/>
        </w:rPr>
        <w:tab/>
        <w:t xml:space="preserve">Cheng V, Kazanagra R, Garcia A, Lenert L, Krishnaswamy P, Gardetto N, et al. A rapid bedside test for B-type peptide predicts treatment outcomes in patients admitted for decompensated heart failure: A pilot study. </w:t>
      </w:r>
      <w:r w:rsidRPr="00DB30A8">
        <w:rPr>
          <w:rFonts w:ascii="Times New Roman" w:hAnsi="Times New Roman" w:cs="Times New Roman"/>
          <w:i/>
          <w:noProof/>
          <w:sz w:val="24"/>
          <w:szCs w:val="24"/>
        </w:rPr>
        <w:t>J Am Coll Cardiol</w:t>
      </w:r>
      <w:r w:rsidRPr="00DD5F36">
        <w:rPr>
          <w:rFonts w:ascii="Times New Roman" w:hAnsi="Times New Roman" w:cs="Times New Roman"/>
          <w:noProof/>
          <w:sz w:val="24"/>
          <w:szCs w:val="24"/>
        </w:rPr>
        <w:t xml:space="preserve">. 2001;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6. </w:t>
      </w:r>
      <w:r w:rsidRPr="00DD5F36">
        <w:rPr>
          <w:rFonts w:ascii="Times New Roman" w:hAnsi="Times New Roman" w:cs="Times New Roman"/>
          <w:noProof/>
          <w:sz w:val="24"/>
          <w:szCs w:val="24"/>
        </w:rPr>
        <w:tab/>
        <w:t xml:space="preserve">Greene SJ, Maggioni AP, Fonarow GC, Solomon SD, B??hm M, Kandra A, et al. Clinical profile and prognostic significance of natriuretic peptide trajectory following hospitalization for worsening chronic heart failure: Findings from the astronaut trial. </w:t>
      </w:r>
      <w:r w:rsidRPr="00DB30A8">
        <w:rPr>
          <w:rFonts w:ascii="Times New Roman" w:hAnsi="Times New Roman" w:cs="Times New Roman"/>
          <w:i/>
          <w:noProof/>
          <w:sz w:val="24"/>
          <w:szCs w:val="24"/>
        </w:rPr>
        <w:t>Eur J Heart Fail.</w:t>
      </w:r>
      <w:r w:rsidRPr="00DD5F36">
        <w:rPr>
          <w:rFonts w:ascii="Times New Roman" w:hAnsi="Times New Roman" w:cs="Times New Roman"/>
          <w:noProof/>
          <w:sz w:val="24"/>
          <w:szCs w:val="24"/>
        </w:rPr>
        <w:t xml:space="preserve"> 2015;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7. </w:t>
      </w:r>
      <w:r w:rsidRPr="00DD5F36">
        <w:rPr>
          <w:rFonts w:ascii="Times New Roman" w:hAnsi="Times New Roman" w:cs="Times New Roman"/>
          <w:noProof/>
          <w:sz w:val="24"/>
          <w:szCs w:val="24"/>
        </w:rPr>
        <w:tab/>
        <w:t xml:space="preserve">Maisel A, Barnard D, Jaski B, Frivold G, Marais J, Azer M, et al. Primary results of the HABIT trial (heart failure assessment with BNP in the home). </w:t>
      </w:r>
      <w:r w:rsidRPr="00DB30A8">
        <w:rPr>
          <w:rFonts w:ascii="Times New Roman" w:hAnsi="Times New Roman" w:cs="Times New Roman"/>
          <w:i/>
          <w:noProof/>
          <w:sz w:val="24"/>
          <w:szCs w:val="24"/>
        </w:rPr>
        <w:t>J Am Coll Cardiol.</w:t>
      </w:r>
      <w:r w:rsidRPr="00DD5F36">
        <w:rPr>
          <w:rFonts w:ascii="Times New Roman" w:hAnsi="Times New Roman" w:cs="Times New Roman"/>
          <w:noProof/>
          <w:sz w:val="24"/>
          <w:szCs w:val="24"/>
        </w:rPr>
        <w:t xml:space="preserve"> 2013;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8. </w:t>
      </w:r>
      <w:r w:rsidRPr="00DD5F36">
        <w:rPr>
          <w:rFonts w:ascii="Times New Roman" w:hAnsi="Times New Roman" w:cs="Times New Roman"/>
          <w:noProof/>
          <w:sz w:val="24"/>
          <w:szCs w:val="24"/>
        </w:rPr>
        <w:tab/>
        <w:t xml:space="preserve">Wu AHB. Serial testing of B-type natriuretic peptide and NTpro-BNP for monitoring therapy of heart failure: The role of biologic variation in the interpretation of results. </w:t>
      </w:r>
      <w:r w:rsidRPr="00DB30A8">
        <w:rPr>
          <w:rFonts w:ascii="Times New Roman" w:hAnsi="Times New Roman" w:cs="Times New Roman"/>
          <w:i/>
          <w:noProof/>
          <w:sz w:val="24"/>
          <w:szCs w:val="24"/>
        </w:rPr>
        <w:t>American Heart Journal.</w:t>
      </w:r>
      <w:r w:rsidRPr="00DD5F36">
        <w:rPr>
          <w:rFonts w:ascii="Times New Roman" w:hAnsi="Times New Roman" w:cs="Times New Roman"/>
          <w:noProof/>
          <w:sz w:val="24"/>
          <w:szCs w:val="24"/>
        </w:rPr>
        <w:t xml:space="preserve"> 2006.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9. </w:t>
      </w:r>
      <w:r w:rsidRPr="00DD5F36">
        <w:rPr>
          <w:rFonts w:ascii="Times New Roman" w:hAnsi="Times New Roman" w:cs="Times New Roman"/>
          <w:noProof/>
          <w:sz w:val="24"/>
          <w:szCs w:val="24"/>
        </w:rPr>
        <w:tab/>
        <w:t>Masson S, Latini R, Anand IS, Barlera S, Angelici L, Vago T, et al. Prognostic Value of Changes in N-Terminal Pro-Brain Natriuretic Peptide in Val-HeFT (Valsartan Heart Failure Trial).</w:t>
      </w:r>
      <w:r w:rsidRPr="00DB30A8">
        <w:rPr>
          <w:rFonts w:ascii="Times New Roman" w:hAnsi="Times New Roman" w:cs="Times New Roman"/>
          <w:i/>
          <w:noProof/>
          <w:sz w:val="24"/>
          <w:szCs w:val="24"/>
        </w:rPr>
        <w:t xml:space="preserve"> J Am Coll Cardiol.</w:t>
      </w:r>
      <w:r w:rsidRPr="00DD5F36">
        <w:rPr>
          <w:rFonts w:ascii="Times New Roman" w:hAnsi="Times New Roman" w:cs="Times New Roman"/>
          <w:noProof/>
          <w:sz w:val="24"/>
          <w:szCs w:val="24"/>
        </w:rPr>
        <w:t xml:space="preserve"> 2008;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10. </w:t>
      </w:r>
      <w:r w:rsidRPr="00DD5F36">
        <w:rPr>
          <w:rFonts w:ascii="Times New Roman" w:hAnsi="Times New Roman" w:cs="Times New Roman"/>
          <w:noProof/>
          <w:sz w:val="24"/>
          <w:szCs w:val="24"/>
        </w:rPr>
        <w:tab/>
        <w:t xml:space="preserve">Anand IS, Fisher LD, Chiang YT, Latini R, Masson S, Maggioni AP, et al. Changes in brain natriuretic peptide and norepinephrine over time and mortality and morbidity in the Valsartan Heart Failure Trial (Val-HeFT). </w:t>
      </w:r>
      <w:r w:rsidRPr="00DB30A8">
        <w:rPr>
          <w:rFonts w:ascii="Times New Roman" w:hAnsi="Times New Roman" w:cs="Times New Roman"/>
          <w:i/>
          <w:noProof/>
          <w:sz w:val="24"/>
          <w:szCs w:val="24"/>
        </w:rPr>
        <w:t>Circulation.</w:t>
      </w:r>
      <w:r w:rsidRPr="00DD5F36">
        <w:rPr>
          <w:rFonts w:ascii="Times New Roman" w:hAnsi="Times New Roman" w:cs="Times New Roman"/>
          <w:noProof/>
          <w:sz w:val="24"/>
          <w:szCs w:val="24"/>
        </w:rPr>
        <w:t xml:space="preserve"> 2003;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11. </w:t>
      </w:r>
      <w:r w:rsidRPr="00DD5F36">
        <w:rPr>
          <w:rFonts w:ascii="Times New Roman" w:hAnsi="Times New Roman" w:cs="Times New Roman"/>
          <w:noProof/>
          <w:sz w:val="24"/>
          <w:szCs w:val="24"/>
        </w:rPr>
        <w:tab/>
        <w:t>Zile MR, Claggett BL, Prescott MF, Mcmurray JJ V, Packer M, Rouleau JL, et al. Prognostic Implications of Changes in N-Terminal Pro-B-Type Natriuretic Peptide in Patients With Heart Failure.</w:t>
      </w:r>
      <w:r w:rsidRPr="00DB30A8">
        <w:rPr>
          <w:rFonts w:ascii="Times New Roman" w:hAnsi="Times New Roman" w:cs="Times New Roman"/>
          <w:i/>
          <w:noProof/>
          <w:sz w:val="24"/>
          <w:szCs w:val="24"/>
        </w:rPr>
        <w:t xml:space="preserve"> J Am Coll Cardiol</w:t>
      </w:r>
      <w:r w:rsidRPr="00DD5F36">
        <w:rPr>
          <w:rFonts w:ascii="Times New Roman" w:hAnsi="Times New Roman" w:cs="Times New Roman"/>
          <w:noProof/>
          <w:sz w:val="24"/>
          <w:szCs w:val="24"/>
        </w:rPr>
        <w:t xml:space="preserve">. 2016;68:2425–36.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12. </w:t>
      </w:r>
      <w:r w:rsidRPr="00DD5F36">
        <w:rPr>
          <w:rFonts w:ascii="Times New Roman" w:hAnsi="Times New Roman" w:cs="Times New Roman"/>
          <w:noProof/>
          <w:sz w:val="24"/>
          <w:szCs w:val="24"/>
        </w:rPr>
        <w:tab/>
        <w:t xml:space="preserve">Kubanek, Milos.; Goode, Kevin M..; Lanska, Vera.; Clark, Andrew L.; Cleland JGF. The prognostic value of repeated measurement of N-terminal pro-B-type natriuretic peptide in patients with chronic heart failure due to left ventricular systolic dysfunction. </w:t>
      </w:r>
      <w:r w:rsidRPr="00DB30A8">
        <w:rPr>
          <w:rFonts w:ascii="Times New Roman" w:hAnsi="Times New Roman" w:cs="Times New Roman"/>
          <w:i/>
          <w:noProof/>
          <w:sz w:val="24"/>
          <w:szCs w:val="24"/>
        </w:rPr>
        <w:t>Eur J Heart Fail.</w:t>
      </w:r>
      <w:r w:rsidRPr="00DD5F36">
        <w:rPr>
          <w:rFonts w:ascii="Times New Roman" w:hAnsi="Times New Roman" w:cs="Times New Roman"/>
          <w:noProof/>
          <w:sz w:val="24"/>
          <w:szCs w:val="24"/>
        </w:rPr>
        <w:t xml:space="preserve"> 2009;11:367–77.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13. </w:t>
      </w:r>
      <w:r w:rsidRPr="00DD5F36">
        <w:rPr>
          <w:rFonts w:ascii="Times New Roman" w:hAnsi="Times New Roman" w:cs="Times New Roman"/>
          <w:noProof/>
          <w:sz w:val="24"/>
          <w:szCs w:val="24"/>
        </w:rPr>
        <w:tab/>
        <w:t xml:space="preserve">Gardner RS, Chong KS, Morton JJ, McDonagh TA. A change in N-terminal pro-brain natriuretic peptide is predictive of outcome in patients with advanced heart failure. </w:t>
      </w:r>
      <w:r w:rsidRPr="00DB30A8">
        <w:rPr>
          <w:rFonts w:ascii="Times New Roman" w:hAnsi="Times New Roman" w:cs="Times New Roman"/>
          <w:i/>
          <w:noProof/>
          <w:sz w:val="24"/>
          <w:szCs w:val="24"/>
        </w:rPr>
        <w:t xml:space="preserve">Eur J Heart Fail. </w:t>
      </w:r>
      <w:r w:rsidRPr="00DD5F36">
        <w:rPr>
          <w:rFonts w:ascii="Times New Roman" w:hAnsi="Times New Roman" w:cs="Times New Roman"/>
          <w:noProof/>
          <w:sz w:val="24"/>
          <w:szCs w:val="24"/>
        </w:rPr>
        <w:t xml:space="preserve">2007; </w:t>
      </w:r>
    </w:p>
    <w:p w:rsidR="00814261" w:rsidRPr="00DD5F36" w:rsidRDefault="00814261" w:rsidP="00814261">
      <w:pPr>
        <w:widowControl w:val="0"/>
        <w:autoSpaceDE w:val="0"/>
        <w:autoSpaceDN w:val="0"/>
        <w:adjustRightInd w:val="0"/>
        <w:spacing w:line="360" w:lineRule="auto"/>
        <w:ind w:left="640" w:hanging="640"/>
        <w:rPr>
          <w:rFonts w:ascii="Times New Roman" w:hAnsi="Times New Roman" w:cs="Times New Roman"/>
          <w:noProof/>
          <w:sz w:val="24"/>
          <w:szCs w:val="24"/>
        </w:rPr>
      </w:pPr>
      <w:r w:rsidRPr="00DD5F36">
        <w:rPr>
          <w:rFonts w:ascii="Times New Roman" w:hAnsi="Times New Roman" w:cs="Times New Roman"/>
          <w:noProof/>
          <w:sz w:val="24"/>
          <w:szCs w:val="24"/>
        </w:rPr>
        <w:t xml:space="preserve">14. </w:t>
      </w:r>
      <w:r w:rsidRPr="00DD5F36">
        <w:rPr>
          <w:rFonts w:ascii="Times New Roman" w:hAnsi="Times New Roman" w:cs="Times New Roman"/>
          <w:noProof/>
          <w:sz w:val="24"/>
          <w:szCs w:val="24"/>
        </w:rPr>
        <w:tab/>
        <w:t xml:space="preserve">O’Hanlon R, O’Shea P, Ledwidge M, O’Loughlin C, Lange S, Conlon C, et al. The Biologic Variability of B-Type Natriuretic Peptide and N-Terminal Pro-B-Type Natriuretic Peptide in Stable Heart Failure Patients. </w:t>
      </w:r>
      <w:r w:rsidRPr="00DB30A8">
        <w:rPr>
          <w:rFonts w:ascii="Times New Roman" w:hAnsi="Times New Roman" w:cs="Times New Roman"/>
          <w:i/>
          <w:noProof/>
          <w:sz w:val="24"/>
          <w:szCs w:val="24"/>
        </w:rPr>
        <w:t>Journal of Cardiac Failure</w:t>
      </w:r>
      <w:r w:rsidRPr="00DD5F36">
        <w:rPr>
          <w:rFonts w:ascii="Times New Roman" w:hAnsi="Times New Roman" w:cs="Times New Roman"/>
          <w:noProof/>
          <w:sz w:val="24"/>
          <w:szCs w:val="24"/>
        </w:rPr>
        <w:t xml:space="preserve">. 2007. </w:t>
      </w:r>
    </w:p>
    <w:p w:rsidR="00814261" w:rsidRDefault="00814261" w:rsidP="00814261">
      <w:pPr>
        <w:rPr>
          <w:rFonts w:ascii="Times New Roman" w:hAnsi="Times New Roman" w:cs="Times New Roman"/>
          <w:sz w:val="24"/>
          <w:szCs w:val="24"/>
        </w:rPr>
      </w:pPr>
      <w:r w:rsidRPr="00DD5F36">
        <w:rPr>
          <w:rFonts w:ascii="Times New Roman" w:hAnsi="Times New Roman" w:cs="Times New Roman"/>
          <w:sz w:val="24"/>
          <w:szCs w:val="24"/>
        </w:rPr>
        <w:fldChar w:fldCharType="end"/>
      </w:r>
    </w:p>
    <w:p w:rsidR="00814261" w:rsidRPr="00903585" w:rsidRDefault="00814261" w:rsidP="00814261">
      <w:pPr>
        <w:rPr>
          <w:rFonts w:ascii="Times New Roman" w:hAnsi="Times New Roman" w:cs="Times New Roman"/>
          <w:sz w:val="24"/>
          <w:szCs w:val="24"/>
        </w:rPr>
      </w:pPr>
      <w:r w:rsidRPr="00903585">
        <w:rPr>
          <w:rFonts w:ascii="Times New Roman" w:hAnsi="Times New Roman" w:cs="Times New Roman"/>
          <w:sz w:val="24"/>
          <w:szCs w:val="24"/>
        </w:rPr>
        <w:t xml:space="preserve">Table </w:t>
      </w:r>
      <w:r>
        <w:rPr>
          <w:rFonts w:ascii="Times New Roman" w:hAnsi="Times New Roman" w:cs="Times New Roman"/>
          <w:sz w:val="24"/>
          <w:szCs w:val="24"/>
        </w:rPr>
        <w:t>S</w:t>
      </w:r>
      <w:r w:rsidRPr="00903585">
        <w:rPr>
          <w:rFonts w:ascii="Times New Roman" w:hAnsi="Times New Roman" w:cs="Times New Roman"/>
          <w:sz w:val="24"/>
          <w:szCs w:val="24"/>
        </w:rPr>
        <w:t xml:space="preserve">2: Correlations between </w:t>
      </w:r>
      <w:proofErr w:type="gramStart"/>
      <w:r w:rsidRPr="00903585">
        <w:rPr>
          <w:rFonts w:ascii="Times New Roman" w:hAnsi="Times New Roman" w:cs="Times New Roman"/>
          <w:sz w:val="24"/>
          <w:szCs w:val="24"/>
        </w:rPr>
        <w:t>log(</w:t>
      </w:r>
      <w:proofErr w:type="gramEnd"/>
      <w:r w:rsidRPr="00903585">
        <w:rPr>
          <w:rFonts w:ascii="Times New Roman" w:hAnsi="Times New Roman" w:cs="Times New Roman"/>
          <w:sz w:val="24"/>
          <w:szCs w:val="24"/>
        </w:rPr>
        <w:t>NT-</w:t>
      </w:r>
      <w:proofErr w:type="spellStart"/>
      <w:r w:rsidRPr="00903585">
        <w:rPr>
          <w:rFonts w:ascii="Times New Roman" w:hAnsi="Times New Roman" w:cs="Times New Roman"/>
          <w:sz w:val="24"/>
          <w:szCs w:val="24"/>
        </w:rPr>
        <w:t>proB</w:t>
      </w:r>
      <w:r>
        <w:rPr>
          <w:rFonts w:ascii="Times New Roman" w:hAnsi="Times New Roman" w:cs="Times New Roman"/>
          <w:sz w:val="24"/>
          <w:szCs w:val="24"/>
        </w:rPr>
        <w:t>NP</w:t>
      </w:r>
      <w:proofErr w:type="spellEnd"/>
      <w:r>
        <w:rPr>
          <w:rFonts w:ascii="Times New Roman" w:hAnsi="Times New Roman" w:cs="Times New Roman"/>
          <w:sz w:val="24"/>
          <w:szCs w:val="24"/>
        </w:rPr>
        <w:t>) measurements at baseline, 4</w:t>
      </w:r>
      <w:r w:rsidRPr="00903585">
        <w:rPr>
          <w:rFonts w:ascii="Times New Roman" w:hAnsi="Times New Roman" w:cs="Times New Roman"/>
          <w:sz w:val="24"/>
          <w:szCs w:val="24"/>
        </w:rPr>
        <w:t>, 12 and 24 months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9"/>
        <w:gridCol w:w="3794"/>
        <w:gridCol w:w="1985"/>
        <w:gridCol w:w="2079"/>
        <w:gridCol w:w="2079"/>
        <w:gridCol w:w="2142"/>
      </w:tblGrid>
      <w:tr w:rsidR="00814261" w:rsidTr="00785B09">
        <w:tc>
          <w:tcPr>
            <w:tcW w:w="1559" w:type="dxa"/>
            <w:vMerge w:val="restart"/>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contextualSpacing/>
              <w:rPr>
                <w:rFonts w:ascii="Times New Roman" w:eastAsia="Calibri" w:hAnsi="Times New Roman"/>
                <w:sz w:val="24"/>
                <w:szCs w:val="24"/>
                <w:lang w:eastAsia="en-US"/>
              </w:rPr>
            </w:pPr>
            <w:r>
              <w:rPr>
                <w:rFonts w:ascii="Times New Roman" w:hAnsi="Times New Roman"/>
                <w:sz w:val="24"/>
                <w:szCs w:val="24"/>
              </w:rPr>
              <w:t>NT-</w:t>
            </w:r>
            <w:proofErr w:type="spellStart"/>
            <w:r>
              <w:rPr>
                <w:rFonts w:ascii="Times New Roman" w:hAnsi="Times New Roman"/>
                <w:sz w:val="24"/>
                <w:szCs w:val="24"/>
              </w:rPr>
              <w:t>proBNP</w:t>
            </w:r>
            <w:proofErr w:type="spellEnd"/>
          </w:p>
        </w:tc>
        <w:tc>
          <w:tcPr>
            <w:tcW w:w="3794" w:type="dxa"/>
            <w:vMerge w:val="restart"/>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contextualSpacing/>
              <w:rPr>
                <w:rFonts w:ascii="Times New Roman" w:eastAsia="Calibri" w:hAnsi="Times New Roman"/>
                <w:sz w:val="24"/>
                <w:szCs w:val="24"/>
                <w:lang w:eastAsia="en-US"/>
              </w:rPr>
            </w:pPr>
            <w:r>
              <w:rPr>
                <w:rFonts w:ascii="Times New Roman" w:hAnsi="Times New Roman"/>
                <w:sz w:val="24"/>
                <w:szCs w:val="24"/>
              </w:rPr>
              <w:t>Median with IQR for groups: all patients/AF/SR groups</w:t>
            </w:r>
          </w:p>
        </w:tc>
        <w:tc>
          <w:tcPr>
            <w:tcW w:w="1985" w:type="dxa"/>
            <w:vMerge w:val="restart"/>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contextualSpacing/>
              <w:rPr>
                <w:rFonts w:ascii="Times New Roman" w:eastAsia="Calibri" w:hAnsi="Times New Roman"/>
                <w:sz w:val="24"/>
                <w:szCs w:val="24"/>
                <w:lang w:eastAsia="en-US"/>
              </w:rPr>
            </w:pPr>
            <w:r>
              <w:rPr>
                <w:rFonts w:ascii="Times New Roman" w:hAnsi="Times New Roman"/>
                <w:sz w:val="24"/>
                <w:szCs w:val="24"/>
              </w:rPr>
              <w:t>The number of patients in each group</w:t>
            </w:r>
          </w:p>
        </w:tc>
        <w:tc>
          <w:tcPr>
            <w:tcW w:w="6300" w:type="dxa"/>
            <w:gridSpan w:val="3"/>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contextualSpacing/>
              <w:rPr>
                <w:rFonts w:ascii="Times New Roman" w:eastAsia="Calibri" w:hAnsi="Times New Roman"/>
                <w:sz w:val="24"/>
                <w:szCs w:val="24"/>
                <w:lang w:eastAsia="en-US"/>
              </w:rPr>
            </w:pPr>
            <w:r>
              <w:rPr>
                <w:rFonts w:ascii="Times New Roman" w:hAnsi="Times New Roman"/>
                <w:sz w:val="24"/>
                <w:szCs w:val="24"/>
              </w:rPr>
              <w:t>Correlations co-</w:t>
            </w:r>
            <w:proofErr w:type="spellStart"/>
            <w:r>
              <w:rPr>
                <w:rFonts w:ascii="Times New Roman" w:hAnsi="Times New Roman"/>
                <w:sz w:val="24"/>
                <w:szCs w:val="24"/>
              </w:rPr>
              <w:t>efficients</w:t>
            </w:r>
            <w:proofErr w:type="spellEnd"/>
            <w:r>
              <w:rPr>
                <w:rFonts w:ascii="Times New Roman" w:hAnsi="Times New Roman"/>
                <w:sz w:val="24"/>
                <w:szCs w:val="24"/>
              </w:rPr>
              <w:t xml:space="preserve"> for log(NT-</w:t>
            </w:r>
            <w:proofErr w:type="spellStart"/>
            <w:r>
              <w:rPr>
                <w:rFonts w:ascii="Times New Roman" w:hAnsi="Times New Roman"/>
                <w:sz w:val="24"/>
                <w:szCs w:val="24"/>
              </w:rPr>
              <w:t>proBNP</w:t>
            </w:r>
            <w:proofErr w:type="spellEnd"/>
            <w:r>
              <w:rPr>
                <w:rFonts w:ascii="Times New Roman" w:hAnsi="Times New Roman"/>
                <w:sz w:val="24"/>
                <w:szCs w:val="24"/>
              </w:rPr>
              <w:t>) measured at various times (p&lt;0.0001 for all)</w:t>
            </w:r>
          </w:p>
        </w:tc>
      </w:tr>
      <w:tr w:rsidR="00814261" w:rsidTr="00785B09">
        <w:trPr>
          <w:trHeight w:val="656"/>
        </w:trPr>
        <w:tc>
          <w:tcPr>
            <w:tcW w:w="1559" w:type="dxa"/>
            <w:vMerge/>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spacing w:after="0" w:line="240" w:lineRule="auto"/>
              <w:rPr>
                <w:rFonts w:ascii="Times New Roman" w:eastAsia="Calibri" w:hAnsi="Times New Roman"/>
                <w:sz w:val="24"/>
                <w:szCs w:val="24"/>
                <w:lang w:eastAsia="en-US"/>
              </w:rPr>
            </w:pPr>
          </w:p>
        </w:tc>
        <w:tc>
          <w:tcPr>
            <w:tcW w:w="3794" w:type="dxa"/>
            <w:vMerge/>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spacing w:after="0" w:line="240" w:lineRule="auto"/>
              <w:rPr>
                <w:rFonts w:ascii="Times New Roman" w:eastAsia="Calibri" w:hAnsi="Times New Roman"/>
                <w:sz w:val="24"/>
                <w:szCs w:val="24"/>
                <w:lang w:eastAsia="en-US"/>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spacing w:after="0" w:line="240" w:lineRule="auto"/>
              <w:rPr>
                <w:rFonts w:ascii="Times New Roman" w:eastAsia="Calibri" w:hAnsi="Times New Roman"/>
                <w:sz w:val="24"/>
                <w:szCs w:val="24"/>
                <w:lang w:eastAsia="en-US"/>
              </w:rPr>
            </w:pPr>
          </w:p>
        </w:tc>
        <w:tc>
          <w:tcPr>
            <w:tcW w:w="2079"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contextualSpacing/>
              <w:jc w:val="center"/>
              <w:rPr>
                <w:rFonts w:ascii="Times New Roman" w:eastAsia="Calibri" w:hAnsi="Times New Roman"/>
                <w:sz w:val="24"/>
                <w:szCs w:val="24"/>
                <w:lang w:eastAsia="en-US"/>
              </w:rPr>
            </w:pPr>
          </w:p>
          <w:p w:rsidR="00814261" w:rsidRDefault="00814261" w:rsidP="00785B09">
            <w:pPr>
              <w:spacing w:after="0"/>
              <w:contextualSpacing/>
              <w:jc w:val="center"/>
              <w:rPr>
                <w:rFonts w:ascii="Times New Roman" w:eastAsia="Calibri" w:hAnsi="Times New Roman"/>
                <w:strike/>
                <w:sz w:val="24"/>
                <w:szCs w:val="24"/>
                <w:lang w:eastAsia="en-US"/>
              </w:rPr>
            </w:pPr>
            <w:r>
              <w:rPr>
                <w:rFonts w:ascii="Times New Roman" w:hAnsi="Times New Roman"/>
                <w:sz w:val="24"/>
                <w:szCs w:val="24"/>
              </w:rPr>
              <w:t>Baseline</w:t>
            </w:r>
          </w:p>
        </w:tc>
        <w:tc>
          <w:tcPr>
            <w:tcW w:w="2079"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contextualSpacing/>
              <w:jc w:val="center"/>
              <w:rPr>
                <w:rFonts w:ascii="Times New Roman" w:eastAsia="Calibri" w:hAnsi="Times New Roman"/>
                <w:sz w:val="24"/>
                <w:szCs w:val="24"/>
                <w:lang w:eastAsia="en-US"/>
              </w:rPr>
            </w:pPr>
          </w:p>
          <w:p w:rsidR="00814261" w:rsidRDefault="00814261" w:rsidP="00785B09">
            <w:pPr>
              <w:spacing w:after="0"/>
              <w:contextualSpacing/>
              <w:jc w:val="center"/>
              <w:rPr>
                <w:rFonts w:ascii="Times New Roman" w:eastAsia="Calibri" w:hAnsi="Times New Roman"/>
                <w:strike/>
                <w:sz w:val="24"/>
                <w:szCs w:val="24"/>
                <w:lang w:eastAsia="en-US"/>
              </w:rPr>
            </w:pPr>
            <w:r>
              <w:rPr>
                <w:rFonts w:ascii="Times New Roman" w:hAnsi="Times New Roman"/>
                <w:sz w:val="24"/>
                <w:szCs w:val="24"/>
              </w:rPr>
              <w:t>4 months</w:t>
            </w:r>
          </w:p>
        </w:tc>
        <w:tc>
          <w:tcPr>
            <w:tcW w:w="2142" w:type="dxa"/>
            <w:tcBorders>
              <w:top w:val="single" w:sz="4" w:space="0" w:color="000000"/>
              <w:left w:val="single" w:sz="4" w:space="0" w:color="000000"/>
              <w:bottom w:val="single" w:sz="4" w:space="0" w:color="000000"/>
              <w:right w:val="single" w:sz="4" w:space="0" w:color="000000"/>
            </w:tcBorders>
          </w:tcPr>
          <w:p w:rsidR="00814261" w:rsidRDefault="00814261" w:rsidP="00785B09">
            <w:pPr>
              <w:spacing w:after="0"/>
              <w:contextualSpacing/>
              <w:jc w:val="center"/>
              <w:rPr>
                <w:rFonts w:ascii="Times New Roman" w:eastAsia="Calibri" w:hAnsi="Times New Roman"/>
                <w:sz w:val="24"/>
                <w:szCs w:val="24"/>
                <w:lang w:eastAsia="en-US"/>
              </w:rPr>
            </w:pPr>
          </w:p>
          <w:p w:rsidR="00814261" w:rsidRDefault="00814261" w:rsidP="00785B09">
            <w:pPr>
              <w:spacing w:after="0"/>
              <w:contextualSpacing/>
              <w:jc w:val="center"/>
              <w:rPr>
                <w:rFonts w:ascii="Times New Roman" w:eastAsia="Calibri" w:hAnsi="Times New Roman"/>
                <w:strike/>
                <w:sz w:val="24"/>
                <w:szCs w:val="24"/>
                <w:lang w:eastAsia="en-US"/>
              </w:rPr>
            </w:pPr>
            <w:r>
              <w:rPr>
                <w:rFonts w:ascii="Times New Roman" w:hAnsi="Times New Roman"/>
                <w:sz w:val="24"/>
                <w:szCs w:val="24"/>
              </w:rPr>
              <w:t>12 months</w:t>
            </w:r>
          </w:p>
        </w:tc>
      </w:tr>
      <w:tr w:rsidR="00814261" w:rsidTr="00785B09">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Baseline</w:t>
            </w:r>
          </w:p>
        </w:tc>
        <w:tc>
          <w:tcPr>
            <w:tcW w:w="379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All:      1,108 (448-2613)</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AF:      1,878 (1026-3527)</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SR:         828 (311-2080)</w:t>
            </w:r>
          </w:p>
        </w:tc>
        <w:tc>
          <w:tcPr>
            <w:tcW w:w="198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1998</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 xml:space="preserve">  614</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1384</w:t>
            </w:r>
          </w:p>
        </w:tc>
        <w:tc>
          <w:tcPr>
            <w:tcW w:w="2079" w:type="dxa"/>
            <w:tcBorders>
              <w:top w:val="single" w:sz="4" w:space="0" w:color="000000"/>
              <w:left w:val="single" w:sz="4" w:space="0" w:color="000000"/>
              <w:bottom w:val="single" w:sz="4" w:space="0" w:color="000000"/>
              <w:right w:val="single" w:sz="4" w:space="0" w:color="000000"/>
            </w:tcBorders>
            <w:shd w:val="clear" w:color="auto" w:fill="D9D9D9"/>
          </w:tcPr>
          <w:p w:rsidR="00814261" w:rsidRDefault="00814261" w:rsidP="00785B09">
            <w:pPr>
              <w:spacing w:after="0" w:line="240" w:lineRule="auto"/>
              <w:contextualSpacing/>
              <w:rPr>
                <w:rFonts w:ascii="Times New Roman" w:eastAsia="Calibri" w:hAnsi="Times New Roman"/>
                <w:sz w:val="24"/>
                <w:szCs w:val="24"/>
                <w:lang w:eastAsia="en-US"/>
              </w:rPr>
            </w:pPr>
          </w:p>
        </w:tc>
        <w:tc>
          <w:tcPr>
            <w:tcW w:w="2079" w:type="dxa"/>
            <w:tcBorders>
              <w:top w:val="single" w:sz="4" w:space="0" w:color="000000"/>
              <w:left w:val="single" w:sz="4" w:space="0" w:color="000000"/>
              <w:bottom w:val="single" w:sz="4" w:space="0" w:color="000000"/>
              <w:right w:val="single" w:sz="4" w:space="0" w:color="000000"/>
            </w:tcBorders>
            <w:shd w:val="clear" w:color="auto" w:fill="D9D9D9"/>
          </w:tcPr>
          <w:p w:rsidR="00814261" w:rsidRDefault="00814261" w:rsidP="00785B09">
            <w:pPr>
              <w:spacing w:after="0" w:line="240" w:lineRule="auto"/>
              <w:ind w:left="720"/>
              <w:contextualSpacing/>
              <w:rPr>
                <w:rFonts w:ascii="Times New Roman" w:eastAsia="Calibri" w:hAnsi="Times New Roman"/>
                <w:sz w:val="24"/>
                <w:szCs w:val="24"/>
                <w:lang w:eastAsia="en-US"/>
              </w:rPr>
            </w:pPr>
          </w:p>
        </w:tc>
        <w:tc>
          <w:tcPr>
            <w:tcW w:w="2142" w:type="dxa"/>
            <w:tcBorders>
              <w:top w:val="single" w:sz="4" w:space="0" w:color="000000"/>
              <w:left w:val="single" w:sz="4" w:space="0" w:color="000000"/>
              <w:bottom w:val="single" w:sz="4" w:space="0" w:color="000000"/>
              <w:right w:val="single" w:sz="4" w:space="0" w:color="000000"/>
            </w:tcBorders>
            <w:shd w:val="clear" w:color="auto" w:fill="D9D9D9"/>
          </w:tcPr>
          <w:p w:rsidR="00814261" w:rsidRDefault="00814261" w:rsidP="00785B09">
            <w:pPr>
              <w:spacing w:after="0" w:line="240" w:lineRule="auto"/>
              <w:ind w:left="720"/>
              <w:contextualSpacing/>
              <w:rPr>
                <w:rFonts w:ascii="Times New Roman" w:eastAsia="Calibri" w:hAnsi="Times New Roman"/>
                <w:sz w:val="24"/>
                <w:szCs w:val="24"/>
                <w:lang w:eastAsia="en-US"/>
              </w:rPr>
            </w:pPr>
          </w:p>
        </w:tc>
      </w:tr>
      <w:tr w:rsidR="00814261" w:rsidTr="00785B09">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4 months</w:t>
            </w:r>
          </w:p>
        </w:tc>
        <w:tc>
          <w:tcPr>
            <w:tcW w:w="379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All:          969 (393-2109)</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AF:       1,530 (880-2816)</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SR:          694 (297-1670)</w:t>
            </w:r>
          </w:p>
        </w:tc>
        <w:tc>
          <w:tcPr>
            <w:tcW w:w="198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1314</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 xml:space="preserve">  426</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 xml:space="preserve">  888</w:t>
            </w:r>
          </w:p>
        </w:tc>
        <w:tc>
          <w:tcPr>
            <w:tcW w:w="207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0.82</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0.70</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0.83</w:t>
            </w:r>
          </w:p>
        </w:tc>
        <w:tc>
          <w:tcPr>
            <w:tcW w:w="2079" w:type="dxa"/>
            <w:tcBorders>
              <w:top w:val="single" w:sz="4" w:space="0" w:color="000000"/>
              <w:left w:val="single" w:sz="4" w:space="0" w:color="000000"/>
              <w:bottom w:val="single" w:sz="4" w:space="0" w:color="000000"/>
              <w:right w:val="single" w:sz="4" w:space="0" w:color="000000"/>
            </w:tcBorders>
            <w:shd w:val="clear" w:color="auto" w:fill="D9D9D9"/>
          </w:tcPr>
          <w:p w:rsidR="00814261" w:rsidRDefault="00814261" w:rsidP="00785B09">
            <w:pPr>
              <w:spacing w:after="0" w:line="240" w:lineRule="auto"/>
              <w:contextualSpacing/>
              <w:rPr>
                <w:rFonts w:ascii="Times New Roman" w:eastAsia="Calibri" w:hAnsi="Times New Roman"/>
                <w:sz w:val="24"/>
                <w:szCs w:val="24"/>
                <w:lang w:eastAsia="en-US"/>
              </w:rPr>
            </w:pPr>
          </w:p>
        </w:tc>
        <w:tc>
          <w:tcPr>
            <w:tcW w:w="2142" w:type="dxa"/>
            <w:tcBorders>
              <w:top w:val="single" w:sz="4" w:space="0" w:color="000000"/>
              <w:left w:val="single" w:sz="4" w:space="0" w:color="000000"/>
              <w:bottom w:val="single" w:sz="4" w:space="0" w:color="000000"/>
              <w:right w:val="single" w:sz="4" w:space="0" w:color="000000"/>
            </w:tcBorders>
            <w:shd w:val="clear" w:color="auto" w:fill="D9D9D9"/>
          </w:tcPr>
          <w:p w:rsidR="00814261" w:rsidRDefault="00814261" w:rsidP="00785B09">
            <w:pPr>
              <w:spacing w:after="0" w:line="240" w:lineRule="auto"/>
              <w:ind w:left="720"/>
              <w:contextualSpacing/>
              <w:rPr>
                <w:rFonts w:ascii="Times New Roman" w:eastAsia="Calibri" w:hAnsi="Times New Roman"/>
                <w:sz w:val="24"/>
                <w:szCs w:val="24"/>
                <w:lang w:eastAsia="en-US"/>
              </w:rPr>
            </w:pPr>
          </w:p>
        </w:tc>
      </w:tr>
      <w:tr w:rsidR="00814261" w:rsidTr="00785B09">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12 months</w:t>
            </w:r>
          </w:p>
        </w:tc>
        <w:tc>
          <w:tcPr>
            <w:tcW w:w="379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All:           863 (354-1981)</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AF:        2,952 (1649-2952)</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SR:           586 (272-1380)</w:t>
            </w:r>
          </w:p>
        </w:tc>
        <w:tc>
          <w:tcPr>
            <w:tcW w:w="1985" w:type="dxa"/>
            <w:tcBorders>
              <w:top w:val="single" w:sz="4" w:space="0" w:color="000000"/>
              <w:left w:val="single" w:sz="4" w:space="0" w:color="000000"/>
              <w:bottom w:val="single" w:sz="4" w:space="0" w:color="000000"/>
              <w:right w:val="single" w:sz="4" w:space="0" w:color="000000"/>
            </w:tcBorders>
            <w:hideMark/>
          </w:tcPr>
          <w:p w:rsidR="00814261" w:rsidRPr="00631E03"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1168</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 xml:space="preserve">  355</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 xml:space="preserve">  813</w:t>
            </w:r>
          </w:p>
        </w:tc>
        <w:tc>
          <w:tcPr>
            <w:tcW w:w="207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0.74</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0.57</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0.75</w:t>
            </w:r>
          </w:p>
        </w:tc>
        <w:tc>
          <w:tcPr>
            <w:tcW w:w="207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0.84</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0.73</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0.83</w:t>
            </w:r>
          </w:p>
        </w:tc>
        <w:tc>
          <w:tcPr>
            <w:tcW w:w="2142" w:type="dxa"/>
            <w:tcBorders>
              <w:top w:val="single" w:sz="4" w:space="0" w:color="000000"/>
              <w:left w:val="single" w:sz="4" w:space="0" w:color="000000"/>
              <w:bottom w:val="single" w:sz="4" w:space="0" w:color="000000"/>
              <w:right w:val="single" w:sz="4" w:space="0" w:color="000000"/>
            </w:tcBorders>
            <w:shd w:val="clear" w:color="auto" w:fill="D9D9D9"/>
          </w:tcPr>
          <w:p w:rsidR="00814261" w:rsidRDefault="00814261" w:rsidP="00785B09">
            <w:pPr>
              <w:spacing w:after="0" w:line="240" w:lineRule="auto"/>
              <w:contextualSpacing/>
              <w:rPr>
                <w:rFonts w:ascii="Times New Roman" w:eastAsia="Calibri" w:hAnsi="Times New Roman"/>
                <w:sz w:val="24"/>
                <w:szCs w:val="24"/>
                <w:lang w:eastAsia="en-US"/>
              </w:rPr>
            </w:pPr>
          </w:p>
        </w:tc>
      </w:tr>
      <w:tr w:rsidR="00814261" w:rsidTr="00785B09">
        <w:tc>
          <w:tcPr>
            <w:tcW w:w="155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24 months</w:t>
            </w:r>
          </w:p>
        </w:tc>
        <w:tc>
          <w:tcPr>
            <w:tcW w:w="379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All:            825 (318-1928)</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AF:         2,862 (1412-2862)</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SR:            606 (253-1510)</w:t>
            </w:r>
          </w:p>
        </w:tc>
        <w:tc>
          <w:tcPr>
            <w:tcW w:w="1985" w:type="dxa"/>
            <w:tcBorders>
              <w:top w:val="single" w:sz="4" w:space="0" w:color="000000"/>
              <w:left w:val="single" w:sz="4" w:space="0" w:color="000000"/>
              <w:bottom w:val="single" w:sz="4" w:space="0" w:color="000000"/>
              <w:right w:val="single" w:sz="4" w:space="0" w:color="000000"/>
            </w:tcBorders>
            <w:hideMark/>
          </w:tcPr>
          <w:p w:rsidR="00814261" w:rsidRPr="00631E03"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 xml:space="preserve">  930</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 xml:space="preserve">  251</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 xml:space="preserve">  679</w:t>
            </w:r>
          </w:p>
        </w:tc>
        <w:tc>
          <w:tcPr>
            <w:tcW w:w="207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0.68</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0.55</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0.68</w:t>
            </w:r>
          </w:p>
        </w:tc>
        <w:tc>
          <w:tcPr>
            <w:tcW w:w="2079"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0.79</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0.70</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0.79</w:t>
            </w:r>
          </w:p>
        </w:tc>
        <w:tc>
          <w:tcPr>
            <w:tcW w:w="2142"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0.83</w:t>
            </w:r>
          </w:p>
          <w:p w:rsidR="00814261" w:rsidRDefault="00814261" w:rsidP="00785B09">
            <w:pPr>
              <w:spacing w:after="0" w:line="240" w:lineRule="auto"/>
              <w:contextualSpacing/>
              <w:rPr>
                <w:rFonts w:ascii="Times New Roman" w:hAnsi="Times New Roman"/>
                <w:sz w:val="24"/>
                <w:szCs w:val="24"/>
              </w:rPr>
            </w:pPr>
            <w:r>
              <w:rPr>
                <w:rFonts w:ascii="Times New Roman" w:hAnsi="Times New Roman"/>
                <w:sz w:val="24"/>
                <w:szCs w:val="24"/>
              </w:rPr>
              <w:t>0.74</w:t>
            </w:r>
          </w:p>
          <w:p w:rsidR="00814261" w:rsidRDefault="00814261" w:rsidP="00785B09">
            <w:pPr>
              <w:spacing w:after="0" w:line="240" w:lineRule="auto"/>
              <w:contextualSpacing/>
              <w:rPr>
                <w:rFonts w:ascii="Times New Roman" w:eastAsia="Calibri" w:hAnsi="Times New Roman"/>
                <w:sz w:val="24"/>
                <w:szCs w:val="24"/>
                <w:lang w:eastAsia="en-US"/>
              </w:rPr>
            </w:pPr>
            <w:r>
              <w:rPr>
                <w:rFonts w:ascii="Times New Roman" w:hAnsi="Times New Roman"/>
                <w:sz w:val="24"/>
                <w:szCs w:val="24"/>
              </w:rPr>
              <w:t>0.86</w:t>
            </w:r>
          </w:p>
        </w:tc>
      </w:tr>
    </w:tbl>
    <w:p w:rsidR="00814261" w:rsidRDefault="00814261" w:rsidP="00814261">
      <w:r>
        <w:rPr>
          <w:rFonts w:ascii="Times New Roman" w:hAnsi="Times New Roman" w:cs="Times New Roman"/>
        </w:rPr>
        <w:t xml:space="preserve">Abbreviations: </w:t>
      </w:r>
      <w:r w:rsidRPr="00CD5EB5">
        <w:rPr>
          <w:rFonts w:ascii="Times New Roman" w:hAnsi="Times New Roman" w:cs="Times New Roman"/>
        </w:rPr>
        <w:t>AF: Atrial fibrillation; SR: Sinus rhythm</w:t>
      </w:r>
      <w:r>
        <w:rPr>
          <w:rFonts w:ascii="Times New Roman" w:hAnsi="Times New Roman" w:cs="Times New Roman"/>
          <w:sz w:val="20"/>
          <w:szCs w:val="20"/>
        </w:rPr>
        <w:t>.</w:t>
      </w:r>
    </w:p>
    <w:p w:rsidR="00814261" w:rsidRDefault="00814261" w:rsidP="00814261"/>
    <w:p w:rsidR="00814261" w:rsidRDefault="00814261" w:rsidP="00814261"/>
    <w:p w:rsidR="00814261" w:rsidRDefault="00814261" w:rsidP="00814261"/>
    <w:p w:rsidR="00814261" w:rsidRDefault="00814261" w:rsidP="00814261"/>
    <w:p w:rsidR="00814261" w:rsidRDefault="00814261" w:rsidP="00814261"/>
    <w:p w:rsidR="00814261" w:rsidRDefault="00814261" w:rsidP="00814261"/>
    <w:p w:rsidR="00814261" w:rsidRDefault="00814261" w:rsidP="00814261"/>
    <w:p w:rsidR="00814261" w:rsidRPr="00931E8B" w:rsidRDefault="00814261" w:rsidP="00814261">
      <w:pPr>
        <w:rPr>
          <w:rFonts w:ascii="Times New Roman" w:hAnsi="Times New Roman" w:cs="Times New Roman"/>
          <w:sz w:val="24"/>
          <w:szCs w:val="24"/>
        </w:rPr>
      </w:pPr>
      <w:r>
        <w:rPr>
          <w:rFonts w:ascii="Times New Roman" w:hAnsi="Times New Roman" w:cs="Times New Roman"/>
          <w:sz w:val="24"/>
          <w:szCs w:val="24"/>
        </w:rPr>
        <w:t>Supplemental table S3</w:t>
      </w:r>
      <w:r w:rsidRPr="00931E8B">
        <w:rPr>
          <w:rFonts w:ascii="Times New Roman" w:hAnsi="Times New Roman" w:cs="Times New Roman"/>
          <w:sz w:val="24"/>
          <w:szCs w:val="24"/>
        </w:rPr>
        <w:t>: Survival models for all-cause mortality for long-term prediction*</w:t>
      </w:r>
    </w:p>
    <w:tbl>
      <w:tblPr>
        <w:tblW w:w="0" w:type="auto"/>
        <w:tblInd w:w="-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55"/>
        <w:gridCol w:w="1985"/>
        <w:gridCol w:w="1334"/>
        <w:gridCol w:w="1784"/>
      </w:tblGrid>
      <w:tr w:rsidR="00814261" w:rsidTr="00785B09">
        <w:tc>
          <w:tcPr>
            <w:tcW w:w="3855" w:type="dxa"/>
            <w:vMerge w:val="restart"/>
            <w:tcBorders>
              <w:top w:val="single" w:sz="4" w:space="0" w:color="000000"/>
              <w:left w:val="single" w:sz="4" w:space="0" w:color="000000"/>
              <w:bottom w:val="single" w:sz="4" w:space="0" w:color="000000"/>
              <w:right w:val="single" w:sz="4" w:space="0" w:color="000000"/>
            </w:tcBorders>
          </w:tcPr>
          <w:p w:rsidR="00814261" w:rsidRDefault="00814261" w:rsidP="00785B09">
            <w:pPr>
              <w:ind w:left="720"/>
              <w:contextualSpacing/>
              <w:rPr>
                <w:rFonts w:ascii="Times New Roman" w:eastAsia="Calibri" w:hAnsi="Times New Roman"/>
                <w:sz w:val="24"/>
                <w:szCs w:val="24"/>
                <w:lang w:eastAsia="en-US"/>
              </w:rPr>
            </w:pPr>
          </w:p>
        </w:tc>
        <w:tc>
          <w:tcPr>
            <w:tcW w:w="5103" w:type="dxa"/>
            <w:gridSpan w:val="3"/>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Log(NT-</w:t>
            </w:r>
            <w:proofErr w:type="spellStart"/>
            <w:r>
              <w:rPr>
                <w:rFonts w:ascii="Times New Roman" w:hAnsi="Times New Roman"/>
                <w:sz w:val="24"/>
                <w:szCs w:val="24"/>
              </w:rPr>
              <w:t>proBNP</w:t>
            </w:r>
            <w:proofErr w:type="spellEnd"/>
            <w:r>
              <w:rPr>
                <w:rFonts w:ascii="Times New Roman" w:hAnsi="Times New Roman"/>
                <w:sz w:val="24"/>
                <w:szCs w:val="24"/>
              </w:rPr>
              <w:t>)</w:t>
            </w:r>
          </w:p>
        </w:tc>
      </w:tr>
      <w:tr w:rsidR="00814261" w:rsidTr="00785B09">
        <w:tc>
          <w:tcPr>
            <w:tcW w:w="3855" w:type="dxa"/>
            <w:vMerge/>
            <w:tcBorders>
              <w:top w:val="single" w:sz="4" w:space="0" w:color="000000"/>
              <w:left w:val="single" w:sz="4" w:space="0" w:color="000000"/>
              <w:bottom w:val="single" w:sz="4" w:space="0" w:color="000000"/>
              <w:right w:val="single" w:sz="4" w:space="0" w:color="000000"/>
            </w:tcBorders>
            <w:vAlign w:val="center"/>
            <w:hideMark/>
          </w:tcPr>
          <w:p w:rsidR="00814261" w:rsidRDefault="00814261" w:rsidP="00785B09">
            <w:pPr>
              <w:spacing w:after="0" w:line="240" w:lineRule="auto"/>
              <w:rPr>
                <w:rFonts w:ascii="Times New Roman" w:eastAsia="Calibri" w:hAnsi="Times New Roman"/>
                <w:sz w:val="24"/>
                <w:szCs w:val="24"/>
                <w:lang w:eastAsia="en-US"/>
              </w:rPr>
            </w:pPr>
          </w:p>
        </w:tc>
        <w:tc>
          <w:tcPr>
            <w:tcW w:w="198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HR (95%CI)</w:t>
            </w:r>
          </w:p>
        </w:tc>
        <w:tc>
          <w:tcPr>
            <w:tcW w:w="133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z-statistic</w:t>
            </w:r>
          </w:p>
        </w:tc>
        <w:tc>
          <w:tcPr>
            <w:tcW w:w="178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rPr>
                <w:rFonts w:ascii="Times New Roman" w:eastAsia="Calibri" w:hAnsi="Times New Roman"/>
                <w:sz w:val="24"/>
                <w:szCs w:val="24"/>
                <w:lang w:eastAsia="en-US"/>
              </w:rPr>
            </w:pPr>
            <w:r>
              <w:rPr>
                <w:rFonts w:ascii="Times New Roman" w:hAnsi="Times New Roman"/>
                <w:sz w:val="24"/>
                <w:szCs w:val="24"/>
              </w:rPr>
              <w:t>p-value</w:t>
            </w:r>
          </w:p>
        </w:tc>
      </w:tr>
      <w:tr w:rsidR="00814261" w:rsidTr="00785B09">
        <w:tc>
          <w:tcPr>
            <w:tcW w:w="8958" w:type="dxa"/>
            <w:gridSpan w:val="4"/>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Starting from baseline</w:t>
            </w:r>
          </w:p>
        </w:tc>
      </w:tr>
      <w:tr w:rsidR="00814261" w:rsidTr="00785B09">
        <w:tc>
          <w:tcPr>
            <w:tcW w:w="385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Cox regression for baseline data</w:t>
            </w:r>
          </w:p>
        </w:tc>
        <w:tc>
          <w:tcPr>
            <w:tcW w:w="198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1.81 (1.58 - 2.08)</w:t>
            </w:r>
          </w:p>
        </w:tc>
        <w:tc>
          <w:tcPr>
            <w:tcW w:w="133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8.56</w:t>
            </w:r>
          </w:p>
        </w:tc>
        <w:tc>
          <w:tcPr>
            <w:tcW w:w="178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rPr>
                <w:rFonts w:ascii="Times New Roman" w:eastAsia="Calibri" w:hAnsi="Times New Roman"/>
                <w:sz w:val="24"/>
                <w:szCs w:val="24"/>
                <w:lang w:eastAsia="en-US"/>
              </w:rPr>
            </w:pPr>
            <w:r>
              <w:rPr>
                <w:rFonts w:ascii="Times New Roman" w:hAnsi="Times New Roman"/>
                <w:sz w:val="24"/>
                <w:szCs w:val="24"/>
              </w:rPr>
              <w:t>&lt;0.0001</w:t>
            </w:r>
          </w:p>
        </w:tc>
      </w:tr>
      <w:tr w:rsidR="00814261" w:rsidTr="00785B09">
        <w:tc>
          <w:tcPr>
            <w:tcW w:w="385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 xml:space="preserve">Joint modelling for all follow-up </w:t>
            </w:r>
          </w:p>
        </w:tc>
        <w:tc>
          <w:tcPr>
            <w:tcW w:w="198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3.76 (3.15 - 4.56)</w:t>
            </w:r>
          </w:p>
        </w:tc>
        <w:tc>
          <w:tcPr>
            <w:tcW w:w="133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13.24</w:t>
            </w:r>
          </w:p>
        </w:tc>
        <w:tc>
          <w:tcPr>
            <w:tcW w:w="178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rPr>
                <w:rFonts w:ascii="Times New Roman" w:eastAsia="Calibri" w:hAnsi="Times New Roman"/>
                <w:sz w:val="24"/>
                <w:szCs w:val="24"/>
                <w:lang w:eastAsia="en-US"/>
              </w:rPr>
            </w:pPr>
            <w:r>
              <w:rPr>
                <w:rFonts w:ascii="Times New Roman" w:hAnsi="Times New Roman"/>
                <w:sz w:val="24"/>
                <w:szCs w:val="24"/>
              </w:rPr>
              <w:t>&lt;0.0001</w:t>
            </w:r>
          </w:p>
        </w:tc>
      </w:tr>
      <w:tr w:rsidR="00814261" w:rsidTr="00785B09">
        <w:tc>
          <w:tcPr>
            <w:tcW w:w="385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spacing w:after="0"/>
              <w:contextualSpacing/>
              <w:rPr>
                <w:rFonts w:ascii="Times New Roman" w:eastAsia="Calibri" w:hAnsi="Times New Roman"/>
                <w:sz w:val="24"/>
                <w:szCs w:val="24"/>
                <w:lang w:eastAsia="en-US"/>
              </w:rPr>
            </w:pPr>
            <w:r>
              <w:rPr>
                <w:rFonts w:ascii="Times New Roman" w:hAnsi="Times New Roman"/>
                <w:sz w:val="24"/>
                <w:szCs w:val="24"/>
              </w:rPr>
              <w:t>Joint modelling for all follow-up excluding last data</w:t>
            </w:r>
          </w:p>
        </w:tc>
        <w:tc>
          <w:tcPr>
            <w:tcW w:w="198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3.01 (2.20 - 3.21)</w:t>
            </w:r>
          </w:p>
        </w:tc>
        <w:tc>
          <w:tcPr>
            <w:tcW w:w="133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11.07</w:t>
            </w:r>
          </w:p>
        </w:tc>
        <w:tc>
          <w:tcPr>
            <w:tcW w:w="178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rPr>
                <w:rFonts w:ascii="Times New Roman" w:eastAsia="Calibri" w:hAnsi="Times New Roman"/>
                <w:sz w:val="24"/>
                <w:szCs w:val="24"/>
                <w:lang w:eastAsia="en-US"/>
              </w:rPr>
            </w:pPr>
            <w:r>
              <w:rPr>
                <w:rFonts w:ascii="Times New Roman" w:hAnsi="Times New Roman"/>
                <w:sz w:val="24"/>
                <w:szCs w:val="24"/>
              </w:rPr>
              <w:t>&lt;0.0001</w:t>
            </w:r>
          </w:p>
        </w:tc>
      </w:tr>
      <w:tr w:rsidR="00814261" w:rsidTr="00785B09">
        <w:tc>
          <w:tcPr>
            <w:tcW w:w="8958" w:type="dxa"/>
            <w:gridSpan w:val="4"/>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jc w:val="center"/>
              <w:rPr>
                <w:rFonts w:ascii="Times New Roman" w:eastAsia="Calibri" w:hAnsi="Times New Roman"/>
                <w:sz w:val="24"/>
                <w:szCs w:val="24"/>
                <w:lang w:eastAsia="en-US"/>
              </w:rPr>
            </w:pPr>
            <w:r>
              <w:rPr>
                <w:rFonts w:ascii="Times New Roman" w:hAnsi="Times New Roman"/>
                <w:sz w:val="24"/>
                <w:szCs w:val="24"/>
              </w:rPr>
              <w:t>Starting from most recent data</w:t>
            </w:r>
          </w:p>
        </w:tc>
      </w:tr>
      <w:tr w:rsidR="00814261" w:rsidTr="00785B09">
        <w:tc>
          <w:tcPr>
            <w:tcW w:w="385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Cox regression for most recent data</w:t>
            </w:r>
          </w:p>
        </w:tc>
        <w:tc>
          <w:tcPr>
            <w:tcW w:w="1985"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3.73 (3.20-4.34)</w:t>
            </w:r>
          </w:p>
        </w:tc>
        <w:tc>
          <w:tcPr>
            <w:tcW w:w="133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rPr>
                <w:rFonts w:ascii="Times New Roman" w:eastAsia="Calibri" w:hAnsi="Times New Roman"/>
                <w:sz w:val="24"/>
                <w:szCs w:val="24"/>
                <w:lang w:eastAsia="en-US"/>
              </w:rPr>
            </w:pPr>
            <w:r>
              <w:rPr>
                <w:rFonts w:ascii="Times New Roman" w:hAnsi="Times New Roman"/>
                <w:sz w:val="24"/>
                <w:szCs w:val="24"/>
              </w:rPr>
              <w:t>16.89</w:t>
            </w:r>
          </w:p>
        </w:tc>
        <w:tc>
          <w:tcPr>
            <w:tcW w:w="1784" w:type="dxa"/>
            <w:tcBorders>
              <w:top w:val="single" w:sz="4" w:space="0" w:color="000000"/>
              <w:left w:val="single" w:sz="4" w:space="0" w:color="000000"/>
              <w:bottom w:val="single" w:sz="4" w:space="0" w:color="000000"/>
              <w:right w:val="single" w:sz="4" w:space="0" w:color="000000"/>
            </w:tcBorders>
            <w:hideMark/>
          </w:tcPr>
          <w:p w:rsidR="00814261" w:rsidRDefault="00814261" w:rsidP="00785B09">
            <w:pPr>
              <w:ind w:left="720"/>
              <w:contextualSpacing/>
              <w:rPr>
                <w:rFonts w:ascii="Times New Roman" w:eastAsia="Calibri" w:hAnsi="Times New Roman"/>
                <w:sz w:val="24"/>
                <w:szCs w:val="24"/>
                <w:lang w:eastAsia="en-US"/>
              </w:rPr>
            </w:pPr>
            <w:r>
              <w:rPr>
                <w:rFonts w:ascii="Times New Roman" w:hAnsi="Times New Roman"/>
                <w:sz w:val="24"/>
                <w:szCs w:val="24"/>
              </w:rPr>
              <w:t>&lt;0.0001</w:t>
            </w:r>
          </w:p>
        </w:tc>
      </w:tr>
    </w:tbl>
    <w:p w:rsidR="00814261" w:rsidRDefault="00814261" w:rsidP="00814261">
      <w:pPr>
        <w:rPr>
          <w:rFonts w:ascii="Times New Roman" w:hAnsi="Times New Roman" w:cs="Times New Roman"/>
        </w:rPr>
      </w:pPr>
      <w:r w:rsidRPr="005122FE">
        <w:rPr>
          <w:rFonts w:ascii="Times New Roman" w:hAnsi="Times New Roman" w:cs="Times New Roman"/>
        </w:rPr>
        <w:t xml:space="preserve">*The models were adjusted for pre-specified </w:t>
      </w:r>
      <w:r>
        <w:rPr>
          <w:rFonts w:ascii="Times New Roman" w:hAnsi="Times New Roman" w:cs="Times New Roman"/>
        </w:rPr>
        <w:t>baseline age, sex and</w:t>
      </w:r>
      <w:r w:rsidRPr="005122FE">
        <w:rPr>
          <w:rFonts w:ascii="Times New Roman" w:hAnsi="Times New Roman" w:cs="Times New Roman"/>
        </w:rPr>
        <w:t xml:space="preserve"> </w:t>
      </w:r>
      <w:proofErr w:type="spellStart"/>
      <w:r w:rsidRPr="005122FE">
        <w:rPr>
          <w:rFonts w:ascii="Times New Roman" w:hAnsi="Times New Roman" w:cs="Times New Roman"/>
        </w:rPr>
        <w:t>eGFR</w:t>
      </w:r>
      <w:proofErr w:type="spellEnd"/>
      <w:r w:rsidRPr="005122FE">
        <w:rPr>
          <w:rFonts w:ascii="Times New Roman" w:hAnsi="Times New Roman" w:cs="Times New Roman"/>
        </w:rPr>
        <w:t xml:space="preserve"> (Estimated glomerular filtration rate)</w:t>
      </w:r>
      <w:r>
        <w:rPr>
          <w:rFonts w:ascii="Times New Roman" w:hAnsi="Times New Roman" w:cs="Times New Roman"/>
        </w:rPr>
        <w:t>.</w:t>
      </w: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eastAsia="Calibri" w:hAnsi="Times New Roman" w:cs="Times New Roman"/>
          <w:noProof/>
          <w:sz w:val="24"/>
          <w:szCs w:val="24"/>
        </w:rPr>
      </w:pPr>
      <w:r w:rsidRPr="007D3280">
        <w:rPr>
          <w:rFonts w:ascii="Times New Roman" w:eastAsia="Calibri" w:hAnsi="Times New Roman" w:cs="Times New Roman"/>
          <w:noProof/>
          <w:sz w:val="24"/>
          <w:szCs w:val="24"/>
          <w:lang w:eastAsia="en-GB"/>
        </w:rPr>
        <w:drawing>
          <wp:inline distT="0" distB="0" distL="0" distR="0" wp14:anchorId="70679760" wp14:editId="512737B5">
            <wp:extent cx="5575300" cy="2825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75300" cy="2825750"/>
                    </a:xfrm>
                    <a:prstGeom prst="rect">
                      <a:avLst/>
                    </a:prstGeom>
                    <a:noFill/>
                    <a:ln>
                      <a:noFill/>
                    </a:ln>
                  </pic:spPr>
                </pic:pic>
              </a:graphicData>
            </a:graphic>
          </wp:inline>
        </w:drawing>
      </w:r>
    </w:p>
    <w:p w:rsidR="00814261" w:rsidRDefault="00814261" w:rsidP="00814261">
      <w:pPr>
        <w:rPr>
          <w:noProof/>
        </w:rPr>
      </w:pPr>
      <w:r w:rsidRPr="00D71EA9">
        <w:rPr>
          <w:noProof/>
          <w:lang w:eastAsia="en-GB"/>
        </w:rPr>
        <w:drawing>
          <wp:inline distT="0" distB="0" distL="0" distR="0" wp14:anchorId="68910214" wp14:editId="1E09A59D">
            <wp:extent cx="5575300" cy="28638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575300" cy="2863850"/>
                    </a:xfrm>
                    <a:prstGeom prst="rect">
                      <a:avLst/>
                    </a:prstGeom>
                    <a:noFill/>
                    <a:ln>
                      <a:noFill/>
                    </a:ln>
                  </pic:spPr>
                </pic:pic>
              </a:graphicData>
            </a:graphic>
          </wp:inline>
        </w:drawing>
      </w:r>
    </w:p>
    <w:p w:rsidR="00814261" w:rsidRDefault="00814261" w:rsidP="00814261">
      <w:r>
        <w:rPr>
          <w:rFonts w:ascii="Times New Roman" w:hAnsi="Times New Roman" w:cs="Times New Roman"/>
          <w:sz w:val="24"/>
          <w:szCs w:val="24"/>
        </w:rPr>
        <w:t>Figure 1</w:t>
      </w:r>
      <w:r w:rsidRPr="003A22A4">
        <w:rPr>
          <w:rFonts w:ascii="Times New Roman" w:hAnsi="Times New Roman" w:cs="Times New Roman"/>
          <w:sz w:val="24"/>
          <w:szCs w:val="24"/>
        </w:rPr>
        <w:t xml:space="preserve">: </w:t>
      </w:r>
      <w:r w:rsidRPr="003A22A4">
        <w:rPr>
          <w:rFonts w:ascii="Times New Roman" w:eastAsia="Calibri" w:hAnsi="Times New Roman" w:cs="Times New Roman"/>
          <w:sz w:val="24"/>
          <w:szCs w:val="24"/>
        </w:rPr>
        <w:t>Relationship</w:t>
      </w:r>
      <w:r>
        <w:rPr>
          <w:rFonts w:ascii="Times New Roman" w:eastAsia="Calibri" w:hAnsi="Times New Roman" w:cs="Times New Roman"/>
          <w:sz w:val="24"/>
          <w:szCs w:val="24"/>
        </w:rPr>
        <w:t xml:space="preserve"> (showing lines of identity) </w:t>
      </w:r>
      <w:r w:rsidRPr="00057812">
        <w:rPr>
          <w:rFonts w:ascii="Times New Roman" w:eastAsia="Calibri" w:hAnsi="Times New Roman" w:cs="Times New Roman"/>
          <w:sz w:val="24"/>
          <w:szCs w:val="24"/>
        </w:rPr>
        <w:t>between baseline log(NT-</w:t>
      </w:r>
      <w:proofErr w:type="spellStart"/>
      <w:r w:rsidRPr="00057812">
        <w:rPr>
          <w:rFonts w:ascii="Times New Roman" w:eastAsia="Calibri" w:hAnsi="Times New Roman" w:cs="Times New Roman"/>
          <w:sz w:val="24"/>
          <w:szCs w:val="24"/>
        </w:rPr>
        <w:t>proBNP</w:t>
      </w:r>
      <w:proofErr w:type="spellEnd"/>
      <w:r w:rsidRPr="00057812">
        <w:rPr>
          <w:rFonts w:ascii="Times New Roman" w:eastAsia="Calibri" w:hAnsi="Times New Roman" w:cs="Times New Roman"/>
          <w:sz w:val="24"/>
          <w:szCs w:val="24"/>
        </w:rPr>
        <w:t>) and other measurements of log(NT-</w:t>
      </w:r>
      <w:proofErr w:type="spellStart"/>
      <w:r w:rsidRPr="00057812">
        <w:rPr>
          <w:rFonts w:ascii="Times New Roman" w:eastAsia="Calibri" w:hAnsi="Times New Roman" w:cs="Times New Roman"/>
          <w:sz w:val="24"/>
          <w:szCs w:val="24"/>
        </w:rPr>
        <w:t>proBNP</w:t>
      </w:r>
      <w:proofErr w:type="spellEnd"/>
      <w:r w:rsidRPr="00057812">
        <w:rPr>
          <w:rFonts w:ascii="Times New Roman" w:eastAsia="Calibri" w:hAnsi="Times New Roman" w:cs="Times New Roman"/>
          <w:sz w:val="24"/>
          <w:szCs w:val="24"/>
        </w:rPr>
        <w:t xml:space="preserve">) at 4 months, 12 months and 24 months </w:t>
      </w:r>
      <w:r w:rsidRPr="008D0F34">
        <w:rPr>
          <w:rFonts w:ascii="Times New Roman" w:eastAsia="Calibri" w:hAnsi="Times New Roman" w:cs="Times New Roman"/>
          <w:sz w:val="24"/>
          <w:szCs w:val="24"/>
        </w:rPr>
        <w:t xml:space="preserve">for </w:t>
      </w:r>
      <w:r>
        <w:rPr>
          <w:rFonts w:ascii="Times New Roman" w:eastAsia="Calibri" w:hAnsi="Times New Roman" w:cs="Times New Roman"/>
          <w:sz w:val="24"/>
          <w:szCs w:val="24"/>
        </w:rPr>
        <w:t>patients who had SR (the top row), and not SR (the bottom row).</w:t>
      </w:r>
    </w:p>
    <w:p w:rsidR="00814261" w:rsidRDefault="00814261" w:rsidP="00814261"/>
    <w:p w:rsidR="00814261" w:rsidRDefault="00814261" w:rsidP="00814261"/>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pPr>
        <w:rPr>
          <w:rFonts w:ascii="Times New Roman" w:hAnsi="Times New Roman" w:cs="Times New Roman"/>
        </w:rPr>
      </w:pPr>
    </w:p>
    <w:p w:rsidR="00814261" w:rsidRDefault="00814261" w:rsidP="00814261">
      <w:r>
        <w:rPr>
          <w:rFonts w:ascii="Courier New" w:hAnsi="Courier New" w:cs="Courier New"/>
          <w:noProof/>
          <w:sz w:val="18"/>
          <w:szCs w:val="18"/>
          <w:lang w:eastAsia="en-GB"/>
        </w:rPr>
        <w:drawing>
          <wp:inline distT="0" distB="0" distL="0" distR="0" wp14:anchorId="11BE6BA1" wp14:editId="5133C878">
            <wp:extent cx="5082871" cy="4561367"/>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101638" cy="4578209"/>
                    </a:xfrm>
                    <a:prstGeom prst="rect">
                      <a:avLst/>
                    </a:prstGeom>
                    <a:noFill/>
                    <a:ln w="9525">
                      <a:noFill/>
                      <a:miter lim="800000"/>
                      <a:headEnd/>
                      <a:tailEnd/>
                    </a:ln>
                  </pic:spPr>
                </pic:pic>
              </a:graphicData>
            </a:graphic>
          </wp:inline>
        </w:drawing>
      </w:r>
    </w:p>
    <w:p w:rsidR="00814261" w:rsidRDefault="00814261" w:rsidP="00814261">
      <w:pPr>
        <w:spacing w:line="360" w:lineRule="auto"/>
        <w:rPr>
          <w:rFonts w:ascii="Times New Roman" w:hAnsi="Times New Roman" w:cs="Times New Roman"/>
          <w:sz w:val="24"/>
          <w:szCs w:val="24"/>
        </w:rPr>
      </w:pPr>
      <w:r>
        <w:rPr>
          <w:rFonts w:ascii="Times New Roman" w:hAnsi="Times New Roman" w:cs="Times New Roman"/>
          <w:b/>
          <w:sz w:val="24"/>
          <w:szCs w:val="24"/>
        </w:rPr>
        <w:t>Figure 2</w:t>
      </w:r>
      <w:r w:rsidRPr="006B709B">
        <w:rPr>
          <w:rFonts w:ascii="Times New Roman" w:hAnsi="Times New Roman" w:cs="Times New Roman"/>
          <w:b/>
          <w:sz w:val="24"/>
          <w:szCs w:val="24"/>
        </w:rPr>
        <w:t>:</w:t>
      </w:r>
      <w:r w:rsidRPr="00F95612">
        <w:rPr>
          <w:rFonts w:ascii="Times New Roman" w:hAnsi="Times New Roman" w:cs="Times New Roman"/>
          <w:sz w:val="24"/>
          <w:szCs w:val="24"/>
        </w:rPr>
        <w:t xml:space="preserve"> Dynamic survival probabilities with 95% CI based on various measurements of NT-</w:t>
      </w:r>
      <w:proofErr w:type="spellStart"/>
      <w:r w:rsidRPr="00F95612">
        <w:rPr>
          <w:rFonts w:ascii="Times New Roman" w:hAnsi="Times New Roman" w:cs="Times New Roman"/>
          <w:sz w:val="24"/>
          <w:szCs w:val="24"/>
        </w:rPr>
        <w:t>proBNP</w:t>
      </w:r>
      <w:proofErr w:type="spellEnd"/>
      <w:r>
        <w:rPr>
          <w:rFonts w:ascii="Times New Roman" w:hAnsi="Times New Roman" w:cs="Times New Roman"/>
          <w:sz w:val="24"/>
          <w:szCs w:val="24"/>
        </w:rPr>
        <w:t xml:space="preserve"> for a patient whose values fell</w:t>
      </w:r>
      <w:r w:rsidRPr="00F95612">
        <w:rPr>
          <w:rFonts w:ascii="Times New Roman" w:hAnsi="Times New Roman" w:cs="Times New Roman"/>
          <w:sz w:val="24"/>
          <w:szCs w:val="24"/>
        </w:rPr>
        <w:t xml:space="preserve">. The vertical dotted lines show the time point of the last </w:t>
      </w:r>
      <w:proofErr w:type="gramStart"/>
      <w:r w:rsidRPr="00F95612">
        <w:rPr>
          <w:rFonts w:ascii="Times New Roman" w:hAnsi="Times New Roman" w:cs="Times New Roman"/>
          <w:sz w:val="24"/>
          <w:szCs w:val="24"/>
        </w:rPr>
        <w:t>log(</w:t>
      </w:r>
      <w:proofErr w:type="gramEnd"/>
      <w:r w:rsidRPr="00F95612">
        <w:rPr>
          <w:rFonts w:ascii="Times New Roman" w:hAnsi="Times New Roman" w:cs="Times New Roman"/>
          <w:sz w:val="24"/>
          <w:szCs w:val="24"/>
        </w:rPr>
        <w:t>NT-</w:t>
      </w:r>
      <w:proofErr w:type="spellStart"/>
      <w:r w:rsidRPr="00F95612">
        <w:rPr>
          <w:rFonts w:ascii="Times New Roman" w:hAnsi="Times New Roman" w:cs="Times New Roman"/>
          <w:sz w:val="24"/>
          <w:szCs w:val="24"/>
        </w:rPr>
        <w:t>proBNP</w:t>
      </w:r>
      <w:proofErr w:type="spellEnd"/>
      <w:r w:rsidRPr="00F95612">
        <w:rPr>
          <w:rFonts w:ascii="Times New Roman" w:hAnsi="Times New Roman" w:cs="Times New Roman"/>
          <w:sz w:val="24"/>
          <w:szCs w:val="24"/>
        </w:rPr>
        <w:t>) measurement; prior values are shown to the left of th</w:t>
      </w:r>
      <w:r>
        <w:rPr>
          <w:rFonts w:ascii="Times New Roman" w:hAnsi="Times New Roman" w:cs="Times New Roman"/>
          <w:sz w:val="24"/>
          <w:szCs w:val="24"/>
        </w:rPr>
        <w:t xml:space="preserve">e vertical line. The curves to </w:t>
      </w:r>
      <w:r w:rsidRPr="00F95612">
        <w:rPr>
          <w:rFonts w:ascii="Times New Roman" w:hAnsi="Times New Roman" w:cs="Times New Roman"/>
          <w:sz w:val="24"/>
          <w:szCs w:val="24"/>
        </w:rPr>
        <w:t>the right are the survival probabilities incorporating all the NT-</w:t>
      </w:r>
      <w:proofErr w:type="spellStart"/>
      <w:r w:rsidRPr="00F95612">
        <w:rPr>
          <w:rFonts w:ascii="Times New Roman" w:hAnsi="Times New Roman" w:cs="Times New Roman"/>
          <w:sz w:val="24"/>
          <w:szCs w:val="24"/>
        </w:rPr>
        <w:t>proBNP</w:t>
      </w:r>
      <w:proofErr w:type="spellEnd"/>
      <w:r w:rsidRPr="00F95612">
        <w:rPr>
          <w:rFonts w:ascii="Times New Roman" w:hAnsi="Times New Roman" w:cs="Times New Roman"/>
          <w:sz w:val="24"/>
          <w:szCs w:val="24"/>
        </w:rPr>
        <w:t xml:space="preserve"> data to that point (x-axis: Time (years), y-axis: Longitudinal Outcome </w:t>
      </w:r>
      <w:r>
        <w:rPr>
          <w:rFonts w:ascii="Times New Roman" w:hAnsi="Times New Roman" w:cs="Times New Roman"/>
          <w:sz w:val="24"/>
          <w:szCs w:val="24"/>
        </w:rPr>
        <w:t xml:space="preserve">shows the observed values of </w:t>
      </w:r>
      <w:proofErr w:type="gramStart"/>
      <w:r>
        <w:rPr>
          <w:rFonts w:ascii="Times New Roman" w:hAnsi="Times New Roman" w:cs="Times New Roman"/>
          <w:sz w:val="24"/>
          <w:szCs w:val="24"/>
        </w:rPr>
        <w:t>log10(</w:t>
      </w:r>
      <w:proofErr w:type="gramEnd"/>
      <w:r>
        <w:rPr>
          <w:rFonts w:ascii="Times New Roman" w:hAnsi="Times New Roman" w:cs="Times New Roman"/>
          <w:sz w:val="24"/>
          <w:szCs w:val="24"/>
        </w:rPr>
        <w:t>NT-</w:t>
      </w:r>
      <w:proofErr w:type="spellStart"/>
      <w:r>
        <w:rPr>
          <w:rFonts w:ascii="Times New Roman" w:hAnsi="Times New Roman" w:cs="Times New Roman"/>
          <w:sz w:val="24"/>
          <w:szCs w:val="24"/>
        </w:rPr>
        <w:t>proBNP</w:t>
      </w:r>
      <w:proofErr w:type="spellEnd"/>
      <w:r>
        <w:rPr>
          <w:rFonts w:ascii="Times New Roman" w:hAnsi="Times New Roman" w:cs="Times New Roman"/>
          <w:sz w:val="24"/>
          <w:szCs w:val="24"/>
        </w:rPr>
        <w:t>) at each follow-up time point</w:t>
      </w:r>
      <w:r w:rsidRPr="00F95612">
        <w:rPr>
          <w:rFonts w:ascii="Times New Roman" w:hAnsi="Times New Roman" w:cs="Times New Roman"/>
          <w:sz w:val="24"/>
          <w:szCs w:val="24"/>
        </w:rPr>
        <w:t>.</w:t>
      </w:r>
    </w:p>
    <w:p w:rsidR="00814261" w:rsidRDefault="00814261" w:rsidP="00814261">
      <w:r w:rsidRPr="00262DE2">
        <w:rPr>
          <w:noProof/>
          <w:lang w:eastAsia="en-GB"/>
        </w:rPr>
        <w:drawing>
          <wp:inline distT="0" distB="0" distL="0" distR="0" wp14:anchorId="287AF19A" wp14:editId="0F9359BF">
            <wp:extent cx="4565933" cy="4561367"/>
            <wp:effectExtent l="0" t="0" r="6350" b="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588288" cy="4583700"/>
                    </a:xfrm>
                    <a:prstGeom prst="rect">
                      <a:avLst/>
                    </a:prstGeom>
                    <a:noFill/>
                    <a:ln w="9525">
                      <a:noFill/>
                      <a:miter lim="800000"/>
                      <a:headEnd/>
                      <a:tailEnd/>
                    </a:ln>
                  </pic:spPr>
                </pic:pic>
              </a:graphicData>
            </a:graphic>
          </wp:inline>
        </w:drawing>
      </w:r>
    </w:p>
    <w:p w:rsidR="00814261" w:rsidRDefault="00814261" w:rsidP="00814261">
      <w:pPr>
        <w:spacing w:line="360" w:lineRule="auto"/>
        <w:rPr>
          <w:rFonts w:ascii="Times New Roman" w:hAnsi="Times New Roman" w:cs="Times New Roman"/>
          <w:sz w:val="24"/>
          <w:szCs w:val="24"/>
        </w:rPr>
      </w:pPr>
      <w:r>
        <w:rPr>
          <w:rFonts w:ascii="Times New Roman" w:hAnsi="Times New Roman" w:cs="Times New Roman"/>
          <w:b/>
          <w:sz w:val="24"/>
          <w:szCs w:val="24"/>
        </w:rPr>
        <w:t>Figure S1</w:t>
      </w:r>
      <w:r w:rsidRPr="006B709B">
        <w:rPr>
          <w:rFonts w:ascii="Times New Roman" w:hAnsi="Times New Roman" w:cs="Times New Roman"/>
          <w:b/>
          <w:sz w:val="24"/>
          <w:szCs w:val="24"/>
        </w:rPr>
        <w:t>:</w:t>
      </w:r>
      <w:r w:rsidRPr="00F95612">
        <w:rPr>
          <w:rFonts w:ascii="Times New Roman" w:hAnsi="Times New Roman" w:cs="Times New Roman"/>
          <w:sz w:val="24"/>
          <w:szCs w:val="24"/>
        </w:rPr>
        <w:t xml:space="preserve"> Dynamic survival probabilities with 95% CI based on </w:t>
      </w:r>
      <w:r>
        <w:rPr>
          <w:rFonts w:ascii="Times New Roman" w:hAnsi="Times New Roman" w:cs="Times New Roman"/>
          <w:sz w:val="24"/>
          <w:szCs w:val="24"/>
        </w:rPr>
        <w:t>serial</w:t>
      </w:r>
      <w:r w:rsidRPr="00F95612">
        <w:rPr>
          <w:rFonts w:ascii="Times New Roman" w:hAnsi="Times New Roman" w:cs="Times New Roman"/>
          <w:sz w:val="24"/>
          <w:szCs w:val="24"/>
        </w:rPr>
        <w:t xml:space="preserve"> m</w:t>
      </w:r>
      <w:r>
        <w:rPr>
          <w:rFonts w:ascii="Times New Roman" w:hAnsi="Times New Roman" w:cs="Times New Roman"/>
          <w:sz w:val="24"/>
          <w:szCs w:val="24"/>
        </w:rPr>
        <w:t>easurements of NT-</w:t>
      </w:r>
      <w:proofErr w:type="spellStart"/>
      <w:r>
        <w:rPr>
          <w:rFonts w:ascii="Times New Roman" w:hAnsi="Times New Roman" w:cs="Times New Roman"/>
          <w:sz w:val="24"/>
          <w:szCs w:val="24"/>
        </w:rPr>
        <w:t>proBNP</w:t>
      </w:r>
      <w:proofErr w:type="spellEnd"/>
      <w:r>
        <w:rPr>
          <w:rFonts w:ascii="Times New Roman" w:hAnsi="Times New Roman" w:cs="Times New Roman"/>
          <w:sz w:val="24"/>
          <w:szCs w:val="24"/>
        </w:rPr>
        <w:t xml:space="preserve"> for a patient whose values rose. </w:t>
      </w:r>
      <w:r w:rsidRPr="00F95612">
        <w:rPr>
          <w:rFonts w:ascii="Times New Roman" w:hAnsi="Times New Roman" w:cs="Times New Roman"/>
          <w:sz w:val="24"/>
          <w:szCs w:val="24"/>
        </w:rPr>
        <w:t xml:space="preserve">The vertical dotted lines show the time point of the last </w:t>
      </w:r>
      <w:proofErr w:type="gramStart"/>
      <w:r w:rsidRPr="00F95612">
        <w:rPr>
          <w:rFonts w:ascii="Times New Roman" w:hAnsi="Times New Roman" w:cs="Times New Roman"/>
          <w:sz w:val="24"/>
          <w:szCs w:val="24"/>
        </w:rPr>
        <w:t>log(</w:t>
      </w:r>
      <w:proofErr w:type="gramEnd"/>
      <w:r w:rsidRPr="00F95612">
        <w:rPr>
          <w:rFonts w:ascii="Times New Roman" w:hAnsi="Times New Roman" w:cs="Times New Roman"/>
          <w:sz w:val="24"/>
          <w:szCs w:val="24"/>
        </w:rPr>
        <w:t>NT-</w:t>
      </w:r>
      <w:proofErr w:type="spellStart"/>
      <w:r w:rsidRPr="00F95612">
        <w:rPr>
          <w:rFonts w:ascii="Times New Roman" w:hAnsi="Times New Roman" w:cs="Times New Roman"/>
          <w:sz w:val="24"/>
          <w:szCs w:val="24"/>
        </w:rPr>
        <w:t>proBNP</w:t>
      </w:r>
      <w:proofErr w:type="spellEnd"/>
      <w:r w:rsidRPr="00F95612">
        <w:rPr>
          <w:rFonts w:ascii="Times New Roman" w:hAnsi="Times New Roman" w:cs="Times New Roman"/>
          <w:sz w:val="24"/>
          <w:szCs w:val="24"/>
        </w:rPr>
        <w:t>) measurement; prior values are shown to the left of th</w:t>
      </w:r>
      <w:r>
        <w:rPr>
          <w:rFonts w:ascii="Times New Roman" w:hAnsi="Times New Roman" w:cs="Times New Roman"/>
          <w:sz w:val="24"/>
          <w:szCs w:val="24"/>
        </w:rPr>
        <w:t xml:space="preserve">e vertical line. The curves to </w:t>
      </w:r>
      <w:r w:rsidRPr="00F95612">
        <w:rPr>
          <w:rFonts w:ascii="Times New Roman" w:hAnsi="Times New Roman" w:cs="Times New Roman"/>
          <w:sz w:val="24"/>
          <w:szCs w:val="24"/>
        </w:rPr>
        <w:t>the right are the survival probabilities incorporating all the NT-</w:t>
      </w:r>
      <w:proofErr w:type="spellStart"/>
      <w:r w:rsidRPr="00F95612">
        <w:rPr>
          <w:rFonts w:ascii="Times New Roman" w:hAnsi="Times New Roman" w:cs="Times New Roman"/>
          <w:sz w:val="24"/>
          <w:szCs w:val="24"/>
        </w:rPr>
        <w:t>proBNP</w:t>
      </w:r>
      <w:proofErr w:type="spellEnd"/>
      <w:r w:rsidRPr="00F95612">
        <w:rPr>
          <w:rFonts w:ascii="Times New Roman" w:hAnsi="Times New Roman" w:cs="Times New Roman"/>
          <w:sz w:val="24"/>
          <w:szCs w:val="24"/>
        </w:rPr>
        <w:t xml:space="preserve"> data to that point (x-axis: Time (years), y-axis: Longitudinal Outcome </w:t>
      </w:r>
      <w:r>
        <w:rPr>
          <w:rFonts w:ascii="Times New Roman" w:hAnsi="Times New Roman" w:cs="Times New Roman"/>
          <w:sz w:val="24"/>
          <w:szCs w:val="24"/>
        </w:rPr>
        <w:t xml:space="preserve">shows the observed values of </w:t>
      </w:r>
      <w:proofErr w:type="gramStart"/>
      <w:r>
        <w:rPr>
          <w:rFonts w:ascii="Times New Roman" w:hAnsi="Times New Roman" w:cs="Times New Roman"/>
          <w:sz w:val="24"/>
          <w:szCs w:val="24"/>
        </w:rPr>
        <w:t>log10(</w:t>
      </w:r>
      <w:proofErr w:type="gramEnd"/>
      <w:r>
        <w:rPr>
          <w:rFonts w:ascii="Times New Roman" w:hAnsi="Times New Roman" w:cs="Times New Roman"/>
          <w:sz w:val="24"/>
          <w:szCs w:val="24"/>
        </w:rPr>
        <w:t>NT-</w:t>
      </w:r>
      <w:proofErr w:type="spellStart"/>
      <w:r>
        <w:rPr>
          <w:rFonts w:ascii="Times New Roman" w:hAnsi="Times New Roman" w:cs="Times New Roman"/>
          <w:sz w:val="24"/>
          <w:szCs w:val="24"/>
        </w:rPr>
        <w:t>proBNP</w:t>
      </w:r>
      <w:proofErr w:type="spellEnd"/>
      <w:r>
        <w:rPr>
          <w:rFonts w:ascii="Times New Roman" w:hAnsi="Times New Roman" w:cs="Times New Roman"/>
          <w:sz w:val="24"/>
          <w:szCs w:val="24"/>
        </w:rPr>
        <w:t>) at each follow-up time point</w:t>
      </w:r>
      <w:r w:rsidRPr="00F95612">
        <w:rPr>
          <w:rFonts w:ascii="Times New Roman" w:hAnsi="Times New Roman" w:cs="Times New Roman"/>
          <w:sz w:val="24"/>
          <w:szCs w:val="24"/>
        </w:rPr>
        <w:t>.</w:t>
      </w:r>
    </w:p>
    <w:p w:rsidR="00814261" w:rsidRDefault="00814261" w:rsidP="00814261">
      <w:r w:rsidRPr="001A5BA8">
        <w:rPr>
          <w:noProof/>
          <w:lang w:eastAsia="en-GB"/>
        </w:rPr>
        <w:drawing>
          <wp:inline distT="0" distB="0" distL="0" distR="0" wp14:anchorId="67E15294" wp14:editId="4A29DF77">
            <wp:extent cx="4734594" cy="444440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45766" cy="4454896"/>
                    </a:xfrm>
                    <a:prstGeom prst="rect">
                      <a:avLst/>
                    </a:prstGeom>
                    <a:noFill/>
                    <a:ln w="9525">
                      <a:noFill/>
                      <a:miter lim="800000"/>
                      <a:headEnd/>
                      <a:tailEnd/>
                    </a:ln>
                  </pic:spPr>
                </pic:pic>
              </a:graphicData>
            </a:graphic>
          </wp:inline>
        </w:drawing>
      </w:r>
    </w:p>
    <w:p w:rsidR="00814261" w:rsidRPr="00814261" w:rsidRDefault="00814261" w:rsidP="00814261">
      <w:pPr>
        <w:spacing w:line="360" w:lineRule="auto"/>
        <w:rPr>
          <w:rFonts w:ascii="Times New Roman" w:hAnsi="Times New Roman" w:cs="Times New Roman"/>
          <w:sz w:val="24"/>
          <w:szCs w:val="24"/>
        </w:rPr>
      </w:pPr>
      <w:r>
        <w:rPr>
          <w:rFonts w:ascii="Times New Roman" w:hAnsi="Times New Roman" w:cs="Times New Roman"/>
          <w:b/>
          <w:sz w:val="24"/>
          <w:szCs w:val="24"/>
        </w:rPr>
        <w:t>Figure S2</w:t>
      </w:r>
      <w:r w:rsidRPr="006B709B">
        <w:rPr>
          <w:rFonts w:ascii="Times New Roman" w:hAnsi="Times New Roman" w:cs="Times New Roman"/>
          <w:b/>
          <w:sz w:val="24"/>
          <w:szCs w:val="24"/>
        </w:rPr>
        <w:t>:</w:t>
      </w:r>
      <w:r w:rsidRPr="00F95612">
        <w:rPr>
          <w:rFonts w:ascii="Times New Roman" w:hAnsi="Times New Roman" w:cs="Times New Roman"/>
          <w:sz w:val="24"/>
          <w:szCs w:val="24"/>
        </w:rPr>
        <w:t xml:space="preserve"> Dynamic survival probabilities with 95% CI based on </w:t>
      </w:r>
      <w:r>
        <w:rPr>
          <w:rFonts w:ascii="Times New Roman" w:hAnsi="Times New Roman" w:cs="Times New Roman"/>
          <w:sz w:val="24"/>
          <w:szCs w:val="24"/>
        </w:rPr>
        <w:t>serial</w:t>
      </w:r>
      <w:r w:rsidRPr="00F95612">
        <w:rPr>
          <w:rFonts w:ascii="Times New Roman" w:hAnsi="Times New Roman" w:cs="Times New Roman"/>
          <w:sz w:val="24"/>
          <w:szCs w:val="24"/>
        </w:rPr>
        <w:t xml:space="preserve"> m</w:t>
      </w:r>
      <w:r>
        <w:rPr>
          <w:rFonts w:ascii="Times New Roman" w:hAnsi="Times New Roman" w:cs="Times New Roman"/>
          <w:sz w:val="24"/>
          <w:szCs w:val="24"/>
        </w:rPr>
        <w:t>easurements of NT-</w:t>
      </w:r>
      <w:proofErr w:type="spellStart"/>
      <w:r>
        <w:rPr>
          <w:rFonts w:ascii="Times New Roman" w:hAnsi="Times New Roman" w:cs="Times New Roman"/>
          <w:sz w:val="24"/>
          <w:szCs w:val="24"/>
        </w:rPr>
        <w:t>proBNP</w:t>
      </w:r>
      <w:proofErr w:type="spellEnd"/>
      <w:r>
        <w:rPr>
          <w:rFonts w:ascii="Times New Roman" w:hAnsi="Times New Roman" w:cs="Times New Roman"/>
          <w:sz w:val="24"/>
          <w:szCs w:val="24"/>
        </w:rPr>
        <w:t xml:space="preserve"> for a patient with lower and fairly stable measurements</w:t>
      </w:r>
      <w:r w:rsidRPr="00F95612">
        <w:rPr>
          <w:rFonts w:ascii="Times New Roman" w:hAnsi="Times New Roman" w:cs="Times New Roman"/>
          <w:sz w:val="24"/>
          <w:szCs w:val="24"/>
        </w:rPr>
        <w:t xml:space="preserve">. The vertical dotted lines show the time point of the last </w:t>
      </w:r>
      <w:proofErr w:type="gramStart"/>
      <w:r w:rsidRPr="00F95612">
        <w:rPr>
          <w:rFonts w:ascii="Times New Roman" w:hAnsi="Times New Roman" w:cs="Times New Roman"/>
          <w:sz w:val="24"/>
          <w:szCs w:val="24"/>
        </w:rPr>
        <w:t>log(</w:t>
      </w:r>
      <w:proofErr w:type="gramEnd"/>
      <w:r w:rsidRPr="00F95612">
        <w:rPr>
          <w:rFonts w:ascii="Times New Roman" w:hAnsi="Times New Roman" w:cs="Times New Roman"/>
          <w:sz w:val="24"/>
          <w:szCs w:val="24"/>
        </w:rPr>
        <w:t>NT-</w:t>
      </w:r>
      <w:proofErr w:type="spellStart"/>
      <w:r w:rsidRPr="00F95612">
        <w:rPr>
          <w:rFonts w:ascii="Times New Roman" w:hAnsi="Times New Roman" w:cs="Times New Roman"/>
          <w:sz w:val="24"/>
          <w:szCs w:val="24"/>
        </w:rPr>
        <w:t>proBNP</w:t>
      </w:r>
      <w:proofErr w:type="spellEnd"/>
      <w:r w:rsidRPr="00F95612">
        <w:rPr>
          <w:rFonts w:ascii="Times New Roman" w:hAnsi="Times New Roman" w:cs="Times New Roman"/>
          <w:sz w:val="24"/>
          <w:szCs w:val="24"/>
        </w:rPr>
        <w:t>) measurement; prior values are shown to the left of th</w:t>
      </w:r>
      <w:r>
        <w:rPr>
          <w:rFonts w:ascii="Times New Roman" w:hAnsi="Times New Roman" w:cs="Times New Roman"/>
          <w:sz w:val="24"/>
          <w:szCs w:val="24"/>
        </w:rPr>
        <w:t xml:space="preserve">e vertical line. The curves to </w:t>
      </w:r>
      <w:r w:rsidRPr="00F95612">
        <w:rPr>
          <w:rFonts w:ascii="Times New Roman" w:hAnsi="Times New Roman" w:cs="Times New Roman"/>
          <w:sz w:val="24"/>
          <w:szCs w:val="24"/>
        </w:rPr>
        <w:t>the right are the survival probabilities incorporating all the NT-</w:t>
      </w:r>
      <w:proofErr w:type="spellStart"/>
      <w:r w:rsidRPr="00F95612">
        <w:rPr>
          <w:rFonts w:ascii="Times New Roman" w:hAnsi="Times New Roman" w:cs="Times New Roman"/>
          <w:sz w:val="24"/>
          <w:szCs w:val="24"/>
        </w:rPr>
        <w:t>proBNP</w:t>
      </w:r>
      <w:proofErr w:type="spellEnd"/>
      <w:r w:rsidRPr="00F95612">
        <w:rPr>
          <w:rFonts w:ascii="Times New Roman" w:hAnsi="Times New Roman" w:cs="Times New Roman"/>
          <w:sz w:val="24"/>
          <w:szCs w:val="24"/>
        </w:rPr>
        <w:t xml:space="preserve"> data to that point (x-axis: Time (years), y-axis: Longitudinal Outcome </w:t>
      </w:r>
      <w:r>
        <w:rPr>
          <w:rFonts w:ascii="Times New Roman" w:hAnsi="Times New Roman" w:cs="Times New Roman"/>
          <w:sz w:val="24"/>
          <w:szCs w:val="24"/>
        </w:rPr>
        <w:t xml:space="preserve">shows the observed values of </w:t>
      </w:r>
      <w:proofErr w:type="gramStart"/>
      <w:r>
        <w:rPr>
          <w:rFonts w:ascii="Times New Roman" w:hAnsi="Times New Roman" w:cs="Times New Roman"/>
          <w:sz w:val="24"/>
          <w:szCs w:val="24"/>
        </w:rPr>
        <w:t>log10(</w:t>
      </w:r>
      <w:proofErr w:type="gramEnd"/>
      <w:r>
        <w:rPr>
          <w:rFonts w:ascii="Times New Roman" w:hAnsi="Times New Roman" w:cs="Times New Roman"/>
          <w:sz w:val="24"/>
          <w:szCs w:val="24"/>
        </w:rPr>
        <w:t>NT-</w:t>
      </w:r>
      <w:proofErr w:type="spellStart"/>
      <w:r>
        <w:rPr>
          <w:rFonts w:ascii="Times New Roman" w:hAnsi="Times New Roman" w:cs="Times New Roman"/>
          <w:sz w:val="24"/>
          <w:szCs w:val="24"/>
        </w:rPr>
        <w:t>proBNP</w:t>
      </w:r>
      <w:proofErr w:type="spellEnd"/>
      <w:r>
        <w:rPr>
          <w:rFonts w:ascii="Times New Roman" w:hAnsi="Times New Roman" w:cs="Times New Roman"/>
          <w:sz w:val="24"/>
          <w:szCs w:val="24"/>
        </w:rPr>
        <w:t>) at each follow-up time point</w:t>
      </w:r>
      <w:r w:rsidRPr="00F95612">
        <w:rPr>
          <w:rFonts w:ascii="Times New Roman" w:hAnsi="Times New Roman" w:cs="Times New Roman"/>
          <w:sz w:val="24"/>
          <w:szCs w:val="24"/>
        </w:rPr>
        <w:t>.</w:t>
      </w:r>
      <w:bookmarkStart w:id="0" w:name="_GoBack"/>
      <w:bookmarkEnd w:id="0"/>
    </w:p>
    <w:sectPr w:rsidR="00814261" w:rsidRPr="00814261" w:rsidSect="00D73D9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261"/>
    <w:rsid w:val="003C209C"/>
    <w:rsid w:val="00814261"/>
    <w:rsid w:val="00B513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3B08539"/>
  <w15:chartTrackingRefBased/>
  <w15:docId w15:val="{30C08777-5E80-49F2-80AB-0B954CFE8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261"/>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4261"/>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emf"/><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A3A7A667</Template>
  <TotalTime>3</TotalTime>
  <Pages>14</Pages>
  <Words>9918</Words>
  <Characters>56536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66322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Blanshard, Lisa</dc:creator>
  <cp:keywords/>
  <dc:description/>
  <cp:lastModifiedBy>Blanshard, Lisa</cp:lastModifiedBy>
  <cp:revision>1</cp:revision>
  <dcterms:created xsi:type="dcterms:W3CDTF">2018-06-19T14:33:00Z</dcterms:created>
  <dcterms:modified xsi:type="dcterms:W3CDTF">2018-06-19T14:38:00Z</dcterms:modified>
</cp:coreProperties>
</file>