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1F7" w:rsidRPr="004F51F7" w:rsidRDefault="004F51F7">
      <w:pPr>
        <w:rPr>
          <w:rFonts w:ascii="Times New Roman" w:hAnsi="Times New Roman" w:cs="Times New Roman"/>
        </w:rPr>
      </w:pPr>
      <w:bookmarkStart w:id="0" w:name="_GoBack"/>
      <w:r w:rsidRPr="004F51F7">
        <w:rPr>
          <w:rFonts w:ascii="Times New Roman" w:hAnsi="Times New Roman" w:cs="Times New Roman"/>
        </w:rPr>
        <w:t>Figure 2: Publication frequency of sport governance studies by year (1980-2016)</w:t>
      </w:r>
    </w:p>
    <w:bookmarkEnd w:id="0"/>
    <w:p w:rsidR="00C2104B" w:rsidRDefault="004F51F7">
      <w:r>
        <w:rPr>
          <w:noProof/>
        </w:rPr>
        <w:drawing>
          <wp:inline distT="0" distB="0" distL="0" distR="0" wp14:anchorId="1229058E" wp14:editId="07E2A6E5">
            <wp:extent cx="5486400" cy="3893185"/>
            <wp:effectExtent l="0" t="0" r="0" b="0"/>
            <wp:docPr id="1" name="Chart 1">
              <a:extLst xmlns:a="http://schemas.openxmlformats.org/drawingml/2006/main">
                <a:ext uri="{FF2B5EF4-FFF2-40B4-BE49-F238E27FC236}">
                  <a16:creationId xmlns="" xmlns:xdr="http://schemas.openxmlformats.org/drawingml/2006/spreadsheetDrawing" xmlns:a16="http://schemas.microsoft.com/office/drawing/2014/main" xmlns:lc="http://schemas.openxmlformats.org/drawingml/2006/lockedCanvas" id="{00000000-0008-0000-00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C2104B" w:rsidSect="009B73D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1F7"/>
    <w:rsid w:val="004F51F7"/>
    <w:rsid w:val="009B73D9"/>
    <w:rsid w:val="00C2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CE0A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51F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1F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51F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1F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hart" Target="charts/chart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msdowlin:Downloads:Journal%20data%20(2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424558909303"/>
          <c:y val="0.0709498777992826"/>
          <c:w val="0.805976778944299"/>
          <c:h val="0.796153021240963"/>
        </c:manualLayout>
      </c:layout>
      <c:scatterChart>
        <c:scatterStyle val="smoothMarker"/>
        <c:varyColors val="0"/>
        <c:ser>
          <c:idx val="0"/>
          <c:order val="0"/>
          <c:spPr>
            <a:ln w="19050" cap="rnd">
              <a:solidFill>
                <a:schemeClr val="dk1">
                  <a:tint val="88500"/>
                </a:schemeClr>
              </a:solidFill>
              <a:round/>
            </a:ln>
            <a:effectLst/>
          </c:spPr>
          <c:marker>
            <c:symbol val="none"/>
          </c:marker>
          <c:xVal>
            <c:numRef>
              <c:f>[1]Sheet2!$B$1:$W$1</c:f>
              <c:numCache>
                <c:formatCode>General</c:formatCode>
                <c:ptCount val="22"/>
                <c:pt idx="0">
                  <c:v>1982.0</c:v>
                </c:pt>
                <c:pt idx="1">
                  <c:v>1989.0</c:v>
                </c:pt>
                <c:pt idx="2">
                  <c:v>1990.0</c:v>
                </c:pt>
                <c:pt idx="3">
                  <c:v>1996.0</c:v>
                </c:pt>
                <c:pt idx="4">
                  <c:v>1997.0</c:v>
                </c:pt>
                <c:pt idx="5">
                  <c:v>1998.0</c:v>
                </c:pt>
                <c:pt idx="6">
                  <c:v>2000.0</c:v>
                </c:pt>
                <c:pt idx="7">
                  <c:v>2001.0</c:v>
                </c:pt>
                <c:pt idx="8">
                  <c:v>2002.0</c:v>
                </c:pt>
                <c:pt idx="9">
                  <c:v>2003.0</c:v>
                </c:pt>
                <c:pt idx="10">
                  <c:v>2005.0</c:v>
                </c:pt>
                <c:pt idx="11">
                  <c:v>2006.0</c:v>
                </c:pt>
                <c:pt idx="12">
                  <c:v>2007.0</c:v>
                </c:pt>
                <c:pt idx="13">
                  <c:v>2008.0</c:v>
                </c:pt>
                <c:pt idx="14">
                  <c:v>2009.0</c:v>
                </c:pt>
                <c:pt idx="15">
                  <c:v>2010.0</c:v>
                </c:pt>
                <c:pt idx="16">
                  <c:v>2011.0</c:v>
                </c:pt>
                <c:pt idx="17">
                  <c:v>2012.0</c:v>
                </c:pt>
                <c:pt idx="18">
                  <c:v>2013.0</c:v>
                </c:pt>
                <c:pt idx="19">
                  <c:v>2014.0</c:v>
                </c:pt>
                <c:pt idx="20">
                  <c:v>2015.0</c:v>
                </c:pt>
                <c:pt idx="21">
                  <c:v>2016.0</c:v>
                </c:pt>
              </c:numCache>
            </c:numRef>
          </c:xVal>
          <c:yVal>
            <c:numRef>
              <c:f>[1]Sheet2!$B$2:$W$2</c:f>
              <c:numCache>
                <c:formatCode>General</c:formatCode>
                <c:ptCount val="22"/>
                <c:pt idx="0">
                  <c:v>1.0</c:v>
                </c:pt>
                <c:pt idx="1">
                  <c:v>1.0</c:v>
                </c:pt>
                <c:pt idx="2">
                  <c:v>1.0</c:v>
                </c:pt>
                <c:pt idx="3">
                  <c:v>2.0</c:v>
                </c:pt>
                <c:pt idx="4">
                  <c:v>2.0</c:v>
                </c:pt>
                <c:pt idx="5">
                  <c:v>1.0</c:v>
                </c:pt>
                <c:pt idx="6">
                  <c:v>1.0</c:v>
                </c:pt>
                <c:pt idx="7">
                  <c:v>2.0</c:v>
                </c:pt>
                <c:pt idx="8">
                  <c:v>3.0</c:v>
                </c:pt>
                <c:pt idx="9">
                  <c:v>4.0</c:v>
                </c:pt>
                <c:pt idx="10">
                  <c:v>6.0</c:v>
                </c:pt>
                <c:pt idx="11">
                  <c:v>8.0</c:v>
                </c:pt>
                <c:pt idx="12">
                  <c:v>11.0</c:v>
                </c:pt>
                <c:pt idx="13">
                  <c:v>9.0</c:v>
                </c:pt>
                <c:pt idx="14">
                  <c:v>15.0</c:v>
                </c:pt>
                <c:pt idx="15">
                  <c:v>26.0</c:v>
                </c:pt>
                <c:pt idx="16">
                  <c:v>22.0</c:v>
                </c:pt>
                <c:pt idx="17">
                  <c:v>15.0</c:v>
                </c:pt>
                <c:pt idx="18">
                  <c:v>14.0</c:v>
                </c:pt>
                <c:pt idx="19">
                  <c:v>23.0</c:v>
                </c:pt>
                <c:pt idx="20">
                  <c:v>36.0</c:v>
                </c:pt>
                <c:pt idx="21">
                  <c:v>37.0</c:v>
                </c:pt>
              </c:numCache>
            </c:numRef>
          </c:y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0-7EE1-477B-92A7-D6703788455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132259640"/>
        <c:axId val="2135915768"/>
      </c:scatterChart>
      <c:valAx>
        <c:axId val="2132259640"/>
        <c:scaling>
          <c:orientation val="minMax"/>
          <c:max val="2016.0"/>
          <c:min val="1980.0"/>
        </c:scaling>
        <c:delete val="0"/>
        <c:axPos val="b"/>
        <c:title>
          <c:tx>
            <c:rich>
              <a:bodyPr/>
              <a:lstStyle/>
              <a:p>
                <a:pPr>
                  <a:defRPr b="0">
                    <a:latin typeface="Times New Roman"/>
                    <a:cs typeface="Times New Roman"/>
                  </a:defRPr>
                </a:pPr>
                <a:r>
                  <a:rPr lang="en-US" b="0">
                    <a:latin typeface="Times New Roman"/>
                    <a:cs typeface="Times New Roman"/>
                  </a:rPr>
                  <a:t>Year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>
                <a:latin typeface="Times New Roman"/>
                <a:cs typeface="Times New Roman"/>
              </a:defRPr>
            </a:pPr>
            <a:endParaRPr lang="en-US"/>
          </a:p>
        </c:txPr>
        <c:crossAx val="2135915768"/>
        <c:crosses val="autoZero"/>
        <c:crossBetween val="midCat"/>
      </c:valAx>
      <c:valAx>
        <c:axId val="2135915768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sz="1200" b="0">
                    <a:latin typeface="Times New Roman"/>
                    <a:cs typeface="Times New Roman"/>
                  </a:defRPr>
                </a:pPr>
                <a:r>
                  <a:rPr lang="en-US" sz="1200" b="0">
                    <a:latin typeface="Times New Roman"/>
                    <a:cs typeface="Times New Roman"/>
                  </a:rPr>
                  <a:t>Number of citations</a:t>
                </a:r>
              </a:p>
            </c:rich>
          </c:tx>
          <c:layout>
            <c:manualLayout>
              <c:xMode val="edge"/>
              <c:yMode val="edge"/>
              <c:x val="0.0138888888888889"/>
              <c:y val="0.371571605253796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>
                <a:latin typeface="Times New Roman"/>
                <a:cs typeface="Times New Roman"/>
              </a:defRPr>
            </a:pPr>
            <a:endParaRPr lang="en-US"/>
          </a:p>
        </c:txPr>
        <c:crossAx val="2132259640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200"/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70</Characters>
  <Application>Microsoft Macintosh Word</Application>
  <DocSecurity>0</DocSecurity>
  <Lines>1</Lines>
  <Paragraphs>1</Paragraphs>
  <ScaleCrop>false</ScaleCrop>
  <Company>University of Alberta</Company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Mathew Dowling</dc:creator>
  <cp:keywords/>
  <dc:description/>
  <cp:lastModifiedBy>Mathew Dowling</cp:lastModifiedBy>
  <cp:revision>1</cp:revision>
  <dcterms:created xsi:type="dcterms:W3CDTF">2017-06-17T08:25:00Z</dcterms:created>
  <dcterms:modified xsi:type="dcterms:W3CDTF">2017-06-17T08:28:00Z</dcterms:modified>
</cp:coreProperties>
</file>