
<file path=[Content_Types].xml><?xml version="1.0" encoding="utf-8"?>
<Types xmlns="http://schemas.openxmlformats.org/package/2006/content-types">
  <Default Extension="bin" ContentType="application/vnd.openxmlformats-officedocument.oleObject"/>
  <Default Extension="png" ContentType="image/pn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theme/themeOverride3.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5618" w:rsidRPr="008C6BD2" w:rsidRDefault="00405618" w:rsidP="00405618">
      <w:pPr>
        <w:spacing w:line="240" w:lineRule="auto"/>
        <w:rPr>
          <w:rFonts w:eastAsia="Times New Roman"/>
          <w:b/>
          <w:sz w:val="18"/>
          <w:szCs w:val="18"/>
          <w:lang w:eastAsia="en-GB"/>
        </w:rPr>
      </w:pPr>
    </w:p>
    <w:p w:rsidR="00405618" w:rsidRPr="008C6BD2" w:rsidRDefault="00405618" w:rsidP="00405618">
      <w:pPr>
        <w:spacing w:line="240" w:lineRule="auto"/>
        <w:rPr>
          <w:rFonts w:eastAsia="Times New Roman"/>
          <w:b/>
          <w:sz w:val="22"/>
          <w:lang w:eastAsia="en-GB"/>
        </w:rPr>
      </w:pPr>
      <w:r w:rsidRPr="008C6BD2">
        <w:rPr>
          <w:rFonts w:eastAsia="Times New Roman"/>
          <w:b/>
          <w:sz w:val="22"/>
          <w:lang w:eastAsia="en-GB"/>
        </w:rPr>
        <w:t>Star Quality: Celebrity Casting in London West End Theatres</w:t>
      </w:r>
    </w:p>
    <w:p w:rsidR="00405618" w:rsidRPr="008C6BD2" w:rsidRDefault="00405618" w:rsidP="00405618">
      <w:pPr>
        <w:spacing w:line="240" w:lineRule="auto"/>
        <w:rPr>
          <w:rFonts w:eastAsia="Times New Roman"/>
          <w:b/>
          <w:sz w:val="22"/>
          <w:lang w:eastAsia="en-GB"/>
        </w:rPr>
      </w:pPr>
    </w:p>
    <w:p w:rsidR="009C4BD8" w:rsidRPr="008C6BD2" w:rsidRDefault="009C4BD8" w:rsidP="009C4BD8">
      <w:pPr>
        <w:spacing w:line="240" w:lineRule="auto"/>
        <w:rPr>
          <w:rFonts w:eastAsia="Times New Roman"/>
          <w:sz w:val="22"/>
          <w:lang w:eastAsia="en-GB"/>
        </w:rPr>
      </w:pPr>
      <w:proofErr w:type="gramStart"/>
      <w:r>
        <w:rPr>
          <w:rFonts w:eastAsia="Times New Roman"/>
          <w:b/>
          <w:sz w:val="22"/>
          <w:lang w:eastAsia="en-GB"/>
        </w:rPr>
        <w:t>Tables and Figures.</w:t>
      </w:r>
      <w:proofErr w:type="gramEnd"/>
    </w:p>
    <w:p w:rsidR="00405618" w:rsidRPr="008C6BD2" w:rsidRDefault="00405618" w:rsidP="00405618">
      <w:pPr>
        <w:spacing w:line="240" w:lineRule="auto"/>
        <w:rPr>
          <w:rFonts w:eastAsia="Times New Roman"/>
          <w:b/>
          <w:sz w:val="22"/>
          <w:lang w:eastAsia="en-GB"/>
        </w:rPr>
      </w:pPr>
    </w:p>
    <w:p w:rsidR="00405618" w:rsidRPr="008C6BD2" w:rsidRDefault="00405618" w:rsidP="00405618">
      <w:pPr>
        <w:spacing w:line="240" w:lineRule="auto"/>
        <w:rPr>
          <w:rFonts w:eastAsia="Times New Roman"/>
          <w:sz w:val="22"/>
          <w:lang w:eastAsia="en-GB"/>
        </w:rPr>
      </w:pPr>
    </w:p>
    <w:p w:rsidR="00405618" w:rsidRPr="008C6BD2" w:rsidRDefault="00405618" w:rsidP="00405618">
      <w:pPr>
        <w:spacing w:line="240" w:lineRule="auto"/>
        <w:rPr>
          <w:rFonts w:eastAsia="Times New Roman"/>
          <w:sz w:val="22"/>
          <w:lang w:eastAsia="en-GB"/>
        </w:rPr>
      </w:pPr>
    </w:p>
    <w:p w:rsidR="00405618" w:rsidRPr="008C6BD2" w:rsidRDefault="00405618" w:rsidP="00405618">
      <w:pPr>
        <w:spacing w:line="240" w:lineRule="auto"/>
        <w:rPr>
          <w:rFonts w:eastAsia="Times New Roman"/>
          <w:sz w:val="22"/>
          <w:lang w:eastAsia="en-GB"/>
        </w:rPr>
      </w:pPr>
    </w:p>
    <w:p w:rsidR="00405618" w:rsidRPr="008C6BD2" w:rsidRDefault="00405618" w:rsidP="00405618">
      <w:pPr>
        <w:spacing w:line="240" w:lineRule="auto"/>
        <w:rPr>
          <w:rFonts w:eastAsia="Times New Roman"/>
          <w:sz w:val="22"/>
          <w:lang w:eastAsia="en-GB"/>
        </w:rPr>
      </w:pPr>
    </w:p>
    <w:p w:rsidR="00405618" w:rsidRDefault="00405618" w:rsidP="00405618">
      <w:pPr>
        <w:spacing w:line="240" w:lineRule="auto"/>
        <w:rPr>
          <w:rFonts w:eastAsia="Times New Roman"/>
          <w:sz w:val="22"/>
          <w:lang w:eastAsia="en-GB"/>
        </w:rPr>
      </w:pPr>
    </w:p>
    <w:p w:rsidR="009A6F55" w:rsidRDefault="009A6F55" w:rsidP="00405618">
      <w:pPr>
        <w:spacing w:line="240" w:lineRule="auto"/>
        <w:rPr>
          <w:rFonts w:eastAsia="Times New Roman"/>
          <w:sz w:val="22"/>
          <w:lang w:eastAsia="en-GB"/>
        </w:rPr>
      </w:pPr>
    </w:p>
    <w:p w:rsidR="009A6F55" w:rsidRDefault="009A6F55" w:rsidP="00405618">
      <w:pPr>
        <w:spacing w:line="240" w:lineRule="auto"/>
        <w:rPr>
          <w:rFonts w:eastAsia="Times New Roman"/>
          <w:sz w:val="22"/>
          <w:lang w:eastAsia="en-GB"/>
        </w:rPr>
      </w:pPr>
    </w:p>
    <w:p w:rsidR="009A6F55" w:rsidRDefault="009A6F55">
      <w:pPr>
        <w:spacing w:line="240" w:lineRule="auto"/>
        <w:rPr>
          <w:rFonts w:eastAsia="Times New Roman"/>
          <w:sz w:val="22"/>
          <w:lang w:eastAsia="en-GB"/>
        </w:rPr>
      </w:pPr>
      <w:r>
        <w:rPr>
          <w:rFonts w:eastAsia="Times New Roman"/>
          <w:sz w:val="22"/>
          <w:lang w:eastAsia="en-GB"/>
        </w:rPr>
        <w:br w:type="page"/>
      </w:r>
    </w:p>
    <w:p w:rsidR="009A6F55" w:rsidRPr="008C6BD2" w:rsidRDefault="009A6F55" w:rsidP="00405618">
      <w:pPr>
        <w:spacing w:line="240" w:lineRule="auto"/>
        <w:rPr>
          <w:rFonts w:eastAsia="Times New Roman"/>
          <w:sz w:val="22"/>
          <w:lang w:eastAsia="en-GB"/>
        </w:rPr>
      </w:pPr>
    </w:p>
    <w:p w:rsidR="002C5E86" w:rsidRDefault="002C5E86" w:rsidP="00A40DBC">
      <w:pPr>
        <w:spacing w:after="280"/>
        <w:rPr>
          <w:rFonts w:eastAsia="SimSun"/>
          <w:sz w:val="22"/>
          <w:lang w:eastAsia="zh-CN"/>
        </w:rPr>
      </w:pPr>
    </w:p>
    <w:tbl>
      <w:tblPr>
        <w:tblStyle w:val="TableGrid"/>
        <w:tblpPr w:leftFromText="180" w:rightFromText="180" w:vertAnchor="page" w:horzAnchor="margin" w:tblpXSpec="center" w:tblpY="4141"/>
        <w:tblW w:w="10138" w:type="dxa"/>
        <w:tblLook w:val="0420" w:firstRow="1" w:lastRow="0" w:firstColumn="0" w:lastColumn="0" w:noHBand="0" w:noVBand="1"/>
      </w:tblPr>
      <w:tblGrid>
        <w:gridCol w:w="2531"/>
        <w:gridCol w:w="2536"/>
        <w:gridCol w:w="2535"/>
        <w:gridCol w:w="2536"/>
      </w:tblGrid>
      <w:tr w:rsidR="00440E1D" w:rsidRPr="00440E1D" w:rsidTr="00440E1D">
        <w:trPr>
          <w:trHeight w:val="1147"/>
        </w:trPr>
        <w:tc>
          <w:tcPr>
            <w:tcW w:w="2531" w:type="dxa"/>
            <w:hideMark/>
          </w:tcPr>
          <w:p w:rsidR="00440E1D" w:rsidRPr="00440E1D" w:rsidRDefault="00440E1D" w:rsidP="00440E1D">
            <w:pPr>
              <w:spacing w:after="280"/>
              <w:rPr>
                <w:rFonts w:eastAsia="SimSun"/>
                <w:sz w:val="22"/>
                <w:lang w:eastAsia="zh-CN"/>
              </w:rPr>
            </w:pPr>
            <w:r w:rsidRPr="00440E1D">
              <w:rPr>
                <w:rFonts w:eastAsia="SimSun"/>
                <w:b/>
                <w:bCs/>
                <w:sz w:val="22"/>
                <w:lang w:eastAsia="zh-CN"/>
              </w:rPr>
              <w:t>Year</w:t>
            </w:r>
          </w:p>
        </w:tc>
        <w:tc>
          <w:tcPr>
            <w:tcW w:w="2536" w:type="dxa"/>
            <w:hideMark/>
          </w:tcPr>
          <w:p w:rsidR="00440E1D" w:rsidRPr="00440E1D" w:rsidRDefault="00440E1D" w:rsidP="00440E1D">
            <w:pPr>
              <w:spacing w:after="280"/>
              <w:rPr>
                <w:rFonts w:eastAsia="SimSun"/>
                <w:sz w:val="22"/>
                <w:lang w:eastAsia="zh-CN"/>
              </w:rPr>
            </w:pPr>
            <w:r w:rsidRPr="00440E1D">
              <w:rPr>
                <w:rFonts w:eastAsia="SimSun"/>
                <w:b/>
                <w:bCs/>
                <w:sz w:val="22"/>
                <w:lang w:eastAsia="zh-CN"/>
              </w:rPr>
              <w:t>Attendances</w:t>
            </w:r>
          </w:p>
        </w:tc>
        <w:tc>
          <w:tcPr>
            <w:tcW w:w="2535" w:type="dxa"/>
            <w:hideMark/>
          </w:tcPr>
          <w:p w:rsidR="00440E1D" w:rsidRPr="00440E1D" w:rsidRDefault="00440E1D" w:rsidP="00440E1D">
            <w:pPr>
              <w:spacing w:after="280"/>
              <w:rPr>
                <w:rFonts w:eastAsia="SimSun"/>
                <w:sz w:val="22"/>
                <w:lang w:eastAsia="zh-CN"/>
              </w:rPr>
            </w:pPr>
            <w:r w:rsidRPr="00440E1D">
              <w:rPr>
                <w:rFonts w:eastAsia="SimSun"/>
                <w:b/>
                <w:bCs/>
                <w:sz w:val="22"/>
                <w:lang w:eastAsia="zh-CN"/>
              </w:rPr>
              <w:t>Difference on previous year (%)</w:t>
            </w:r>
          </w:p>
        </w:tc>
        <w:tc>
          <w:tcPr>
            <w:tcW w:w="2536" w:type="dxa"/>
            <w:hideMark/>
          </w:tcPr>
          <w:p w:rsidR="00440E1D" w:rsidRPr="00440E1D" w:rsidRDefault="00440E1D" w:rsidP="00440E1D">
            <w:pPr>
              <w:spacing w:after="280"/>
              <w:rPr>
                <w:rFonts w:eastAsia="SimSun"/>
                <w:sz w:val="22"/>
                <w:lang w:eastAsia="zh-CN"/>
              </w:rPr>
            </w:pPr>
            <w:r w:rsidRPr="00440E1D">
              <w:rPr>
                <w:rFonts w:eastAsia="SimSun"/>
                <w:b/>
                <w:bCs/>
                <w:sz w:val="22"/>
                <w:lang w:eastAsia="zh-CN"/>
              </w:rPr>
              <w:t>Gross Box Office Revenue</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2012</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13,992,773</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+0.56%</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£529,787,692</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2011</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13,915,185</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-1.73%</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£528,375,874</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2010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14,152,230</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-0.80%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£512,331,808</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2009</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14,257,922</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2.60%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£504,765,690</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2008</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13,892,460</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1.90%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£483,349,423</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2007</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13,636,212</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10.40%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£469,938,749</w:t>
            </w:r>
          </w:p>
        </w:tc>
      </w:tr>
      <w:tr w:rsidR="00440E1D" w:rsidRPr="00440E1D" w:rsidTr="00440E1D">
        <w:trPr>
          <w:trHeight w:val="465"/>
        </w:trPr>
        <w:tc>
          <w:tcPr>
            <w:tcW w:w="2531" w:type="dxa"/>
            <w:hideMark/>
          </w:tcPr>
          <w:p w:rsidR="00440E1D" w:rsidRPr="00440E1D" w:rsidRDefault="00440E1D" w:rsidP="00440E1D">
            <w:pPr>
              <w:spacing w:after="280"/>
              <w:rPr>
                <w:rFonts w:eastAsia="SimSun"/>
                <w:sz w:val="22"/>
                <w:lang w:eastAsia="zh-CN"/>
              </w:rPr>
            </w:pPr>
            <w:r w:rsidRPr="00440E1D">
              <w:rPr>
                <w:rFonts w:eastAsia="SimSun"/>
                <w:sz w:val="22"/>
                <w:lang w:eastAsia="zh-CN"/>
              </w:rPr>
              <w:t>2006</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12,371,495</w:t>
            </w:r>
          </w:p>
        </w:tc>
        <w:tc>
          <w:tcPr>
            <w:tcW w:w="2535" w:type="dxa"/>
            <w:hideMark/>
          </w:tcPr>
          <w:p w:rsidR="00440E1D" w:rsidRPr="00440E1D" w:rsidRDefault="00440E1D" w:rsidP="00440E1D">
            <w:pPr>
              <w:spacing w:after="280"/>
              <w:rPr>
                <w:rFonts w:eastAsia="SimSun"/>
                <w:sz w:val="22"/>
                <w:lang w:eastAsia="zh-CN"/>
              </w:rPr>
            </w:pPr>
            <w:r w:rsidRPr="00440E1D">
              <w:rPr>
                <w:rFonts w:eastAsia="SimSun"/>
                <w:sz w:val="22"/>
                <w:lang w:eastAsia="zh-CN"/>
              </w:rPr>
              <w:t>0.30%</w:t>
            </w:r>
          </w:p>
        </w:tc>
        <w:tc>
          <w:tcPr>
            <w:tcW w:w="2536" w:type="dxa"/>
            <w:hideMark/>
          </w:tcPr>
          <w:p w:rsidR="00440E1D" w:rsidRPr="00440E1D" w:rsidRDefault="00440E1D" w:rsidP="00440E1D">
            <w:pPr>
              <w:spacing w:after="280"/>
              <w:rPr>
                <w:rFonts w:eastAsia="SimSun"/>
                <w:sz w:val="22"/>
                <w:lang w:eastAsia="zh-CN"/>
              </w:rPr>
            </w:pPr>
            <w:r w:rsidRPr="00440E1D">
              <w:rPr>
                <w:rFonts w:eastAsia="SimSun"/>
                <w:sz w:val="22"/>
                <w:lang w:eastAsia="zh-CN"/>
              </w:rPr>
              <w:t>£400,852,925</w:t>
            </w:r>
          </w:p>
        </w:tc>
      </w:tr>
    </w:tbl>
    <w:p w:rsidR="00773409" w:rsidRDefault="00773409" w:rsidP="00510A5E">
      <w:pPr>
        <w:spacing w:line="240" w:lineRule="auto"/>
      </w:pPr>
    </w:p>
    <w:p w:rsidR="00F90A0D" w:rsidRDefault="00F90A0D" w:rsidP="00510A5E">
      <w:pPr>
        <w:spacing w:line="240" w:lineRule="auto"/>
      </w:pPr>
    </w:p>
    <w:p w:rsidR="00F90A0D" w:rsidRDefault="00F90A0D" w:rsidP="00510A5E">
      <w:pPr>
        <w:spacing w:line="240" w:lineRule="auto"/>
      </w:pPr>
    </w:p>
    <w:p w:rsidR="00F90A0D" w:rsidRDefault="00F90A0D" w:rsidP="00510A5E">
      <w:pPr>
        <w:spacing w:line="240" w:lineRule="auto"/>
      </w:pPr>
    </w:p>
    <w:p w:rsidR="00F90A0D" w:rsidRDefault="00F90A0D" w:rsidP="00510A5E">
      <w:pPr>
        <w:spacing w:line="240" w:lineRule="auto"/>
      </w:pPr>
    </w:p>
    <w:p w:rsidR="00773409" w:rsidRDefault="00773409" w:rsidP="00510A5E">
      <w:pPr>
        <w:spacing w:line="240" w:lineRule="auto"/>
      </w:pPr>
    </w:p>
    <w:p w:rsidR="00773409" w:rsidRDefault="00773409" w:rsidP="00510A5E">
      <w:pPr>
        <w:spacing w:line="240" w:lineRule="auto"/>
      </w:pPr>
    </w:p>
    <w:p w:rsidR="009C4BD8" w:rsidRDefault="009C4BD8" w:rsidP="009C4BD8">
      <w:pPr>
        <w:spacing w:line="240" w:lineRule="auto"/>
      </w:pPr>
      <w:r>
        <w:t>Table 1 Data compiled from all theatres who are members of SOLT (Society of London Theatre) (2013)</w:t>
      </w:r>
      <w:r w:rsidR="00C15191">
        <w:t>.</w:t>
      </w:r>
    </w:p>
    <w:p w:rsidR="009C4BD8" w:rsidRDefault="009C4BD8" w:rsidP="00A40DBC">
      <w:pPr>
        <w:rPr>
          <w:noProof/>
          <w:lang w:eastAsia="en-GB"/>
        </w:rPr>
      </w:pPr>
    </w:p>
    <w:p w:rsidR="00614C83" w:rsidRDefault="00614C83">
      <w:pPr>
        <w:spacing w:line="240" w:lineRule="auto"/>
        <w:rPr>
          <w:noProof/>
          <w:lang w:eastAsia="en-GB"/>
        </w:rPr>
      </w:pPr>
      <w:r>
        <w:rPr>
          <w:noProof/>
          <w:lang w:eastAsia="en-GB"/>
        </w:rPr>
        <w:br w:type="page"/>
      </w:r>
    </w:p>
    <w:p w:rsidR="009F089A" w:rsidRDefault="00614C83" w:rsidP="00A40DBC">
      <w:r>
        <w:rPr>
          <w:noProof/>
          <w:lang w:eastAsia="en-GB"/>
        </w:rPr>
        <w:lastRenderedPageBreak/>
        <w:drawing>
          <wp:inline distT="0" distB="0" distL="0" distR="0" wp14:anchorId="7366936C" wp14:editId="41329803">
            <wp:extent cx="5274310" cy="2344701"/>
            <wp:effectExtent l="0" t="0" r="21590" b="1778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A40DBC" w:rsidRPr="00EF4775" w:rsidRDefault="00614C83" w:rsidP="00A40DBC">
      <w:pPr>
        <w:pStyle w:val="Tableheadings"/>
        <w:spacing w:after="360" w:line="276" w:lineRule="auto"/>
        <w:rPr>
          <w:szCs w:val="22"/>
        </w:rPr>
      </w:pPr>
      <w:r>
        <w:rPr>
          <w:szCs w:val="22"/>
        </w:rPr>
        <w:t xml:space="preserve">Figure </w:t>
      </w:r>
      <w:r w:rsidR="00A40DBC" w:rsidRPr="00EF4775">
        <w:rPr>
          <w:szCs w:val="22"/>
        </w:rPr>
        <w:t>1.</w:t>
      </w:r>
      <w:r>
        <w:rPr>
          <w:szCs w:val="22"/>
        </w:rPr>
        <w:t xml:space="preserve"> Theatre professionals </w:t>
      </w:r>
      <w:r w:rsidR="00A40DBC">
        <w:rPr>
          <w:szCs w:val="22"/>
        </w:rPr>
        <w:t>r</w:t>
      </w:r>
      <w:r w:rsidR="00A40DBC" w:rsidRPr="00EF4775">
        <w:rPr>
          <w:szCs w:val="22"/>
        </w:rPr>
        <w:t>anking the three dimen</w:t>
      </w:r>
      <w:r w:rsidR="00C15191">
        <w:rPr>
          <w:szCs w:val="22"/>
        </w:rPr>
        <w:t xml:space="preserve">sions of celebrity credibility: </w:t>
      </w:r>
      <w:r w:rsidR="00A40DBC" w:rsidRPr="00EF4775">
        <w:rPr>
          <w:szCs w:val="22"/>
        </w:rPr>
        <w:t>Attractiveness, Expertise, Trustworthiness.</w:t>
      </w:r>
    </w:p>
    <w:p w:rsidR="009D57A3" w:rsidRDefault="009D57A3">
      <w:pPr>
        <w:spacing w:line="240" w:lineRule="auto"/>
      </w:pPr>
      <w:r>
        <w:br w:type="page"/>
      </w:r>
    </w:p>
    <w:p w:rsidR="00A40DBC" w:rsidRDefault="002B4D74" w:rsidP="00A40DBC">
      <w:r>
        <w:rPr>
          <w:noProof/>
          <w:lang w:eastAsia="en-GB"/>
        </w:rPr>
        <w:lastRenderedPageBreak/>
        <w:drawing>
          <wp:inline distT="0" distB="0" distL="0" distR="0" wp14:anchorId="0F17132F" wp14:editId="78075CF0">
            <wp:extent cx="5274310" cy="2296804"/>
            <wp:effectExtent l="0" t="0" r="21590" b="2730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9D57A3" w:rsidRDefault="009D57A3" w:rsidP="009D57A3">
      <w:pPr>
        <w:pStyle w:val="Tableheadings"/>
        <w:spacing w:after="360" w:line="276" w:lineRule="auto"/>
        <w:rPr>
          <w:szCs w:val="22"/>
        </w:rPr>
      </w:pPr>
      <w:r>
        <w:t xml:space="preserve">Figure 2: Audiences </w:t>
      </w:r>
      <w:r>
        <w:rPr>
          <w:szCs w:val="22"/>
        </w:rPr>
        <w:t>rank</w:t>
      </w:r>
      <w:r w:rsidRPr="00EF4775">
        <w:rPr>
          <w:szCs w:val="22"/>
        </w:rPr>
        <w:t xml:space="preserve"> the three dime</w:t>
      </w:r>
      <w:r w:rsidR="00C15191">
        <w:rPr>
          <w:szCs w:val="22"/>
        </w:rPr>
        <w:t>nsions of celebrity credibility:</w:t>
      </w:r>
      <w:r w:rsidRPr="00EF4775">
        <w:rPr>
          <w:szCs w:val="22"/>
        </w:rPr>
        <w:t xml:space="preserve"> Attractiveness, Expertise, and Trustworthiness.</w:t>
      </w:r>
    </w:p>
    <w:p w:rsidR="00F90A0D" w:rsidRDefault="00F90A0D" w:rsidP="009D57A3">
      <w:pPr>
        <w:pStyle w:val="Tableheadings"/>
        <w:spacing w:after="360" w:line="276" w:lineRule="auto"/>
        <w:rPr>
          <w:szCs w:val="22"/>
        </w:rPr>
      </w:pPr>
    </w:p>
    <w:p w:rsidR="00F90A0D" w:rsidRDefault="00F90A0D" w:rsidP="009D57A3">
      <w:pPr>
        <w:pStyle w:val="Tableheadings"/>
        <w:spacing w:after="360" w:line="276" w:lineRule="auto"/>
        <w:rPr>
          <w:szCs w:val="22"/>
        </w:rPr>
      </w:pPr>
    </w:p>
    <w:p w:rsidR="00F90A0D" w:rsidRPr="00EF4775" w:rsidRDefault="00F90A0D" w:rsidP="009D57A3">
      <w:pPr>
        <w:pStyle w:val="Tableheadings"/>
        <w:spacing w:after="360" w:line="276" w:lineRule="auto"/>
        <w:rPr>
          <w:szCs w:val="22"/>
        </w:rPr>
      </w:pPr>
    </w:p>
    <w:p w:rsidR="009D57A3" w:rsidRDefault="009D57A3">
      <w:pPr>
        <w:spacing w:line="240" w:lineRule="auto"/>
      </w:pPr>
      <w:r>
        <w:br w:type="page"/>
      </w:r>
    </w:p>
    <w:p w:rsidR="009D57A3" w:rsidRDefault="009D57A3" w:rsidP="00A40DBC">
      <w:r>
        <w:lastRenderedPageBreak/>
        <w:tab/>
      </w:r>
      <w:r w:rsidR="007D4BAA" w:rsidRPr="00EF4775">
        <w:rPr>
          <w:noProof/>
          <w:sz w:val="22"/>
          <w:lang w:eastAsia="en-GB"/>
        </w:rPr>
        <w:drawing>
          <wp:inline distT="0" distB="0" distL="0" distR="0" wp14:anchorId="61FD70D0" wp14:editId="52DDC7D5">
            <wp:extent cx="5191125" cy="2849880"/>
            <wp:effectExtent l="0" t="0" r="9525" b="26670"/>
            <wp:docPr id="4" name="Chart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7D4BAA" w:rsidRDefault="007D4BAA" w:rsidP="007D4BAA">
      <w:pPr>
        <w:pStyle w:val="Chartheadings"/>
        <w:spacing w:after="360"/>
        <w:rPr>
          <w:szCs w:val="22"/>
        </w:rPr>
      </w:pPr>
      <w:r>
        <w:rPr>
          <w:szCs w:val="22"/>
        </w:rPr>
        <w:t>Figure 3</w:t>
      </w:r>
      <w:r w:rsidRPr="00EF4775">
        <w:rPr>
          <w:szCs w:val="22"/>
        </w:rPr>
        <w:t>.Whether audiences believe that being a celebrity and being famous are the same thing or different</w:t>
      </w:r>
      <w:r w:rsidR="00C15191">
        <w:rPr>
          <w:szCs w:val="22"/>
        </w:rPr>
        <w:t>.</w:t>
      </w:r>
      <w:bookmarkStart w:id="0" w:name="_GoBack"/>
      <w:bookmarkEnd w:id="0"/>
    </w:p>
    <w:p w:rsidR="007D4BAA" w:rsidRDefault="007D4BAA">
      <w:pPr>
        <w:spacing w:line="240" w:lineRule="auto"/>
        <w:rPr>
          <w:rFonts w:eastAsia="SimSun"/>
          <w:sz w:val="22"/>
          <w:lang w:eastAsia="zh-CN"/>
        </w:rPr>
      </w:pPr>
      <w:r>
        <w:br w:type="page"/>
      </w:r>
    </w:p>
    <w:p w:rsidR="007D4BAA" w:rsidRDefault="007D4BAA" w:rsidP="007D4BAA">
      <w:pPr>
        <w:pStyle w:val="Chartheadings"/>
        <w:spacing w:after="360"/>
        <w:rPr>
          <w:szCs w:val="22"/>
        </w:rPr>
      </w:pPr>
      <w:r w:rsidRPr="00EF4775">
        <w:rPr>
          <w:noProof/>
          <w:lang w:eastAsia="en-GB"/>
        </w:rPr>
        <w:lastRenderedPageBreak/>
        <w:drawing>
          <wp:inline distT="0" distB="0" distL="0" distR="0" wp14:anchorId="58DF2FA5" wp14:editId="0533C581">
            <wp:extent cx="5274310" cy="4644664"/>
            <wp:effectExtent l="0" t="0" r="21590" b="22860"/>
            <wp:docPr id="5" name="Chart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7D4BAA" w:rsidRDefault="007D4BAA" w:rsidP="007D4BAA">
      <w:pPr>
        <w:pStyle w:val="Chartheadings"/>
        <w:spacing w:after="240" w:line="480" w:lineRule="auto"/>
        <w:rPr>
          <w:noProof/>
          <w:szCs w:val="22"/>
        </w:rPr>
      </w:pPr>
      <w:r>
        <w:rPr>
          <w:noProof/>
          <w:szCs w:val="22"/>
        </w:rPr>
        <w:t>Figure 4</w:t>
      </w:r>
      <w:r w:rsidRPr="00EF4775">
        <w:rPr>
          <w:noProof/>
          <w:szCs w:val="22"/>
        </w:rPr>
        <w:t>. Phrases used to define the term celebrity.</w:t>
      </w:r>
    </w:p>
    <w:p w:rsidR="007D4BAA" w:rsidRDefault="007D4BAA">
      <w:pPr>
        <w:spacing w:line="240" w:lineRule="auto"/>
        <w:rPr>
          <w:rFonts w:eastAsia="SimSun"/>
          <w:sz w:val="22"/>
          <w:lang w:eastAsia="zh-CN"/>
        </w:rPr>
      </w:pPr>
      <w:r>
        <w:br w:type="page"/>
      </w:r>
    </w:p>
    <w:p w:rsidR="007D4BAA" w:rsidRDefault="007D4BAA" w:rsidP="007D4BAA">
      <w:pPr>
        <w:pStyle w:val="Chartheadings"/>
        <w:spacing w:after="360"/>
        <w:rPr>
          <w:szCs w:val="22"/>
        </w:rPr>
      </w:pPr>
      <w:r w:rsidRPr="00EF4775">
        <w:rPr>
          <w:noProof/>
          <w:szCs w:val="22"/>
          <w:lang w:eastAsia="en-GB"/>
        </w:rPr>
        <w:lastRenderedPageBreak/>
        <w:drawing>
          <wp:inline distT="0" distB="0" distL="0" distR="0" wp14:anchorId="2503A39F" wp14:editId="17A8D9E4">
            <wp:extent cx="5274310" cy="3213333"/>
            <wp:effectExtent l="0" t="0" r="21590" b="25400"/>
            <wp:docPr id="21" name="Chart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7D4BAA" w:rsidRDefault="007D4BAA" w:rsidP="007D4BAA">
      <w:pPr>
        <w:spacing w:after="280"/>
      </w:pPr>
      <w:r>
        <w:t>Figure 5</w:t>
      </w:r>
      <w:r w:rsidRPr="00EF4775">
        <w:t xml:space="preserve">. </w:t>
      </w:r>
      <w:r>
        <w:t>Where do celebrities come from?</w:t>
      </w:r>
    </w:p>
    <w:p w:rsidR="007D4BAA" w:rsidRDefault="007D4BAA">
      <w:pPr>
        <w:spacing w:line="240" w:lineRule="auto"/>
      </w:pPr>
      <w:r>
        <w:br w:type="page"/>
      </w:r>
    </w:p>
    <w:p w:rsidR="007D4BAA" w:rsidRDefault="00BF61B5" w:rsidP="007D4BAA">
      <w:pPr>
        <w:spacing w:after="280"/>
      </w:pPr>
      <w:r w:rsidRPr="00EF4775">
        <w:rPr>
          <w:noProof/>
          <w:lang w:eastAsia="en-GB"/>
        </w:rPr>
        <w:lastRenderedPageBreak/>
        <w:drawing>
          <wp:inline distT="0" distB="0" distL="0" distR="0" wp14:anchorId="4EF10FAD" wp14:editId="10F32DDA">
            <wp:extent cx="5274310" cy="2776354"/>
            <wp:effectExtent l="0" t="0" r="21590" b="24130"/>
            <wp:docPr id="7"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F61B5" w:rsidRPr="00EF4775" w:rsidRDefault="00BF61B5" w:rsidP="00BF61B5">
      <w:pPr>
        <w:pStyle w:val="Chartheadings"/>
        <w:spacing w:after="240" w:line="480" w:lineRule="auto"/>
        <w:rPr>
          <w:noProof/>
          <w:szCs w:val="22"/>
        </w:rPr>
      </w:pPr>
      <w:r>
        <w:rPr>
          <w:noProof/>
          <w:szCs w:val="22"/>
        </w:rPr>
        <w:t>Figure 6</w:t>
      </w:r>
      <w:r w:rsidRPr="00EF4775">
        <w:rPr>
          <w:noProof/>
          <w:szCs w:val="22"/>
        </w:rPr>
        <w:t>. Which categories of celebrity would attract a</w:t>
      </w:r>
      <w:r w:rsidR="00AA56F5">
        <w:rPr>
          <w:noProof/>
          <w:szCs w:val="22"/>
        </w:rPr>
        <w:t>udiences</w:t>
      </w:r>
      <w:r>
        <w:rPr>
          <w:noProof/>
          <w:szCs w:val="22"/>
        </w:rPr>
        <w:t xml:space="preserve"> to the theatre</w:t>
      </w:r>
      <w:r w:rsidRPr="00EF4775">
        <w:rPr>
          <w:szCs w:val="22"/>
        </w:rPr>
        <w:t>?</w:t>
      </w:r>
    </w:p>
    <w:p w:rsidR="00BF61B5" w:rsidRDefault="00BF61B5" w:rsidP="007D4BAA">
      <w:pPr>
        <w:spacing w:after="280"/>
      </w:pPr>
    </w:p>
    <w:p w:rsidR="00BF61B5" w:rsidRDefault="00BF61B5">
      <w:pPr>
        <w:spacing w:line="240" w:lineRule="auto"/>
        <w:rPr>
          <w:rFonts w:eastAsia="SimSun"/>
          <w:b/>
          <w:sz w:val="22"/>
          <w:lang w:eastAsia="zh-CN"/>
        </w:rPr>
      </w:pPr>
      <w:r>
        <w:rPr>
          <w:rFonts w:eastAsia="SimSun"/>
          <w:b/>
          <w:sz w:val="22"/>
          <w:lang w:eastAsia="zh-CN"/>
        </w:rPr>
        <w:br w:type="page"/>
      </w:r>
    </w:p>
    <w:p w:rsidR="007D4BAA" w:rsidRDefault="00BF61B5" w:rsidP="00A40DBC">
      <w:r w:rsidRPr="00EF4775">
        <w:rPr>
          <w:noProof/>
          <w:sz w:val="22"/>
          <w:lang w:eastAsia="en-GB"/>
        </w:rPr>
        <w:lastRenderedPageBreak/>
        <w:drawing>
          <wp:inline distT="0" distB="0" distL="0" distR="0" wp14:anchorId="03231066" wp14:editId="7338D9B7">
            <wp:extent cx="5274310" cy="2069082"/>
            <wp:effectExtent l="0" t="0" r="21590" b="26670"/>
            <wp:docPr id="9" name="Chart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F61B5" w:rsidRDefault="00BF61B5" w:rsidP="00BF61B5">
      <w:pPr>
        <w:pStyle w:val="Chartheadings"/>
        <w:spacing w:after="360"/>
        <w:rPr>
          <w:noProof/>
          <w:szCs w:val="22"/>
        </w:rPr>
      </w:pPr>
      <w:r w:rsidRPr="00EF4775">
        <w:rPr>
          <w:noProof/>
          <w:szCs w:val="22"/>
        </w:rPr>
        <w:t>Figure 7. The likelihood of respondents to attend a theatre pr</w:t>
      </w:r>
      <w:r>
        <w:rPr>
          <w:noProof/>
          <w:szCs w:val="22"/>
        </w:rPr>
        <w:t>ouction with a celebrity in it.</w:t>
      </w:r>
    </w:p>
    <w:p w:rsidR="00BF61B5" w:rsidRDefault="00BF61B5">
      <w:pPr>
        <w:spacing w:line="240" w:lineRule="auto"/>
        <w:rPr>
          <w:rFonts w:eastAsia="SimSun"/>
          <w:noProof/>
          <w:sz w:val="22"/>
          <w:lang w:eastAsia="zh-CN"/>
        </w:rPr>
      </w:pPr>
      <w:r>
        <w:rPr>
          <w:noProof/>
        </w:rPr>
        <w:br w:type="page"/>
      </w:r>
    </w:p>
    <w:p w:rsidR="001253FF" w:rsidRDefault="001253FF" w:rsidP="001253FF">
      <w:pPr>
        <w:pStyle w:val="Chartheadings"/>
        <w:spacing w:after="360"/>
      </w:pPr>
      <w:r w:rsidRPr="0055022F">
        <w:rPr>
          <w:noProof/>
        </w:rPr>
        <w:object w:dxaOrig="8862" w:dyaOrig="41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 o:spid="_x0000_i1025" type="#_x0000_t75" style="width:443.25pt;height:210pt;visibility:visible" o:ole="">
            <v:imagedata r:id="rId13" o:title=""/>
            <o:lock v:ext="edit" aspectratio="f"/>
          </v:shape>
          <o:OLEObject Type="Embed" ProgID="Excel.Sheet.8" ShapeID="Chart 1" DrawAspect="Content" ObjectID="_1467821465" r:id="rId14">
            <o:FieldCodes>\s</o:FieldCodes>
          </o:OLEObject>
        </w:object>
      </w:r>
    </w:p>
    <w:p w:rsidR="001253FF" w:rsidRPr="00EF4775" w:rsidRDefault="001253FF" w:rsidP="001253FF">
      <w:pPr>
        <w:pStyle w:val="Chartheadings"/>
        <w:spacing w:after="360"/>
        <w:rPr>
          <w:szCs w:val="22"/>
        </w:rPr>
      </w:pPr>
      <w:r>
        <w:rPr>
          <w:szCs w:val="22"/>
        </w:rPr>
        <w:t>Figure 8</w:t>
      </w:r>
      <w:r w:rsidRPr="00EF4775">
        <w:rPr>
          <w:szCs w:val="22"/>
        </w:rPr>
        <w:t xml:space="preserve">. The top ten most mentioned </w:t>
      </w:r>
      <w:r>
        <w:rPr>
          <w:szCs w:val="22"/>
        </w:rPr>
        <w:t>top-of-mind celebrities</w:t>
      </w:r>
      <w:r w:rsidRPr="00EF4775">
        <w:rPr>
          <w:szCs w:val="22"/>
        </w:rPr>
        <w:t>.</w:t>
      </w:r>
    </w:p>
    <w:p w:rsidR="00BF61B5" w:rsidRPr="00E47F7D" w:rsidRDefault="00BF61B5" w:rsidP="00BF61B5">
      <w:pPr>
        <w:pStyle w:val="Chartheadings"/>
        <w:spacing w:after="360"/>
        <w:rPr>
          <w:szCs w:val="22"/>
        </w:rPr>
      </w:pPr>
    </w:p>
    <w:p w:rsidR="001253FF" w:rsidRDefault="001253FF">
      <w:pPr>
        <w:spacing w:line="240" w:lineRule="auto"/>
      </w:pPr>
      <w:r>
        <w:br w:type="page"/>
      </w:r>
    </w:p>
    <w:p w:rsidR="00BF61B5" w:rsidRDefault="001253FF" w:rsidP="00A40DBC">
      <w:r w:rsidRPr="00EF4775">
        <w:rPr>
          <w:noProof/>
          <w:sz w:val="22"/>
          <w:lang w:eastAsia="en-GB"/>
        </w:rPr>
        <w:lastRenderedPageBreak/>
        <w:drawing>
          <wp:inline distT="0" distB="0" distL="0" distR="0" wp14:anchorId="5DE9C615" wp14:editId="6C60FE79">
            <wp:extent cx="5274310" cy="2344388"/>
            <wp:effectExtent l="0" t="0" r="21590" b="18415"/>
            <wp:docPr id="18"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253FF" w:rsidRPr="00EF4775" w:rsidRDefault="001253FF" w:rsidP="001253FF">
      <w:pPr>
        <w:pStyle w:val="Chartheadings"/>
        <w:rPr>
          <w:szCs w:val="22"/>
        </w:rPr>
      </w:pPr>
      <w:r>
        <w:rPr>
          <w:szCs w:val="22"/>
        </w:rPr>
        <w:t>Figure 9</w:t>
      </w:r>
      <w:r w:rsidRPr="00EF4775">
        <w:rPr>
          <w:szCs w:val="22"/>
        </w:rPr>
        <w:t>.</w:t>
      </w:r>
      <w:r>
        <w:rPr>
          <w:szCs w:val="22"/>
        </w:rPr>
        <w:t xml:space="preserve"> Age range vs. likelihood of</w:t>
      </w:r>
      <w:r w:rsidRPr="00EF4775">
        <w:rPr>
          <w:szCs w:val="22"/>
        </w:rPr>
        <w:t xml:space="preserve"> attend</w:t>
      </w:r>
      <w:r>
        <w:rPr>
          <w:szCs w:val="22"/>
        </w:rPr>
        <w:t>ing</w:t>
      </w:r>
      <w:r w:rsidRPr="00EF4775">
        <w:rPr>
          <w:szCs w:val="22"/>
        </w:rPr>
        <w:t xml:space="preserve"> a theatre production using a celebrity performer.</w:t>
      </w:r>
    </w:p>
    <w:p w:rsidR="001253FF" w:rsidRDefault="001253FF" w:rsidP="00A40DBC"/>
    <w:sectPr w:rsidR="001253FF">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0DBC"/>
    <w:rsid w:val="00080230"/>
    <w:rsid w:val="001253FF"/>
    <w:rsid w:val="002B02B2"/>
    <w:rsid w:val="002B4D74"/>
    <w:rsid w:val="002C5E86"/>
    <w:rsid w:val="00360AAF"/>
    <w:rsid w:val="00405618"/>
    <w:rsid w:val="00440E1D"/>
    <w:rsid w:val="00510A5E"/>
    <w:rsid w:val="00614C83"/>
    <w:rsid w:val="006856E4"/>
    <w:rsid w:val="006A603E"/>
    <w:rsid w:val="00773409"/>
    <w:rsid w:val="007D4BAA"/>
    <w:rsid w:val="009A6F55"/>
    <w:rsid w:val="009C4BD8"/>
    <w:rsid w:val="009D57A3"/>
    <w:rsid w:val="009F089A"/>
    <w:rsid w:val="00A40DBC"/>
    <w:rsid w:val="00AA56F5"/>
    <w:rsid w:val="00BF61B5"/>
    <w:rsid w:val="00C15191"/>
    <w:rsid w:val="00E724C1"/>
    <w:rsid w:val="00F90A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0DBC"/>
    <w:pPr>
      <w:spacing w:line="480" w:lineRule="auto"/>
    </w:pPr>
    <w:rPr>
      <w:rFonts w:ascii="Arial" w:eastAsia="Calibri" w:hAnsi="Arial" w:cs="Arial"/>
      <w:sz w:val="24"/>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A40DB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A40DBC"/>
    <w:rPr>
      <w:rFonts w:ascii="Tahoma" w:eastAsia="Calibri" w:hAnsi="Tahoma" w:cs="Tahoma"/>
      <w:sz w:val="16"/>
      <w:szCs w:val="16"/>
      <w:lang w:eastAsia="en-US"/>
    </w:rPr>
  </w:style>
  <w:style w:type="paragraph" w:customStyle="1" w:styleId="Tableheadings">
    <w:name w:val="_Table headings"/>
    <w:basedOn w:val="Normal"/>
    <w:uiPriority w:val="99"/>
    <w:rsid w:val="00A40DBC"/>
    <w:pPr>
      <w:spacing w:before="60" w:after="240"/>
    </w:pPr>
    <w:rPr>
      <w:rFonts w:eastAsia="SimSun"/>
      <w:sz w:val="22"/>
      <w:szCs w:val="24"/>
      <w:lang w:eastAsia="zh-CN"/>
    </w:rPr>
  </w:style>
  <w:style w:type="paragraph" w:customStyle="1" w:styleId="Chartheadings">
    <w:name w:val="_Chart headings"/>
    <w:basedOn w:val="Tableheadings"/>
    <w:uiPriority w:val="99"/>
    <w:rsid w:val="007D4BAA"/>
    <w:pPr>
      <w:spacing w:after="120" w:line="276" w:lineRule="auto"/>
    </w:pPr>
  </w:style>
  <w:style w:type="table" w:styleId="TableGrid">
    <w:name w:val="Table Grid"/>
    <w:basedOn w:val="TableNormal"/>
    <w:rsid w:val="00440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9C4BD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0DBC"/>
    <w:pPr>
      <w:spacing w:line="480" w:lineRule="auto"/>
    </w:pPr>
    <w:rPr>
      <w:rFonts w:ascii="Arial" w:eastAsia="Calibri" w:hAnsi="Arial" w:cs="Arial"/>
      <w:sz w:val="24"/>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A40DB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A40DBC"/>
    <w:rPr>
      <w:rFonts w:ascii="Tahoma" w:eastAsia="Calibri" w:hAnsi="Tahoma" w:cs="Tahoma"/>
      <w:sz w:val="16"/>
      <w:szCs w:val="16"/>
      <w:lang w:eastAsia="en-US"/>
    </w:rPr>
  </w:style>
  <w:style w:type="paragraph" w:customStyle="1" w:styleId="Tableheadings">
    <w:name w:val="_Table headings"/>
    <w:basedOn w:val="Normal"/>
    <w:uiPriority w:val="99"/>
    <w:rsid w:val="00A40DBC"/>
    <w:pPr>
      <w:spacing w:before="60" w:after="240"/>
    </w:pPr>
    <w:rPr>
      <w:rFonts w:eastAsia="SimSun"/>
      <w:sz w:val="22"/>
      <w:szCs w:val="24"/>
      <w:lang w:eastAsia="zh-CN"/>
    </w:rPr>
  </w:style>
  <w:style w:type="paragraph" w:customStyle="1" w:styleId="Chartheadings">
    <w:name w:val="_Chart headings"/>
    <w:basedOn w:val="Tableheadings"/>
    <w:uiPriority w:val="99"/>
    <w:rsid w:val="007D4BAA"/>
    <w:pPr>
      <w:spacing w:after="120" w:line="276" w:lineRule="auto"/>
    </w:pPr>
  </w:style>
  <w:style w:type="table" w:styleId="TableGrid">
    <w:name w:val="Table Grid"/>
    <w:basedOn w:val="TableNormal"/>
    <w:rsid w:val="00440E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9C4BD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3.xml"/><Relationship Id="rId13"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chart" Target="charts/chart2.xml"/><Relationship Id="rId12" Type="http://schemas.openxmlformats.org/officeDocument/2006/relationships/chart" Target="charts/chart7.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hart" Target="charts/chart1.xml"/><Relationship Id="rId11" Type="http://schemas.openxmlformats.org/officeDocument/2006/relationships/chart" Target="charts/chart6.xml"/><Relationship Id="rId5" Type="http://schemas.openxmlformats.org/officeDocument/2006/relationships/webSettings" Target="webSettings.xml"/><Relationship Id="rId15" Type="http://schemas.openxmlformats.org/officeDocument/2006/relationships/chart" Target="charts/chart8.xml"/><Relationship Id="rId10" Type="http://schemas.openxmlformats.org/officeDocument/2006/relationships/chart" Target="charts/chart5.xml"/><Relationship Id="rId4" Type="http://schemas.openxmlformats.org/officeDocument/2006/relationships/settings" Target="settings.xml"/><Relationship Id="rId9" Type="http://schemas.openxmlformats.org/officeDocument/2006/relationships/chart" Target="charts/chart4.xml"/><Relationship Id="rId14" Type="http://schemas.openxmlformats.org/officeDocument/2006/relationships/oleObject" Target="embeddings/Microsoft_Excel_97-2003_Worksheet1.xls"/></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embeddings/oleObject2.bin"/><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3.xml"/></Relationships>
</file>

<file path=word/charts/_rels/chart6.xml.rels><?xml version="1.0" encoding="UTF-8" standalone="yes"?>
<Relationships xmlns="http://schemas.openxmlformats.org/package/2006/relationships"><Relationship Id="rId1" Type="http://schemas.openxmlformats.org/officeDocument/2006/relationships/oleObject" Target="../embeddings/oleObject4.bin"/></Relationships>
</file>

<file path=word/charts/_rels/chart7.xml.rels><?xml version="1.0" encoding="UTF-8" standalone="yes"?>
<Relationships xmlns="http://schemas.openxmlformats.org/package/2006/relationships"><Relationship Id="rId1" Type="http://schemas.openxmlformats.org/officeDocument/2006/relationships/oleObject" Target="../embeddings/oleObject5.bin"/></Relationships>
</file>

<file path=word/charts/_rels/chart8.xml.rels><?xml version="1.0" encoding="UTF-8" standalone="yes"?>
<Relationships xmlns="http://schemas.openxmlformats.org/package/2006/relationships"><Relationship Id="rId1" Type="http://schemas.openxmlformats.org/officeDocument/2006/relationships/oleObject" Target="../embeddings/oleObject6.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0.16348542970590216"/>
          <c:y val="3.795716015743264E-2"/>
          <c:w val="0.91749374502752401"/>
          <c:h val="0.77621319444444448"/>
        </c:manualLayout>
      </c:layout>
      <c:barChart>
        <c:barDir val="bar"/>
        <c:grouping val="percentStacked"/>
        <c:varyColors val="0"/>
        <c:ser>
          <c:idx val="0"/>
          <c:order val="0"/>
          <c:tx>
            <c:strRef>
              <c:f>'Q12'!$F$32</c:f>
              <c:strCache>
                <c:ptCount val="1"/>
                <c:pt idx="0">
                  <c:v>Most important</c:v>
                </c:pt>
              </c:strCache>
            </c:strRef>
          </c:tx>
          <c:spPr>
            <a:solidFill>
              <a:schemeClr val="accent2"/>
            </a:solidFill>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'Q12'!$E$33:$E$35</c:f>
              <c:strCache>
                <c:ptCount val="3"/>
                <c:pt idx="0">
                  <c:v>Trustworthiness</c:v>
                </c:pt>
                <c:pt idx="1">
                  <c:v>Expertise</c:v>
                </c:pt>
                <c:pt idx="2">
                  <c:v>Attractiveness</c:v>
                </c:pt>
              </c:strCache>
            </c:strRef>
          </c:cat>
          <c:val>
            <c:numRef>
              <c:f>'Q12'!$F$33:$F$35</c:f>
              <c:numCache>
                <c:formatCode>General</c:formatCode>
                <c:ptCount val="3"/>
                <c:pt idx="0">
                  <c:v>3</c:v>
                </c:pt>
                <c:pt idx="1">
                  <c:v>4</c:v>
                </c:pt>
                <c:pt idx="2">
                  <c:v>1</c:v>
                </c:pt>
              </c:numCache>
            </c:numRef>
          </c:val>
        </c:ser>
        <c:ser>
          <c:idx val="1"/>
          <c:order val="1"/>
          <c:tx>
            <c:strRef>
              <c:f>'Q12'!$G$32</c:f>
              <c:strCache>
                <c:ptCount val="1"/>
                <c:pt idx="0">
                  <c:v>Middle importance</c:v>
                </c:pt>
              </c:strCache>
            </c:strRef>
          </c:tx>
          <c:spPr>
            <a:solidFill>
              <a:schemeClr val="accent3"/>
            </a:solidFill>
          </c:spPr>
          <c:invertIfNegative val="0"/>
          <c:dLbls>
            <c:dLbl>
              <c:idx val="2"/>
              <c:delete val="1"/>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'Q12'!$E$33:$E$35</c:f>
              <c:strCache>
                <c:ptCount val="3"/>
                <c:pt idx="0">
                  <c:v>Trustworthiness</c:v>
                </c:pt>
                <c:pt idx="1">
                  <c:v>Expertise</c:v>
                </c:pt>
                <c:pt idx="2">
                  <c:v>Attractiveness</c:v>
                </c:pt>
              </c:strCache>
            </c:strRef>
          </c:cat>
          <c:val>
            <c:numRef>
              <c:f>'Q12'!$G$33:$G$35</c:f>
              <c:numCache>
                <c:formatCode>General</c:formatCode>
                <c:ptCount val="3"/>
                <c:pt idx="0">
                  <c:v>4</c:v>
                </c:pt>
                <c:pt idx="1">
                  <c:v>3</c:v>
                </c:pt>
                <c:pt idx="2">
                  <c:v>0</c:v>
                </c:pt>
              </c:numCache>
            </c:numRef>
          </c:val>
        </c:ser>
        <c:ser>
          <c:idx val="2"/>
          <c:order val="2"/>
          <c:tx>
            <c:strRef>
              <c:f>'Q12'!$H$32</c:f>
              <c:strCache>
                <c:ptCount val="1"/>
                <c:pt idx="0">
                  <c:v>Least important</c:v>
                </c:pt>
              </c:strCache>
            </c:strRef>
          </c:tx>
          <c:spPr>
            <a:solidFill>
              <a:schemeClr val="accent1"/>
            </a:solidFill>
          </c:spPr>
          <c:invertIfNegative val="0"/>
          <c:dLbls>
            <c:dLbl>
              <c:idx val="0"/>
              <c:delete val="1"/>
            </c:dLbl>
            <c:dLbl>
              <c:idx val="1"/>
              <c:delete val="1"/>
            </c:dLbl>
            <c:dLbl>
              <c:idx val="2"/>
              <c:spPr/>
              <c:txPr>
                <a:bodyPr/>
                <a:lstStyle/>
                <a:p>
                  <a:pPr>
                    <a:defRPr>
                      <a:solidFill>
                        <a:schemeClr val="bg1"/>
                      </a:solidFill>
                    </a:defRPr>
                  </a:pPr>
                  <a:endParaRPr lang="en-US"/>
                </a:p>
              </c:txPr>
              <c:showLegendKey val="0"/>
              <c:showVal val="1"/>
              <c:showCatName val="0"/>
              <c:showSerName val="0"/>
              <c:showPercent val="0"/>
              <c:showBubbleSize val="0"/>
            </c:dLbl>
            <c:showLegendKey val="0"/>
            <c:showVal val="1"/>
            <c:showCatName val="0"/>
            <c:showSerName val="0"/>
            <c:showPercent val="0"/>
            <c:showBubbleSize val="0"/>
            <c:showLeaderLines val="0"/>
          </c:dLbls>
          <c:cat>
            <c:strRef>
              <c:f>'Q12'!$E$33:$E$35</c:f>
              <c:strCache>
                <c:ptCount val="3"/>
                <c:pt idx="0">
                  <c:v>Trustworthiness</c:v>
                </c:pt>
                <c:pt idx="1">
                  <c:v>Expertise</c:v>
                </c:pt>
                <c:pt idx="2">
                  <c:v>Attractiveness</c:v>
                </c:pt>
              </c:strCache>
            </c:strRef>
          </c:cat>
          <c:val>
            <c:numRef>
              <c:f>'Q12'!$H$33:$H$35</c:f>
              <c:numCache>
                <c:formatCode>General</c:formatCode>
                <c:ptCount val="3"/>
                <c:pt idx="0">
                  <c:v>0</c:v>
                </c:pt>
                <c:pt idx="1">
                  <c:v>0</c:v>
                </c:pt>
                <c:pt idx="2">
                  <c:v>6</c:v>
                </c:pt>
              </c:numCache>
            </c:numRef>
          </c:val>
        </c:ser>
        <c:dLbls>
          <c:showLegendKey val="0"/>
          <c:showVal val="0"/>
          <c:showCatName val="0"/>
          <c:showSerName val="0"/>
          <c:showPercent val="0"/>
          <c:showBubbleSize val="0"/>
        </c:dLbls>
        <c:gapWidth val="50"/>
        <c:overlap val="100"/>
        <c:axId val="105929728"/>
        <c:axId val="63099968"/>
      </c:barChart>
      <c:catAx>
        <c:axId val="105929728"/>
        <c:scaling>
          <c:orientation val="minMax"/>
        </c:scaling>
        <c:delete val="0"/>
        <c:axPos val="l"/>
        <c:majorTickMark val="out"/>
        <c:minorTickMark val="none"/>
        <c:tickLblPos val="nextTo"/>
        <c:txPr>
          <a:bodyPr rot="0" vert="horz"/>
          <a:lstStyle/>
          <a:p>
            <a:pPr>
              <a:defRPr/>
            </a:pPr>
            <a:endParaRPr lang="en-US"/>
          </a:p>
        </c:txPr>
        <c:crossAx val="63099968"/>
        <c:crosses val="autoZero"/>
        <c:auto val="1"/>
        <c:lblAlgn val="ctr"/>
        <c:lblOffset val="100"/>
        <c:tickLblSkip val="1"/>
        <c:noMultiLvlLbl val="0"/>
      </c:catAx>
      <c:valAx>
        <c:axId val="63099968"/>
        <c:scaling>
          <c:orientation val="minMax"/>
        </c:scaling>
        <c:delete val="0"/>
        <c:axPos val="b"/>
        <c:majorGridlines/>
        <c:numFmt formatCode="0%" sourceLinked="1"/>
        <c:majorTickMark val="out"/>
        <c:minorTickMark val="none"/>
        <c:tickLblPos val="nextTo"/>
        <c:crossAx val="105929728"/>
        <c:crosses val="autoZero"/>
        <c:crossBetween val="between"/>
      </c:valAx>
      <c:spPr>
        <a:solidFill>
          <a:schemeClr val="bg2"/>
        </a:solidFill>
      </c:spPr>
    </c:plotArea>
    <c:legend>
      <c:legendPos val="b"/>
      <c:layout>
        <c:manualLayout>
          <c:xMode val="edge"/>
          <c:yMode val="edge"/>
          <c:x val="0.23853657715862439"/>
          <c:y val="0.91050181653042683"/>
          <c:w val="0.66787216501783442"/>
          <c:h val="8.508854166666667E-2"/>
        </c:manualLayout>
      </c:layout>
      <c:overlay val="0"/>
    </c:legend>
    <c:plotVisOnly val="1"/>
    <c:dispBlanksAs val="gap"/>
    <c:showDLblsOverMax val="0"/>
  </c:chart>
  <c:spPr>
    <a:solidFill>
      <a:sysClr val="window" lastClr="FFFFFF"/>
    </a:solidFill>
  </c:spPr>
  <c:txPr>
    <a:bodyPr/>
    <a:lstStyle/>
    <a:p>
      <a:pPr>
        <a:defRPr sz="1000" b="0"/>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0.16348542970590216"/>
          <c:y val="3.795716015743264E-2"/>
          <c:w val="0.91749374502752401"/>
          <c:h val="0.77621319444444448"/>
        </c:manualLayout>
      </c:layout>
      <c:barChart>
        <c:barDir val="bar"/>
        <c:grouping val="percentStacked"/>
        <c:varyColors val="0"/>
        <c:ser>
          <c:idx val="0"/>
          <c:order val="0"/>
          <c:tx>
            <c:strRef>
              <c:f>'Q12'!$E$2</c:f>
              <c:strCache>
                <c:ptCount val="1"/>
                <c:pt idx="0">
                  <c:v>Most important</c:v>
                </c:pt>
              </c:strCache>
            </c:strRef>
          </c:tx>
          <c:spPr>
            <a:solidFill>
              <a:schemeClr val="accent2"/>
            </a:solidFill>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'Q12'!$F$1:$H$1</c:f>
              <c:strCache>
                <c:ptCount val="3"/>
                <c:pt idx="0">
                  <c:v>Attractiveness</c:v>
                </c:pt>
                <c:pt idx="1">
                  <c:v>Expertise</c:v>
                </c:pt>
                <c:pt idx="2">
                  <c:v>Trustworthiness</c:v>
                </c:pt>
              </c:strCache>
            </c:strRef>
          </c:cat>
          <c:val>
            <c:numRef>
              <c:f>'Q12'!$F$2:$H$2</c:f>
              <c:numCache>
                <c:formatCode>General</c:formatCode>
                <c:ptCount val="3"/>
                <c:pt idx="0">
                  <c:v>9</c:v>
                </c:pt>
                <c:pt idx="1">
                  <c:v>147</c:v>
                </c:pt>
                <c:pt idx="2">
                  <c:v>6</c:v>
                </c:pt>
              </c:numCache>
            </c:numRef>
          </c:val>
        </c:ser>
        <c:ser>
          <c:idx val="1"/>
          <c:order val="1"/>
          <c:tx>
            <c:strRef>
              <c:f>'Q12'!$E$3</c:f>
              <c:strCache>
                <c:ptCount val="1"/>
                <c:pt idx="0">
                  <c:v>Middle importance</c:v>
                </c:pt>
              </c:strCache>
            </c:strRef>
          </c:tx>
          <c:spPr>
            <a:solidFill>
              <a:schemeClr val="accent3"/>
            </a:solidFill>
          </c:spPr>
          <c:invertIfNegative val="0"/>
          <c:dLbls>
            <c:txPr>
              <a:bodyPr/>
              <a:lstStyle/>
              <a:p>
                <a:pPr>
                  <a:defRPr>
                    <a:solidFill>
                      <a:schemeClr val="bg1"/>
                    </a:solidFill>
                  </a:defRPr>
                </a:pPr>
                <a:endParaRPr lang="en-US"/>
              </a:p>
            </c:txPr>
            <c:showLegendKey val="0"/>
            <c:showVal val="1"/>
            <c:showCatName val="0"/>
            <c:showSerName val="0"/>
            <c:showPercent val="0"/>
            <c:showBubbleSize val="0"/>
            <c:showLeaderLines val="0"/>
          </c:dLbls>
          <c:cat>
            <c:strRef>
              <c:f>'Q12'!$F$1:$H$1</c:f>
              <c:strCache>
                <c:ptCount val="3"/>
                <c:pt idx="0">
                  <c:v>Attractiveness</c:v>
                </c:pt>
                <c:pt idx="1">
                  <c:v>Expertise</c:v>
                </c:pt>
                <c:pt idx="2">
                  <c:v>Trustworthiness</c:v>
                </c:pt>
              </c:strCache>
            </c:strRef>
          </c:cat>
          <c:val>
            <c:numRef>
              <c:f>'Q12'!$F$3:$H$3</c:f>
              <c:numCache>
                <c:formatCode>General</c:formatCode>
                <c:ptCount val="3"/>
                <c:pt idx="0">
                  <c:v>67</c:v>
                </c:pt>
                <c:pt idx="1">
                  <c:v>15</c:v>
                </c:pt>
                <c:pt idx="2">
                  <c:v>80</c:v>
                </c:pt>
              </c:numCache>
            </c:numRef>
          </c:val>
        </c:ser>
        <c:ser>
          <c:idx val="2"/>
          <c:order val="2"/>
          <c:tx>
            <c:strRef>
              <c:f>'Q12'!$E$4</c:f>
              <c:strCache>
                <c:ptCount val="1"/>
                <c:pt idx="0">
                  <c:v>Least important</c:v>
                </c:pt>
              </c:strCache>
            </c:strRef>
          </c:tx>
          <c:spPr>
            <a:solidFill>
              <a:schemeClr val="accent1"/>
            </a:solidFill>
          </c:spPr>
          <c:invertIfNegative val="0"/>
          <c:dLbls>
            <c:dLbl>
              <c:idx val="1"/>
              <c:delete val="1"/>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'Q12'!$F$1:$H$1</c:f>
              <c:strCache>
                <c:ptCount val="3"/>
                <c:pt idx="0">
                  <c:v>Attractiveness</c:v>
                </c:pt>
                <c:pt idx="1">
                  <c:v>Expertise</c:v>
                </c:pt>
                <c:pt idx="2">
                  <c:v>Trustworthiness</c:v>
                </c:pt>
              </c:strCache>
            </c:strRef>
          </c:cat>
          <c:val>
            <c:numRef>
              <c:f>'Q12'!$F$4:$H$4</c:f>
              <c:numCache>
                <c:formatCode>General</c:formatCode>
                <c:ptCount val="3"/>
                <c:pt idx="0">
                  <c:v>86</c:v>
                </c:pt>
                <c:pt idx="1">
                  <c:v>0</c:v>
                </c:pt>
                <c:pt idx="2">
                  <c:v>76</c:v>
                </c:pt>
              </c:numCache>
            </c:numRef>
          </c:val>
        </c:ser>
        <c:dLbls>
          <c:showLegendKey val="0"/>
          <c:showVal val="0"/>
          <c:showCatName val="0"/>
          <c:showSerName val="0"/>
          <c:showPercent val="0"/>
          <c:showBubbleSize val="0"/>
        </c:dLbls>
        <c:gapWidth val="50"/>
        <c:overlap val="100"/>
        <c:axId val="105999360"/>
        <c:axId val="63101696"/>
      </c:barChart>
      <c:catAx>
        <c:axId val="105999360"/>
        <c:scaling>
          <c:orientation val="minMax"/>
        </c:scaling>
        <c:delete val="0"/>
        <c:axPos val="l"/>
        <c:majorTickMark val="out"/>
        <c:minorTickMark val="none"/>
        <c:tickLblPos val="nextTo"/>
        <c:txPr>
          <a:bodyPr rot="0" vert="horz"/>
          <a:lstStyle/>
          <a:p>
            <a:pPr>
              <a:defRPr/>
            </a:pPr>
            <a:endParaRPr lang="en-US"/>
          </a:p>
        </c:txPr>
        <c:crossAx val="63101696"/>
        <c:crosses val="autoZero"/>
        <c:auto val="1"/>
        <c:lblAlgn val="ctr"/>
        <c:lblOffset val="100"/>
        <c:tickLblSkip val="1"/>
        <c:noMultiLvlLbl val="0"/>
      </c:catAx>
      <c:valAx>
        <c:axId val="63101696"/>
        <c:scaling>
          <c:orientation val="minMax"/>
        </c:scaling>
        <c:delete val="0"/>
        <c:axPos val="b"/>
        <c:majorGridlines/>
        <c:numFmt formatCode="0%" sourceLinked="1"/>
        <c:majorTickMark val="out"/>
        <c:minorTickMark val="none"/>
        <c:tickLblPos val="nextTo"/>
        <c:crossAx val="105999360"/>
        <c:crosses val="autoZero"/>
        <c:crossBetween val="between"/>
      </c:valAx>
      <c:spPr>
        <a:solidFill>
          <a:schemeClr val="bg2"/>
        </a:solidFill>
      </c:spPr>
    </c:plotArea>
    <c:legend>
      <c:legendPos val="b"/>
      <c:layout>
        <c:manualLayout>
          <c:xMode val="edge"/>
          <c:yMode val="edge"/>
          <c:x val="0.23853657715862439"/>
          <c:y val="0.91050181653042683"/>
          <c:w val="0.66787216501783442"/>
          <c:h val="8.508854166666667E-2"/>
        </c:manualLayout>
      </c:layout>
      <c:overlay val="0"/>
    </c:legend>
    <c:plotVisOnly val="1"/>
    <c:dispBlanksAs val="gap"/>
    <c:showDLblsOverMax val="0"/>
  </c:chart>
  <c:spPr>
    <a:solidFill>
      <a:sysClr val="window" lastClr="FFFFFF"/>
    </a:solidFill>
  </c:spPr>
  <c:txPr>
    <a:bodyPr/>
    <a:lstStyle/>
    <a:p>
      <a:pPr>
        <a:defRPr sz="1000" b="0"/>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lgn="ctr" rtl="0">
              <a:defRPr sz="1000"/>
            </a:pPr>
            <a:r>
              <a:rPr lang="en-GB" sz="1000"/>
              <a:t> Do you think that being famous and being a celebrity are the same thing or different things?</a:t>
            </a:r>
          </a:p>
          <a:p>
            <a:pPr algn="ctr" rtl="0">
              <a:defRPr sz="1000"/>
            </a:pPr>
            <a:endParaRPr lang="en-GB" sz="1000"/>
          </a:p>
        </c:rich>
      </c:tx>
      <c:layout/>
      <c:overlay val="1"/>
    </c:title>
    <c:autoTitleDeleted val="0"/>
    <c:plotArea>
      <c:layout>
        <c:manualLayout>
          <c:layoutTarget val="inner"/>
          <c:xMode val="edge"/>
          <c:yMode val="edge"/>
          <c:x val="0.30510493861051707"/>
          <c:y val="0.26525181110870055"/>
          <c:w val="0.25124476820076636"/>
          <c:h val="0.63455931460755444"/>
        </c:manualLayout>
      </c:layout>
      <c:pieChart>
        <c:varyColors val="1"/>
        <c:ser>
          <c:idx val="0"/>
          <c:order val="0"/>
          <c:dLbls>
            <c:spPr>
              <a:solidFill>
                <a:sysClr val="window" lastClr="FFFFFF"/>
              </a:solidFill>
              <a:ln>
                <a:solidFill>
                  <a:sysClr val="windowText" lastClr="000000">
                    <a:lumMod val="65000"/>
                    <a:lumOff val="35000"/>
                  </a:sysClr>
                </a:solidFill>
              </a:ln>
              <a:effectLst/>
            </c:sp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c15:spPr>
                <c15:layout/>
              </c:ext>
            </c:extLst>
          </c:dLbls>
          <c:cat>
            <c:strRef>
              <c:f>'Q4'!$D$3:$D$4</c:f>
              <c:strCache>
                <c:ptCount val="2"/>
                <c:pt idx="0">
                  <c:v>Same</c:v>
                </c:pt>
                <c:pt idx="1">
                  <c:v>Different</c:v>
                </c:pt>
              </c:strCache>
            </c:strRef>
          </c:cat>
          <c:val>
            <c:numRef>
              <c:f>'Q4'!$E$3:$E$4</c:f>
              <c:numCache>
                <c:formatCode>General</c:formatCode>
                <c:ptCount val="2"/>
                <c:pt idx="0">
                  <c:v>30</c:v>
                </c:pt>
                <c:pt idx="1">
                  <c:v>180</c:v>
                </c:pt>
              </c:numCache>
            </c:numRef>
          </c:val>
        </c:ser>
        <c:dLbls>
          <c:showLegendKey val="0"/>
          <c:showVal val="0"/>
          <c:showCatName val="0"/>
          <c:showSerName val="0"/>
          <c:showPercent val="0"/>
          <c:showBubbleSize val="0"/>
          <c:showLeaderLines val="0"/>
        </c:dLbls>
        <c:firstSliceAng val="0"/>
      </c:pieChart>
    </c:plotArea>
    <c:legend>
      <c:legendPos val="r"/>
      <c:layout>
        <c:manualLayout>
          <c:xMode val="edge"/>
          <c:yMode val="edge"/>
          <c:x val="0.66881755165219792"/>
          <c:y val="0.42095519224947042"/>
          <c:w val="0.16348896291809675"/>
          <c:h val="0.17017708333333334"/>
        </c:manualLayout>
      </c:layout>
      <c:overlay val="1"/>
    </c:legend>
    <c:plotVisOnly val="1"/>
    <c:dispBlanksAs val="zero"/>
    <c:showDLblsOverMax val="1"/>
  </c:chart>
  <c:txPr>
    <a:bodyPr/>
    <a:lstStyle/>
    <a:p>
      <a:pPr>
        <a:defRPr sz="1000">
          <a:latin typeface="Arial" pitchFamily="34" charset="0"/>
          <a:cs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8"/>
    </mc:Choice>
    <mc:Fallback>
      <c:style val="28"/>
    </mc:Fallback>
  </mc:AlternateContent>
  <c:clrMapOvr bg1="lt1" tx1="dk1" bg2="lt2" tx2="dk2" accent1="accent1" accent2="accent2" accent3="accent3" accent4="accent4" accent5="accent5" accent6="accent6" hlink="hlink" folHlink="folHlink"/>
  <c:chart>
    <c:title>
      <c:tx>
        <c:rich>
          <a:bodyPr/>
          <a:lstStyle/>
          <a:p>
            <a:pPr>
              <a:defRPr sz="1000"/>
            </a:pPr>
            <a:r>
              <a:rPr lang="en-GB" sz="1000"/>
              <a:t> Which one of the following phrases do you think best describes a celebrity?</a:t>
            </a:r>
          </a:p>
        </c:rich>
      </c:tx>
      <c:overlay val="0"/>
    </c:title>
    <c:autoTitleDeleted val="0"/>
    <c:plotArea>
      <c:layout/>
      <c:barChart>
        <c:barDir val="col"/>
        <c:grouping val="clustered"/>
        <c:varyColors val="1"/>
        <c:ser>
          <c:idx val="0"/>
          <c:order val="0"/>
          <c:invertIfNegative val="1"/>
          <c:cat>
            <c:strRef>
              <c:f>'Q5'!$C$3:$C$9</c:f>
              <c:strCache>
                <c:ptCount val="7"/>
                <c:pt idx="0">
                  <c:v>Someone who is a household name</c:v>
                </c:pt>
                <c:pt idx="1">
                  <c:v> Someone who is widely known</c:v>
                </c:pt>
                <c:pt idx="2">
                  <c:v>Someone with a lot of public awareness</c:v>
                </c:pt>
                <c:pt idx="3">
                  <c:v>Someone with a lot of media exposure / coverage</c:v>
                </c:pt>
                <c:pt idx="4">
                  <c:v>Someone who is in the public eye</c:v>
                </c:pt>
                <c:pt idx="5">
                  <c:v>Someone who is famous</c:v>
                </c:pt>
                <c:pt idx="6">
                  <c:v>Someone who is celebrated</c:v>
                </c:pt>
              </c:strCache>
            </c:strRef>
          </c:cat>
          <c:val>
            <c:numRef>
              <c:f>'Q5'!$D$3:$D$9</c:f>
              <c:numCache>
                <c:formatCode>General</c:formatCode>
                <c:ptCount val="7"/>
                <c:pt idx="0">
                  <c:v>23</c:v>
                </c:pt>
                <c:pt idx="1">
                  <c:v>14</c:v>
                </c:pt>
                <c:pt idx="2">
                  <c:v>7</c:v>
                </c:pt>
                <c:pt idx="3">
                  <c:v>107</c:v>
                </c:pt>
                <c:pt idx="4">
                  <c:v>22</c:v>
                </c:pt>
                <c:pt idx="5">
                  <c:v>6</c:v>
                </c:pt>
                <c:pt idx="6">
                  <c:v>15</c:v>
                </c:pt>
              </c:numCache>
            </c:numRef>
          </c:val>
        </c:ser>
        <c:dLbls>
          <c:showLegendKey val="0"/>
          <c:showVal val="0"/>
          <c:showCatName val="0"/>
          <c:showSerName val="0"/>
          <c:showPercent val="0"/>
          <c:showBubbleSize val="0"/>
        </c:dLbls>
        <c:gapWidth val="75"/>
        <c:overlap val="-25"/>
        <c:axId val="106967040"/>
        <c:axId val="108020864"/>
      </c:barChart>
      <c:catAx>
        <c:axId val="106967040"/>
        <c:scaling>
          <c:orientation val="minMax"/>
        </c:scaling>
        <c:delete val="0"/>
        <c:axPos val="b"/>
        <c:numFmt formatCode="General" sourceLinked="1"/>
        <c:majorTickMark val="none"/>
        <c:minorTickMark val="none"/>
        <c:tickLblPos val="nextTo"/>
        <c:crossAx val="108020864"/>
        <c:crosses val="autoZero"/>
        <c:auto val="1"/>
        <c:lblAlgn val="ctr"/>
        <c:lblOffset val="100"/>
        <c:tickLblSkip val="1"/>
        <c:tickMarkSkip val="1"/>
        <c:noMultiLvlLbl val="1"/>
      </c:catAx>
      <c:valAx>
        <c:axId val="108020864"/>
        <c:scaling>
          <c:orientation val="minMax"/>
          <c:max val="120"/>
          <c:min val="0"/>
        </c:scaling>
        <c:delete val="0"/>
        <c:axPos val="l"/>
        <c:majorGridlines/>
        <c:numFmt formatCode="General" sourceLinked="1"/>
        <c:majorTickMark val="none"/>
        <c:minorTickMark val="none"/>
        <c:tickLblPos val="nextTo"/>
        <c:spPr>
          <a:ln w="9525">
            <a:noFill/>
          </a:ln>
        </c:spPr>
        <c:crossAx val="106967040"/>
        <c:crosses val="autoZero"/>
        <c:crossBetween val="between"/>
        <c:majorUnit val="20"/>
      </c:valAx>
      <c:spPr>
        <a:solidFill>
          <a:schemeClr val="bg2"/>
        </a:solidFill>
      </c:spPr>
    </c:plotArea>
    <c:legend>
      <c:legendPos val="b"/>
      <c:overlay val="0"/>
    </c:legend>
    <c:plotVisOnly val="1"/>
    <c:dispBlanksAs val="gap"/>
    <c:showDLblsOverMax val="1"/>
  </c:chart>
  <c:txPr>
    <a:bodyPr/>
    <a:lstStyle/>
    <a:p>
      <a:pPr>
        <a:defRPr sz="900">
          <a:latin typeface="Arial" pitchFamily="34" charset="0"/>
          <a:cs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8"/>
    </mc:Choice>
    <mc:Fallback>
      <c:style val="28"/>
    </mc:Fallback>
  </mc:AlternateContent>
  <c:clrMapOvr bg1="lt1" tx1="dk1" bg2="lt2" tx2="dk2" accent1="accent1" accent2="accent2" accent3="accent3" accent4="accent4" accent5="accent5" accent6="accent6" hlink="hlink" folHlink="folHlink"/>
  <c:chart>
    <c:title>
      <c:tx>
        <c:rich>
          <a:bodyPr/>
          <a:lstStyle/>
          <a:p>
            <a:pPr algn="ctr">
              <a:defRPr sz="1000"/>
            </a:pPr>
            <a:r>
              <a:rPr lang="en-GB" sz="1000"/>
              <a:t> Of the following categories, which ones do you think contain celebrities in today’s society?</a:t>
            </a:r>
          </a:p>
        </c:rich>
      </c:tx>
      <c:overlay val="0"/>
    </c:title>
    <c:autoTitleDeleted val="0"/>
    <c:plotArea>
      <c:layout>
        <c:manualLayout>
          <c:layoutTarget val="inner"/>
          <c:xMode val="edge"/>
          <c:yMode val="edge"/>
          <c:x val="1.3646029206418791E-2"/>
          <c:y val="0.58442666888861106"/>
          <c:w val="0.96247563568811478"/>
          <c:h val="0.25252565651515785"/>
        </c:manualLayout>
      </c:layout>
      <c:barChart>
        <c:barDir val="col"/>
        <c:grouping val="clustered"/>
        <c:varyColors val="1"/>
        <c:ser>
          <c:idx val="0"/>
          <c:order val="0"/>
          <c:invertIfNegative val="1"/>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ext>
            </c:extLst>
          </c:dLbls>
          <c:cat>
            <c:strRef>
              <c:f>'Q6'!$O$2:$O$13</c:f>
              <c:strCache>
                <c:ptCount val="12"/>
                <c:pt idx="0">
                  <c:v>Sports</c:v>
                </c:pt>
                <c:pt idx="1">
                  <c:v>Film</c:v>
                </c:pt>
                <c:pt idx="2">
                  <c:v>TV</c:v>
                </c:pt>
                <c:pt idx="3">
                  <c:v>Musicians</c:v>
                </c:pt>
                <c:pt idx="4">
                  <c:v>Famous
couples</c:v>
                </c:pt>
                <c:pt idx="5">
                  <c:v>Comedians</c:v>
                </c:pt>
                <c:pt idx="6">
                  <c:v>Theatre</c:v>
                </c:pt>
                <c:pt idx="7">
                  <c:v>Dancers</c:v>
                </c:pt>
                <c:pt idx="8">
                  <c:v>Reality
TV shows</c:v>
                </c:pt>
                <c:pt idx="9">
                  <c:v>Singers
and
Songwriters</c:v>
                </c:pt>
                <c:pt idx="10">
                  <c:v>Search for a Star shows</c:v>
                </c:pt>
                <c:pt idx="11">
                  <c:v>Scientists</c:v>
                </c:pt>
              </c:strCache>
            </c:strRef>
          </c:cat>
          <c:val>
            <c:numRef>
              <c:f>'Q6'!$P$2:$P$13</c:f>
              <c:numCache>
                <c:formatCode>General</c:formatCode>
                <c:ptCount val="12"/>
                <c:pt idx="0">
                  <c:v>182</c:v>
                </c:pt>
                <c:pt idx="1">
                  <c:v>180</c:v>
                </c:pt>
                <c:pt idx="2">
                  <c:v>200</c:v>
                </c:pt>
                <c:pt idx="3">
                  <c:v>171</c:v>
                </c:pt>
                <c:pt idx="4">
                  <c:v>167</c:v>
                </c:pt>
                <c:pt idx="5">
                  <c:v>140</c:v>
                </c:pt>
                <c:pt idx="6">
                  <c:v>94</c:v>
                </c:pt>
                <c:pt idx="7">
                  <c:v>70</c:v>
                </c:pt>
                <c:pt idx="8">
                  <c:v>155</c:v>
                </c:pt>
                <c:pt idx="9">
                  <c:v>140</c:v>
                </c:pt>
                <c:pt idx="10">
                  <c:v>115</c:v>
                </c:pt>
                <c:pt idx="11">
                  <c:v>57</c:v>
                </c:pt>
              </c:numCache>
            </c:numRef>
          </c:val>
        </c:ser>
        <c:dLbls>
          <c:dLblPos val="outEnd"/>
          <c:showLegendKey val="0"/>
          <c:showVal val="1"/>
          <c:showCatName val="0"/>
          <c:showSerName val="0"/>
          <c:showPercent val="0"/>
          <c:showBubbleSize val="0"/>
        </c:dLbls>
        <c:gapWidth val="150"/>
        <c:overlap val="-25"/>
        <c:axId val="108122624"/>
        <c:axId val="108024320"/>
      </c:barChart>
      <c:catAx>
        <c:axId val="108122624"/>
        <c:scaling>
          <c:orientation val="minMax"/>
        </c:scaling>
        <c:delete val="0"/>
        <c:axPos val="b"/>
        <c:numFmt formatCode="General" sourceLinked="1"/>
        <c:majorTickMark val="none"/>
        <c:minorTickMark val="none"/>
        <c:tickLblPos val="nextTo"/>
        <c:crossAx val="108024320"/>
        <c:crosses val="autoZero"/>
        <c:auto val="1"/>
        <c:lblAlgn val="ctr"/>
        <c:lblOffset val="100"/>
        <c:tickLblSkip val="1"/>
        <c:tickMarkSkip val="1"/>
        <c:noMultiLvlLbl val="1"/>
      </c:catAx>
      <c:valAx>
        <c:axId val="108024320"/>
        <c:scaling>
          <c:orientation val="minMax"/>
          <c:max val="200"/>
        </c:scaling>
        <c:delete val="1"/>
        <c:axPos val="l"/>
        <c:numFmt formatCode="General" sourceLinked="1"/>
        <c:majorTickMark val="cross"/>
        <c:minorTickMark val="cross"/>
        <c:tickLblPos val="nextTo"/>
        <c:crossAx val="108122624"/>
        <c:crosses val="autoZero"/>
        <c:crossBetween val="between"/>
        <c:majorUnit val="25"/>
      </c:valAx>
      <c:spPr>
        <a:solidFill>
          <a:schemeClr val="bg2"/>
        </a:solidFill>
      </c:spPr>
    </c:plotArea>
    <c:legend>
      <c:legendPos val="t"/>
      <c:layout>
        <c:manualLayout>
          <c:xMode val="edge"/>
          <c:yMode val="edge"/>
          <c:x val="0.12387267698920185"/>
          <c:y val="0.14413047600986156"/>
          <c:w val="0.75225450509961422"/>
          <c:h val="0.38170617561693682"/>
        </c:manualLayout>
      </c:layout>
      <c:overlay val="0"/>
    </c:legend>
    <c:plotVisOnly val="1"/>
    <c:dispBlanksAs val="gap"/>
    <c:showDLblsOverMax val="1"/>
  </c:chart>
  <c:txPr>
    <a:bodyPr/>
    <a:lstStyle/>
    <a:p>
      <a:pPr>
        <a:defRPr sz="900">
          <a:latin typeface="Arial" pitchFamily="34" charset="0"/>
          <a:cs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8"/>
    </mc:Choice>
    <mc:Fallback>
      <c:style val="28"/>
    </mc:Fallback>
  </mc:AlternateContent>
  <c:chart>
    <c:title>
      <c:tx>
        <c:rich>
          <a:bodyPr/>
          <a:lstStyle/>
          <a:p>
            <a:pPr>
              <a:defRPr sz="1000"/>
            </a:pPr>
            <a:r>
              <a:rPr lang="en-GB" sz="1000"/>
              <a:t>If you were choosing a theatre production to go to and one of the performers' background was in one of the above categories, which category would be most likely to attract you to go and see the production?</a:t>
            </a:r>
          </a:p>
        </c:rich>
      </c:tx>
      <c:overlay val="0"/>
    </c:title>
    <c:autoTitleDeleted val="0"/>
    <c:plotArea>
      <c:layout/>
      <c:barChart>
        <c:barDir val="col"/>
        <c:grouping val="clustered"/>
        <c:varyColors val="1"/>
        <c:ser>
          <c:idx val="0"/>
          <c:order val="0"/>
          <c:invertIfNegative val="1"/>
          <c:cat>
            <c:strRef>
              <c:f>'Q7'!$D$3:$D$16</c:f>
              <c:strCache>
                <c:ptCount val="14"/>
                <c:pt idx="0">
                  <c:v>Sports</c:v>
                </c:pt>
                <c:pt idx="1">
                  <c:v>Film</c:v>
                </c:pt>
                <c:pt idx="2">
                  <c:v>TV</c:v>
                </c:pt>
                <c:pt idx="3">
                  <c:v>Musicians</c:v>
                </c:pt>
                <c:pt idx="4">
                  <c:v>Famous
couples</c:v>
                </c:pt>
                <c:pt idx="5">
                  <c:v>Comedians</c:v>
                </c:pt>
                <c:pt idx="6">
                  <c:v>Theatre</c:v>
                </c:pt>
                <c:pt idx="7">
                  <c:v>Dancers</c:v>
                </c:pt>
                <c:pt idx="8">
                  <c:v>Reality TV shows</c:v>
                </c:pt>
                <c:pt idx="9">
                  <c:v>Singers and Songwriters</c:v>
                </c:pt>
                <c:pt idx="10">
                  <c:v>Search for a
Star shows</c:v>
                </c:pt>
                <c:pt idx="11">
                  <c:v>Scientists</c:v>
                </c:pt>
                <c:pt idx="12">
                  <c:v>Combination</c:v>
                </c:pt>
                <c:pt idx="13">
                  <c:v>None</c:v>
                </c:pt>
              </c:strCache>
            </c:strRef>
          </c:cat>
          <c:val>
            <c:numRef>
              <c:f>'Q7'!$E$3:$E$16</c:f>
              <c:numCache>
                <c:formatCode>General</c:formatCode>
                <c:ptCount val="14"/>
                <c:pt idx="0">
                  <c:v>2</c:v>
                </c:pt>
                <c:pt idx="1">
                  <c:v>58</c:v>
                </c:pt>
                <c:pt idx="2">
                  <c:v>9</c:v>
                </c:pt>
                <c:pt idx="3">
                  <c:v>5</c:v>
                </c:pt>
                <c:pt idx="4">
                  <c:v>0</c:v>
                </c:pt>
                <c:pt idx="5">
                  <c:v>12</c:v>
                </c:pt>
                <c:pt idx="6">
                  <c:v>53</c:v>
                </c:pt>
                <c:pt idx="7">
                  <c:v>4</c:v>
                </c:pt>
                <c:pt idx="8">
                  <c:v>3</c:v>
                </c:pt>
                <c:pt idx="9">
                  <c:v>2</c:v>
                </c:pt>
                <c:pt idx="10">
                  <c:v>0</c:v>
                </c:pt>
                <c:pt idx="11">
                  <c:v>3</c:v>
                </c:pt>
                <c:pt idx="12">
                  <c:v>21</c:v>
                </c:pt>
                <c:pt idx="13">
                  <c:v>3</c:v>
                </c:pt>
              </c:numCache>
            </c:numRef>
          </c:val>
        </c:ser>
        <c:dLbls>
          <c:showLegendKey val="0"/>
          <c:showVal val="0"/>
          <c:showCatName val="0"/>
          <c:showSerName val="0"/>
          <c:showPercent val="0"/>
          <c:showBubbleSize val="0"/>
        </c:dLbls>
        <c:gapWidth val="150"/>
        <c:axId val="108123136"/>
        <c:axId val="108024896"/>
      </c:barChart>
      <c:catAx>
        <c:axId val="108123136"/>
        <c:scaling>
          <c:orientation val="minMax"/>
        </c:scaling>
        <c:delete val="0"/>
        <c:axPos val="b"/>
        <c:numFmt formatCode="General" sourceLinked="1"/>
        <c:majorTickMark val="none"/>
        <c:minorTickMark val="none"/>
        <c:tickLblPos val="nextTo"/>
        <c:crossAx val="108024896"/>
        <c:crosses val="autoZero"/>
        <c:auto val="1"/>
        <c:lblAlgn val="ctr"/>
        <c:lblOffset val="100"/>
        <c:tickLblSkip val="1"/>
        <c:tickMarkSkip val="1"/>
        <c:noMultiLvlLbl val="1"/>
      </c:catAx>
      <c:valAx>
        <c:axId val="108024896"/>
        <c:scaling>
          <c:orientation val="minMax"/>
          <c:max val="60"/>
        </c:scaling>
        <c:delete val="0"/>
        <c:axPos val="l"/>
        <c:majorGridlines/>
        <c:numFmt formatCode="General" sourceLinked="1"/>
        <c:majorTickMark val="none"/>
        <c:minorTickMark val="none"/>
        <c:tickLblPos val="nextTo"/>
        <c:crossAx val="108123136"/>
        <c:crosses val="autoZero"/>
        <c:crossBetween val="between"/>
      </c:valAx>
      <c:spPr>
        <a:solidFill>
          <a:schemeClr val="bg2"/>
        </a:solidFill>
      </c:spPr>
    </c:plotArea>
    <c:legend>
      <c:legendPos val="r"/>
      <c:overlay val="0"/>
    </c:legend>
    <c:plotVisOnly val="1"/>
    <c:dispBlanksAs val="gap"/>
    <c:showDLblsOverMax val="1"/>
  </c:chart>
  <c:spPr>
    <a:solidFill>
      <a:sysClr val="window" lastClr="FFFFFF"/>
    </a:solidFill>
  </c:spPr>
  <c:txPr>
    <a:bodyPr/>
    <a:lstStyle/>
    <a:p>
      <a:pPr>
        <a:defRPr sz="900">
          <a:latin typeface="Arial" pitchFamily="34" charset="0"/>
          <a:cs typeface="Arial" pitchFamily="34" charset="0"/>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sz="1000"/>
            </a:pPr>
            <a:r>
              <a:rPr lang="en-GB" sz="1000"/>
              <a:t> Would you be more or less likely to go and see a theatre production if there was a celebrity in it?</a:t>
            </a:r>
          </a:p>
        </c:rich>
      </c:tx>
      <c:overlay val="1"/>
    </c:title>
    <c:autoTitleDeleted val="0"/>
    <c:plotArea>
      <c:layout>
        <c:manualLayout>
          <c:layoutTarget val="inner"/>
          <c:xMode val="edge"/>
          <c:yMode val="edge"/>
          <c:x val="0.22791142372199708"/>
          <c:y val="0.25605053120065341"/>
          <c:w val="0.26712602635900473"/>
          <c:h val="0.68148113136608268"/>
        </c:manualLayout>
      </c:layout>
      <c:pieChart>
        <c:varyColors val="1"/>
        <c:ser>
          <c:idx val="0"/>
          <c:order val="0"/>
          <c:dLbls>
            <c:dLbl>
              <c:idx val="0"/>
              <c:tx>
                <c:rich>
                  <a:bodyPr/>
                  <a:lstStyle/>
                  <a:p>
                    <a:r>
                      <a:rPr lang="en-US"/>
                      <a:t> Less likely</a:t>
                    </a:r>
                    <a:r>
                      <a:rPr lang="en-US" baseline="0"/>
                      <a:t> </a:t>
                    </a:r>
                    <a:r>
                      <a:rPr lang="en-US"/>
                      <a:t>21%</a:t>
                    </a:r>
                  </a:p>
                </c:rich>
              </c:tx>
              <c:dLblPos val="outEnd"/>
              <c:showLegendKey val="1"/>
              <c:showVal val="1"/>
              <c:showCatName val="1"/>
              <c:showSerName val="1"/>
              <c:showPercent val="1"/>
              <c:showBubbleSize val="1"/>
              <c:extLst>
                <c:ext xmlns:c15="http://schemas.microsoft.com/office/drawing/2012/chart" uri="{CE6537A1-D6FC-4f65-9D91-7224C49458BB}">
                  <c15:layout/>
                </c:ext>
              </c:extLst>
            </c:dLbl>
            <c:dLbl>
              <c:idx val="1"/>
              <c:tx>
                <c:rich>
                  <a:bodyPr/>
                  <a:lstStyle/>
                  <a:p>
                    <a:r>
                      <a:rPr lang="en-US"/>
                      <a:t>More likely 15%</a:t>
                    </a:r>
                  </a:p>
                </c:rich>
              </c:tx>
              <c:dLblPos val="outEnd"/>
              <c:showLegendKey val="1"/>
              <c:showVal val="1"/>
              <c:showCatName val="1"/>
              <c:showSerName val="1"/>
              <c:showPercent val="1"/>
              <c:showBubbleSize val="1"/>
              <c:extLst>
                <c:ext xmlns:c15="http://schemas.microsoft.com/office/drawing/2012/chart" uri="{CE6537A1-D6FC-4f65-9D91-7224C49458BB}">
                  <c15:layout/>
                </c:ext>
              </c:extLst>
            </c:dLbl>
            <c:dLbl>
              <c:idx val="2"/>
              <c:tx>
                <c:rich>
                  <a:bodyPr/>
                  <a:lstStyle/>
                  <a:p>
                    <a:r>
                      <a:rPr lang="en-US"/>
                      <a:t>Depends on the celebrity 64%</a:t>
                    </a:r>
                  </a:p>
                </c:rich>
              </c:tx>
              <c:dLblPos val="outEnd"/>
              <c:showLegendKey val="1"/>
              <c:showVal val="1"/>
              <c:showCatName val="1"/>
              <c:showSerName val="1"/>
              <c:showPercent val="1"/>
              <c:showBubbleSize val="1"/>
              <c:extLst>
                <c:ext xmlns:c15="http://schemas.microsoft.com/office/drawing/2012/chart" uri="{CE6537A1-D6FC-4f65-9D91-7224C49458BB}">
                  <c15:layout/>
                </c:ext>
              </c:extLst>
            </c:dLbl>
            <c:spPr>
              <a:noFill/>
              <a:ln>
                <a:noFill/>
              </a:ln>
              <a:effectLst/>
            </c:spPr>
            <c:dLblPos val="outEnd"/>
            <c:showLegendKey val="1"/>
            <c:showVal val="1"/>
            <c:showCatName val="1"/>
            <c:showSerName val="1"/>
            <c:showPercent val="1"/>
            <c:showBubbleSize val="1"/>
            <c:showLeaderLines val="1"/>
            <c:extLst>
              <c:ext xmlns:c15="http://schemas.microsoft.com/office/drawing/2012/chart" uri="{CE6537A1-D6FC-4f65-9D91-7224C49458BB}"/>
            </c:extLst>
          </c:dLbls>
          <c:cat>
            <c:strRef>
              <c:f>'Q9'!$D$3:$D$5</c:f>
              <c:strCache>
                <c:ptCount val="3"/>
                <c:pt idx="0">
                  <c:v>Less likely</c:v>
                </c:pt>
                <c:pt idx="1">
                  <c:v>More likely</c:v>
                </c:pt>
                <c:pt idx="2">
                  <c:v>Depends on the celebrity</c:v>
                </c:pt>
              </c:strCache>
            </c:strRef>
          </c:cat>
          <c:val>
            <c:numRef>
              <c:f>'Q9'!$E$3:$E$5</c:f>
              <c:numCache>
                <c:formatCode>General</c:formatCode>
                <c:ptCount val="3"/>
                <c:pt idx="0">
                  <c:v>43</c:v>
                </c:pt>
                <c:pt idx="1">
                  <c:v>31</c:v>
                </c:pt>
                <c:pt idx="2">
                  <c:v>132</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72531559768621157"/>
          <c:y val="0.31530981598414359"/>
          <c:w val="0.27092768163630737"/>
          <c:h val="0.24549117758233263"/>
        </c:manualLayout>
      </c:layout>
      <c:overlay val="1"/>
    </c:legend>
    <c:plotVisOnly val="1"/>
    <c:dispBlanksAs val="zero"/>
    <c:showDLblsOverMax val="1"/>
  </c:chart>
  <c:txPr>
    <a:bodyPr/>
    <a:lstStyle/>
    <a:p>
      <a:pPr>
        <a:defRPr sz="1000">
          <a:latin typeface="Arial" pitchFamily="34" charset="0"/>
          <a:cs typeface="Arial" pitchFamily="34"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GB"/>
  <c:roundedCorners val="1"/>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sz="1000"/>
            </a:pPr>
            <a:r>
              <a:rPr lang="en-GB" sz="1000"/>
              <a:t>Likelihood</a:t>
            </a:r>
            <a:r>
              <a:rPr lang="en-GB" sz="1000" baseline="0"/>
              <a:t> of different age ranges to attend a theatre production if it has a celebrity cast member in it</a:t>
            </a:r>
            <a:endParaRPr lang="en-GB" sz="1000"/>
          </a:p>
        </c:rich>
      </c:tx>
      <c:overlay val="1"/>
    </c:title>
    <c:autoTitleDeleted val="0"/>
    <c:plotArea>
      <c:layout>
        <c:manualLayout>
          <c:layoutTarget val="inner"/>
          <c:xMode val="edge"/>
          <c:yMode val="edge"/>
          <c:x val="0.13071757857190935"/>
          <c:y val="0.17783075991522859"/>
          <c:w val="0.84577814792381756"/>
          <c:h val="0.54533038147138957"/>
        </c:manualLayout>
      </c:layout>
      <c:barChart>
        <c:barDir val="col"/>
        <c:grouping val="percentStacked"/>
        <c:varyColors val="1"/>
        <c:ser>
          <c:idx val="0"/>
          <c:order val="0"/>
          <c:tx>
            <c:strRef>
              <c:f>'Age vs attendance'!$B$1</c:f>
              <c:strCache>
                <c:ptCount val="1"/>
                <c:pt idx="0">
                  <c:v>Less likely</c:v>
                </c:pt>
              </c:strCache>
            </c:strRef>
          </c:tx>
          <c:invertIfNegative val="1"/>
          <c:cat>
            <c:strRef>
              <c:f>'Age vs attendance'!$A$2:$A$8</c:f>
              <c:strCache>
                <c:ptCount val="7"/>
                <c:pt idx="0">
                  <c:v>Under 18</c:v>
                </c:pt>
                <c:pt idx="1">
                  <c:v>18 – 24</c:v>
                </c:pt>
                <c:pt idx="2">
                  <c:v>25 – 34</c:v>
                </c:pt>
                <c:pt idx="3">
                  <c:v>35 – 44</c:v>
                </c:pt>
                <c:pt idx="4">
                  <c:v>45 – 54</c:v>
                </c:pt>
                <c:pt idx="5">
                  <c:v>55 – 65</c:v>
                </c:pt>
                <c:pt idx="6">
                  <c:v>Over 65</c:v>
                </c:pt>
              </c:strCache>
            </c:strRef>
          </c:cat>
          <c:val>
            <c:numRef>
              <c:f>'Age vs attendance'!$B$2:$B$8</c:f>
              <c:numCache>
                <c:formatCode>General</c:formatCode>
                <c:ptCount val="7"/>
                <c:pt idx="0">
                  <c:v>0</c:v>
                </c:pt>
                <c:pt idx="1">
                  <c:v>1</c:v>
                </c:pt>
                <c:pt idx="2">
                  <c:v>18</c:v>
                </c:pt>
                <c:pt idx="3">
                  <c:v>10</c:v>
                </c:pt>
                <c:pt idx="4">
                  <c:v>12</c:v>
                </c:pt>
                <c:pt idx="5">
                  <c:v>1</c:v>
                </c:pt>
                <c:pt idx="6">
                  <c:v>1</c:v>
                </c:pt>
              </c:numCache>
            </c:numRef>
          </c:val>
        </c:ser>
        <c:ser>
          <c:idx val="1"/>
          <c:order val="1"/>
          <c:tx>
            <c:strRef>
              <c:f>'Age vs attendance'!$C$1</c:f>
              <c:strCache>
                <c:ptCount val="1"/>
                <c:pt idx="0">
                  <c:v>More likely</c:v>
                </c:pt>
              </c:strCache>
            </c:strRef>
          </c:tx>
          <c:invertIfNegative val="1"/>
          <c:cat>
            <c:strRef>
              <c:f>'Age vs attendance'!$A$2:$A$8</c:f>
              <c:strCache>
                <c:ptCount val="7"/>
                <c:pt idx="0">
                  <c:v>Under 18</c:v>
                </c:pt>
                <c:pt idx="1">
                  <c:v>18 – 24</c:v>
                </c:pt>
                <c:pt idx="2">
                  <c:v>25 – 34</c:v>
                </c:pt>
                <c:pt idx="3">
                  <c:v>35 – 44</c:v>
                </c:pt>
                <c:pt idx="4">
                  <c:v>45 – 54</c:v>
                </c:pt>
                <c:pt idx="5">
                  <c:v>55 – 65</c:v>
                </c:pt>
                <c:pt idx="6">
                  <c:v>Over 65</c:v>
                </c:pt>
              </c:strCache>
            </c:strRef>
          </c:cat>
          <c:val>
            <c:numRef>
              <c:f>'Age vs attendance'!$C$2:$C$8</c:f>
              <c:numCache>
                <c:formatCode>General</c:formatCode>
                <c:ptCount val="7"/>
                <c:pt idx="0">
                  <c:v>0</c:v>
                </c:pt>
                <c:pt idx="1">
                  <c:v>4</c:v>
                </c:pt>
                <c:pt idx="2">
                  <c:v>20</c:v>
                </c:pt>
                <c:pt idx="3">
                  <c:v>5</c:v>
                </c:pt>
                <c:pt idx="4">
                  <c:v>2</c:v>
                </c:pt>
                <c:pt idx="5">
                  <c:v>0</c:v>
                </c:pt>
                <c:pt idx="6">
                  <c:v>0</c:v>
                </c:pt>
              </c:numCache>
            </c:numRef>
          </c:val>
        </c:ser>
        <c:ser>
          <c:idx val="2"/>
          <c:order val="2"/>
          <c:tx>
            <c:strRef>
              <c:f>'Age vs attendance'!$D$1</c:f>
              <c:strCache>
                <c:ptCount val="1"/>
                <c:pt idx="0">
                  <c:v>Depends on the celebrity</c:v>
                </c:pt>
              </c:strCache>
            </c:strRef>
          </c:tx>
          <c:invertIfNegative val="1"/>
          <c:cat>
            <c:strRef>
              <c:f>'Age vs attendance'!$A$2:$A$8</c:f>
              <c:strCache>
                <c:ptCount val="7"/>
                <c:pt idx="0">
                  <c:v>Under 18</c:v>
                </c:pt>
                <c:pt idx="1">
                  <c:v>18 – 24</c:v>
                </c:pt>
                <c:pt idx="2">
                  <c:v>25 – 34</c:v>
                </c:pt>
                <c:pt idx="3">
                  <c:v>35 – 44</c:v>
                </c:pt>
                <c:pt idx="4">
                  <c:v>45 – 54</c:v>
                </c:pt>
                <c:pt idx="5">
                  <c:v>55 – 65</c:v>
                </c:pt>
                <c:pt idx="6">
                  <c:v>Over 65</c:v>
                </c:pt>
              </c:strCache>
            </c:strRef>
          </c:cat>
          <c:val>
            <c:numRef>
              <c:f>'Age vs attendance'!$D$2:$D$8</c:f>
              <c:numCache>
                <c:formatCode>General</c:formatCode>
                <c:ptCount val="7"/>
                <c:pt idx="0">
                  <c:v>1</c:v>
                </c:pt>
                <c:pt idx="1">
                  <c:v>26</c:v>
                </c:pt>
                <c:pt idx="2">
                  <c:v>63</c:v>
                </c:pt>
                <c:pt idx="3">
                  <c:v>25</c:v>
                </c:pt>
                <c:pt idx="4">
                  <c:v>6</c:v>
                </c:pt>
                <c:pt idx="5">
                  <c:v>11</c:v>
                </c:pt>
                <c:pt idx="6">
                  <c:v>0</c:v>
                </c:pt>
              </c:numCache>
            </c:numRef>
          </c:val>
        </c:ser>
        <c:dLbls>
          <c:showLegendKey val="0"/>
          <c:showVal val="0"/>
          <c:showCatName val="0"/>
          <c:showSerName val="0"/>
          <c:showPercent val="0"/>
          <c:showBubbleSize val="0"/>
        </c:dLbls>
        <c:gapWidth val="50"/>
        <c:overlap val="100"/>
        <c:axId val="108125696"/>
        <c:axId val="108060672"/>
      </c:barChart>
      <c:catAx>
        <c:axId val="108125696"/>
        <c:scaling>
          <c:orientation val="minMax"/>
        </c:scaling>
        <c:delete val="0"/>
        <c:axPos val="b"/>
        <c:title>
          <c:tx>
            <c:rich>
              <a:bodyPr/>
              <a:lstStyle/>
              <a:p>
                <a:pPr>
                  <a:defRPr/>
                </a:pPr>
                <a:r>
                  <a:rPr lang="en-GB"/>
                  <a:t>Age range</a:t>
                </a:r>
              </a:p>
            </c:rich>
          </c:tx>
          <c:overlay val="1"/>
        </c:title>
        <c:numFmt formatCode="General" sourceLinked="0"/>
        <c:majorTickMark val="out"/>
        <c:minorTickMark val="cross"/>
        <c:tickLblPos val="nextTo"/>
        <c:crossAx val="108060672"/>
        <c:crosses val="autoZero"/>
        <c:auto val="1"/>
        <c:lblAlgn val="ctr"/>
        <c:lblOffset val="100"/>
        <c:noMultiLvlLbl val="1"/>
      </c:catAx>
      <c:valAx>
        <c:axId val="108060672"/>
        <c:scaling>
          <c:orientation val="minMax"/>
        </c:scaling>
        <c:delete val="0"/>
        <c:axPos val="l"/>
        <c:majorGridlines>
          <c:spPr>
            <a:ln>
              <a:solidFill>
                <a:schemeClr val="accent1">
                  <a:alpha val="83000"/>
                </a:schemeClr>
              </a:solidFill>
            </a:ln>
          </c:spPr>
        </c:majorGridlines>
        <c:title>
          <c:tx>
            <c:rich>
              <a:bodyPr rot="-5400000" vert="horz"/>
              <a:lstStyle/>
              <a:p>
                <a:pPr>
                  <a:defRPr/>
                </a:pPr>
                <a:r>
                  <a:rPr lang="en-GB"/>
                  <a:t>Percentage of age rage</a:t>
                </a:r>
              </a:p>
            </c:rich>
          </c:tx>
          <c:overlay val="1"/>
        </c:title>
        <c:numFmt formatCode="0%" sourceLinked="1"/>
        <c:majorTickMark val="out"/>
        <c:minorTickMark val="cross"/>
        <c:tickLblPos val="nextTo"/>
        <c:crossAx val="108125696"/>
        <c:crosses val="autoZero"/>
        <c:crossBetween val="between"/>
      </c:valAx>
      <c:spPr>
        <a:solidFill>
          <a:schemeClr val="bg2"/>
        </a:solidFill>
      </c:spPr>
    </c:plotArea>
    <c:legend>
      <c:legendPos val="b"/>
      <c:overlay val="1"/>
    </c:legend>
    <c:plotVisOnly val="1"/>
    <c:dispBlanksAs val="gap"/>
    <c:showDLblsOverMax val="1"/>
  </c:chart>
  <c:txPr>
    <a:bodyPr/>
    <a:lstStyle/>
    <a:p>
      <a:pPr>
        <a:defRPr sz="1000">
          <a:latin typeface="Arial" pitchFamily="34" charset="0"/>
          <a:cs typeface="Arial" pitchFamily="34" charset="0"/>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0.22313</cdr:x>
      <cdr:y>0.64829</cdr:y>
    </cdr:from>
    <cdr:to>
      <cdr:x>0.29266</cdr:x>
      <cdr:y>0.73655</cdr:y>
    </cdr:to>
    <cdr:sp macro="" textlink="">
      <cdr:nvSpPr>
        <cdr:cNvPr id="2" name="TextBox 1"/>
        <cdr:cNvSpPr txBox="1"/>
      </cdr:nvSpPr>
      <cdr:spPr>
        <a:xfrm xmlns:a="http://schemas.openxmlformats.org/drawingml/2006/main">
          <a:off x="1746119" y="3302370"/>
          <a:ext cx="544124" cy="449594"/>
        </a:xfrm>
        <a:prstGeom xmlns:a="http://schemas.openxmlformats.org/drawingml/2006/main" prst="rect">
          <a:avLst/>
        </a:prstGeom>
      </cdr:spPr>
      <cdr:txBody>
        <a:bodyPr xmlns:a="http://schemas.openxmlformats.org/drawingml/2006/main" vertOverflow="clip" wrap="none" rtlCol="0">
          <a:spAutoFit/>
        </a:bodyPr>
        <a:lstStyle xmlns:a="http://schemas.openxmlformats.org/drawingml/2006/main"/>
        <a:p xmlns:a="http://schemas.openxmlformats.org/drawingml/2006/main">
          <a:fld id="{AD241185-A789-431C-BD12-0435AACB2E45}" type="TxLink">
            <a:rPr lang="en-GB" sz="900">
              <a:solidFill>
                <a:schemeClr val="bg1"/>
              </a:solidFill>
            </a:rPr>
            <a:pPr/>
            <a:t>7.2%</a:t>
          </a:fld>
          <a:endParaRPr lang="en-GB" sz="900">
            <a:solidFill>
              <a:schemeClr val="bg1"/>
            </a:solidFill>
          </a:endParaRPr>
        </a:p>
      </cdr:txBody>
    </cdr:sp>
  </cdr:relSizeAnchor>
  <cdr:relSizeAnchor xmlns:cdr="http://schemas.openxmlformats.org/drawingml/2006/chartDrawing">
    <cdr:from>
      <cdr:x>0.34447</cdr:x>
      <cdr:y>0.63162</cdr:y>
    </cdr:from>
    <cdr:to>
      <cdr:x>0.42345</cdr:x>
      <cdr:y>0.69187</cdr:y>
    </cdr:to>
    <cdr:sp macro="" textlink="">
      <cdr:nvSpPr>
        <cdr:cNvPr id="3" name="TextBox 2"/>
        <cdr:cNvSpPr txBox="1"/>
      </cdr:nvSpPr>
      <cdr:spPr>
        <a:xfrm xmlns:a="http://schemas.openxmlformats.org/drawingml/2006/main">
          <a:off x="2116295" y="3295651"/>
          <a:ext cx="485223" cy="314386"/>
        </a:xfrm>
        <a:prstGeom xmlns:a="http://schemas.openxmlformats.org/drawingml/2006/main" prst="rect">
          <a:avLst/>
        </a:prstGeom>
      </cdr:spPr>
      <cdr:txBody>
        <a:bodyPr xmlns:a="http://schemas.openxmlformats.org/drawingml/2006/main" vertOverflow="clip" wrap="square" rtlCol="0">
          <a:noAutofit/>
        </a:bodyPr>
        <a:lstStyle xmlns:a="http://schemas.openxmlformats.org/drawingml/2006/main"/>
        <a:p xmlns:a="http://schemas.openxmlformats.org/drawingml/2006/main">
          <a:fld id="{628CE450-1667-48AB-BA19-C6532D84DD78}" type="TxLink">
            <a:rPr lang="en-GB" sz="900">
              <a:solidFill>
                <a:schemeClr val="accent2"/>
              </a:solidFill>
            </a:rPr>
            <a:pPr/>
            <a:t>3.6%</a:t>
          </a:fld>
          <a:endParaRPr lang="en-GB" sz="900">
            <a:solidFill>
              <a:schemeClr val="accent2"/>
            </a:solidFill>
          </a:endParaRPr>
        </a:p>
      </cdr:txBody>
    </cdr:sp>
  </cdr:relSizeAnchor>
  <cdr:relSizeAnchor xmlns:cdr="http://schemas.openxmlformats.org/drawingml/2006/chartDrawing">
    <cdr:from>
      <cdr:x>0.48343</cdr:x>
      <cdr:y>0.44832</cdr:y>
    </cdr:from>
    <cdr:to>
      <cdr:x>0.5628</cdr:x>
      <cdr:y>0.53657</cdr:y>
    </cdr:to>
    <cdr:sp macro="" textlink="">
      <cdr:nvSpPr>
        <cdr:cNvPr id="4" name="TextBox 3"/>
        <cdr:cNvSpPr txBox="1"/>
      </cdr:nvSpPr>
      <cdr:spPr>
        <a:xfrm xmlns:a="http://schemas.openxmlformats.org/drawingml/2006/main">
          <a:off x="2873299" y="1421977"/>
          <a:ext cx="471744" cy="279914"/>
        </a:xfrm>
        <a:prstGeom xmlns:a="http://schemas.openxmlformats.org/drawingml/2006/main" prst="rect">
          <a:avLst/>
        </a:prstGeom>
      </cdr:spPr>
      <cdr:txBody>
        <a:bodyPr xmlns:a="http://schemas.openxmlformats.org/drawingml/2006/main" vertOverflow="clip" wrap="none" rtlCol="0">
          <a:spAutoFit/>
        </a:bodyPr>
        <a:lstStyle xmlns:a="http://schemas.openxmlformats.org/drawingml/2006/main"/>
        <a:p xmlns:a="http://schemas.openxmlformats.org/drawingml/2006/main">
          <a:fld id="{A2D1B613-0175-4C3E-B553-9CB25B671DDA}" type="TxLink">
            <a:rPr lang="en-GB" sz="900">
              <a:solidFill>
                <a:schemeClr val="bg1"/>
              </a:solidFill>
            </a:rPr>
            <a:pPr/>
            <a:t>55.2%</a:t>
          </a:fld>
          <a:endParaRPr lang="en-GB" sz="900">
            <a:solidFill>
              <a:schemeClr val="bg1"/>
            </a:solidFill>
          </a:endParaRPr>
        </a:p>
      </cdr:txBody>
    </cdr:sp>
  </cdr:relSizeAnchor>
  <cdr:relSizeAnchor xmlns:cdr="http://schemas.openxmlformats.org/drawingml/2006/chartDrawing">
    <cdr:from>
      <cdr:x>0.62065</cdr:x>
      <cdr:y>0.61735</cdr:y>
    </cdr:from>
    <cdr:to>
      <cdr:x>0.70002</cdr:x>
      <cdr:y>0.70561</cdr:y>
    </cdr:to>
    <cdr:sp macro="" textlink="">
      <cdr:nvSpPr>
        <cdr:cNvPr id="5" name="TextBox 4"/>
        <cdr:cNvSpPr txBox="1"/>
      </cdr:nvSpPr>
      <cdr:spPr>
        <a:xfrm xmlns:a="http://schemas.openxmlformats.org/drawingml/2006/main">
          <a:off x="3684956" y="1458707"/>
          <a:ext cx="471239" cy="208544"/>
        </a:xfrm>
        <a:prstGeom xmlns:a="http://schemas.openxmlformats.org/drawingml/2006/main" prst="rect">
          <a:avLst/>
        </a:prstGeom>
      </cdr:spPr>
      <cdr:txBody>
        <a:bodyPr xmlns:a="http://schemas.openxmlformats.org/drawingml/2006/main" vertOverflow="clip" wrap="none" rtlCol="0">
          <a:spAutoFit/>
        </a:bodyPr>
        <a:lstStyle xmlns:a="http://schemas.openxmlformats.org/drawingml/2006/main"/>
        <a:p xmlns:a="http://schemas.openxmlformats.org/drawingml/2006/main">
          <a:fld id="{C9811A7F-F6F4-45C7-87F8-90123F650802}" type="TxLink">
            <a:rPr lang="en-GB" sz="900">
              <a:solidFill>
                <a:schemeClr val="bg1"/>
              </a:solidFill>
            </a:rPr>
            <a:pPr/>
            <a:t>11.3%</a:t>
          </a:fld>
          <a:endParaRPr lang="en-GB" sz="900">
            <a:solidFill>
              <a:schemeClr val="bg1"/>
            </a:solidFill>
          </a:endParaRPr>
        </a:p>
      </cdr:txBody>
    </cdr:sp>
  </cdr:relSizeAnchor>
  <cdr:relSizeAnchor xmlns:cdr="http://schemas.openxmlformats.org/drawingml/2006/chartDrawing">
    <cdr:from>
      <cdr:x>0.74403</cdr:x>
      <cdr:y>0.63709</cdr:y>
    </cdr:from>
    <cdr:to>
      <cdr:x>0.81356</cdr:x>
      <cdr:y>0.73849</cdr:y>
    </cdr:to>
    <cdr:sp macro="" textlink="">
      <cdr:nvSpPr>
        <cdr:cNvPr id="6" name="TextBox 5"/>
        <cdr:cNvSpPr txBox="1"/>
      </cdr:nvSpPr>
      <cdr:spPr>
        <a:xfrm xmlns:a="http://schemas.openxmlformats.org/drawingml/2006/main">
          <a:off x="4571041" y="3324225"/>
          <a:ext cx="427167" cy="529064"/>
        </a:xfrm>
        <a:prstGeom xmlns:a="http://schemas.openxmlformats.org/drawingml/2006/main" prst="rect">
          <a:avLst/>
        </a:prstGeom>
      </cdr:spPr>
      <cdr:txBody>
        <a:bodyPr xmlns:a="http://schemas.openxmlformats.org/drawingml/2006/main" vertOverflow="clip" wrap="none" rtlCol="0">
          <a:noAutofit/>
        </a:bodyPr>
        <a:lstStyle xmlns:a="http://schemas.openxmlformats.org/drawingml/2006/main"/>
        <a:p xmlns:a="http://schemas.openxmlformats.org/drawingml/2006/main">
          <a:fld id="{0EDF21B4-F453-4668-AB5B-B69D274B7E5B}" type="TxLink">
            <a:rPr lang="en-GB" sz="900">
              <a:solidFill>
                <a:schemeClr val="accent2"/>
              </a:solidFill>
            </a:rPr>
            <a:pPr/>
            <a:t>3.1%</a:t>
          </a:fld>
          <a:endParaRPr lang="en-GB" sz="900">
            <a:solidFill>
              <a:schemeClr val="accent2"/>
            </a:solidFill>
          </a:endParaRPr>
        </a:p>
      </cdr:txBody>
    </cdr:sp>
  </cdr:relSizeAnchor>
  <cdr:relSizeAnchor xmlns:cdr="http://schemas.openxmlformats.org/drawingml/2006/chartDrawing">
    <cdr:from>
      <cdr:x>0.88031</cdr:x>
      <cdr:y>0.64707</cdr:y>
    </cdr:from>
    <cdr:to>
      <cdr:x>0.94983</cdr:x>
      <cdr:y>0.73532</cdr:y>
    </cdr:to>
    <cdr:sp macro="" textlink="">
      <cdr:nvSpPr>
        <cdr:cNvPr id="7" name="TextBox 6"/>
        <cdr:cNvSpPr txBox="1"/>
      </cdr:nvSpPr>
      <cdr:spPr>
        <a:xfrm xmlns:a="http://schemas.openxmlformats.org/drawingml/2006/main">
          <a:off x="6889077" y="3296149"/>
          <a:ext cx="544046" cy="449542"/>
        </a:xfrm>
        <a:prstGeom xmlns:a="http://schemas.openxmlformats.org/drawingml/2006/main" prst="rect">
          <a:avLst/>
        </a:prstGeom>
      </cdr:spPr>
      <cdr:txBody>
        <a:bodyPr xmlns:a="http://schemas.openxmlformats.org/drawingml/2006/main" vertOverflow="clip" wrap="none" rtlCol="0">
          <a:spAutoFit/>
        </a:bodyPr>
        <a:lstStyle xmlns:a="http://schemas.openxmlformats.org/drawingml/2006/main"/>
        <a:p xmlns:a="http://schemas.openxmlformats.org/drawingml/2006/main">
          <a:fld id="{0C6222A8-2641-441F-9F3B-1AF0A6E81C6A}" type="TxLink">
            <a:rPr lang="en-GB" sz="900">
              <a:solidFill>
                <a:schemeClr val="bg1"/>
              </a:solidFill>
            </a:rPr>
            <a:pPr/>
            <a:t>7.7%</a:t>
          </a:fld>
          <a:endParaRPr lang="en-GB" sz="900">
            <a:solidFill>
              <a:schemeClr val="bg1"/>
            </a:solidFill>
          </a:endParaRPr>
        </a:p>
      </cdr:txBody>
    </cdr:sp>
  </cdr:relSizeAnchor>
  <cdr:relSizeAnchor xmlns:cdr="http://schemas.openxmlformats.org/drawingml/2006/chartDrawing">
    <cdr:from>
      <cdr:x>0.09089</cdr:x>
      <cdr:y>0.61313</cdr:y>
    </cdr:from>
    <cdr:to>
      <cdr:x>0.17026</cdr:x>
      <cdr:y>0.70138</cdr:y>
    </cdr:to>
    <cdr:sp macro="" textlink="">
      <cdr:nvSpPr>
        <cdr:cNvPr id="9" name="TextBox 8"/>
        <cdr:cNvSpPr txBox="1"/>
      </cdr:nvSpPr>
      <cdr:spPr>
        <a:xfrm xmlns:a="http://schemas.openxmlformats.org/drawingml/2006/main">
          <a:off x="539637" y="1448726"/>
          <a:ext cx="471239" cy="208520"/>
        </a:xfrm>
        <a:prstGeom xmlns:a="http://schemas.openxmlformats.org/drawingml/2006/main" prst="rect">
          <a:avLst/>
        </a:prstGeom>
      </cdr:spPr>
      <cdr:txBody>
        <a:bodyPr xmlns:a="http://schemas.openxmlformats.org/drawingml/2006/main" vertOverflow="clip" wrap="none" rtlCol="0">
          <a:spAutoFit/>
        </a:bodyPr>
        <a:lstStyle xmlns:a="http://schemas.openxmlformats.org/drawingml/2006/main"/>
        <a:p xmlns:a="http://schemas.openxmlformats.org/drawingml/2006/main">
          <a:fld id="{C6D664E7-BEA2-46E3-8162-3A220B3C4CB1}" type="TxLink">
            <a:rPr lang="en-GB" sz="900">
              <a:solidFill>
                <a:schemeClr val="bg1"/>
              </a:solidFill>
            </a:rPr>
            <a:pPr/>
            <a:t>11.9%</a:t>
          </a:fld>
          <a:endParaRPr lang="en-GB" sz="900">
            <a:solidFill>
              <a:schemeClr val="bg1"/>
            </a:solidFill>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9CE851-98C4-470E-92E4-B8AE77B81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C2401C3D</Template>
  <TotalTime>32</TotalTime>
  <Pages>11</Pages>
  <Words>207</Words>
  <Characters>1184</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Anglia Ruskin University</Company>
  <LinksUpToDate>false</LinksUpToDate>
  <CharactersWithSpaces>1389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New User</dc:creator>
  <cp:lastModifiedBy>New User</cp:lastModifiedBy>
  <cp:revision>6</cp:revision>
  <dcterms:created xsi:type="dcterms:W3CDTF">2013-10-21T09:59:00Z</dcterms:created>
  <dcterms:modified xsi:type="dcterms:W3CDTF">2014-07-25T18:25:00Z</dcterms:modified>
</cp:coreProperties>
</file>