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D522285" w14:textId="77777777" w:rsidR="00AB40CB" w:rsidRDefault="005A3A00">
      <w:pPr>
        <w:spacing w:line="360" w:lineRule="auto"/>
        <w:jc w:val="center"/>
        <w:rPr>
          <w:rFonts w:ascii="Verdana" w:hAnsi="Verdana" w:cs="Verdana"/>
          <w:b/>
        </w:rPr>
      </w:pPr>
      <w:r>
        <w:rPr>
          <w:rFonts w:ascii="Verdana" w:hAnsi="Verdana" w:cs="Verdana"/>
          <w:b/>
        </w:rPr>
        <w:t xml:space="preserve">e-ASPECTS software is non-inferior to neuroradiologists in applying the ASPECTS score to CT scans of acute ischemic stroke patients </w:t>
      </w:r>
    </w:p>
    <w:p w14:paraId="53033E7A" w14:textId="77777777" w:rsidR="00AB40CB" w:rsidRDefault="00AB40CB">
      <w:pPr>
        <w:spacing w:line="360" w:lineRule="auto"/>
        <w:jc w:val="center"/>
        <w:rPr>
          <w:rFonts w:ascii="Verdana" w:hAnsi="Verdana" w:cs="Verdana"/>
          <w:b/>
        </w:rPr>
      </w:pPr>
    </w:p>
    <w:p w14:paraId="3E80B965" w14:textId="77777777" w:rsidR="00AB40CB" w:rsidRDefault="005A3A00">
      <w:pPr>
        <w:spacing w:line="360" w:lineRule="auto"/>
        <w:jc w:val="center"/>
      </w:pPr>
      <w:r>
        <w:rPr>
          <w:rFonts w:ascii="Verdana" w:hAnsi="Verdana" w:cs="Verdana"/>
          <w:sz w:val="18"/>
          <w:szCs w:val="18"/>
        </w:rPr>
        <w:t>Simon Nagel, MD, PhD</w:t>
      </w:r>
      <w:r>
        <w:rPr>
          <w:rFonts w:ascii="Verdana" w:hAnsi="Verdana" w:cs="Verdana"/>
          <w:sz w:val="18"/>
          <w:szCs w:val="18"/>
          <w:vertAlign w:val="superscript"/>
        </w:rPr>
        <w:t xml:space="preserve">1 </w:t>
      </w:r>
      <w:r>
        <w:rPr>
          <w:rFonts w:ascii="Verdana" w:hAnsi="Verdana" w:cs="Verdana"/>
          <w:sz w:val="18"/>
          <w:szCs w:val="18"/>
        </w:rPr>
        <w:t>#, Devesh Sinha, MD</w:t>
      </w:r>
      <w:r>
        <w:rPr>
          <w:rFonts w:ascii="Verdana" w:hAnsi="Verdana" w:cs="Verdana"/>
          <w:sz w:val="18"/>
          <w:szCs w:val="18"/>
          <w:vertAlign w:val="superscript"/>
        </w:rPr>
        <w:t xml:space="preserve">2 </w:t>
      </w:r>
      <w:r>
        <w:rPr>
          <w:rFonts w:ascii="Verdana" w:hAnsi="Verdana" w:cs="Verdana"/>
          <w:sz w:val="18"/>
          <w:szCs w:val="18"/>
        </w:rPr>
        <w:t>#, Diana Day, MSc</w:t>
      </w:r>
      <w:r>
        <w:rPr>
          <w:rFonts w:ascii="Verdana" w:hAnsi="Verdana" w:cs="Verdana"/>
          <w:sz w:val="18"/>
          <w:szCs w:val="18"/>
          <w:vertAlign w:val="superscript"/>
        </w:rPr>
        <w:t>3</w:t>
      </w:r>
      <w:r>
        <w:rPr>
          <w:rFonts w:ascii="Verdana" w:hAnsi="Verdana" w:cs="Verdana"/>
          <w:sz w:val="18"/>
          <w:szCs w:val="18"/>
        </w:rPr>
        <w:t>, Wolfgang Reith, MD, PhD</w:t>
      </w:r>
      <w:r>
        <w:rPr>
          <w:rFonts w:ascii="Verdana" w:hAnsi="Verdana" w:cs="Verdana"/>
          <w:sz w:val="18"/>
          <w:szCs w:val="18"/>
          <w:vertAlign w:val="superscript"/>
        </w:rPr>
        <w:t>4</w:t>
      </w:r>
      <w:r>
        <w:rPr>
          <w:rFonts w:ascii="Verdana" w:hAnsi="Verdana" w:cs="Verdana"/>
          <w:sz w:val="18"/>
          <w:szCs w:val="18"/>
        </w:rPr>
        <w:t xml:space="preserve">, René Chapot, MD, PhD </w:t>
      </w:r>
      <w:r>
        <w:rPr>
          <w:rFonts w:ascii="Verdana" w:hAnsi="Verdana" w:cs="Verdana"/>
          <w:sz w:val="18"/>
          <w:szCs w:val="18"/>
          <w:vertAlign w:val="superscript"/>
        </w:rPr>
        <w:t>5</w:t>
      </w:r>
      <w:r>
        <w:rPr>
          <w:rFonts w:ascii="Verdana" w:hAnsi="Verdana" w:cs="Verdana"/>
          <w:sz w:val="18"/>
          <w:szCs w:val="18"/>
        </w:rPr>
        <w:t>, Panagiotis Papanagiotou, MD, PhD</w:t>
      </w:r>
      <w:r>
        <w:rPr>
          <w:rFonts w:ascii="Verdana" w:hAnsi="Verdana" w:cs="Verdana"/>
          <w:sz w:val="18"/>
          <w:szCs w:val="18"/>
          <w:vertAlign w:val="superscript"/>
        </w:rPr>
        <w:t xml:space="preserve"> 6</w:t>
      </w:r>
      <w:r>
        <w:rPr>
          <w:rFonts w:ascii="Verdana" w:hAnsi="Verdana" w:cs="Verdana"/>
          <w:sz w:val="18"/>
          <w:szCs w:val="18"/>
        </w:rPr>
        <w:t>, Elizabeth A. Warburton, MD</w:t>
      </w:r>
      <w:r>
        <w:rPr>
          <w:rFonts w:ascii="Verdana" w:hAnsi="Verdana" w:cs="Verdana"/>
          <w:sz w:val="18"/>
          <w:szCs w:val="18"/>
          <w:vertAlign w:val="superscript"/>
        </w:rPr>
        <w:t>7</w:t>
      </w:r>
      <w:r>
        <w:rPr>
          <w:rFonts w:ascii="Verdana" w:hAnsi="Verdana" w:cs="Verdana"/>
          <w:sz w:val="18"/>
          <w:szCs w:val="18"/>
        </w:rPr>
        <w:t>,</w:t>
      </w:r>
      <w:r>
        <w:rPr>
          <w:rFonts w:ascii="Verdana" w:hAnsi="Verdana" w:cs="Verdana"/>
          <w:sz w:val="18"/>
          <w:szCs w:val="18"/>
          <w:vertAlign w:val="superscript"/>
        </w:rPr>
        <w:t xml:space="preserve"> </w:t>
      </w:r>
      <w:r>
        <w:rPr>
          <w:rFonts w:ascii="Verdana" w:hAnsi="Verdana" w:cs="Verdana"/>
          <w:sz w:val="18"/>
          <w:szCs w:val="18"/>
        </w:rPr>
        <w:t>Paul Guyler, MD</w:t>
      </w:r>
      <w:r>
        <w:rPr>
          <w:rFonts w:ascii="Verdana" w:hAnsi="Verdana" w:cs="Verdana"/>
          <w:sz w:val="18"/>
          <w:szCs w:val="18"/>
          <w:vertAlign w:val="superscript"/>
        </w:rPr>
        <w:t>2</w:t>
      </w:r>
      <w:r>
        <w:rPr>
          <w:rFonts w:ascii="Verdana" w:hAnsi="Verdana" w:cs="Verdana"/>
          <w:sz w:val="18"/>
          <w:szCs w:val="18"/>
        </w:rPr>
        <w:t>, Sharon Tysoe, BSc</w:t>
      </w:r>
      <w:r>
        <w:rPr>
          <w:rFonts w:ascii="Verdana" w:hAnsi="Verdana" w:cs="Verdana"/>
          <w:sz w:val="18"/>
          <w:szCs w:val="18"/>
          <w:vertAlign w:val="superscript"/>
        </w:rPr>
        <w:t>2</w:t>
      </w:r>
      <w:r>
        <w:rPr>
          <w:rFonts w:ascii="Verdana" w:hAnsi="Verdana" w:cs="Verdana"/>
          <w:sz w:val="18"/>
          <w:szCs w:val="18"/>
        </w:rPr>
        <w:t>, Klaus Fassbender, MD, PhD</w:t>
      </w:r>
      <w:r>
        <w:rPr>
          <w:rFonts w:ascii="Verdana" w:hAnsi="Verdana" w:cs="Verdana"/>
          <w:sz w:val="18"/>
          <w:szCs w:val="18"/>
          <w:vertAlign w:val="superscript"/>
        </w:rPr>
        <w:t xml:space="preserve"> 8</w:t>
      </w:r>
      <w:r>
        <w:rPr>
          <w:rFonts w:ascii="Verdana" w:hAnsi="Verdana" w:cs="Verdana"/>
          <w:sz w:val="18"/>
          <w:szCs w:val="18"/>
        </w:rPr>
        <w:t>, Silke Walter, MD, PhD</w:t>
      </w:r>
      <w:r>
        <w:rPr>
          <w:rFonts w:ascii="Verdana" w:hAnsi="Verdana" w:cs="Verdana"/>
          <w:sz w:val="18"/>
          <w:szCs w:val="18"/>
          <w:vertAlign w:val="superscript"/>
        </w:rPr>
        <w:t xml:space="preserve"> 8,16</w:t>
      </w:r>
      <w:r>
        <w:rPr>
          <w:rFonts w:ascii="Verdana" w:hAnsi="Verdana" w:cs="Verdana"/>
          <w:sz w:val="18"/>
          <w:szCs w:val="18"/>
        </w:rPr>
        <w:t>, Marco Essig, MD, PhD</w:t>
      </w:r>
      <w:r>
        <w:rPr>
          <w:rFonts w:ascii="Verdana" w:hAnsi="Verdana" w:cs="Verdana"/>
          <w:sz w:val="18"/>
          <w:szCs w:val="18"/>
          <w:vertAlign w:val="superscript"/>
        </w:rPr>
        <w:t xml:space="preserve"> 9</w:t>
      </w:r>
      <w:r>
        <w:rPr>
          <w:rFonts w:ascii="Verdana" w:hAnsi="Verdana" w:cs="Verdana"/>
          <w:sz w:val="18"/>
          <w:szCs w:val="18"/>
        </w:rPr>
        <w:t xml:space="preserve">, Jens </w:t>
      </w:r>
      <w:r>
        <w:rPr>
          <w:rFonts w:ascii="Verdana" w:hAnsi="Verdana" w:cs="Verdana"/>
          <w:sz w:val="18"/>
          <w:szCs w:val="18"/>
          <w:lang w:val="en-AU"/>
        </w:rPr>
        <w:t>Heidenrich</w:t>
      </w:r>
      <w:r>
        <w:rPr>
          <w:rFonts w:ascii="Verdana" w:hAnsi="Verdana" w:cs="Verdana"/>
          <w:sz w:val="18"/>
          <w:szCs w:val="18"/>
        </w:rPr>
        <w:t>, MD, PhD</w:t>
      </w:r>
      <w:r>
        <w:rPr>
          <w:rFonts w:ascii="Verdana" w:hAnsi="Verdana" w:cs="Verdana"/>
          <w:sz w:val="18"/>
          <w:szCs w:val="18"/>
          <w:vertAlign w:val="superscript"/>
          <w:lang w:val="en-AU"/>
        </w:rPr>
        <w:t xml:space="preserve"> 10 </w:t>
      </w:r>
      <w:r>
        <w:rPr>
          <w:rFonts w:ascii="Verdana" w:hAnsi="Verdana" w:cs="Verdana"/>
          <w:sz w:val="18"/>
          <w:szCs w:val="18"/>
          <w:lang w:val="en-AU"/>
        </w:rPr>
        <w:t>, Angelos A. Konstas, MD</w:t>
      </w:r>
      <w:r>
        <w:rPr>
          <w:rFonts w:ascii="Verdana" w:hAnsi="Verdana" w:cs="Verdana"/>
          <w:sz w:val="18"/>
          <w:szCs w:val="18"/>
          <w:vertAlign w:val="superscript"/>
          <w:lang w:val="en-AU"/>
        </w:rPr>
        <w:t>11</w:t>
      </w:r>
      <w:r>
        <w:rPr>
          <w:rFonts w:ascii="Verdana" w:hAnsi="Verdana" w:cs="Verdana"/>
          <w:sz w:val="18"/>
          <w:szCs w:val="18"/>
          <w:lang w:val="en-AU"/>
        </w:rPr>
        <w:t>, Michael Harrison, MPHARM, HSMBA</w:t>
      </w:r>
      <w:r>
        <w:rPr>
          <w:rFonts w:ascii="Verdana" w:hAnsi="Verdana" w:cs="Verdana"/>
          <w:sz w:val="18"/>
          <w:szCs w:val="18"/>
          <w:vertAlign w:val="superscript"/>
          <w:lang w:val="en-AU"/>
        </w:rPr>
        <w:t>12</w:t>
      </w:r>
      <w:r>
        <w:rPr>
          <w:rFonts w:ascii="Verdana" w:hAnsi="Verdana" w:cs="Verdana"/>
          <w:sz w:val="18"/>
          <w:szCs w:val="18"/>
          <w:lang w:val="en-AU"/>
        </w:rPr>
        <w:t>,</w:t>
      </w:r>
      <w:r>
        <w:rPr>
          <w:rFonts w:ascii="Verdana" w:hAnsi="Verdana" w:cs="Verdana"/>
          <w:sz w:val="18"/>
          <w:szCs w:val="18"/>
        </w:rPr>
        <w:t xml:space="preserve"> </w:t>
      </w:r>
      <w:r>
        <w:rPr>
          <w:rFonts w:ascii="Verdana" w:hAnsi="Verdana" w:cs="Verdana"/>
          <w:sz w:val="18"/>
          <w:szCs w:val="18"/>
          <w:lang w:val="en-US"/>
        </w:rPr>
        <w:t>Michalis Papadakis, PhD</w:t>
      </w:r>
      <w:r>
        <w:rPr>
          <w:rFonts w:ascii="Verdana" w:hAnsi="Verdana" w:cs="Verdana"/>
          <w:sz w:val="18"/>
          <w:szCs w:val="18"/>
          <w:vertAlign w:val="superscript"/>
          <w:lang w:val="en-US"/>
        </w:rPr>
        <w:t>13</w:t>
      </w:r>
      <w:r>
        <w:rPr>
          <w:rFonts w:ascii="Verdana" w:hAnsi="Verdana" w:cs="Verdana"/>
          <w:sz w:val="18"/>
          <w:szCs w:val="18"/>
          <w:lang w:val="en-US"/>
        </w:rPr>
        <w:t xml:space="preserve">, </w:t>
      </w:r>
      <w:r>
        <w:rPr>
          <w:rFonts w:ascii="Verdana" w:hAnsi="Verdana" w:cs="Verdana"/>
          <w:sz w:val="18"/>
          <w:szCs w:val="18"/>
        </w:rPr>
        <w:t>Eric Greveson, M. Eng, MA</w:t>
      </w:r>
      <w:r>
        <w:rPr>
          <w:rFonts w:ascii="Verdana" w:hAnsi="Verdana" w:cs="Verdana"/>
          <w:sz w:val="18"/>
          <w:szCs w:val="18"/>
          <w:vertAlign w:val="superscript"/>
        </w:rPr>
        <w:t>13</w:t>
      </w:r>
      <w:r>
        <w:rPr>
          <w:rFonts w:ascii="Verdana" w:hAnsi="Verdana" w:cs="Verdana"/>
          <w:sz w:val="18"/>
          <w:szCs w:val="18"/>
        </w:rPr>
        <w:t xml:space="preserve">, Olivier </w:t>
      </w:r>
      <w:r>
        <w:rPr>
          <w:rFonts w:ascii="Verdana" w:hAnsi="Verdana" w:cs="Verdana"/>
          <w:sz w:val="18"/>
          <w:szCs w:val="18"/>
          <w:lang w:val="en-US"/>
        </w:rPr>
        <w:t>Joly, PhD</w:t>
      </w:r>
      <w:r>
        <w:rPr>
          <w:rFonts w:ascii="Verdana" w:hAnsi="Verdana" w:cs="Verdana"/>
          <w:sz w:val="18"/>
          <w:szCs w:val="18"/>
          <w:vertAlign w:val="superscript"/>
          <w:lang w:val="en-US"/>
        </w:rPr>
        <w:t>13</w:t>
      </w:r>
      <w:r>
        <w:rPr>
          <w:rFonts w:ascii="Verdana" w:hAnsi="Verdana" w:cs="Verdana"/>
          <w:sz w:val="18"/>
          <w:szCs w:val="18"/>
          <w:lang w:val="en-AU"/>
        </w:rPr>
        <w:t xml:space="preserve"> , </w:t>
      </w:r>
      <w:r>
        <w:rPr>
          <w:rFonts w:ascii="Verdana" w:hAnsi="Verdana" w:cs="Verdana"/>
          <w:sz w:val="18"/>
          <w:szCs w:val="18"/>
          <w:lang w:val="en-US"/>
        </w:rPr>
        <w:t>Stephen Gerry, MSc</w:t>
      </w:r>
      <w:r>
        <w:rPr>
          <w:rFonts w:ascii="Verdana" w:hAnsi="Verdana" w:cs="Verdana"/>
          <w:sz w:val="18"/>
          <w:szCs w:val="18"/>
          <w:vertAlign w:val="superscript"/>
          <w:lang w:val="en-US"/>
        </w:rPr>
        <w:t>14</w:t>
      </w:r>
      <w:r>
        <w:rPr>
          <w:rFonts w:ascii="Verdana" w:hAnsi="Verdana" w:cs="Verdana"/>
          <w:sz w:val="18"/>
          <w:szCs w:val="18"/>
          <w:lang w:val="en-US"/>
        </w:rPr>
        <w:t>, Holly Maguire, BA</w:t>
      </w:r>
      <w:r>
        <w:rPr>
          <w:rFonts w:ascii="Verdana" w:hAnsi="Verdana" w:cs="Verdana"/>
          <w:sz w:val="18"/>
          <w:szCs w:val="18"/>
          <w:vertAlign w:val="superscript"/>
          <w:lang w:val="en-US"/>
        </w:rPr>
        <w:t>15</w:t>
      </w:r>
      <w:r>
        <w:rPr>
          <w:rFonts w:ascii="Verdana" w:hAnsi="Verdana" w:cs="Verdana"/>
          <w:sz w:val="18"/>
          <w:szCs w:val="18"/>
          <w:lang w:val="en-AU"/>
        </w:rPr>
        <w:t xml:space="preserve"> , </w:t>
      </w:r>
      <w:r>
        <w:rPr>
          <w:rFonts w:ascii="Verdana" w:hAnsi="Verdana" w:cs="Verdana"/>
          <w:sz w:val="18"/>
          <w:szCs w:val="18"/>
          <w:lang w:val="en-US"/>
        </w:rPr>
        <w:t xml:space="preserve">Christine Roffe, </w:t>
      </w:r>
      <w:r>
        <w:rPr>
          <w:rFonts w:ascii="Verdana" w:hAnsi="Verdana" w:cs="Verdana"/>
          <w:sz w:val="18"/>
          <w:szCs w:val="18"/>
          <w:lang w:val="en-US"/>
        </w:rPr>
        <w:lastRenderedPageBreak/>
        <w:t>MD</w:t>
      </w:r>
      <w:r>
        <w:rPr>
          <w:rFonts w:ascii="Verdana" w:hAnsi="Verdana" w:cs="Verdana"/>
          <w:sz w:val="18"/>
          <w:szCs w:val="18"/>
          <w:vertAlign w:val="superscript"/>
          <w:lang w:val="en-US"/>
        </w:rPr>
        <w:t>15</w:t>
      </w:r>
      <w:r>
        <w:rPr>
          <w:rFonts w:ascii="Verdana" w:hAnsi="Verdana" w:cs="Verdana"/>
          <w:sz w:val="18"/>
          <w:szCs w:val="18"/>
          <w:lang w:val="en-US"/>
        </w:rPr>
        <w:t xml:space="preserve"> , </w:t>
      </w:r>
      <w:r>
        <w:rPr>
          <w:rFonts w:ascii="Verdana" w:hAnsi="Verdana" w:cs="Verdana"/>
          <w:sz w:val="18"/>
          <w:szCs w:val="18"/>
          <w:lang w:val="en-AU"/>
        </w:rPr>
        <w:t>James Hampton-Till, BSc(Hons), PhD</w:t>
      </w:r>
      <w:r>
        <w:rPr>
          <w:rFonts w:ascii="Verdana" w:hAnsi="Verdana" w:cs="Verdana"/>
          <w:sz w:val="18"/>
          <w:szCs w:val="18"/>
          <w:vertAlign w:val="superscript"/>
          <w:lang w:val="en-AU"/>
        </w:rPr>
        <w:t>1</w:t>
      </w:r>
      <w:bookmarkStart w:id="0" w:name="_GoBack"/>
      <w:bookmarkEnd w:id="0"/>
      <w:r>
        <w:rPr>
          <w:rFonts w:ascii="Verdana" w:hAnsi="Verdana" w:cs="Verdana"/>
          <w:sz w:val="18"/>
          <w:szCs w:val="18"/>
          <w:vertAlign w:val="superscript"/>
          <w:lang w:val="en-AU"/>
        </w:rPr>
        <w:t xml:space="preserve">2 </w:t>
      </w:r>
      <w:r>
        <w:rPr>
          <w:rFonts w:ascii="Verdana" w:hAnsi="Verdana" w:cs="Verdana"/>
          <w:sz w:val="18"/>
          <w:szCs w:val="18"/>
          <w:lang w:val="en-AU"/>
        </w:rPr>
        <w:t>, Alastair M. Buchan</w:t>
      </w:r>
      <w:r>
        <w:rPr>
          <w:rFonts w:ascii="Verdana" w:hAnsi="Verdana" w:cs="Verdana"/>
          <w:sz w:val="18"/>
          <w:szCs w:val="18"/>
          <w:vertAlign w:val="superscript"/>
          <w:lang w:val="en-AU"/>
        </w:rPr>
        <w:t>16</w:t>
      </w:r>
      <w:r>
        <w:rPr>
          <w:rFonts w:ascii="Verdana" w:hAnsi="Verdana" w:cs="Verdana"/>
          <w:sz w:val="18"/>
          <w:szCs w:val="18"/>
          <w:lang w:val="en-AU"/>
        </w:rPr>
        <w:t xml:space="preserve"> and I</w:t>
      </w:r>
      <w:r>
        <w:rPr>
          <w:rFonts w:ascii="Verdana" w:hAnsi="Verdana" w:cs="Verdana"/>
          <w:sz w:val="18"/>
          <w:szCs w:val="18"/>
          <w:lang w:val="en-US"/>
        </w:rPr>
        <w:t>ris Q. Grunwald</w:t>
      </w:r>
      <w:r>
        <w:rPr>
          <w:rFonts w:ascii="Verdana" w:hAnsi="Verdana" w:cs="Verdana"/>
          <w:sz w:val="18"/>
          <w:szCs w:val="18"/>
        </w:rPr>
        <w:t>, MD, PhD</w:t>
      </w:r>
      <w:r>
        <w:rPr>
          <w:rFonts w:ascii="Verdana" w:hAnsi="Verdana" w:cs="Verdana"/>
          <w:sz w:val="18"/>
          <w:szCs w:val="18"/>
          <w:vertAlign w:val="superscript"/>
          <w:lang w:val="en-US"/>
        </w:rPr>
        <w:t xml:space="preserve"> 2,13,17</w:t>
      </w:r>
    </w:p>
    <w:p w14:paraId="6B5520D2" w14:textId="77777777" w:rsidR="00AB40CB" w:rsidRDefault="00AB40CB">
      <w:pPr>
        <w:spacing w:line="360" w:lineRule="auto"/>
        <w:jc w:val="center"/>
        <w:rPr>
          <w:rFonts w:ascii="Verdana" w:hAnsi="Verdana" w:cs="Verdana"/>
          <w:sz w:val="18"/>
          <w:szCs w:val="18"/>
          <w:vertAlign w:val="superscript"/>
          <w:lang w:val="en-US"/>
        </w:rPr>
      </w:pPr>
    </w:p>
    <w:p w14:paraId="3BD8FCEB"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rPr>
        <w:t>1</w:t>
      </w:r>
      <w:r>
        <w:rPr>
          <w:rFonts w:ascii="Verdana" w:hAnsi="Verdana" w:cs="Verdana"/>
          <w:sz w:val="18"/>
          <w:szCs w:val="18"/>
        </w:rPr>
        <w:t xml:space="preserve"> Department of Neurology, University Hospital Heidelberg, Germany</w:t>
      </w:r>
    </w:p>
    <w:p w14:paraId="0E6B9B1E"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2</w:t>
      </w:r>
      <w:r>
        <w:rPr>
          <w:rFonts w:ascii="Verdana" w:hAnsi="Verdana" w:cs="Verdana"/>
          <w:sz w:val="18"/>
          <w:szCs w:val="18"/>
          <w:lang w:val="en-US"/>
        </w:rPr>
        <w:t xml:space="preserve"> Southend University Hospital NHS, Essex, UK. </w:t>
      </w:r>
    </w:p>
    <w:p w14:paraId="512A75E9"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3</w:t>
      </w:r>
      <w:r>
        <w:rPr>
          <w:rFonts w:ascii="Verdana" w:hAnsi="Verdana" w:cs="Verdana"/>
          <w:sz w:val="18"/>
          <w:szCs w:val="18"/>
          <w:lang w:val="en-US"/>
        </w:rPr>
        <w:t xml:space="preserve"> Addenbrooke's Hospital NHS, Cambridge, UK. </w:t>
      </w:r>
    </w:p>
    <w:p w14:paraId="64FA4555"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4</w:t>
      </w:r>
      <w:r>
        <w:rPr>
          <w:rFonts w:ascii="Verdana" w:hAnsi="Verdana" w:cs="Verdana"/>
          <w:sz w:val="18"/>
          <w:szCs w:val="18"/>
          <w:lang w:val="en-US"/>
        </w:rPr>
        <w:t xml:space="preserve"> Department of Neuroradiology, Saarland University Hospital, Homburg, Germany </w:t>
      </w:r>
    </w:p>
    <w:p w14:paraId="7042B7FA"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5</w:t>
      </w:r>
      <w:r>
        <w:rPr>
          <w:rFonts w:ascii="Verdana" w:hAnsi="Verdana" w:cs="Verdana"/>
          <w:sz w:val="18"/>
          <w:szCs w:val="18"/>
          <w:lang w:val="en-US"/>
        </w:rPr>
        <w:t xml:space="preserve"> Department of Neuroradiology, Alfred Krupp Krankenhaus, Essen, Germany. </w:t>
      </w:r>
    </w:p>
    <w:p w14:paraId="4A98D374"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6</w:t>
      </w:r>
      <w:r>
        <w:rPr>
          <w:rFonts w:ascii="Verdana" w:hAnsi="Verdana" w:cs="Verdana"/>
          <w:sz w:val="18"/>
          <w:szCs w:val="18"/>
          <w:lang w:val="en-US"/>
        </w:rPr>
        <w:t xml:space="preserve"> Department of Neuroradiology, Bremen Hospital, Bremen, Germany. </w:t>
      </w:r>
    </w:p>
    <w:p w14:paraId="63F4D6B1" w14:textId="77777777" w:rsidR="00AB40CB" w:rsidRDefault="005A3A00">
      <w:pPr>
        <w:spacing w:line="360" w:lineRule="auto"/>
        <w:jc w:val="center"/>
        <w:rPr>
          <w:rFonts w:ascii="Verdana" w:hAnsi="Verdana" w:cs="Verdana"/>
          <w:sz w:val="18"/>
          <w:szCs w:val="18"/>
          <w:lang w:val="en-US"/>
        </w:rPr>
      </w:pPr>
      <w:r>
        <w:rPr>
          <w:rFonts w:ascii="Verdana" w:hAnsi="Verdana" w:cs="Verdana"/>
          <w:sz w:val="18"/>
          <w:szCs w:val="18"/>
          <w:vertAlign w:val="superscript"/>
          <w:lang w:val="en-US"/>
        </w:rPr>
        <w:lastRenderedPageBreak/>
        <w:t>7</w:t>
      </w:r>
      <w:r>
        <w:rPr>
          <w:rFonts w:ascii="Verdana" w:hAnsi="Verdana" w:cs="Verdana"/>
          <w:sz w:val="18"/>
          <w:szCs w:val="18"/>
          <w:lang w:val="en-US"/>
        </w:rPr>
        <w:t xml:space="preserve"> Department of Clinical Neurosciences, University of Cambridge, Cambridge, UK.</w:t>
      </w:r>
    </w:p>
    <w:p w14:paraId="42DD1E11"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8</w:t>
      </w:r>
      <w:r>
        <w:rPr>
          <w:rFonts w:ascii="Verdana" w:hAnsi="Verdana" w:cs="Verdana"/>
          <w:sz w:val="18"/>
          <w:szCs w:val="18"/>
          <w:lang w:val="en-US"/>
        </w:rPr>
        <w:t xml:space="preserve"> Department for Neurology, Saarland University Hospital, Homburg, Germany. </w:t>
      </w:r>
    </w:p>
    <w:p w14:paraId="37D73CE1"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9</w:t>
      </w:r>
      <w:r>
        <w:rPr>
          <w:rFonts w:ascii="Verdana" w:hAnsi="Verdana" w:cs="Verdana"/>
          <w:sz w:val="18"/>
          <w:szCs w:val="18"/>
          <w:lang w:val="en-US"/>
        </w:rPr>
        <w:t xml:space="preserve"> Department of Radiology, University of Manitoba, Winnipeg, Canada. </w:t>
      </w:r>
    </w:p>
    <w:p w14:paraId="5747613F"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10</w:t>
      </w:r>
      <w:r>
        <w:rPr>
          <w:rFonts w:ascii="Verdana" w:hAnsi="Verdana" w:cs="Verdana"/>
          <w:sz w:val="18"/>
          <w:szCs w:val="18"/>
          <w:lang w:val="en-US"/>
        </w:rPr>
        <w:t xml:space="preserve"> Department of Diagnostic Radiology, Dalhousie University, Nova Scotia, Canada. </w:t>
      </w:r>
    </w:p>
    <w:p w14:paraId="686AA219"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11</w:t>
      </w:r>
      <w:r>
        <w:rPr>
          <w:rFonts w:ascii="Verdana" w:hAnsi="Verdana" w:cs="Verdana"/>
          <w:sz w:val="18"/>
          <w:szCs w:val="18"/>
          <w:lang w:val="en-US"/>
        </w:rPr>
        <w:t xml:space="preserve"> Dept. of Radiology, Huntington Memorial Hospital, Pasadena, CA, USA</w:t>
      </w:r>
    </w:p>
    <w:p w14:paraId="5DD98EB8" w14:textId="77777777" w:rsidR="00AB40CB" w:rsidRDefault="005A3A00">
      <w:pPr>
        <w:spacing w:line="360" w:lineRule="auto"/>
        <w:jc w:val="center"/>
      </w:pPr>
      <w:r>
        <w:rPr>
          <w:rFonts w:ascii="Verdana" w:hAnsi="Verdana" w:cs="Verdana"/>
          <w:sz w:val="18"/>
          <w:szCs w:val="18"/>
          <w:vertAlign w:val="superscript"/>
          <w:lang w:val="en-US"/>
        </w:rPr>
        <w:t>12</w:t>
      </w:r>
      <w:r>
        <w:rPr>
          <w:rFonts w:ascii="Verdana" w:hAnsi="Verdana" w:cs="Verdana"/>
          <w:sz w:val="18"/>
          <w:szCs w:val="18"/>
          <w:lang w:val="en-US"/>
        </w:rPr>
        <w:t xml:space="preserve"> Clinical Trials Unit, Anglia Ruskin University, Chelmsford, Essex, UK</w:t>
      </w:r>
    </w:p>
    <w:p w14:paraId="7E45096C"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13</w:t>
      </w:r>
      <w:r>
        <w:rPr>
          <w:rFonts w:ascii="Verdana" w:hAnsi="Verdana" w:cs="Verdana"/>
          <w:sz w:val="18"/>
          <w:szCs w:val="18"/>
          <w:lang w:val="en-US"/>
        </w:rPr>
        <w:t xml:space="preserve"> Brainomix Limited, Oxford, UK.</w:t>
      </w:r>
    </w:p>
    <w:p w14:paraId="3987799C"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lastRenderedPageBreak/>
        <w:t>14</w:t>
      </w:r>
      <w:r>
        <w:rPr>
          <w:rFonts w:ascii="Verdana" w:hAnsi="Verdana" w:cs="Verdana"/>
          <w:sz w:val="18"/>
          <w:szCs w:val="18"/>
          <w:lang w:val="en-US"/>
        </w:rPr>
        <w:t xml:space="preserve"> Centre for Statistics in Medicine, University of Oxford, Oxford, UK.</w:t>
      </w:r>
    </w:p>
    <w:p w14:paraId="1D511570" w14:textId="77777777" w:rsidR="00AB40CB" w:rsidRDefault="005A3A00">
      <w:pPr>
        <w:spacing w:line="360" w:lineRule="auto"/>
        <w:jc w:val="center"/>
        <w:rPr>
          <w:rFonts w:ascii="Verdana" w:hAnsi="Verdana" w:cs="Verdana"/>
          <w:sz w:val="18"/>
          <w:szCs w:val="18"/>
          <w:vertAlign w:val="superscript"/>
          <w:lang w:val="en-US"/>
        </w:rPr>
      </w:pPr>
      <w:r>
        <w:rPr>
          <w:rFonts w:ascii="Verdana" w:hAnsi="Verdana" w:cs="Verdana"/>
          <w:sz w:val="18"/>
          <w:szCs w:val="18"/>
          <w:vertAlign w:val="superscript"/>
          <w:lang w:val="en-US"/>
        </w:rPr>
        <w:t>15</w:t>
      </w:r>
      <w:r>
        <w:rPr>
          <w:rFonts w:ascii="Verdana" w:hAnsi="Verdana" w:cs="Verdana"/>
          <w:sz w:val="18"/>
          <w:szCs w:val="18"/>
          <w:lang w:val="en-US"/>
        </w:rPr>
        <w:t>Stroke Research, North Staffordshire Combined Healthcare NHS Trust, Stoke on Trent, Staffordshire, UK</w:t>
      </w:r>
    </w:p>
    <w:p w14:paraId="4AB03344" w14:textId="77777777" w:rsidR="00AB40CB" w:rsidRDefault="005A3A00">
      <w:pPr>
        <w:spacing w:line="360" w:lineRule="auto"/>
        <w:jc w:val="center"/>
        <w:rPr>
          <w:rFonts w:ascii="Verdana" w:hAnsi="Verdana" w:cs="Verdana"/>
          <w:sz w:val="18"/>
          <w:szCs w:val="18"/>
          <w:lang w:val="en-US"/>
        </w:rPr>
      </w:pPr>
      <w:r>
        <w:rPr>
          <w:rFonts w:ascii="Verdana" w:hAnsi="Verdana" w:cs="Verdana"/>
          <w:sz w:val="18"/>
          <w:szCs w:val="18"/>
          <w:vertAlign w:val="superscript"/>
          <w:lang w:val="en-US"/>
        </w:rPr>
        <w:t>16</w:t>
      </w:r>
      <w:r>
        <w:rPr>
          <w:rFonts w:ascii="Verdana" w:hAnsi="Verdana" w:cs="Verdana"/>
          <w:sz w:val="18"/>
          <w:szCs w:val="18"/>
          <w:lang w:val="en-US"/>
        </w:rPr>
        <w:t xml:space="preserve"> </w:t>
      </w:r>
      <w:r>
        <w:rPr>
          <w:rFonts w:ascii="Verdana" w:hAnsi="Verdana" w:cs="Verdana"/>
          <w:sz w:val="18"/>
          <w:szCs w:val="18"/>
        </w:rPr>
        <w:t>Acute Stroke Programme, Radcliffe Department of Medicine, University of Oxford, Oxford, UK</w:t>
      </w:r>
    </w:p>
    <w:p w14:paraId="64AB9FC7" w14:textId="77777777" w:rsidR="00AB40CB" w:rsidRDefault="005A3A00">
      <w:pPr>
        <w:spacing w:line="360" w:lineRule="auto"/>
        <w:jc w:val="center"/>
        <w:rPr>
          <w:rFonts w:ascii="Verdana" w:hAnsi="Verdana" w:cs="Verdana"/>
          <w:sz w:val="18"/>
          <w:szCs w:val="18"/>
        </w:rPr>
      </w:pPr>
      <w:r>
        <w:rPr>
          <w:rFonts w:ascii="Verdana" w:hAnsi="Verdana" w:cs="Verdana"/>
          <w:sz w:val="18"/>
          <w:szCs w:val="18"/>
          <w:vertAlign w:val="superscript"/>
          <w:lang w:val="en-US"/>
        </w:rPr>
        <w:t>17</w:t>
      </w:r>
      <w:r>
        <w:rPr>
          <w:rFonts w:ascii="Verdana" w:hAnsi="Verdana" w:cs="Verdana"/>
          <w:sz w:val="18"/>
          <w:szCs w:val="18"/>
          <w:lang w:val="en-US"/>
        </w:rPr>
        <w:t>Neuroscience Department, Anglia Ruskin University, Chelmsford, Essex, UK</w:t>
      </w:r>
    </w:p>
    <w:p w14:paraId="271D7A99" w14:textId="77777777" w:rsidR="00AB40CB" w:rsidRDefault="00AB40CB">
      <w:pPr>
        <w:spacing w:line="360" w:lineRule="auto"/>
        <w:rPr>
          <w:rFonts w:ascii="Verdana" w:hAnsi="Verdana" w:cs="Verdana"/>
          <w:sz w:val="18"/>
          <w:szCs w:val="18"/>
        </w:rPr>
      </w:pPr>
    </w:p>
    <w:p w14:paraId="30F5093D" w14:textId="77777777" w:rsidR="00AB40CB" w:rsidRDefault="005A3A00">
      <w:pPr>
        <w:spacing w:line="360" w:lineRule="auto"/>
        <w:rPr>
          <w:rFonts w:ascii="Verdana" w:hAnsi="Verdana" w:cs="Verdana"/>
        </w:rPr>
      </w:pPr>
      <w:r>
        <w:rPr>
          <w:rFonts w:ascii="Verdana" w:hAnsi="Verdana" w:cs="Verdana"/>
          <w:sz w:val="18"/>
          <w:szCs w:val="18"/>
        </w:rPr>
        <w:t># these authors contributed equally</w:t>
      </w:r>
    </w:p>
    <w:p w14:paraId="437031D7" w14:textId="77777777" w:rsidR="00AB40CB" w:rsidRDefault="00AB40CB">
      <w:pPr>
        <w:spacing w:line="360" w:lineRule="auto"/>
        <w:rPr>
          <w:rFonts w:ascii="Verdana" w:hAnsi="Verdana" w:cs="Verdana"/>
          <w:b/>
          <w:sz w:val="16"/>
          <w:szCs w:val="16"/>
        </w:rPr>
      </w:pPr>
    </w:p>
    <w:p w14:paraId="4234E64A" w14:textId="77777777" w:rsidR="00AB40CB" w:rsidRDefault="005A3A00">
      <w:pPr>
        <w:spacing w:line="360" w:lineRule="auto"/>
        <w:rPr>
          <w:rFonts w:ascii="Verdana" w:hAnsi="Verdana" w:cs="Verdana"/>
          <w:b/>
          <w:sz w:val="16"/>
          <w:szCs w:val="16"/>
        </w:rPr>
      </w:pPr>
      <w:r>
        <w:rPr>
          <w:rFonts w:ascii="Verdana" w:hAnsi="Verdana" w:cs="Verdana"/>
          <w:b/>
          <w:sz w:val="16"/>
          <w:szCs w:val="16"/>
        </w:rPr>
        <w:t>Short title:</w:t>
      </w:r>
      <w:r>
        <w:rPr>
          <w:rFonts w:ascii="Verdana" w:hAnsi="Verdana" w:cs="Verdana"/>
          <w:sz w:val="16"/>
          <w:szCs w:val="16"/>
        </w:rPr>
        <w:t xml:space="preserve"> automated ASPECTS in ischemic stroke</w:t>
      </w:r>
    </w:p>
    <w:p w14:paraId="02736EEB" w14:textId="77777777" w:rsidR="00AB40CB" w:rsidRDefault="005A3A00">
      <w:pPr>
        <w:spacing w:line="360" w:lineRule="auto"/>
        <w:rPr>
          <w:rFonts w:ascii="Verdana" w:hAnsi="Verdana" w:cs="Verdana"/>
          <w:b/>
          <w:sz w:val="16"/>
          <w:szCs w:val="16"/>
        </w:rPr>
      </w:pPr>
      <w:r>
        <w:rPr>
          <w:rFonts w:ascii="Verdana" w:hAnsi="Verdana" w:cs="Verdana"/>
          <w:b/>
          <w:sz w:val="16"/>
          <w:szCs w:val="16"/>
        </w:rPr>
        <w:t xml:space="preserve">Key words: </w:t>
      </w:r>
      <w:r>
        <w:rPr>
          <w:rFonts w:ascii="Verdana" w:hAnsi="Verdana" w:cs="Verdana"/>
          <w:sz w:val="16"/>
          <w:szCs w:val="16"/>
        </w:rPr>
        <w:t>ASPECTS, CT, ischemic stroke, machine learning</w:t>
      </w:r>
    </w:p>
    <w:p w14:paraId="2172CC2B" w14:textId="77777777" w:rsidR="00AB40CB" w:rsidRDefault="005A3A00">
      <w:pPr>
        <w:spacing w:line="360" w:lineRule="auto"/>
        <w:rPr>
          <w:rFonts w:ascii="Verdana" w:hAnsi="Verdana" w:cs="Verdana"/>
          <w:sz w:val="16"/>
          <w:szCs w:val="16"/>
        </w:rPr>
      </w:pPr>
      <w:r>
        <w:rPr>
          <w:rFonts w:ascii="Verdana" w:hAnsi="Verdana" w:cs="Verdana"/>
          <w:b/>
          <w:sz w:val="16"/>
          <w:szCs w:val="16"/>
        </w:rPr>
        <w:t>Word count:</w:t>
      </w:r>
      <w:r>
        <w:rPr>
          <w:rFonts w:ascii="Verdana" w:hAnsi="Verdana" w:cs="Verdana"/>
          <w:sz w:val="16"/>
          <w:szCs w:val="16"/>
        </w:rPr>
        <w:t xml:space="preserve"> 3906</w:t>
      </w:r>
    </w:p>
    <w:p w14:paraId="4C0F5A33" w14:textId="77777777" w:rsidR="00AB40CB" w:rsidRDefault="005A3A00">
      <w:pPr>
        <w:spacing w:line="360" w:lineRule="auto"/>
        <w:rPr>
          <w:rFonts w:ascii="Verdana" w:hAnsi="Verdana" w:cs="Verdana"/>
          <w:sz w:val="16"/>
          <w:szCs w:val="16"/>
        </w:rPr>
      </w:pPr>
      <w:r>
        <w:rPr>
          <w:rFonts w:ascii="Verdana" w:hAnsi="Verdana" w:cs="Verdana"/>
          <w:b/>
          <w:sz w:val="16"/>
          <w:szCs w:val="16"/>
        </w:rPr>
        <w:lastRenderedPageBreak/>
        <w:t>Tables:</w:t>
      </w:r>
      <w:r>
        <w:rPr>
          <w:rFonts w:ascii="Verdana" w:hAnsi="Verdana" w:cs="Verdana"/>
          <w:sz w:val="16"/>
          <w:szCs w:val="16"/>
        </w:rPr>
        <w:t xml:space="preserve"> 2 , </w:t>
      </w:r>
      <w:r>
        <w:rPr>
          <w:rFonts w:ascii="Verdana" w:hAnsi="Verdana" w:cs="Verdana"/>
          <w:b/>
          <w:sz w:val="16"/>
          <w:szCs w:val="16"/>
        </w:rPr>
        <w:t>Figures:</w:t>
      </w:r>
      <w:r>
        <w:rPr>
          <w:rFonts w:ascii="Verdana" w:hAnsi="Verdana" w:cs="Verdana"/>
          <w:sz w:val="16"/>
          <w:szCs w:val="16"/>
        </w:rPr>
        <w:t xml:space="preserve"> 2, </w:t>
      </w:r>
      <w:r>
        <w:rPr>
          <w:rFonts w:ascii="Verdana" w:hAnsi="Verdana" w:cs="Verdana"/>
          <w:b/>
          <w:sz w:val="16"/>
          <w:szCs w:val="16"/>
        </w:rPr>
        <w:t>Supplemental Materials</w:t>
      </w:r>
    </w:p>
    <w:p w14:paraId="04043970" w14:textId="77777777" w:rsidR="00AB40CB" w:rsidRDefault="00AB40CB">
      <w:pPr>
        <w:spacing w:line="360" w:lineRule="auto"/>
        <w:rPr>
          <w:rFonts w:ascii="Verdana" w:hAnsi="Verdana" w:cs="Verdana"/>
          <w:sz w:val="16"/>
          <w:szCs w:val="16"/>
        </w:rPr>
      </w:pPr>
    </w:p>
    <w:p w14:paraId="311C282C" w14:textId="77777777" w:rsidR="00AB40CB" w:rsidRDefault="005A3A00">
      <w:pPr>
        <w:rPr>
          <w:rFonts w:ascii="Verdana" w:hAnsi="Verdana" w:cs="Verdana"/>
          <w:b/>
          <w:bCs/>
          <w:sz w:val="16"/>
          <w:szCs w:val="16"/>
          <w:lang w:val="en-US"/>
        </w:rPr>
      </w:pPr>
      <w:r>
        <w:rPr>
          <w:rFonts w:ascii="Verdana" w:hAnsi="Verdana" w:cs="Verdana"/>
          <w:b/>
          <w:sz w:val="16"/>
          <w:szCs w:val="16"/>
        </w:rPr>
        <w:t>Corresponding author:</w:t>
      </w:r>
    </w:p>
    <w:p w14:paraId="203DF973" w14:textId="77777777" w:rsidR="00AB40CB" w:rsidRDefault="005A3A00">
      <w:pPr>
        <w:pStyle w:val="Default"/>
        <w:spacing w:before="160" w:line="360" w:lineRule="auto"/>
        <w:rPr>
          <w:rFonts w:ascii="Verdana" w:hAnsi="Verdana" w:cs="Myriad Pro SemiCond"/>
          <w:color w:val="000000"/>
          <w:sz w:val="16"/>
          <w:szCs w:val="16"/>
          <w:lang w:val="en-US"/>
        </w:rPr>
      </w:pPr>
      <w:r>
        <w:rPr>
          <w:rFonts w:ascii="Verdana" w:hAnsi="Verdana" w:cs="Verdana"/>
          <w:b/>
          <w:bCs/>
          <w:sz w:val="16"/>
          <w:szCs w:val="16"/>
          <w:lang w:val="en-US"/>
        </w:rPr>
        <w:t xml:space="preserve">Prof. Dr. I.Q. Grunwald </w:t>
      </w:r>
    </w:p>
    <w:p w14:paraId="049785FA" w14:textId="77777777" w:rsidR="00AB40CB" w:rsidRDefault="005A3A00">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Neuroscience and Vascular Simulation, </w:t>
      </w:r>
    </w:p>
    <w:p w14:paraId="43FB6917" w14:textId="77777777" w:rsidR="00AB40CB" w:rsidRDefault="005A3A00">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PMI, Anglia Ruskin University, </w:t>
      </w:r>
    </w:p>
    <w:p w14:paraId="1EFB63B6" w14:textId="77777777" w:rsidR="00AB40CB" w:rsidRDefault="005A3A00">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CM1 1SQ, Chelmsford, </w:t>
      </w:r>
    </w:p>
    <w:p w14:paraId="2D2CF41E" w14:textId="77777777" w:rsidR="00AB40CB" w:rsidRDefault="005A3A00">
      <w:pPr>
        <w:pStyle w:val="Pa0"/>
        <w:spacing w:line="360" w:lineRule="auto"/>
        <w:rPr>
          <w:rFonts w:ascii="Verdana" w:hAnsi="Verdana" w:cs="Myriad Pro SemiCond"/>
          <w:color w:val="000000"/>
          <w:sz w:val="16"/>
          <w:szCs w:val="16"/>
          <w:lang w:val="en-US"/>
        </w:rPr>
      </w:pPr>
      <w:r>
        <w:rPr>
          <w:rFonts w:ascii="Verdana" w:hAnsi="Verdana" w:cs="Myriad Pro SemiCond"/>
          <w:color w:val="000000"/>
          <w:sz w:val="16"/>
          <w:szCs w:val="16"/>
          <w:lang w:val="en-US"/>
        </w:rPr>
        <w:t xml:space="preserve">Essex, UK </w:t>
      </w:r>
    </w:p>
    <w:p w14:paraId="309DE2D0" w14:textId="77777777" w:rsidR="00AB40CB" w:rsidRDefault="005A3A00">
      <w:pPr>
        <w:pStyle w:val="Pa0"/>
        <w:spacing w:line="360" w:lineRule="auto"/>
      </w:pPr>
      <w:r>
        <w:rPr>
          <w:rFonts w:ascii="Verdana" w:hAnsi="Verdana" w:cs="Myriad Pro SemiCond"/>
          <w:color w:val="000000"/>
          <w:sz w:val="16"/>
          <w:szCs w:val="16"/>
          <w:lang w:val="en-US"/>
        </w:rPr>
        <w:t xml:space="preserve">Email: </w:t>
      </w:r>
      <w:hyperlink r:id="rId6">
        <w:r>
          <w:rPr>
            <w:rStyle w:val="InternetLink"/>
            <w:rFonts w:ascii="Verdana" w:hAnsi="Verdana" w:cs="Myriad Pro SemiCond"/>
            <w:sz w:val="16"/>
            <w:szCs w:val="16"/>
            <w:lang w:val="en-US"/>
          </w:rPr>
          <w:t>i.grunwald@gmx.net</w:t>
        </w:r>
      </w:hyperlink>
      <w:r>
        <w:rPr>
          <w:rFonts w:ascii="Verdana" w:hAnsi="Verdana" w:cs="Myriad Pro SemiCond"/>
          <w:color w:val="000000"/>
          <w:sz w:val="16"/>
          <w:szCs w:val="16"/>
          <w:lang w:val="en-US"/>
        </w:rPr>
        <w:t xml:space="preserve"> </w:t>
      </w:r>
    </w:p>
    <w:p w14:paraId="34131D14" w14:textId="77777777" w:rsidR="00AB40CB" w:rsidRDefault="005A3A00">
      <w:pPr>
        <w:pStyle w:val="Pa0"/>
        <w:rPr>
          <w:rFonts w:ascii="Verdana" w:hAnsi="Verdana" w:cs="Verdana"/>
          <w:lang w:val="fr-FR"/>
        </w:rPr>
      </w:pPr>
      <w:r>
        <w:rPr>
          <w:rFonts w:ascii="Verdana" w:hAnsi="Verdana" w:cs="Verdana"/>
          <w:b/>
          <w:lang w:val="fr-FR"/>
        </w:rPr>
        <w:t>Abstract</w:t>
      </w:r>
    </w:p>
    <w:p w14:paraId="5C4F6819" w14:textId="77777777" w:rsidR="00AB40CB" w:rsidRDefault="00AB40CB">
      <w:pPr>
        <w:spacing w:line="360" w:lineRule="auto"/>
        <w:jc w:val="both"/>
        <w:rPr>
          <w:rFonts w:ascii="Verdana" w:hAnsi="Verdana" w:cs="Verdana"/>
          <w:lang w:val="fr-FR"/>
        </w:rPr>
      </w:pPr>
    </w:p>
    <w:p w14:paraId="6D596D22" w14:textId="77777777" w:rsidR="00AB40CB" w:rsidRDefault="005A3A00">
      <w:pPr>
        <w:spacing w:line="360" w:lineRule="auto"/>
        <w:jc w:val="both"/>
        <w:rPr>
          <w:rFonts w:ascii="Verdana" w:hAnsi="Verdana" w:cs="Verdana"/>
          <w:b/>
        </w:rPr>
      </w:pPr>
      <w:r>
        <w:rPr>
          <w:rFonts w:ascii="Verdana" w:hAnsi="Verdana" w:cs="Verdana"/>
          <w:b/>
        </w:rPr>
        <w:t>Background:</w:t>
      </w:r>
      <w:r>
        <w:rPr>
          <w:rFonts w:ascii="Verdana" w:hAnsi="Verdana" w:cs="Verdana"/>
        </w:rPr>
        <w:t xml:space="preserve"> The Alberta Stroke Program Early CT score (ASPECTS) is an established 10-point quantitative topographic CT scan score to assess early ischemic </w:t>
      </w:r>
      <w:r>
        <w:rPr>
          <w:rFonts w:ascii="Verdana" w:hAnsi="Verdana" w:cs="Verdana"/>
        </w:rPr>
        <w:lastRenderedPageBreak/>
        <w:t>changes. We performed a non-inferiority trial between the e-ASPECTS software and neuroradiologists (NRAD) in scoring ASPECTS on non-contrast enhanced CT images (NCCT) of acute ischemic stroke patients.</w:t>
      </w:r>
    </w:p>
    <w:p w14:paraId="1ABC9A54" w14:textId="77777777" w:rsidR="00AB40CB" w:rsidRDefault="00AB40CB">
      <w:pPr>
        <w:spacing w:line="360" w:lineRule="auto"/>
        <w:jc w:val="both"/>
        <w:rPr>
          <w:rFonts w:ascii="Verdana" w:hAnsi="Verdana" w:cs="Verdana"/>
          <w:b/>
        </w:rPr>
      </w:pPr>
    </w:p>
    <w:p w14:paraId="50794E6C" w14:textId="77777777" w:rsidR="00AB40CB" w:rsidRDefault="005A3A00">
      <w:pPr>
        <w:spacing w:line="360" w:lineRule="auto"/>
        <w:jc w:val="both"/>
        <w:rPr>
          <w:rFonts w:ascii="Verdana" w:hAnsi="Verdana" w:cs="Verdana"/>
          <w:b/>
        </w:rPr>
      </w:pPr>
      <w:r>
        <w:rPr>
          <w:rFonts w:ascii="Verdana" w:hAnsi="Verdana" w:cs="Verdana"/>
          <w:b/>
        </w:rPr>
        <w:t>Methods:</w:t>
      </w:r>
      <w:r>
        <w:rPr>
          <w:rFonts w:ascii="Verdana" w:hAnsi="Verdana" w:cs="Verdana"/>
        </w:rPr>
        <w:t xml:space="preserve"> In this multicentre study, e-ASPECTS and three independent NRADs retrospectively and blindly assessed baseline NCCTs of 132 patients with acute anterior circulation ischemic stroke. Follow-up scans served as ground truth to determine the</w:t>
      </w:r>
      <w:r>
        <w:rPr>
          <w:rFonts w:ascii="Verdana" w:hAnsi="Verdana" w:cs="Verdana"/>
          <w:lang w:val="en-US"/>
        </w:rPr>
        <w:t xml:space="preserve"> </w:t>
      </w:r>
      <w:r>
        <w:rPr>
          <w:rStyle w:val="Emphasis"/>
          <w:rFonts w:ascii="Verdana" w:hAnsi="Verdana" w:cs="Verdana"/>
          <w:i w:val="0"/>
          <w:iCs w:val="0"/>
          <w:lang w:val="en-US"/>
        </w:rPr>
        <w:t>definite</w:t>
      </w:r>
      <w:r>
        <w:rPr>
          <w:rFonts w:ascii="Verdana" w:hAnsi="Verdana" w:cs="Verdana"/>
          <w:lang w:val="en-US"/>
        </w:rPr>
        <w:t xml:space="preserve"> area of </w:t>
      </w:r>
      <w:r>
        <w:rPr>
          <w:rStyle w:val="Emphasis"/>
          <w:rFonts w:ascii="Verdana" w:hAnsi="Verdana" w:cs="Verdana"/>
          <w:i w:val="0"/>
          <w:iCs w:val="0"/>
          <w:lang w:val="en-US"/>
        </w:rPr>
        <w:t>infarction</w:t>
      </w:r>
      <w:r>
        <w:rPr>
          <w:rFonts w:ascii="Verdana" w:hAnsi="Verdana" w:cs="Verdana"/>
        </w:rPr>
        <w:t xml:space="preserve">.  Sensitivity, specificity and accuracy (SSA) for region based and score based analysis, ROC curves, </w:t>
      </w:r>
      <w:r>
        <w:rPr>
          <w:rFonts w:ascii="Verdana" w:hAnsi="Verdana" w:cs="Verdana"/>
        </w:rPr>
        <w:lastRenderedPageBreak/>
        <w:t>Bland-Altman plots and Matthews correlation coefficients (MCC) relative to the ground truth were calculated and comparisons were made between NRADs and different pre-specified e-ASPECTS operating points. The non-inferiority margin was set to 10% for both sensitivity and specificity on region based analysis.</w:t>
      </w:r>
    </w:p>
    <w:p w14:paraId="58C27121" w14:textId="77777777" w:rsidR="00AB40CB" w:rsidRDefault="00AB40CB">
      <w:pPr>
        <w:spacing w:line="360" w:lineRule="auto"/>
        <w:jc w:val="both"/>
        <w:rPr>
          <w:rFonts w:ascii="Verdana" w:hAnsi="Verdana" w:cs="Verdana"/>
          <w:b/>
        </w:rPr>
      </w:pPr>
    </w:p>
    <w:p w14:paraId="367AEE68" w14:textId="77777777" w:rsidR="00AB40CB" w:rsidRDefault="005A3A00">
      <w:pPr>
        <w:spacing w:line="360" w:lineRule="auto"/>
        <w:jc w:val="both"/>
        <w:rPr>
          <w:rFonts w:ascii="Verdana" w:hAnsi="Verdana" w:cs="Verdana"/>
        </w:rPr>
      </w:pPr>
      <w:r>
        <w:rPr>
          <w:rFonts w:ascii="Verdana" w:hAnsi="Verdana" w:cs="Verdana"/>
          <w:b/>
        </w:rPr>
        <w:t>Results:</w:t>
      </w:r>
      <w:r>
        <w:rPr>
          <w:rFonts w:ascii="Verdana" w:hAnsi="Verdana" w:cs="Verdana"/>
        </w:rPr>
        <w:t xml:space="preserve"> In total 2640 (132 patients x 20 regions per patient) ASPECTS regions were scored. Mean time from onset to baseline CT was 146+/-124 min and median NIHSS was 11 (6-17, IQR). Median ASPECTS for ground truth on follow-up imaging was 8 (6.5-9, IQR). In the </w:t>
      </w:r>
      <w:r>
        <w:rPr>
          <w:rFonts w:ascii="Verdana" w:hAnsi="Verdana" w:cs="Verdana"/>
        </w:rPr>
        <w:lastRenderedPageBreak/>
        <w:t>region based analysis, two e-ASPECTS operating points (SSA of 44%, 93%, 87% and 44%, 91%, 85%) were statistically non-inferior to all three NRADs (all p-values &lt;0.003). Both MCCs for e-ASPECTS were higher (0.36 and 0.34) than those of all NRADs (0.32. 0.31 and 0.3)</w:t>
      </w:r>
      <w:r>
        <w:rPr>
          <w:rStyle w:val="Kommentarzeichen1"/>
          <w:lang w:val="en-US"/>
        </w:rPr>
        <w:t>.</w:t>
      </w:r>
    </w:p>
    <w:p w14:paraId="2518E972" w14:textId="77777777" w:rsidR="00AB40CB" w:rsidRDefault="00AB40CB">
      <w:pPr>
        <w:spacing w:line="360" w:lineRule="auto"/>
        <w:jc w:val="both"/>
        <w:rPr>
          <w:rFonts w:ascii="Verdana" w:hAnsi="Verdana" w:cs="Verdana"/>
        </w:rPr>
      </w:pPr>
    </w:p>
    <w:p w14:paraId="47C06FD6" w14:textId="77777777" w:rsidR="00AB40CB" w:rsidRDefault="005A3A00">
      <w:pPr>
        <w:spacing w:line="360" w:lineRule="auto"/>
        <w:jc w:val="both"/>
        <w:rPr>
          <w:rFonts w:ascii="Verdana" w:hAnsi="Verdana" w:cs="Verdana"/>
        </w:rPr>
      </w:pPr>
      <w:r>
        <w:rPr>
          <w:rFonts w:ascii="Verdana" w:hAnsi="Verdana" w:cs="Verdana"/>
          <w:b/>
        </w:rPr>
        <w:t>Conclusions:</w:t>
      </w:r>
      <w:r>
        <w:rPr>
          <w:rFonts w:ascii="Verdana" w:hAnsi="Verdana" w:cs="Verdana"/>
        </w:rPr>
        <w:t xml:space="preserve"> e-ASPECTS was non-inferior to three neuroradiologists in scoring ASPECTS on NCCTs of acute stroke patients.</w:t>
      </w:r>
    </w:p>
    <w:p w14:paraId="3C8F5223" w14:textId="77777777" w:rsidR="00AB40CB" w:rsidRDefault="00AB40CB">
      <w:pPr>
        <w:spacing w:line="360" w:lineRule="auto"/>
        <w:jc w:val="both"/>
        <w:rPr>
          <w:rFonts w:ascii="Verdana" w:hAnsi="Verdana" w:cs="Verdana"/>
        </w:rPr>
      </w:pPr>
    </w:p>
    <w:p w14:paraId="614EEA0C" w14:textId="77777777" w:rsidR="00AB40CB" w:rsidRDefault="00AB40CB">
      <w:pPr>
        <w:spacing w:line="360" w:lineRule="auto"/>
        <w:jc w:val="both"/>
        <w:rPr>
          <w:rFonts w:ascii="Verdana" w:hAnsi="Verdana" w:cs="Verdana"/>
        </w:rPr>
      </w:pPr>
    </w:p>
    <w:p w14:paraId="2B75A654" w14:textId="77777777" w:rsidR="00AB40CB" w:rsidRDefault="00AB40CB">
      <w:pPr>
        <w:spacing w:line="360" w:lineRule="auto"/>
        <w:jc w:val="both"/>
        <w:rPr>
          <w:rFonts w:ascii="Verdana" w:hAnsi="Verdana" w:cs="Verdana"/>
        </w:rPr>
      </w:pPr>
    </w:p>
    <w:p w14:paraId="5B7AA16E" w14:textId="77777777" w:rsidR="00AB40CB" w:rsidRDefault="00AB40CB">
      <w:pPr>
        <w:spacing w:line="360" w:lineRule="auto"/>
        <w:jc w:val="both"/>
        <w:rPr>
          <w:rFonts w:ascii="Verdana" w:hAnsi="Verdana" w:cs="Verdana"/>
        </w:rPr>
      </w:pPr>
    </w:p>
    <w:p w14:paraId="0A8FECA7" w14:textId="77777777" w:rsidR="00AB40CB" w:rsidRDefault="00AB40CB">
      <w:pPr>
        <w:spacing w:line="360" w:lineRule="auto"/>
        <w:jc w:val="both"/>
        <w:rPr>
          <w:rFonts w:ascii="Verdana" w:hAnsi="Verdana" w:cs="Verdana"/>
        </w:rPr>
      </w:pPr>
    </w:p>
    <w:p w14:paraId="4E768787" w14:textId="77777777" w:rsidR="00AB40CB" w:rsidRDefault="00AB40CB">
      <w:pPr>
        <w:spacing w:line="360" w:lineRule="auto"/>
        <w:jc w:val="both"/>
        <w:rPr>
          <w:rFonts w:ascii="Verdana" w:hAnsi="Verdana" w:cs="Verdana"/>
        </w:rPr>
      </w:pPr>
    </w:p>
    <w:p w14:paraId="343A1D1C" w14:textId="77777777" w:rsidR="00AB40CB" w:rsidRDefault="00AB40CB">
      <w:pPr>
        <w:spacing w:line="360" w:lineRule="auto"/>
        <w:jc w:val="both"/>
        <w:rPr>
          <w:rFonts w:ascii="Verdana" w:hAnsi="Verdana" w:cs="Verdana"/>
        </w:rPr>
      </w:pPr>
    </w:p>
    <w:p w14:paraId="347B978F" w14:textId="77777777" w:rsidR="00AB40CB" w:rsidRDefault="00AB40CB">
      <w:pPr>
        <w:spacing w:line="360" w:lineRule="auto"/>
        <w:jc w:val="both"/>
        <w:rPr>
          <w:rFonts w:ascii="Verdana" w:hAnsi="Verdana" w:cs="Verdana"/>
        </w:rPr>
      </w:pPr>
    </w:p>
    <w:p w14:paraId="0472215E" w14:textId="77777777" w:rsidR="00AB40CB" w:rsidRDefault="00AB40CB">
      <w:pPr>
        <w:spacing w:line="360" w:lineRule="auto"/>
        <w:jc w:val="both"/>
        <w:rPr>
          <w:rFonts w:ascii="Verdana" w:hAnsi="Verdana" w:cs="Verdana"/>
        </w:rPr>
      </w:pPr>
    </w:p>
    <w:p w14:paraId="2976D383" w14:textId="77777777" w:rsidR="00AB40CB" w:rsidRDefault="00AB40CB">
      <w:pPr>
        <w:spacing w:line="360" w:lineRule="auto"/>
        <w:jc w:val="both"/>
        <w:rPr>
          <w:rFonts w:ascii="Verdana" w:hAnsi="Verdana" w:cs="Verdana"/>
        </w:rPr>
      </w:pPr>
    </w:p>
    <w:p w14:paraId="4E9D238D" w14:textId="77777777" w:rsidR="00AB40CB" w:rsidRDefault="00AB40CB">
      <w:pPr>
        <w:spacing w:line="360" w:lineRule="auto"/>
        <w:jc w:val="both"/>
        <w:rPr>
          <w:rFonts w:ascii="Verdana" w:hAnsi="Verdana" w:cs="Verdana"/>
        </w:rPr>
      </w:pPr>
    </w:p>
    <w:p w14:paraId="7D69C5B1" w14:textId="77777777" w:rsidR="00AB40CB" w:rsidRDefault="005A3A00">
      <w:pPr>
        <w:spacing w:line="360" w:lineRule="auto"/>
        <w:jc w:val="both"/>
        <w:rPr>
          <w:rFonts w:ascii="Verdana" w:hAnsi="Verdana" w:cs="Verdana"/>
          <w:b/>
        </w:rPr>
      </w:pPr>
      <w:r>
        <w:rPr>
          <w:rFonts w:ascii="Verdana" w:hAnsi="Verdana" w:cs="Verdana"/>
          <w:b/>
        </w:rPr>
        <w:t>Introduction</w:t>
      </w:r>
    </w:p>
    <w:p w14:paraId="5DD1FF99" w14:textId="77777777" w:rsidR="00AB40CB" w:rsidRDefault="00AB40CB">
      <w:pPr>
        <w:spacing w:line="360" w:lineRule="auto"/>
        <w:jc w:val="both"/>
        <w:rPr>
          <w:rFonts w:ascii="Verdana" w:hAnsi="Verdana" w:cs="Verdana"/>
          <w:b/>
        </w:rPr>
      </w:pPr>
    </w:p>
    <w:p w14:paraId="5C478ACA" w14:textId="77777777" w:rsidR="00AB40CB" w:rsidRDefault="005A3A00">
      <w:pPr>
        <w:spacing w:line="360" w:lineRule="auto"/>
        <w:jc w:val="both"/>
      </w:pPr>
      <w:r>
        <w:rPr>
          <w:rFonts w:ascii="Verdana" w:hAnsi="Verdana" w:cs="Verdana"/>
        </w:rPr>
        <w:t xml:space="preserve">The Alberta Stroke Program Early CT Score (ASPECTS) is a topographic scoring system for acute ischemic damage </w:t>
      </w:r>
      <w:r>
        <w:rPr>
          <w:rFonts w:ascii="Verdana" w:hAnsi="Verdana" w:cs="Verdana"/>
        </w:rPr>
        <w:lastRenderedPageBreak/>
        <w:t xml:space="preserve">to brain that divides the middle cerebral artery (MCA) territory into 10 areas of interest </w:t>
      </w:r>
      <w:r>
        <w:fldChar w:fldCharType="begin"/>
      </w:r>
      <w:r>
        <w:instrText>ADDIN EN.CITE.DATA</w:instrText>
      </w:r>
      <w:r>
        <w:fldChar w:fldCharType="separate"/>
      </w:r>
      <w:bookmarkStart w:id="1" w:name="__Fieldmark__318_1292349258"/>
      <w:bookmarkStart w:id="2" w:name="__Fieldmark__317_1292349258"/>
      <w:bookmarkEnd w:id="1"/>
      <w:r>
        <w:rPr>
          <w:rFonts w:ascii="Verdana" w:hAnsi="Verdana" w:cs="Verdana"/>
        </w:rPr>
        <w:t>(1)</w:t>
      </w:r>
      <w:r>
        <w:fldChar w:fldCharType="end"/>
      </w:r>
      <w:bookmarkEnd w:id="2"/>
      <w:r>
        <w:rPr>
          <w:rFonts w:ascii="Verdana" w:hAnsi="Verdana" w:cs="Verdana"/>
        </w:rPr>
        <w:t xml:space="preserve">. It has recently been used for the enrolment of patients in endovascular treatment trials, in which only patients with an ASPECTS of 6 or 7 and above could be included </w:t>
      </w:r>
      <w:r>
        <w:fldChar w:fldCharType="begin"/>
      </w:r>
      <w:r>
        <w:instrText>ADDIN EN.CITE.DATA</w:instrText>
      </w:r>
      <w:r>
        <w:fldChar w:fldCharType="separate"/>
      </w:r>
      <w:bookmarkStart w:id="3" w:name="__Fieldmark__327_1292349258"/>
      <w:bookmarkStart w:id="4" w:name="__Fieldmark__326_1292349258"/>
      <w:bookmarkEnd w:id="3"/>
      <w:r>
        <w:rPr>
          <w:rFonts w:ascii="Verdana" w:hAnsi="Verdana" w:cs="Verdana"/>
        </w:rPr>
        <w:t>(2-4)</w:t>
      </w:r>
      <w:r>
        <w:fldChar w:fldCharType="end"/>
      </w:r>
      <w:bookmarkEnd w:id="4"/>
      <w:r>
        <w:rPr>
          <w:rFonts w:ascii="Verdana" w:hAnsi="Verdana" w:cs="Verdana"/>
        </w:rPr>
        <w:t xml:space="preserve">. However, the interpretation of the ASPECTS on a non-contrast enhanced computer tomography (NCCT) brain scan of patients with an acute ischemic stroke is challenging and variable, even between stroke experts </w:t>
      </w:r>
      <w:r>
        <w:fldChar w:fldCharType="begin"/>
      </w:r>
      <w:r>
        <w:instrText>ADDIN EN.CITE.DATA</w:instrText>
      </w:r>
      <w:r>
        <w:fldChar w:fldCharType="separate"/>
      </w:r>
      <w:bookmarkStart w:id="5" w:name="__Fieldmark__334_1292349258"/>
      <w:bookmarkStart w:id="6" w:name="__Fieldmark__333_1292349258"/>
      <w:bookmarkEnd w:id="5"/>
      <w:r>
        <w:rPr>
          <w:rFonts w:ascii="Verdana" w:hAnsi="Verdana" w:cs="Verdana"/>
        </w:rPr>
        <w:t>(5, 6)</w:t>
      </w:r>
      <w:r>
        <w:fldChar w:fldCharType="end"/>
      </w:r>
      <w:bookmarkEnd w:id="6"/>
      <w:r>
        <w:rPr>
          <w:rFonts w:ascii="Verdana" w:hAnsi="Verdana" w:cs="Verdana"/>
        </w:rPr>
        <w:t xml:space="preserve">. Therefore, standardized and automated assessment of ischemic damage would be useful in clinical practice and research. A proof-of-concept study showed that machine learning </w:t>
      </w:r>
      <w:r>
        <w:rPr>
          <w:rFonts w:ascii="Verdana" w:hAnsi="Verdana" w:cs="Verdana"/>
        </w:rPr>
        <w:lastRenderedPageBreak/>
        <w:t xml:space="preserve">methods applied to acute stroke NCCT images offered an improved prediction of symptomatic intracerebral hemorrhage over common prognostic clinical scores </w:t>
      </w:r>
      <w:r>
        <w:fldChar w:fldCharType="begin"/>
      </w:r>
      <w:r>
        <w:instrText>ADDIN EN.CITE &lt;EndNote&gt;&lt;Cite&gt;&lt;Author&gt;Bentley&lt;/Author&gt;&lt;Year&gt;2014&lt;/Year&gt;&lt;RecNum&gt;2214&lt;/RecNum&gt;&lt;DisplayText&gt;(7)&lt;/DisplayText&gt;&lt;record&gt;&lt;rec-number&gt;2214&lt;/rec-number&gt;&lt;foreign-keys&gt;&lt;key app="EN" db-id="5prezesd7xvewlepxvnxdf9kz9vxwarz5xrv" timestamp="0"&gt;2214&lt;/key&gt;&lt;/foreign-keys&gt;&lt;ref-type name="Journal Article"&gt;17&lt;/ref-type&gt;&lt;contributors&gt;&lt;authors&gt;&lt;author&gt;Bentley, P.&lt;/author&gt;&lt;author&gt;Ganesalingam, J.&lt;/author&gt;&lt;author&gt;Carlton Jones, A. L.&lt;/author&gt;&lt;author&gt;Mahady, K.&lt;/author&gt;&lt;author&gt;Epton, S.&lt;/author&gt;&lt;author&gt;Rinne, P.&lt;/author&gt;&lt;author&gt;Sharma, P.&lt;/author&gt;&lt;author&gt;Halse, O.&lt;/author&gt;&lt;author&gt;Mehta, A.&lt;/author&gt;&lt;author&gt;Rueckert, D.&lt;/author&gt;&lt;/authors&gt;&lt;/contributors&gt;&lt;auth-address&gt;Division of Brain Sciences, Imperial College London, Charing Cross Hospital Campus, Fulham Palace Rd., London W6 8RF, UK.&lt;/auth-address&gt;&lt;titles&gt;&lt;title&gt;Prediction of stroke thrombolysis outcome using CT brain machine learning&lt;/title&gt;&lt;secondary-title&gt;Neuroimage Clin&lt;/secondary-title&gt;&lt;/titles&gt;&lt;pages&gt;635-40&lt;/pages&gt;&lt;volume&gt;4&lt;/volume&gt;&lt;edition&gt;2014/06/18&lt;/edition&gt;&lt;dates&gt;&lt;year&gt;2014&lt;/year&gt;&lt;/dates&gt;&lt;isbn&gt;2213-1582 (Electronic)&amp;#xD;2213-1582 (Linking)&lt;/isbn&gt;&lt;accession-num&gt;24936414&lt;/accession-num&gt;&lt;urls&gt;&lt;related-urls&gt;&lt;url&gt;http://www.ncbi.nlm.nih.gov/pubmed/24936414&lt;/url&gt;&lt;/related-urls&gt;&lt;/urls&gt;&lt;custom2&gt;4053635&lt;/custom2&gt;&lt;electronic-resource-num&gt;10.1016/j.nicl.2014.02.003&amp;#xD;S2213-1582(14)00021-7 [pii]&lt;/electronic-resource-num&gt;&lt;language&gt;eng&lt;/language&gt;&lt;/record&gt;&lt;/Cite&gt;&lt;/EndNote&gt;</w:instrText>
      </w:r>
      <w:r>
        <w:fldChar w:fldCharType="separate"/>
      </w:r>
      <w:bookmarkStart w:id="7" w:name="__Fieldmark__345_1292349258"/>
      <w:r>
        <w:rPr>
          <w:rFonts w:ascii="Verdana" w:hAnsi="Verdana" w:cs="Verdana"/>
        </w:rPr>
        <w:t>(7)</w:t>
      </w:r>
      <w:r>
        <w:fldChar w:fldCharType="end"/>
      </w:r>
      <w:bookmarkEnd w:id="7"/>
      <w:r>
        <w:rPr>
          <w:rFonts w:ascii="Verdana" w:hAnsi="Verdana" w:cs="Verdana"/>
        </w:rPr>
        <w:t xml:space="preserve">. The e-ASPECTS software is a commercially available, now CE-marked, standardized and fully automated ASPECTS scoring tool based on a machine learning algorithm </w:t>
      </w:r>
      <w:r>
        <w:fldChar w:fldCharType="begin"/>
      </w:r>
      <w:r>
        <w:instrText>ADDIN EN.CITE &lt;EndNote&gt;&lt;Cite&gt;&lt;Author&gt;James Hampton-Till&lt;/Author&gt;&lt;Year&gt;2015&lt;/Year&gt;&lt;RecNum&gt;2379&lt;/RecNum&gt;&lt;DisplayText&gt;(8)&lt;/DisplayText&gt;&lt;record&gt;&lt;rec-number&gt;2379&lt;/rec-number&gt;&lt;foreign-keys&gt;&lt;key app="EN" db-id="5prezesd7xvewlepxvnxdf9kz9vxwarz5xrv" timestamp="1439053361"&gt;2379&lt;/key&gt;&lt;/foreign-keys&gt;&lt;ref-type name="Journal Article"&gt;17&lt;/ref-type&gt;&lt;contributors&gt;&lt;authors&gt;&lt;author&gt;James Hampton-Till, Michael Harrison, Anna Luisa Kühn, &lt;/author&gt;&lt;author&gt;Oliver Anderson, Devesh Sinha, Sharon Tysoe, Eric Greveson,&lt;/author&gt;&lt;author&gt;Michalis Papadakis, Iris Q. Grunwald&lt;/author&gt;&lt;/authors&gt;&lt;/contributors&gt;&lt;titles&gt;&lt;title&gt;Automated Quantification of Stroke damage on brain computed tomography scans: e-ASPECTS&lt;/title&gt;&lt;secondary-title&gt;European Medical Journal&lt;/secondary-title&gt;&lt;/titles&gt;&lt;periodical&gt;&lt;full-title&gt;European Medical Journal&lt;/full-title&gt;&lt;/periodical&gt;&lt;volume&gt;2015;3[1]:69-74.&lt;/volume&gt;&lt;dates&gt;&lt;year&gt;2015&lt;/year&gt;&lt;/dates&gt;&lt;urls&gt;&lt;/urls&gt;&lt;/record&gt;&lt;/Cite&gt;&lt;/EndNote&gt;</w:instrText>
      </w:r>
      <w:r>
        <w:fldChar w:fldCharType="separate"/>
      </w:r>
      <w:bookmarkStart w:id="8" w:name="__Fieldmark__352_1292349258"/>
      <w:r>
        <w:rPr>
          <w:rFonts w:ascii="Verdana" w:hAnsi="Verdana" w:cs="Verdana"/>
        </w:rPr>
        <w:t>(8)</w:t>
      </w:r>
      <w:r>
        <w:fldChar w:fldCharType="end"/>
      </w:r>
      <w:bookmarkEnd w:id="8"/>
      <w:r>
        <w:rPr>
          <w:rFonts w:ascii="Verdana" w:hAnsi="Verdana" w:cs="Verdana"/>
        </w:rPr>
        <w:t xml:space="preserve">. Recently, it was shown that e-ASPECTS was more sensitive in detecting early signs of cerebral ischemia than junior stroke physicians, who are usually the first interpreters of a scan of an acute stroke patient. Although the software performed similar to stroke experts, it was not powered to claim non-inferiority </w:t>
      </w:r>
      <w:r>
        <w:fldChar w:fldCharType="begin"/>
      </w:r>
      <w:r>
        <w:instrText>ADDIN EN.CITE &lt;EndNote&gt;&lt;Cite&gt;&lt;Author&gt;Herweh C.&lt;/Author&gt;&lt;Year&gt;2014&lt;/Year&gt;&lt;RecNum&gt;2391&lt;/RecNum&gt;&lt;DisplayText&gt;(9)&lt;/DisplayText&gt;&lt;record&gt;&lt;rec-number&gt;2391&lt;/rec-number&gt;&lt;foreign-keys&gt;&lt;key app="EN" db-id="5prezesd7xvewlepxvnxdf9kz9vxwarz5xrv" timestamp="1443440793"&gt;2391&lt;/key&gt;&lt;/foreign-keys&gt;&lt;ref-type name="Conference Paper"&gt;47&lt;/ref-type&gt;&lt;contributors&gt;&lt;authors&gt;&lt;author&gt;Herweh C., Ringleb P.A., Rauch G., Behrens L., Möhlenbruch M., Gottorf R., &lt;/author&gt;&lt;author&gt;Richter D., Schieber S., Nagel S.&lt;/author&gt;&lt;/authors&gt;&lt;/contributors&gt;&lt;titles&gt;&lt;title&gt;Similar performance on ASPECT scoring between stroke experts and an automated algorithm (e-ASPECTS) on  CT scans of acute ischemic stroke patients&lt;/title&gt;&lt;secondary-title&gt;World Stroke Conference&lt;/secondary-title&gt;&lt;/titles&gt;&lt;volume&gt;WSC-0917&lt;/volume&gt;&lt;dates&gt;&lt;year&gt;2014&lt;/year&gt;&lt;/dates&gt;&lt;pub-location&gt;Istanbul&lt;/pub-location&gt;&lt;urls&gt;&lt;/urls&gt;&lt;/record&gt;&lt;/Cite&gt;&lt;/EndNote&gt;</w:instrText>
      </w:r>
      <w:r>
        <w:fldChar w:fldCharType="separate"/>
      </w:r>
      <w:bookmarkStart w:id="9" w:name="__Fieldmark__359_1292349258"/>
      <w:r>
        <w:rPr>
          <w:rFonts w:ascii="Verdana" w:hAnsi="Verdana" w:cs="Verdana"/>
        </w:rPr>
        <w:t>(9)</w:t>
      </w:r>
      <w:r>
        <w:fldChar w:fldCharType="end"/>
      </w:r>
      <w:bookmarkEnd w:id="9"/>
      <w:r>
        <w:rPr>
          <w:rFonts w:ascii="Verdana" w:hAnsi="Verdana" w:cs="Verdana"/>
        </w:rPr>
        <w:t>. In this non-</w:t>
      </w:r>
      <w:r>
        <w:rPr>
          <w:rFonts w:ascii="Verdana" w:hAnsi="Verdana" w:cs="Verdana"/>
        </w:rPr>
        <w:lastRenderedPageBreak/>
        <w:t>inferiority trial with NCCTs of acute ischemic stroke patients from five different stroke centres, we compared the scoring performance of e-ASPECTS with those of three independent neuroradiologists (NRADs), experienced in diagnosing early ischemic damage.</w:t>
      </w:r>
    </w:p>
    <w:p w14:paraId="3FA44B0A" w14:textId="77777777" w:rsidR="00AB40CB" w:rsidRDefault="005A3A00">
      <w:pPr>
        <w:spacing w:line="360" w:lineRule="auto"/>
        <w:jc w:val="both"/>
        <w:rPr>
          <w:rFonts w:ascii="Verdana" w:hAnsi="Verdana" w:cs="Verdana"/>
        </w:rPr>
      </w:pPr>
      <w:r>
        <w:br w:type="page"/>
      </w:r>
    </w:p>
    <w:p w14:paraId="1CDF8871" w14:textId="77777777" w:rsidR="00AB40CB" w:rsidRDefault="005A3A00">
      <w:pPr>
        <w:spacing w:line="360" w:lineRule="auto"/>
        <w:jc w:val="both"/>
        <w:rPr>
          <w:rFonts w:ascii="Verdana" w:hAnsi="Verdana" w:cs="Verdana"/>
        </w:rPr>
      </w:pPr>
      <w:r>
        <w:rPr>
          <w:rFonts w:ascii="Verdana" w:hAnsi="Verdana" w:cs="Verdana"/>
          <w:b/>
        </w:rPr>
        <w:lastRenderedPageBreak/>
        <w:t>Methods</w:t>
      </w:r>
    </w:p>
    <w:p w14:paraId="4682074E" w14:textId="77777777" w:rsidR="00AB40CB" w:rsidRDefault="00AB40CB">
      <w:pPr>
        <w:spacing w:line="360" w:lineRule="auto"/>
        <w:jc w:val="both"/>
        <w:rPr>
          <w:rFonts w:ascii="Verdana" w:hAnsi="Verdana"/>
          <w:u w:val="single"/>
          <w:lang w:val="en-US"/>
        </w:rPr>
      </w:pPr>
    </w:p>
    <w:p w14:paraId="055F1448" w14:textId="77777777" w:rsidR="00AB40CB" w:rsidRDefault="005A3A00">
      <w:pPr>
        <w:spacing w:line="360" w:lineRule="auto"/>
        <w:jc w:val="both"/>
        <w:rPr>
          <w:rFonts w:ascii="Verdana" w:hAnsi="Verdana"/>
          <w:b/>
          <w:lang w:val="en-US"/>
        </w:rPr>
      </w:pPr>
      <w:r>
        <w:rPr>
          <w:rFonts w:ascii="Verdana" w:hAnsi="Verdana"/>
          <w:b/>
          <w:lang w:val="en-US"/>
        </w:rPr>
        <w:t xml:space="preserve">Patients </w:t>
      </w:r>
    </w:p>
    <w:p w14:paraId="2B99B293" w14:textId="7A735ABE" w:rsidR="00AB40CB" w:rsidRDefault="005A3A00">
      <w:pPr>
        <w:spacing w:line="360" w:lineRule="auto"/>
        <w:jc w:val="both"/>
        <w:rPr>
          <w:rFonts w:ascii="Verdana" w:hAnsi="Verdana"/>
        </w:rPr>
      </w:pPr>
      <w:r>
        <w:rPr>
          <w:rFonts w:ascii="Verdana" w:hAnsi="Verdana" w:cs="Verdana"/>
        </w:rPr>
        <w:t>Patients with acute ischemic stroke syndromes in the anterior circulation</w:t>
      </w:r>
      <w:r w:rsidR="00B53765">
        <w:rPr>
          <w:rFonts w:ascii="Verdana" w:hAnsi="Verdana" w:cs="Verdana"/>
        </w:rPr>
        <w:t xml:space="preserve">, </w:t>
      </w:r>
      <w:r w:rsidR="00B53765" w:rsidRPr="00B53765">
        <w:rPr>
          <w:rFonts w:ascii="Verdana" w:hAnsi="Verdana" w:cs="Verdana"/>
          <w:highlight w:val="yellow"/>
        </w:rPr>
        <w:t>as clinically determined,</w:t>
      </w:r>
      <w:r>
        <w:rPr>
          <w:rFonts w:ascii="Verdana" w:hAnsi="Verdana" w:cs="Verdana"/>
        </w:rPr>
        <w:t xml:space="preserve"> and available baseline and follow-up NCCTs, obtained between 24 and 36 hours after baseline imaging, were eligible. Patients with haemorrhage or severe imaging artefacts on baseline imaging or when </w:t>
      </w:r>
      <w:r>
        <w:rPr>
          <w:rFonts w:ascii="Verdana" w:hAnsi="Verdana" w:cs="Arial"/>
        </w:rPr>
        <w:t>consent could not be obtained in accordance with the national procedures stipulated by the respective ethics commissions,</w:t>
      </w:r>
      <w:r>
        <w:rPr>
          <w:rFonts w:ascii="Verdana" w:hAnsi="Verdana" w:cs="Verdana"/>
        </w:rPr>
        <w:t xml:space="preserve"> were excluded</w:t>
      </w:r>
      <w:r>
        <w:rPr>
          <w:rFonts w:ascii="Verdana" w:hAnsi="Verdana" w:cs="Arial"/>
        </w:rPr>
        <w:t xml:space="preserve">.  </w:t>
      </w:r>
      <w:r>
        <w:rPr>
          <w:rFonts w:ascii="Verdana" w:hAnsi="Verdana" w:cs="Verdana"/>
        </w:rPr>
        <w:t xml:space="preserve">The </w:t>
      </w:r>
      <w:r>
        <w:rPr>
          <w:rFonts w:ascii="Verdana" w:hAnsi="Verdana" w:cs="Verdana"/>
          <w:lang w:val="en-US"/>
        </w:rPr>
        <w:t>Norfolk NRES Committee East of England and Freiburg</w:t>
      </w:r>
      <w:r>
        <w:rPr>
          <w:rFonts w:ascii="Verdana" w:hAnsi="Verdana" w:cs="Verdana"/>
        </w:rPr>
        <w:t xml:space="preserve"> </w:t>
      </w:r>
      <w:r>
        <w:rPr>
          <w:rFonts w:ascii="Verdana" w:hAnsi="Verdana" w:cs="Verdana"/>
        </w:rPr>
        <w:lastRenderedPageBreak/>
        <w:t>ethics committee approved the study. All patients were treated according to local in house protocols on the respective local stroke units. For further details on participating centers and CT scanner details please see the suppl. Material.</w:t>
      </w:r>
    </w:p>
    <w:p w14:paraId="42646F85" w14:textId="77777777" w:rsidR="00AB40CB" w:rsidRDefault="00AB40CB">
      <w:pPr>
        <w:spacing w:line="360" w:lineRule="auto"/>
        <w:jc w:val="both"/>
        <w:rPr>
          <w:rFonts w:ascii="Verdana" w:hAnsi="Verdana" w:cs="Verdana"/>
        </w:rPr>
      </w:pPr>
    </w:p>
    <w:p w14:paraId="22170B0C" w14:textId="77777777" w:rsidR="00AB40CB" w:rsidRDefault="00AB40CB">
      <w:pPr>
        <w:spacing w:line="360" w:lineRule="auto"/>
        <w:jc w:val="both"/>
        <w:rPr>
          <w:rFonts w:ascii="Verdana" w:hAnsi="Verdana" w:cs="Verdana"/>
        </w:rPr>
      </w:pPr>
    </w:p>
    <w:p w14:paraId="690F9B02" w14:textId="77777777" w:rsidR="00AB40CB" w:rsidRDefault="005A3A00">
      <w:pPr>
        <w:spacing w:line="360" w:lineRule="auto"/>
        <w:jc w:val="both"/>
        <w:rPr>
          <w:rFonts w:ascii="Verdana" w:hAnsi="Verdana" w:cs="Verdana"/>
          <w:b/>
        </w:rPr>
      </w:pPr>
      <w:r>
        <w:rPr>
          <w:rFonts w:ascii="Verdana" w:hAnsi="Verdana" w:cs="Verdana"/>
          <w:b/>
        </w:rPr>
        <w:t>e-ASPECTS and ASPECTS scoring of NRADs</w:t>
      </w:r>
    </w:p>
    <w:p w14:paraId="16BA78CA" w14:textId="73A818D4" w:rsidR="00AB40CB" w:rsidRDefault="005A3A00">
      <w:pPr>
        <w:spacing w:line="360" w:lineRule="auto"/>
        <w:jc w:val="both"/>
        <w:rPr>
          <w:rFonts w:ascii="Verdana" w:hAnsi="Verdana" w:cs="Verdana"/>
        </w:rPr>
      </w:pPr>
      <w:r>
        <w:rPr>
          <w:rFonts w:ascii="Verdana" w:hAnsi="Verdana" w:cs="Verdana"/>
        </w:rPr>
        <w:t>The ASPECTS score of the ground truth was determined by an independent core lab (</w:t>
      </w:r>
      <w:r>
        <w:rPr>
          <w:rFonts w:ascii="Verdana" w:hAnsi="Verdana" w:cs="Verdana"/>
          <w:lang w:val="en-US"/>
        </w:rPr>
        <w:t>Medical Imaging Heidelberg GmbH, Heidelberg, Germany</w:t>
      </w:r>
      <w:r>
        <w:rPr>
          <w:rFonts w:ascii="Verdana" w:hAnsi="Verdana" w:cs="Verdana"/>
        </w:rPr>
        <w:t xml:space="preserve">) and based on both the initial imaging as well as on the follow up imaging; i.e. </w:t>
      </w:r>
      <w:r>
        <w:rPr>
          <w:rFonts w:ascii="Verdana" w:hAnsi="Verdana" w:cs="Verdana"/>
        </w:rPr>
        <w:lastRenderedPageBreak/>
        <w:t xml:space="preserve">only lesions that were present on baseline imaging and follow-up were scored. e-ASPECTS was run on an Intel ® Core i7 processor. Following pre-processing of the DICOM input images, a registration step corrects for any 3D rotation and tilt. Image features are then extracted and scored with a machine learning classifier to identify early ischemic signs </w:t>
      </w:r>
      <w:r w:rsidRPr="00B81A94">
        <w:rPr>
          <w:rFonts w:ascii="Verdana" w:hAnsi="Verdana"/>
        </w:rPr>
        <w:t>(</w:t>
      </w:r>
      <w:r w:rsidR="00EA095D">
        <w:rPr>
          <w:rFonts w:ascii="Verdana" w:hAnsi="Verdana"/>
        </w:rPr>
        <w:t xml:space="preserve">suppl. Material and </w:t>
      </w:r>
      <w:r w:rsidRPr="00B81A94">
        <w:rPr>
          <w:rFonts w:ascii="Verdana" w:hAnsi="Verdana"/>
        </w:rPr>
        <w:t>8,9)</w:t>
      </w:r>
      <w:r w:rsidRPr="00B81A94">
        <w:rPr>
          <w:rFonts w:ascii="Verdana" w:hAnsi="Verdana" w:cs="Verdana"/>
        </w:rPr>
        <w:t>.</w:t>
      </w:r>
      <w:r>
        <w:rPr>
          <w:rFonts w:ascii="Verdana" w:hAnsi="Verdana" w:cs="Verdana"/>
        </w:rPr>
        <w:t xml:space="preserve"> Pseudonymized baseline NCCT were retrospectively scored by eight different pre-specified e-ASPECTS operating points (OP) as well as by three NRADs (PP, JH and AAK </w:t>
      </w:r>
      <w:r>
        <w:rPr>
          <w:rFonts w:ascii="Verdana" w:hAnsi="Verdana" w:cs="Verdana"/>
          <w:lang w:val="en-AU"/>
        </w:rPr>
        <w:t>who were not affiliated with the participating clinical sites</w:t>
      </w:r>
      <w:r>
        <w:rPr>
          <w:rFonts w:ascii="Verdana" w:hAnsi="Verdana" w:cs="Verdana"/>
        </w:rPr>
        <w:t xml:space="preserve">). Each NRAD had over 10 years’ clinical experience in acute stroke </w:t>
      </w:r>
      <w:r>
        <w:rPr>
          <w:rFonts w:ascii="Verdana" w:hAnsi="Verdana" w:cs="Verdana"/>
        </w:rPr>
        <w:lastRenderedPageBreak/>
        <w:t xml:space="preserve">imaging and interventional neuroradiology. The e-ASPECTS OPs reflect settings, which essentially determine how much weight is given to </w:t>
      </w:r>
      <w:r>
        <w:rPr>
          <w:rStyle w:val="Strong"/>
          <w:rFonts w:ascii="Verdana" w:hAnsi="Verdana" w:cs="Verdana"/>
          <w:b w:val="0"/>
          <w:bCs w:val="0"/>
          <w:lang w:val="en-US"/>
        </w:rPr>
        <w:t>misclassifications</w:t>
      </w:r>
      <w:r>
        <w:rPr>
          <w:rFonts w:ascii="Verdana" w:hAnsi="Verdana" w:cs="Verdana"/>
        </w:rPr>
        <w:t xml:space="preserve"> in the “true positive (damage)” score versus the “true negative (no damage)” score of the algorithm – i.e. modulating sensitivity and specificity and simulating different physicians’ behaviour. e-ASPECTS and the human scorers were blinded for any clinical information except that a unilateral ischemic stroke in the anterior circulation was suspected. </w:t>
      </w:r>
    </w:p>
    <w:p w14:paraId="0AB8A7CA" w14:textId="77777777" w:rsidR="00AB40CB" w:rsidRDefault="00AB40CB">
      <w:pPr>
        <w:spacing w:line="360" w:lineRule="auto"/>
        <w:jc w:val="both"/>
        <w:rPr>
          <w:rFonts w:ascii="Verdana" w:hAnsi="Verdana" w:cs="Verdana"/>
        </w:rPr>
      </w:pPr>
    </w:p>
    <w:p w14:paraId="6909B205" w14:textId="77777777" w:rsidR="00AB40CB" w:rsidRDefault="005A3A00">
      <w:pPr>
        <w:spacing w:line="360" w:lineRule="auto"/>
        <w:jc w:val="both"/>
        <w:rPr>
          <w:rFonts w:ascii="Verdana" w:hAnsi="Verdana" w:cs="Verdana"/>
          <w:b/>
        </w:rPr>
      </w:pPr>
      <w:r>
        <w:rPr>
          <w:rFonts w:ascii="Verdana" w:hAnsi="Verdana" w:cs="Verdana"/>
          <w:b/>
        </w:rPr>
        <w:t>Data analysis</w:t>
      </w:r>
    </w:p>
    <w:p w14:paraId="33FF4827" w14:textId="6BF4CCDD" w:rsidR="00AB40CB" w:rsidRDefault="005A3A00">
      <w:pPr>
        <w:suppressAutoHyphens w:val="0"/>
        <w:spacing w:line="360" w:lineRule="auto"/>
        <w:jc w:val="both"/>
      </w:pPr>
      <w:r>
        <w:rPr>
          <w:rFonts w:ascii="Verdana" w:hAnsi="Verdana" w:cs="Verdana"/>
        </w:rPr>
        <w:lastRenderedPageBreak/>
        <w:t xml:space="preserve">Prior to conduction of the study, a sample size calculation was carried out based on the methods of Ying Lu et al. </w:t>
      </w:r>
      <w:r>
        <w:fldChar w:fldCharType="begin"/>
      </w:r>
      <w:r>
        <w:instrText>ADDIN EN.CITE &lt;EndNote&gt;&lt;Cite&gt;&lt;Author&gt;Lu&lt;/Author&gt;&lt;Year&gt;2003&lt;/Year&gt;&lt;RecNum&gt;2380&lt;/RecNum&gt;&lt;DisplayText&gt;(10)&lt;/DisplayText&gt;&lt;record&gt;&lt;rec-number&gt;2380&lt;/rec-number&gt;&lt;foreign-keys&gt;&lt;key app="EN" db-id="5prezesd7xvewlepxvnxdf9kz9vxwarz5xrv" timestamp="1439053649"&gt;2380&lt;/key&gt;&lt;/foreign-keys&gt;&lt;ref-type name="Journal Article"&gt;17&lt;/ref-type&gt;&lt;contributors&gt;&lt;authors&gt;&lt;author&gt;Lu, Y.&lt;/author&gt;&lt;author&gt;Jin, H.&lt;/author&gt;&lt;author&gt;Genant, H. K.&lt;/author&gt;&lt;/authors&gt;&lt;/contributors&gt;&lt;auth-address&gt;Department of Radiology, Box 0629, University of California, San Francisco, San Francisco, CA 94143-0629, USA. ying.lu@radiology.ucsf.edu&lt;/auth-address&gt;&lt;titles&gt;&lt;title&gt;On the non-inferiority of a diagnostic test based on paired observations&lt;/title&gt;&lt;secondary-title&gt;Stat Med&lt;/secondary-title&gt;&lt;alt-title&gt;Statistics in medicine&lt;/alt-title&gt;&lt;/titles&gt;&lt;periodical&gt;&lt;full-title&gt;Stat Med&lt;/full-title&gt;&lt;abbr-1&gt;Statistics in medicine&lt;/abbr-1&gt;&lt;/periodical&gt;&lt;alt-periodical&gt;&lt;full-title&gt;Stat Med&lt;/full-title&gt;&lt;abbr-1&gt;Statistics in medicine&lt;/abbr-1&gt;&lt;/alt-periodical&gt;&lt;pages&gt;3029-44&lt;/pages&gt;&lt;volume&gt;22&lt;/volume&gt;&lt;number&gt;19&lt;/number&gt;&lt;keywords&gt;&lt;keyword&gt;Clinical Trials as Topic/statistics &amp;amp; numerical data&lt;/keyword&gt;&lt;keyword&gt;Diagnostic Tests, Routine/*standards/*statistics &amp;amp; numerical data&lt;/keyword&gt;&lt;keyword&gt;Humans&lt;/keyword&gt;&lt;keyword&gt;Osteoporosis/diagnosis&lt;/keyword&gt;&lt;keyword&gt;Sensitivity and Specificity&lt;/keyword&gt;&lt;/keywords&gt;&lt;dates&gt;&lt;year&gt;2003&lt;/year&gt;&lt;pub-dates&gt;&lt;date&gt;Oct 15&lt;/date&gt;&lt;/pub-dates&gt;&lt;/dates&gt;&lt;isbn&gt;0277-6715 (Print)&amp;#xD;0277-6715 (Linking)&lt;/isbn&gt;&lt;accession-num&gt;12973785&lt;/accession-num&gt;&lt;urls&gt;&lt;related-urls&gt;&lt;url&gt;http://www.ncbi.nlm.nih.gov/pubmed/12973785&lt;/url&gt;&lt;/related-urls&gt;&lt;/urls&gt;&lt;electronic-resource-num&gt;10.1002/sim.1569&lt;/electronic-resource-num&gt;&lt;/record&gt;&lt;/Cite&gt;&lt;/EndNote&gt;</w:instrText>
      </w:r>
      <w:r>
        <w:fldChar w:fldCharType="separate"/>
      </w:r>
      <w:bookmarkStart w:id="10" w:name="__Fieldmark__431_1292349258"/>
      <w:r>
        <w:rPr>
          <w:rFonts w:ascii="Verdana" w:hAnsi="Verdana" w:cs="Verdana"/>
        </w:rPr>
        <w:t>(10)</w:t>
      </w:r>
      <w:r>
        <w:fldChar w:fldCharType="end"/>
      </w:r>
      <w:bookmarkEnd w:id="10"/>
      <w:r>
        <w:rPr>
          <w:rFonts w:ascii="Verdana" w:hAnsi="Verdana" w:cs="Verdana"/>
        </w:rPr>
        <w:t xml:space="preserve"> for simultaneous comparison of sensitivity and specificity (suppl. material). </w:t>
      </w:r>
      <w:r>
        <w:rPr>
          <w:rFonts w:ascii="Verdana" w:hAnsi="Verdana" w:cs="Verdana"/>
          <w:lang w:val="en-US"/>
        </w:rPr>
        <w:t>The non-inferiority margin was set to 10% for both sensitivity and specificity</w:t>
      </w:r>
      <w:r w:rsidR="004728BC">
        <w:rPr>
          <w:rFonts w:ascii="Verdana" w:hAnsi="Verdana" w:cs="Verdana"/>
          <w:lang w:val="en-US"/>
        </w:rPr>
        <w:t xml:space="preserve">, </w:t>
      </w:r>
      <w:r w:rsidR="004728BC" w:rsidRPr="004728BC">
        <w:rPr>
          <w:rFonts w:ascii="Verdana" w:hAnsi="Verdana" w:cs="Verdana"/>
          <w:highlight w:val="yellow"/>
          <w:lang w:val="en-US"/>
        </w:rPr>
        <w:t>based on our previous clinical experience (</w:t>
      </w:r>
      <w:r w:rsidR="00EB6175">
        <w:rPr>
          <w:rFonts w:ascii="Verdana" w:hAnsi="Verdana" w:cs="Verdana"/>
          <w:highlight w:val="yellow"/>
          <w:lang w:val="en-US"/>
        </w:rPr>
        <w:t>suppl. material</w:t>
      </w:r>
      <w:r w:rsidR="004728BC" w:rsidRPr="004728BC">
        <w:rPr>
          <w:rFonts w:ascii="Verdana" w:hAnsi="Verdana" w:cs="Verdana"/>
          <w:highlight w:val="yellow"/>
          <w:lang w:val="en-US"/>
        </w:rPr>
        <w:t>)</w:t>
      </w:r>
      <w:r>
        <w:rPr>
          <w:rFonts w:ascii="Verdana" w:hAnsi="Verdana" w:cs="Verdana"/>
          <w:lang w:val="en-US"/>
        </w:rPr>
        <w:t xml:space="preserve">.  </w:t>
      </w:r>
      <w:r>
        <w:rPr>
          <w:rFonts w:ascii="Verdana" w:hAnsi="Verdana" w:cs="Verdana"/>
        </w:rPr>
        <w:t xml:space="preserve">This calculation yielded 128 necessary patients, i.e. 2560 ASPECTS regions for a region based analysis (see below). </w:t>
      </w:r>
    </w:p>
    <w:p w14:paraId="637FCDF1" w14:textId="77777777" w:rsidR="00AB40CB" w:rsidRDefault="00AB40CB">
      <w:pPr>
        <w:suppressAutoHyphens w:val="0"/>
        <w:spacing w:line="360" w:lineRule="auto"/>
        <w:jc w:val="both"/>
        <w:rPr>
          <w:rFonts w:ascii="Verdana" w:hAnsi="Verdana" w:cs="Verdana"/>
        </w:rPr>
      </w:pPr>
    </w:p>
    <w:p w14:paraId="390C8538" w14:textId="77777777" w:rsidR="00AB40CB" w:rsidRDefault="005A3A00">
      <w:pPr>
        <w:spacing w:line="360" w:lineRule="auto"/>
        <w:jc w:val="both"/>
      </w:pPr>
      <w:r>
        <w:rPr>
          <w:rFonts w:ascii="Verdana" w:hAnsi="Verdana" w:cs="Verdana"/>
        </w:rPr>
        <w:t xml:space="preserve">Sensitivity and specificity as well as accuracy based on true positive (TP), true negative (TN), false positives (FP) and false negative (FN) scores were calculated individually </w:t>
      </w:r>
      <w:r>
        <w:rPr>
          <w:rFonts w:ascii="Verdana" w:hAnsi="Verdana" w:cs="Verdana"/>
        </w:rPr>
        <w:lastRenderedPageBreak/>
        <w:t xml:space="preserve">over all ASPECTS regions and for the overall ASPECTS score for each e-ASPECTS OP and each NRAD. Since the results were expected to be correlated within patients, two methods for clustered data were used to estimate sensitivity and specificity (and 95% confidence intervals):  variance adjustment using a sandwich estimator and generalized estimating equations (GEE) </w:t>
      </w:r>
      <w:r>
        <w:fldChar w:fldCharType="begin"/>
      </w:r>
      <w:r>
        <w:instrText>ADDIN EN.CITE &lt;EndNote&gt;&lt;Cite&gt;&lt;Author&gt;Genders&lt;/Author&gt;&lt;Year&gt;2012&lt;/Year&gt;&lt;RecNum&gt;2389&lt;/RecNum&gt;&lt;DisplayText&gt;(11)&lt;/DisplayText&gt;&lt;record&gt;&lt;rec-number&gt;2389&lt;/rec-number&gt;&lt;foreign-keys&gt;&lt;key app="EN" db-id="5prezesd7xvewlepxvnxdf9kz9vxwarz5xrv" timestamp="1442815183"&gt;2389&lt;/key&gt;&lt;/foreign-keys&gt;&lt;ref-type name="Journal Article"&gt;17&lt;/ref-type&gt;&lt;contributors&gt;&lt;authors&gt;&lt;author&gt;Genders, T. S.&lt;/author&gt;&lt;author&gt;Spronk, S.&lt;/author&gt;&lt;author&gt;Stijnen, T.&lt;/author&gt;&lt;author&gt;Steyerberg, E. W.&lt;/author&gt;&lt;author&gt;Lesaffre, E.&lt;/author&gt;&lt;author&gt;Hunink, M. G.&lt;/author&gt;&lt;/authors&gt;&lt;/contributors&gt;&lt;auth-address&gt;Departments of Epidemiology, Erasmus University Medical Center Rotterdam, PO Box 2040, 3000 CA Rotterdam, the Netherlands.&lt;/auth-address&gt;&lt;titles&gt;&lt;title&gt;Methods for calculating sensitivity and specificity of clustered data: a tutorial&lt;/title&gt;&lt;secondary-title&gt;Radiology&lt;/secondary-title&gt;&lt;alt-title&gt;Radiology&lt;/alt-title&gt;&lt;/titles&gt;&lt;periodical&gt;&lt;full-title&gt;Radiology&lt;/full-title&gt;&lt;abbr-1&gt;Radiology&lt;/abbr-1&gt;&lt;/periodical&gt;&lt;alt-periodical&gt;&lt;full-title&gt;Radiology&lt;/full-title&gt;&lt;abbr-1&gt;Radiology&lt;/abbr-1&gt;&lt;/alt-periodical&gt;&lt;pages&gt;910-6&lt;/pages&gt;&lt;volume&gt;265&lt;/volume&gt;&lt;number&gt;3&lt;/number&gt;&lt;keywords&gt;&lt;keyword&gt;Cluster Analysis&lt;/keyword&gt;&lt;keyword&gt;Coronary Disease/radiography&lt;/keyword&gt;&lt;keyword&gt;*Diagnostic Imaging&lt;/keyword&gt;&lt;keyword&gt;Humans&lt;/keyword&gt;&lt;keyword&gt;*Models, Statistical&lt;/keyword&gt;&lt;keyword&gt;Sensitivity and Specificity&lt;/keyword&gt;&lt;keyword&gt;Tomography, X-Ray Computed&lt;/keyword&gt;&lt;/keywords&gt;&lt;dates&gt;&lt;year&gt;2012&lt;/year&gt;&lt;pub-dates&gt;&lt;date&gt;Dec&lt;/date&gt;&lt;/pub-dates&gt;&lt;/dates&gt;&lt;isbn&gt;1527-1315 (Electronic)&amp;#xD;0033-8419 (Linking)&lt;/isbn&gt;&lt;accession-num&gt;23093680&lt;/accession-num&gt;&lt;urls&gt;&lt;related-urls&gt;&lt;url&gt;http://www.ncbi.nlm.nih.gov/pubmed/23093680&lt;/url&gt;&lt;/related-urls&gt;&lt;/urls&gt;&lt;electronic-resource-num&gt;10.1148/radiol.12120509&lt;/electronic-resource-num&gt;&lt;/record&gt;&lt;/Cite&gt;&lt;/EndNote&gt;</w:instrText>
      </w:r>
      <w:r>
        <w:fldChar w:fldCharType="separate"/>
      </w:r>
      <w:bookmarkStart w:id="11" w:name="__Fieldmark__445_1292349258"/>
      <w:r>
        <w:rPr>
          <w:rFonts w:ascii="Verdana" w:hAnsi="Verdana" w:cs="Verdana"/>
        </w:rPr>
        <w:t>(11)</w:t>
      </w:r>
      <w:r>
        <w:fldChar w:fldCharType="end"/>
      </w:r>
      <w:bookmarkEnd w:id="11"/>
      <w:r>
        <w:rPr>
          <w:rFonts w:ascii="Verdana" w:hAnsi="Verdana" w:cs="Verdana"/>
        </w:rPr>
        <w:t xml:space="preserve">. In the GEE approach, the estimated sensitivity (and specificity) is interpreted as the weighted average across the study population (“population averaged”). This approach hence delivers the mean sensitivity and specificity across all patient-specific estimates of sensitivity (and specificity). </w:t>
      </w:r>
    </w:p>
    <w:p w14:paraId="305F9A0C" w14:textId="77777777" w:rsidR="00AB40CB" w:rsidRDefault="00AB40CB">
      <w:pPr>
        <w:suppressAutoHyphens w:val="0"/>
        <w:spacing w:line="360" w:lineRule="auto"/>
        <w:jc w:val="both"/>
        <w:rPr>
          <w:rFonts w:ascii="Verdana" w:hAnsi="Verdana" w:cs="Verdana"/>
        </w:rPr>
      </w:pPr>
    </w:p>
    <w:p w14:paraId="5EA59CFE" w14:textId="77777777" w:rsidR="00AB40CB" w:rsidRDefault="005A3A00">
      <w:pPr>
        <w:suppressAutoHyphens w:val="0"/>
        <w:spacing w:line="360" w:lineRule="auto"/>
        <w:jc w:val="both"/>
        <w:rPr>
          <w:rFonts w:ascii="Verdana" w:hAnsi="Verdana" w:cs="Verdana"/>
          <w:iCs/>
          <w:lang w:val="en-US"/>
        </w:rPr>
      </w:pPr>
      <w:r>
        <w:rPr>
          <w:rFonts w:ascii="Verdana" w:hAnsi="Verdana" w:cs="Verdana"/>
        </w:rPr>
        <w:t xml:space="preserve">Receiver-operating characteristic (ROC) curves were generated for three analysis methods, for the region-based analysis (20*132 regions), the score-based analysis (10 points) and for the dichotomized ASPECTS score of &gt;5 (suppl. material). </w:t>
      </w:r>
    </w:p>
    <w:p w14:paraId="1284A5ED" w14:textId="77777777" w:rsidR="00AB40CB" w:rsidRDefault="00AB40CB">
      <w:pPr>
        <w:spacing w:line="360" w:lineRule="auto"/>
        <w:jc w:val="both"/>
        <w:rPr>
          <w:rFonts w:ascii="Verdana" w:hAnsi="Verdana" w:cs="Verdana"/>
          <w:lang w:val="en-US"/>
        </w:rPr>
      </w:pPr>
    </w:p>
    <w:p w14:paraId="05DE2CEC" w14:textId="4FC52F28" w:rsidR="00AB40CB" w:rsidRDefault="005A3A00">
      <w:pPr>
        <w:spacing w:line="360" w:lineRule="auto"/>
        <w:jc w:val="both"/>
      </w:pPr>
      <w:r>
        <w:rPr>
          <w:rFonts w:ascii="Verdana" w:hAnsi="Verdana" w:cs="Verdana"/>
        </w:rPr>
        <w:t xml:space="preserve">Sensitivities and specificities of the region-based analysis were then compared between each e-ASPECTS OP and each NRAD. The non-inferiority (one-sided) statistical test was calculated based on Lu et al </w:t>
      </w:r>
      <w:r>
        <w:fldChar w:fldCharType="begin"/>
      </w:r>
      <w:r>
        <w:instrText>ADDIN EN.CITE &lt;EndNote&gt;&lt;Cite&gt;&lt;Author&gt;Lu&lt;/Author&gt;&lt;Year&gt;2003&lt;/Year&gt;&lt;RecNum&gt;2380&lt;/RecNum&gt;&lt;DisplayText&gt;(10)&lt;/DisplayText&gt;&lt;record&gt;&lt;rec-number&gt;2380&lt;/rec-number&gt;&lt;foreign-keys&gt;&lt;key app="EN" db-id="5prezesd7xvewlepxvnxdf9kz9vxwarz5xrv" timestamp="1439053649"&gt;2380&lt;/key&gt;&lt;/foreign-keys&gt;&lt;ref-type name="Journal Article"&gt;17&lt;/ref-type&gt;&lt;contributors&gt;&lt;authors&gt;&lt;author&gt;Lu, Y.&lt;/author&gt;&lt;author&gt;Jin, H.&lt;/author&gt;&lt;author&gt;Genant, H. K.&lt;/author&gt;&lt;/authors&gt;&lt;/contributors&gt;&lt;auth-address&gt;Department of Radiology, Box 0629, University of California, San Francisco, San Francisco, CA 94143-0629, USA. ying.lu@radiology.ucsf.edu&lt;/auth-address&gt;&lt;titles&gt;&lt;title&gt;On the non-inferiority of a diagnostic test based on paired observations&lt;/title&gt;&lt;secondary-title&gt;Stat Med&lt;/secondary-title&gt;&lt;alt-title&gt;Statistics in medicine&lt;/alt-title&gt;&lt;/titles&gt;&lt;periodical&gt;&lt;full-title&gt;Stat Med&lt;/full-title&gt;&lt;abbr-1&gt;Statistics in medicine&lt;/abbr-1&gt;&lt;/periodical&gt;&lt;alt-periodical&gt;&lt;full-title&gt;Stat Med&lt;/full-title&gt;&lt;abbr-1&gt;Statistics in medicine&lt;/abbr-1&gt;&lt;/alt-periodical&gt;&lt;pages&gt;3029-44&lt;/pages&gt;&lt;volume&gt;22&lt;/volume&gt;&lt;number&gt;19&lt;/number&gt;&lt;keywords&gt;&lt;keyword&gt;Clinical Trials as Topic/statistics &amp;amp; numerical data&lt;/keyword&gt;&lt;keyword&gt;Diagnostic Tests, Routine/*standards/*statistics &amp;amp; numerical data&lt;/keyword&gt;&lt;keyword&gt;Humans&lt;/keyword&gt;&lt;keyword&gt;Osteoporosis/diagnosis&lt;/keyword&gt;&lt;keyword&gt;Sensitivity and Specificity&lt;/keyword&gt;&lt;/keywords&gt;&lt;dates&gt;&lt;year&gt;2003&lt;/year&gt;&lt;pub-dates&gt;&lt;date&gt;Oct 15&lt;/date&gt;&lt;/pub-dates&gt;&lt;/dates&gt;&lt;isbn&gt;0277-6715 (Print)&amp;#xD;0277-6715 (Linking)&lt;/isbn&gt;&lt;accession-num&gt;12973785&lt;/accession-num&gt;&lt;urls&gt;&lt;related-urls&gt;&lt;url&gt;http://www.ncbi.nlm.nih.gov/pubmed/12973785&lt;/url&gt;&lt;/related-urls&gt;&lt;/urls&gt;&lt;electronic-resource-num&gt;10.1002/sim.1569&lt;/electronic-resource-num&gt;&lt;/record&gt;&lt;/Cite&gt;&lt;/EndNote&gt;</w:instrText>
      </w:r>
      <w:r>
        <w:fldChar w:fldCharType="separate"/>
      </w:r>
      <w:bookmarkStart w:id="12" w:name="__Fieldmark__460_1292349258"/>
      <w:r>
        <w:rPr>
          <w:rFonts w:ascii="Verdana" w:hAnsi="Verdana" w:cs="Verdana"/>
        </w:rPr>
        <w:t>(10)</w:t>
      </w:r>
      <w:r>
        <w:fldChar w:fldCharType="end"/>
      </w:r>
      <w:bookmarkEnd w:id="12"/>
      <w:r w:rsidR="00EA095D">
        <w:rPr>
          <w:rFonts w:ascii="Verdana" w:hAnsi="Verdana" w:cs="Verdana"/>
        </w:rPr>
        <w:t xml:space="preserve">. The </w:t>
      </w:r>
      <w:r w:rsidR="00EA095D" w:rsidRPr="00EA095D">
        <w:rPr>
          <w:rFonts w:ascii="Verdana" w:hAnsi="Verdana" w:cs="Verdana"/>
          <w:highlight w:val="yellow"/>
        </w:rPr>
        <w:t>95</w:t>
      </w:r>
      <w:r w:rsidRPr="00EA095D">
        <w:rPr>
          <w:rFonts w:ascii="Verdana" w:hAnsi="Verdana" w:cs="Verdana"/>
          <w:highlight w:val="yellow"/>
        </w:rPr>
        <w:t>% confidence</w:t>
      </w:r>
      <w:r>
        <w:rPr>
          <w:rFonts w:ascii="Verdana" w:hAnsi="Verdana" w:cs="Verdana"/>
        </w:rPr>
        <w:t xml:space="preserve"> intervals for the difference between e-</w:t>
      </w:r>
      <w:r>
        <w:rPr>
          <w:rFonts w:ascii="Verdana" w:hAnsi="Verdana" w:cs="Verdana"/>
        </w:rPr>
        <w:lastRenderedPageBreak/>
        <w:t xml:space="preserve">ASPECTS and scorers are based on the Adjusted Wald Method </w:t>
      </w:r>
      <w:r>
        <w:fldChar w:fldCharType="begin"/>
      </w:r>
      <w:r>
        <w:instrText>ADDIN EN.CITE &lt;EndNote&gt;&lt;Cite&gt;&lt;Author&gt;Bonett&lt;/Author&gt;&lt;Year&gt;2012&lt;/Year&gt;&lt;RecNum&gt;2390&lt;/RecNum&gt;&lt;DisplayText&gt;(12)&lt;/DisplayText&gt;&lt;record&gt;&lt;rec-number&gt;2390&lt;/rec-number&gt;&lt;foreign-keys&gt;&lt;key app="EN" db-id="5prezesd7xvewlepxvnxdf9kz9vxwarz5xrv" timestamp="1443438787"&gt;2390&lt;/key&gt;&lt;/foreign-keys&gt;&lt;ref-type name="Journal Article"&gt;17&lt;/ref-type&gt;&lt;contributors&gt;&lt;authors&gt;&lt;author&gt;Bonett, D&lt;/author&gt;&lt;author&gt;Price, R.&lt;/author&gt;&lt;/authors&gt;&lt;/contributors&gt;&lt;titles&gt;&lt;title&gt;Adjusted Wald Confidence Interval for a Difference of Binomial Proportions Based on Paired Data&lt;/title&gt;&lt;secondary-title&gt;Journal of Educational and Behavioural Statistics&lt;/secondary-title&gt;&lt;/titles&gt;&lt;periodical&gt;&lt;full-title&gt;Journal of Educational and Behavioural Statistics&lt;/full-title&gt;&lt;/periodical&gt;&lt;pages&gt;479-488&lt;/pages&gt;&lt;volume&gt;37&lt;/volume&gt;&lt;number&gt;No. 4&lt;/number&gt;&lt;dates&gt;&lt;year&gt;2012&lt;/year&gt;&lt;/dates&gt;&lt;urls&gt;&lt;/urls&gt;&lt;/record&gt;&lt;/Cite&gt;&lt;/EndNote&gt;</w:instrText>
      </w:r>
      <w:r>
        <w:fldChar w:fldCharType="separate"/>
      </w:r>
      <w:bookmarkStart w:id="13" w:name="__Fieldmark__465_1292349258"/>
      <w:r>
        <w:rPr>
          <w:rFonts w:ascii="Verdana" w:hAnsi="Verdana" w:cs="Verdana"/>
        </w:rPr>
        <w:t>(12)</w:t>
      </w:r>
      <w:r>
        <w:fldChar w:fldCharType="end"/>
      </w:r>
      <w:bookmarkEnd w:id="13"/>
      <w:r>
        <w:rPr>
          <w:rFonts w:ascii="Verdana" w:hAnsi="Verdana" w:cs="Verdana"/>
        </w:rPr>
        <w:t>. As a sensitiv</w:t>
      </w:r>
      <w:r w:rsidR="00EA095D">
        <w:rPr>
          <w:rFonts w:ascii="Verdana" w:hAnsi="Verdana" w:cs="Verdana"/>
        </w:rPr>
        <w:t xml:space="preserve">ity analysis, differences and </w:t>
      </w:r>
      <w:r w:rsidR="00EA095D" w:rsidRPr="00EA095D">
        <w:rPr>
          <w:rFonts w:ascii="Verdana" w:hAnsi="Verdana" w:cs="Verdana"/>
          <w:highlight w:val="yellow"/>
        </w:rPr>
        <w:t>95</w:t>
      </w:r>
      <w:r w:rsidRPr="00EA095D">
        <w:rPr>
          <w:rFonts w:ascii="Verdana" w:hAnsi="Verdana" w:cs="Verdana"/>
          <w:highlight w:val="yellow"/>
        </w:rPr>
        <w:t>% confidence</w:t>
      </w:r>
      <w:r>
        <w:rPr>
          <w:rFonts w:ascii="Verdana" w:hAnsi="Verdana" w:cs="Verdana"/>
        </w:rPr>
        <w:t xml:space="preserve"> intervals were also calculated using GEE to take account of potential correlations within patients. For each given couple of e-ASPECTS OP and scorers, if the lower </w:t>
      </w:r>
      <w:r w:rsidRPr="00EA095D">
        <w:rPr>
          <w:rFonts w:ascii="Verdana" w:hAnsi="Verdana" w:cs="Verdana"/>
          <w:highlight w:val="yellow"/>
        </w:rPr>
        <w:t>9</w:t>
      </w:r>
      <w:r w:rsidR="00EA095D" w:rsidRPr="00EA095D">
        <w:rPr>
          <w:rFonts w:ascii="Verdana" w:hAnsi="Verdana" w:cs="Verdana"/>
          <w:highlight w:val="yellow"/>
        </w:rPr>
        <w:t>5</w:t>
      </w:r>
      <w:r w:rsidRPr="00EA095D">
        <w:rPr>
          <w:rFonts w:ascii="Verdana" w:hAnsi="Verdana" w:cs="Verdana"/>
          <w:highlight w:val="yellow"/>
        </w:rPr>
        <w:t>% confidence</w:t>
      </w:r>
      <w:r>
        <w:rPr>
          <w:rFonts w:ascii="Verdana" w:hAnsi="Verdana" w:cs="Verdana"/>
        </w:rPr>
        <w:t xml:space="preserve"> interval boundary for the difference of e-ASPECTS minus score does not cross -10% (the non-inferiority margin) for both sensitivity and specificity, then non-inferiority can be concluded; furthermore if in addition the upper boundary for the confidence interval of the difference does not cross +10%, then equivalence can be concluded. </w:t>
      </w:r>
    </w:p>
    <w:p w14:paraId="376E1993" w14:textId="77777777" w:rsidR="00AB40CB" w:rsidRDefault="00AB40CB">
      <w:pPr>
        <w:spacing w:line="360" w:lineRule="auto"/>
        <w:jc w:val="both"/>
        <w:rPr>
          <w:rFonts w:ascii="Verdana" w:hAnsi="Verdana" w:cs="Verdana"/>
        </w:rPr>
      </w:pPr>
    </w:p>
    <w:p w14:paraId="15D7ECF4" w14:textId="77777777" w:rsidR="00AB40CB" w:rsidRDefault="005A3A00">
      <w:pPr>
        <w:spacing w:line="360" w:lineRule="auto"/>
        <w:jc w:val="both"/>
        <w:rPr>
          <w:rFonts w:ascii="Verdana" w:hAnsi="Verdana" w:cs="Verdana"/>
          <w:b/>
        </w:rPr>
      </w:pPr>
      <w:r>
        <w:rPr>
          <w:rFonts w:ascii="Verdana" w:hAnsi="Verdana" w:cs="Verdana"/>
        </w:rPr>
        <w:t>Matthews correlation coefficients (MCC) which range between [-1;1]  (0 = random prediction) were also calculated. The MCC summarises in a single value the performance in damage detection in the unbalanced dataset since there are a large number of true negative from the 10 contra-lateral regions for each case. Additionally, Bland-Altman plots and histograms were generated for e-ASPECTS OP#4 and grouped for all NRADs in order to illustrate the distribution of the error in ASPECTS score.</w:t>
      </w:r>
      <w:r>
        <w:br w:type="page"/>
      </w:r>
    </w:p>
    <w:p w14:paraId="17AA0A3C" w14:textId="77777777" w:rsidR="00AB40CB" w:rsidRDefault="005A3A00">
      <w:pPr>
        <w:spacing w:line="360" w:lineRule="auto"/>
        <w:jc w:val="both"/>
        <w:rPr>
          <w:rFonts w:ascii="Verdana" w:hAnsi="Verdana" w:cs="Verdana"/>
        </w:rPr>
      </w:pPr>
      <w:r>
        <w:rPr>
          <w:rFonts w:ascii="Verdana" w:hAnsi="Verdana" w:cs="Verdana"/>
          <w:b/>
        </w:rPr>
        <w:lastRenderedPageBreak/>
        <w:t>Results</w:t>
      </w:r>
    </w:p>
    <w:p w14:paraId="71575F1C" w14:textId="77777777" w:rsidR="00AB40CB" w:rsidRDefault="00AB40CB">
      <w:pPr>
        <w:spacing w:line="360" w:lineRule="auto"/>
        <w:jc w:val="both"/>
        <w:rPr>
          <w:rFonts w:ascii="Verdana" w:hAnsi="Verdana" w:cs="Verdana"/>
        </w:rPr>
      </w:pPr>
    </w:p>
    <w:p w14:paraId="3FE8A1AB" w14:textId="77777777" w:rsidR="00AB40CB" w:rsidRDefault="005A3A00">
      <w:pPr>
        <w:spacing w:line="360" w:lineRule="auto"/>
        <w:jc w:val="both"/>
        <w:rPr>
          <w:rFonts w:ascii="Verdana" w:hAnsi="Verdana" w:cs="Verdana"/>
        </w:rPr>
      </w:pPr>
      <w:r>
        <w:rPr>
          <w:rFonts w:ascii="Verdana" w:hAnsi="Verdana" w:cs="Verdana"/>
        </w:rPr>
        <w:t xml:space="preserve">In total 134 patients who met the inclusion criteria were identified.  Two patients had to be excluded because the core lab deemed CT imaging artifacts impaired image analyses by NRADs and e-ASPECTS. Finally, 132 patients were included in the study and 2640 ASPECTS regions were analysed. Median age of the patients was 72 years (63-79, IQR) and 55% were male. Mean time from onset to baseline CT was 146+/-124 min and median NIHSS was 11 (6-17, IQR). Three patients were treated with an endovascular approach and 123 patients were treated </w:t>
      </w:r>
      <w:r>
        <w:rPr>
          <w:rFonts w:ascii="Verdana" w:hAnsi="Verdana" w:cs="Verdana"/>
        </w:rPr>
        <w:lastRenderedPageBreak/>
        <w:t>with intravenous thrombolysis.  Median ASPECTS for the ground truth on follow up imaging was 8 (6-9 IQR, Suppl. Figure).</w:t>
      </w:r>
    </w:p>
    <w:p w14:paraId="5A8EF78F" w14:textId="77777777" w:rsidR="00AB40CB" w:rsidRDefault="00AB40CB">
      <w:pPr>
        <w:spacing w:line="360" w:lineRule="auto"/>
        <w:jc w:val="both"/>
        <w:rPr>
          <w:rFonts w:ascii="Verdana" w:hAnsi="Verdana" w:cs="Verdana"/>
          <w:b/>
        </w:rPr>
      </w:pPr>
    </w:p>
    <w:p w14:paraId="39BC0C01" w14:textId="77777777" w:rsidR="00AB40CB" w:rsidRDefault="005A3A00">
      <w:pPr>
        <w:spacing w:line="360" w:lineRule="auto"/>
        <w:jc w:val="both"/>
        <w:rPr>
          <w:rFonts w:ascii="Verdana" w:hAnsi="Verdana" w:cs="Verdana"/>
        </w:rPr>
      </w:pPr>
      <w:r>
        <w:rPr>
          <w:rFonts w:ascii="Verdana" w:hAnsi="Verdana" w:cs="Verdana"/>
        </w:rPr>
        <w:t xml:space="preserve">All relevant scoring data, including true positive (TP), true negative (TN), false positive (FP) and false negative (FN) scores as well as respective sensitivity, specificity (with confidence intervals for both methods) and accuracy for all e-ASPECTS OPs and all NRADs in the region based analysis are displayed in table 1. </w:t>
      </w:r>
    </w:p>
    <w:p w14:paraId="7E256125" w14:textId="77777777" w:rsidR="00AB40CB" w:rsidRDefault="00AB40CB">
      <w:pPr>
        <w:spacing w:line="360" w:lineRule="auto"/>
        <w:jc w:val="center"/>
        <w:rPr>
          <w:lang w:val="en-US"/>
        </w:rPr>
      </w:pPr>
    </w:p>
    <w:p w14:paraId="7B0CC006" w14:textId="77777777" w:rsidR="00AB40CB" w:rsidRDefault="005A3A00">
      <w:pPr>
        <w:spacing w:line="360" w:lineRule="auto"/>
        <w:jc w:val="both"/>
        <w:rPr>
          <w:rFonts w:ascii="Verdana" w:hAnsi="Verdana" w:cs="Verdana"/>
        </w:rPr>
      </w:pPr>
      <w:r>
        <w:rPr>
          <w:rFonts w:ascii="Verdana" w:hAnsi="Verdana" w:cs="Verdana"/>
        </w:rPr>
        <w:lastRenderedPageBreak/>
        <w:t xml:space="preserve">Importantly, the results for the two analysis methods show no relevant difference.  Sensitivity, specificity and accuracy were as follows for the human scorers: NRAD1 - 45%, 89% and 84%, NRAD2 – 27%, 96%, 88% and NRAD3 – 26%, 97% and 89%, respectively. For the three NRADs, sensitivity and specificity are also illustrated (triangles) in the ROC space on the Figure 1A.  </w:t>
      </w:r>
    </w:p>
    <w:p w14:paraId="332FA27D" w14:textId="77777777" w:rsidR="00AB40CB" w:rsidRDefault="00AB40CB">
      <w:pPr>
        <w:spacing w:line="360" w:lineRule="auto"/>
        <w:jc w:val="both"/>
        <w:rPr>
          <w:rFonts w:ascii="Verdana" w:hAnsi="Verdana" w:cs="Verdana"/>
        </w:rPr>
      </w:pPr>
    </w:p>
    <w:p w14:paraId="45795613" w14:textId="77777777" w:rsidR="00AB40CB" w:rsidRDefault="005A3A00">
      <w:pPr>
        <w:spacing w:line="360" w:lineRule="auto"/>
        <w:jc w:val="both"/>
        <w:rPr>
          <w:rFonts w:ascii="Verdana" w:hAnsi="Verdana" w:cs="Verdana"/>
        </w:rPr>
      </w:pPr>
      <w:r>
        <w:rPr>
          <w:rFonts w:ascii="Verdana" w:hAnsi="Verdana" w:cs="Verdana"/>
        </w:rPr>
        <w:t>Two e-ASPECTS OPs (#4 and#5) were statistically non-inferior to all three NRADs (all p-values &lt;0.003; 44%, 93%, 87% and 45%, 91%, 85% respectively for e-ASPECTS OP#4 and OP#5). The difference between e-</w:t>
      </w:r>
      <w:r>
        <w:rPr>
          <w:rFonts w:ascii="Verdana" w:hAnsi="Verdana" w:cs="Verdana"/>
        </w:rPr>
        <w:lastRenderedPageBreak/>
        <w:t xml:space="preserve">ASPECTS (OP#4 and #5) and NRADs is summarised in table 2 together with the p-values for the non-inferiority test. </w:t>
      </w:r>
    </w:p>
    <w:p w14:paraId="5AE7E760" w14:textId="77777777" w:rsidR="00AB40CB" w:rsidRDefault="00AB40CB">
      <w:pPr>
        <w:spacing w:line="360" w:lineRule="auto"/>
        <w:jc w:val="both"/>
        <w:rPr>
          <w:rFonts w:ascii="Verdana" w:hAnsi="Verdana" w:cs="Verdana"/>
        </w:rPr>
      </w:pPr>
    </w:p>
    <w:p w14:paraId="0DA42ADD" w14:textId="052BBFB3" w:rsidR="00AB40CB" w:rsidRDefault="005A3A00">
      <w:pPr>
        <w:spacing w:line="360" w:lineRule="auto"/>
        <w:jc w:val="both"/>
        <w:rPr>
          <w:rFonts w:ascii="Verdana" w:hAnsi="Verdana" w:cs="Verdana"/>
          <w:lang w:val="en-US"/>
        </w:rPr>
      </w:pPr>
      <w:r>
        <w:rPr>
          <w:rFonts w:ascii="Verdana" w:hAnsi="Verdana" w:cs="Verdana"/>
        </w:rPr>
        <w:t xml:space="preserve">In summary, both OPs were shown to be non-inferior to all NRADs (except for the GEE analysis of </w:t>
      </w:r>
      <w:r w:rsidRPr="00EA095D">
        <w:rPr>
          <w:rFonts w:ascii="Verdana" w:hAnsi="Verdana" w:cs="Verdana"/>
          <w:highlight w:val="yellow"/>
        </w:rPr>
        <w:t xml:space="preserve">OP#4 </w:t>
      </w:r>
      <w:r w:rsidR="00EA095D" w:rsidRPr="00EA095D">
        <w:rPr>
          <w:rFonts w:ascii="Verdana" w:hAnsi="Verdana" w:cs="Verdana"/>
          <w:highlight w:val="yellow"/>
        </w:rPr>
        <w:t xml:space="preserve">and OP#5 </w:t>
      </w:r>
      <w:r w:rsidRPr="00EA095D">
        <w:rPr>
          <w:rFonts w:ascii="Verdana" w:hAnsi="Verdana" w:cs="Verdana"/>
          <w:highlight w:val="yellow"/>
        </w:rPr>
        <w:t>vs. NRAD1</w:t>
      </w:r>
      <w:r>
        <w:rPr>
          <w:rFonts w:ascii="Verdana" w:hAnsi="Verdana" w:cs="Verdana"/>
        </w:rPr>
        <w:t>) for sensitivity and specificity; both OPs were equivalent to NRAD1 (</w:t>
      </w:r>
      <w:r w:rsidRPr="00EA095D">
        <w:rPr>
          <w:rFonts w:ascii="Verdana" w:hAnsi="Verdana" w:cs="Verdana"/>
          <w:highlight w:val="yellow"/>
        </w:rPr>
        <w:t>except for GEE analysis for OP#4</w:t>
      </w:r>
      <w:r w:rsidR="00EA095D" w:rsidRPr="00EA095D">
        <w:rPr>
          <w:rFonts w:ascii="Verdana" w:hAnsi="Verdana" w:cs="Verdana"/>
          <w:highlight w:val="yellow"/>
        </w:rPr>
        <w:t xml:space="preserve"> and OP#5</w:t>
      </w:r>
      <w:r>
        <w:rPr>
          <w:rFonts w:ascii="Verdana" w:hAnsi="Verdana" w:cs="Verdana"/>
        </w:rPr>
        <w:t>), for the other comparisons the OPs were equivalent for specificity and superior for sensitivity.</w:t>
      </w:r>
    </w:p>
    <w:p w14:paraId="6E0D23B8" w14:textId="77777777" w:rsidR="00AB40CB" w:rsidRDefault="00AB40CB">
      <w:pPr>
        <w:spacing w:line="360" w:lineRule="auto"/>
        <w:jc w:val="both"/>
        <w:rPr>
          <w:rFonts w:ascii="Verdana" w:hAnsi="Verdana" w:cs="Verdana"/>
          <w:lang w:val="en-US"/>
        </w:rPr>
      </w:pPr>
    </w:p>
    <w:p w14:paraId="092035F8" w14:textId="77777777" w:rsidR="00AB40CB" w:rsidRDefault="005A3A00">
      <w:pPr>
        <w:spacing w:line="360" w:lineRule="auto"/>
        <w:jc w:val="both"/>
        <w:rPr>
          <w:rFonts w:ascii="Verdana" w:hAnsi="Verdana" w:cs="Verdana"/>
        </w:rPr>
      </w:pPr>
      <w:r>
        <w:rPr>
          <w:rFonts w:ascii="Verdana" w:hAnsi="Verdana" w:cs="Verdana"/>
        </w:rPr>
        <w:lastRenderedPageBreak/>
        <w:t>These two e-ASPECTS OPs are also indicated in Figure 1. Two ROC curves illustrate the performance of e-ASPECTS against the human scorers, i.e. Figure 1B which is illustrating performance parameters in the score based analysis and Figure 1C which is illustrating sensitivity and specificity in the ROC space for a dichotomized analysis of ASPECTS&gt;5. Importantly, e-ASPECTS OP#4 identified 97% of patients with an ASPECTS&gt;5 correct</w:t>
      </w:r>
      <w:r>
        <w:rPr>
          <w:rFonts w:ascii="Verdana" w:hAnsi="Verdana" w:cs="Verdana"/>
          <w:lang w:val="en-US"/>
        </w:rPr>
        <w:t xml:space="preserve">ly. </w:t>
      </w:r>
    </w:p>
    <w:p w14:paraId="33C322C4" w14:textId="77777777" w:rsidR="00AB40CB" w:rsidRDefault="00AB40CB">
      <w:pPr>
        <w:spacing w:line="360" w:lineRule="auto"/>
        <w:jc w:val="both"/>
        <w:rPr>
          <w:rFonts w:ascii="Verdana" w:hAnsi="Verdana" w:cs="Verdana"/>
        </w:rPr>
      </w:pPr>
    </w:p>
    <w:p w14:paraId="60199178" w14:textId="77777777" w:rsidR="00AB40CB" w:rsidRDefault="005A3A00">
      <w:pPr>
        <w:spacing w:line="360" w:lineRule="auto"/>
        <w:jc w:val="both"/>
        <w:rPr>
          <w:rFonts w:ascii="Verdana" w:hAnsi="Verdana" w:cs="Verdana"/>
          <w:lang w:val="en-US"/>
        </w:rPr>
      </w:pPr>
      <w:r>
        <w:rPr>
          <w:rFonts w:ascii="Verdana" w:hAnsi="Verdana" w:cs="Verdana"/>
        </w:rPr>
        <w:t xml:space="preserve">For further comparison of e-ASPECTS OP#4 and the manual ASPECTS of all NRAD with the ground truth, Bland-Altman plots and histograms of score difference or </w:t>
      </w:r>
      <w:r>
        <w:rPr>
          <w:rFonts w:ascii="Verdana" w:hAnsi="Verdana" w:cs="Verdana"/>
        </w:rPr>
        <w:lastRenderedPageBreak/>
        <w:t xml:space="preserve">score error were generated. </w:t>
      </w:r>
      <w:r>
        <w:rPr>
          <w:rFonts w:ascii="Verdana" w:hAnsi="Verdana" w:cs="Verdana"/>
          <w:lang w:val="en-US"/>
        </w:rPr>
        <w:t>In Figure 2, the</w:t>
      </w:r>
      <w:r>
        <w:rPr>
          <w:rFonts w:ascii="Verdana" w:hAnsi="Verdana" w:cs="Verdana"/>
        </w:rPr>
        <w:t xml:space="preserve"> Bland-Altman</w:t>
      </w:r>
      <w:r>
        <w:rPr>
          <w:rFonts w:ascii="Verdana" w:hAnsi="Verdana" w:cs="Verdana"/>
          <w:lang w:val="en-US"/>
        </w:rPr>
        <w:t xml:space="preserve"> graph displays a scatter diagram of the differences between the ASPECTS score and</w:t>
      </w:r>
      <w:r>
        <w:rPr>
          <w:rFonts w:ascii="Verdana" w:hAnsi="Verdana" w:cs="Verdana"/>
        </w:rPr>
        <w:t xml:space="preserve"> ground truth </w:t>
      </w:r>
      <w:r>
        <w:rPr>
          <w:rFonts w:ascii="Verdana" w:hAnsi="Verdana" w:cs="Verdana"/>
          <w:lang w:val="en-US"/>
        </w:rPr>
        <w:t>plotted against the averages of the three scores. This graph allows to visually assess a possible absolute systematic error, respectively the mean error in scoring as compared to the ground truth.</w:t>
      </w:r>
    </w:p>
    <w:p w14:paraId="4FEE8162" w14:textId="77777777" w:rsidR="00AB40CB" w:rsidRDefault="00AB40CB">
      <w:pPr>
        <w:spacing w:line="360" w:lineRule="auto"/>
        <w:jc w:val="both"/>
        <w:rPr>
          <w:rFonts w:ascii="Verdana" w:hAnsi="Verdana" w:cs="Verdana"/>
          <w:lang w:val="en-US"/>
        </w:rPr>
      </w:pPr>
    </w:p>
    <w:p w14:paraId="0BE66FCF" w14:textId="77777777" w:rsidR="00AB40CB" w:rsidRDefault="005A3A00">
      <w:pPr>
        <w:spacing w:line="360" w:lineRule="auto"/>
        <w:jc w:val="both"/>
        <w:rPr>
          <w:rFonts w:ascii="Verdana" w:hAnsi="Verdana" w:cs="Verdana"/>
        </w:rPr>
      </w:pPr>
      <w:r>
        <w:rPr>
          <w:rFonts w:ascii="Verdana" w:hAnsi="Verdana" w:cs="Verdana"/>
        </w:rPr>
        <w:t xml:space="preserve">Finally, the Matthews correlation coefficient (MCC), used as a measure of binary classification accuracy, were best (0.36 and 0.34) for e-ASPECTS OP#4 and #5, </w:t>
      </w:r>
      <w:r>
        <w:rPr>
          <w:rFonts w:ascii="Verdana" w:hAnsi="Verdana" w:cs="Verdana"/>
        </w:rPr>
        <w:lastRenderedPageBreak/>
        <w:t>respectively, thereby showing better prediction of the ground truth by e-ASPECTS (table 1).</w:t>
      </w:r>
    </w:p>
    <w:p w14:paraId="225C1E8F" w14:textId="77777777" w:rsidR="00AB40CB" w:rsidRDefault="00AB40CB">
      <w:pPr>
        <w:spacing w:line="360" w:lineRule="auto"/>
        <w:jc w:val="both"/>
        <w:rPr>
          <w:rFonts w:ascii="Verdana" w:hAnsi="Verdana" w:cs="Verdana"/>
        </w:rPr>
      </w:pPr>
    </w:p>
    <w:p w14:paraId="430D1CEE" w14:textId="77777777" w:rsidR="00AB40CB" w:rsidRDefault="005A3A00">
      <w:pPr>
        <w:spacing w:line="360" w:lineRule="auto"/>
        <w:jc w:val="both"/>
        <w:rPr>
          <w:rFonts w:ascii="Verdana" w:hAnsi="Verdana" w:cs="Verdana"/>
        </w:rPr>
      </w:pPr>
      <w:r>
        <w:br w:type="page"/>
      </w:r>
    </w:p>
    <w:p w14:paraId="691BAD27" w14:textId="77777777" w:rsidR="00AB40CB" w:rsidRDefault="005A3A00">
      <w:pPr>
        <w:spacing w:line="360" w:lineRule="auto"/>
        <w:jc w:val="both"/>
        <w:rPr>
          <w:rFonts w:ascii="Verdana" w:hAnsi="Verdana" w:cs="Verdana"/>
        </w:rPr>
      </w:pPr>
      <w:r>
        <w:rPr>
          <w:rFonts w:ascii="Verdana" w:hAnsi="Verdana" w:cs="Verdana"/>
          <w:b/>
        </w:rPr>
        <w:lastRenderedPageBreak/>
        <w:t>Discussion</w:t>
      </w:r>
    </w:p>
    <w:p w14:paraId="65CE9113" w14:textId="77777777" w:rsidR="00AB40CB" w:rsidRDefault="00AB40CB">
      <w:pPr>
        <w:spacing w:line="360" w:lineRule="auto"/>
        <w:jc w:val="both"/>
        <w:rPr>
          <w:rFonts w:ascii="Verdana" w:hAnsi="Verdana" w:cs="Verdana"/>
        </w:rPr>
      </w:pPr>
    </w:p>
    <w:p w14:paraId="40A072EC" w14:textId="4347FAD1" w:rsidR="00AB40CB" w:rsidRDefault="005A3A00">
      <w:pPr>
        <w:spacing w:line="360" w:lineRule="auto"/>
        <w:jc w:val="both"/>
      </w:pPr>
      <w:r>
        <w:rPr>
          <w:rFonts w:ascii="Verdana" w:hAnsi="Verdana" w:cs="Verdana"/>
        </w:rPr>
        <w:t xml:space="preserve">This is the first trial to demonstrate equivalent specificity and non-inferior or even superior sensitivity of the e-ASPECTS software compared to ASPECTS scoring by experienced neuroradiologists (with specific expertise in acute stroke imaging) of baseline NCCTs from acute ischemic stroke patients. A previous monocentric </w:t>
      </w:r>
      <w:r w:rsidR="00EA095D">
        <w:rPr>
          <w:rFonts w:ascii="Verdana" w:hAnsi="Verdana" w:cs="Verdana"/>
        </w:rPr>
        <w:t xml:space="preserve">proof-of concept study </w:t>
      </w:r>
      <w:r>
        <w:rPr>
          <w:rFonts w:ascii="Verdana" w:hAnsi="Verdana" w:cs="Verdana"/>
        </w:rPr>
        <w:t xml:space="preserve">already demonstrated superiority of e-ASPECTS to stroke trainees regarding sensitivity of a region based analysis approach </w:t>
      </w:r>
      <w:r>
        <w:fldChar w:fldCharType="begin"/>
      </w:r>
      <w:r>
        <w:instrText>ADDIN EN.CITE &lt;EndNote&gt;&lt;Cite&gt;&lt;Author&gt;Herweh C.&lt;/Author&gt;&lt;Year&gt;2014&lt;/Year&gt;&lt;RecNum&gt;2391&lt;/RecNum&gt;&lt;DisplayText&gt;(9)&lt;/DisplayText&gt;&lt;record&gt;&lt;rec-number&gt;2391&lt;/rec-number&gt;&lt;foreign-keys&gt;&lt;key app="EN" db-id="5prezesd7xvewlepxvnxdf9kz9vxwarz5xrv" timestamp="1443440793"&gt;2391&lt;/key&gt;&lt;/foreign-keys&gt;&lt;ref-type name="Conference Paper"&gt;47&lt;/ref-type&gt;&lt;contributors&gt;&lt;authors&gt;&lt;author&gt;Herweh C., Ringleb P.A., Rauch G., Behrens L., Möhlenbruch M., Gottorf R., &lt;/author&gt;&lt;author&gt;Richter D., Schieber S., Nagel S.&lt;/author&gt;&lt;/authors&gt;&lt;/contributors&gt;&lt;titles&gt;&lt;title&gt;Similar performance on ASPECT scoring between stroke experts and an automated algorithm (e-ASPECTS) on  CT scans of acute ischemic stroke patients&lt;/title&gt;&lt;secondary-title&gt;World Stroke Conference&lt;/secondary-title&gt;&lt;/titles&gt;&lt;volume&gt;WSC-0917&lt;/volume&gt;&lt;dates&gt;&lt;year&gt;2014&lt;/year&gt;&lt;/dates&gt;&lt;pub-location&gt;Istanbul&lt;/pub-location&gt;&lt;urls&gt;&lt;/urls&gt;&lt;/record&gt;&lt;/Cite&gt;&lt;/EndNote&gt;</w:instrText>
      </w:r>
      <w:r>
        <w:fldChar w:fldCharType="separate"/>
      </w:r>
      <w:bookmarkStart w:id="14" w:name="__Fieldmark__537_1292349258"/>
      <w:r>
        <w:rPr>
          <w:rFonts w:ascii="Verdana" w:hAnsi="Verdana" w:cs="Verdana"/>
        </w:rPr>
        <w:t>(9)</w:t>
      </w:r>
      <w:r>
        <w:fldChar w:fldCharType="end"/>
      </w:r>
      <w:bookmarkEnd w:id="14"/>
      <w:r>
        <w:rPr>
          <w:rFonts w:ascii="Verdana" w:hAnsi="Verdana" w:cs="Verdana"/>
        </w:rPr>
        <w:t xml:space="preserve">. </w:t>
      </w:r>
    </w:p>
    <w:p w14:paraId="6665AC96" w14:textId="77777777" w:rsidR="00AB40CB" w:rsidRDefault="005A3A00">
      <w:pPr>
        <w:spacing w:line="360" w:lineRule="auto"/>
        <w:jc w:val="both"/>
        <w:rPr>
          <w:rFonts w:ascii="Verdana" w:hAnsi="Verdana" w:cs="Verdana"/>
        </w:rPr>
      </w:pPr>
      <w:r>
        <w:rPr>
          <w:rFonts w:ascii="Verdana" w:hAnsi="Verdana" w:cs="Verdana"/>
        </w:rPr>
        <w:lastRenderedPageBreak/>
        <w:t>In our multicentre, multiscanner study two different operating points (i.e. OP#4 and OP#5) of e-ASPECTS proved to be statistically non-inferior and equivalent to all three NRADs. Complementary analysis by Bland-Altman plots and MCCs confirmed the equal performance of the software and the human scorers when compared to the ground truth (Figures 1&amp;2).</w:t>
      </w:r>
    </w:p>
    <w:p w14:paraId="659AE310" w14:textId="77777777" w:rsidR="00AB40CB" w:rsidRDefault="005A3A00">
      <w:pPr>
        <w:spacing w:line="360" w:lineRule="auto"/>
        <w:jc w:val="both"/>
      </w:pPr>
      <w:r>
        <w:rPr>
          <w:rFonts w:ascii="Verdana" w:hAnsi="Verdana" w:cs="Verdana"/>
        </w:rPr>
        <w:t xml:space="preserve">In the past months, endovascular stroke therapy of the anterior circulation has been labelled as the “new standard of care” for patients with large vessel occlusion </w:t>
      </w:r>
      <w:r>
        <w:fldChar w:fldCharType="begin"/>
      </w:r>
      <w:r>
        <w:instrText>ADDIN EN.CITE.DATA</w:instrText>
      </w:r>
      <w:r>
        <w:fldChar w:fldCharType="separate"/>
      </w:r>
      <w:bookmarkStart w:id="15" w:name="__Fieldmark__555_1292349258"/>
      <w:bookmarkStart w:id="16" w:name="__Fieldmark__554_1292349258"/>
      <w:bookmarkEnd w:id="15"/>
      <w:r>
        <w:rPr>
          <w:rFonts w:ascii="Verdana" w:hAnsi="Verdana" w:cs="Verdana"/>
        </w:rPr>
        <w:t>(13)</w:t>
      </w:r>
      <w:r>
        <w:fldChar w:fldCharType="end"/>
      </w:r>
      <w:bookmarkEnd w:id="16"/>
      <w:r>
        <w:rPr>
          <w:rFonts w:ascii="Verdana" w:hAnsi="Verdana" w:cs="Verdana"/>
        </w:rPr>
        <w:t xml:space="preserve">. Recently, a systematic meta-analysis with 2423 patients supported this enthusiasm through an increased </w:t>
      </w:r>
      <w:r>
        <w:rPr>
          <w:rFonts w:ascii="Verdana" w:hAnsi="Verdana" w:cs="Verdana"/>
        </w:rPr>
        <w:lastRenderedPageBreak/>
        <w:t xml:space="preserve">odds ratio of 2.23 for favourable functional outcome (as compared to best medical treatment) when newer generation thrombectomy devices were employed in more than 50% of cases </w:t>
      </w:r>
      <w:r>
        <w:fldChar w:fldCharType="begin"/>
      </w:r>
      <w:r>
        <w:instrText>ADDIN EN.CITE.DATA</w:instrText>
      </w:r>
      <w:r>
        <w:fldChar w:fldCharType="separate"/>
      </w:r>
      <w:bookmarkStart w:id="17" w:name="__Fieldmark__566_1292349258"/>
      <w:bookmarkStart w:id="18" w:name="__Fieldmark__565_1292349258"/>
      <w:bookmarkEnd w:id="17"/>
      <w:r>
        <w:rPr>
          <w:rFonts w:ascii="Verdana" w:hAnsi="Verdana" w:cs="Verdana"/>
        </w:rPr>
        <w:t>(14)</w:t>
      </w:r>
      <w:r>
        <w:fldChar w:fldCharType="end"/>
      </w:r>
      <w:bookmarkEnd w:id="18"/>
      <w:r>
        <w:rPr>
          <w:rFonts w:ascii="Verdana" w:hAnsi="Verdana" w:cs="Verdana"/>
        </w:rPr>
        <w:t xml:space="preserve">. Importantly, the vast majority of patients in these trials were treated based on CT imaging. Selection of the appropriate patient for acute recanalization therapy, i.e. thrombolysis and endovascular treatment is an important process in each acute stroke service or referring hospital, that needs to happen rapidly. Next to the clinical information, i.e. age, time window, concomitant diseases, etc., information from imaging is essential to distinguish between patients </w:t>
      </w:r>
      <w:r>
        <w:rPr>
          <w:rFonts w:ascii="Verdana" w:hAnsi="Verdana" w:cs="Verdana"/>
        </w:rPr>
        <w:lastRenderedPageBreak/>
        <w:t xml:space="preserve">likely to benefit and those with a high probability of futile treatment. While the ASPECTS score has previously been shown to be a strong predictor of functional outcome following thrombolytic treatment </w:t>
      </w:r>
      <w:r>
        <w:fldChar w:fldCharType="begin"/>
      </w:r>
      <w:r>
        <w:instrText>ADDIN EN.CITE.DATA</w:instrText>
      </w:r>
      <w:r>
        <w:fldChar w:fldCharType="separate"/>
      </w:r>
      <w:bookmarkStart w:id="19" w:name="__Fieldmark__575_1292349258"/>
      <w:bookmarkStart w:id="20" w:name="__Fieldmark__574_1292349258"/>
      <w:bookmarkEnd w:id="19"/>
      <w:r>
        <w:rPr>
          <w:rFonts w:ascii="Verdana" w:hAnsi="Verdana" w:cs="Verdana"/>
        </w:rPr>
        <w:t>(1)</w:t>
      </w:r>
      <w:r>
        <w:fldChar w:fldCharType="end"/>
      </w:r>
      <w:bookmarkEnd w:id="20"/>
      <w:r>
        <w:rPr>
          <w:rFonts w:ascii="Verdana" w:hAnsi="Verdana" w:cs="Verdana"/>
        </w:rPr>
        <w:t xml:space="preserve">, it has now prospectively and successfully been demonstrated that it also predicts outcome after endovascular treatment. Importantly, the above mentioned, independent meta-analysis showed that both ASPECTS subgroups, 8-10 (minimal ischemic damage) and 5-7 (moderate ischemic damage) on baseline CT imaging were significantly associated with improved outcome (OR 2.1 and 2.04, respectively for mRS 0-2 against best medical treatment) </w:t>
      </w:r>
      <w:r>
        <w:lastRenderedPageBreak/>
        <w:fldChar w:fldCharType="begin"/>
      </w:r>
      <w:r>
        <w:instrText>ADDIN EN.CITE.DATA</w:instrText>
      </w:r>
      <w:r>
        <w:fldChar w:fldCharType="separate"/>
      </w:r>
      <w:bookmarkStart w:id="21" w:name="__Fieldmark__586_1292349258"/>
      <w:bookmarkStart w:id="22" w:name="__Fieldmark__585_1292349258"/>
      <w:bookmarkEnd w:id="21"/>
      <w:r>
        <w:rPr>
          <w:rFonts w:ascii="Verdana" w:hAnsi="Verdana" w:cs="Verdana"/>
        </w:rPr>
        <w:t>(14)</w:t>
      </w:r>
      <w:r>
        <w:fldChar w:fldCharType="end"/>
      </w:r>
      <w:bookmarkEnd w:id="22"/>
      <w:r>
        <w:rPr>
          <w:rFonts w:ascii="Verdana" w:hAnsi="Verdana" w:cs="Verdana"/>
        </w:rPr>
        <w:t xml:space="preserve">. Patients with a low ASPECTS of 0-4 showed no treatment benefit, although it needs to be mentioned that this analysis was only based on 28 patients of the MR-CLEAN trial. The recent ESO-Karolinska “consensus statement on mechanical thrombectomy in acute ischemic stroke” suggests that patients with radiological signs of large infarcts may be unsuitable for thrombectomy and proposes using the ASPECTS </w:t>
      </w:r>
      <w:r>
        <w:fldChar w:fldCharType="begin"/>
      </w:r>
      <w:r>
        <w:instrText>ADDIN EN.CITE.DATA</w:instrText>
      </w:r>
      <w:r>
        <w:fldChar w:fldCharType="separate"/>
      </w:r>
      <w:bookmarkStart w:id="23" w:name="__Fieldmark__606_1292349258"/>
      <w:bookmarkStart w:id="24" w:name="__Fieldmark__605_1292349258"/>
      <w:bookmarkEnd w:id="23"/>
      <w:r>
        <w:rPr>
          <w:rFonts w:ascii="Verdana" w:hAnsi="Verdana" w:cs="Verdana"/>
        </w:rPr>
        <w:t>(15)</w:t>
      </w:r>
      <w:r>
        <w:fldChar w:fldCharType="end"/>
      </w:r>
      <w:bookmarkEnd w:id="24"/>
      <w:r>
        <w:rPr>
          <w:rFonts w:ascii="Verdana" w:hAnsi="Verdana" w:cs="Verdana"/>
        </w:rPr>
        <w:t xml:space="preserve">. Moreover, </w:t>
      </w:r>
      <w:r>
        <w:rPr>
          <w:rFonts w:ascii="Verdana" w:hAnsi="Verdana" w:cs="Verdana"/>
          <w:lang w:val="en-US"/>
        </w:rPr>
        <w:t xml:space="preserve">The Stroke Imaging Research (STIR) group very recently recommended in a consensus statement to use ASPECTS on NCCT in order to determine infarct core size and to focus research on standardizing imaging and on image </w:t>
      </w:r>
      <w:r>
        <w:rPr>
          <w:rFonts w:ascii="Verdana" w:hAnsi="Verdana" w:cs="Verdana"/>
          <w:lang w:val="en-US"/>
        </w:rPr>
        <w:lastRenderedPageBreak/>
        <w:t xml:space="preserve">reconstruction algorithms </w:t>
      </w:r>
      <w:r>
        <w:fldChar w:fldCharType="begin"/>
      </w:r>
      <w:r>
        <w:instrText>ADDIN EN.CITE.DATA</w:instrText>
      </w:r>
      <w:r>
        <w:fldChar w:fldCharType="separate"/>
      </w:r>
      <w:bookmarkStart w:id="25" w:name="__Fieldmark__618_1292349258"/>
      <w:bookmarkStart w:id="26" w:name="__Fieldmark__617_1292349258"/>
      <w:bookmarkEnd w:id="25"/>
      <w:r>
        <w:rPr>
          <w:rFonts w:ascii="Verdana" w:hAnsi="Verdana" w:cs="Verdana"/>
          <w:lang w:val="en-US"/>
        </w:rPr>
        <w:t>(16)</w:t>
      </w:r>
      <w:r>
        <w:fldChar w:fldCharType="end"/>
      </w:r>
      <w:bookmarkEnd w:id="26"/>
      <w:r>
        <w:rPr>
          <w:rFonts w:ascii="Verdana" w:hAnsi="Verdana" w:cs="Verdana"/>
          <w:lang w:val="en-US"/>
        </w:rPr>
        <w:t xml:space="preserve">.  </w:t>
      </w:r>
      <w:r>
        <w:rPr>
          <w:rFonts w:ascii="Verdana" w:hAnsi="Verdana" w:cs="Verdana"/>
        </w:rPr>
        <w:t xml:space="preserve">J.C. Grotta and W. Hacke, after publication of the thrombectomy trials, pointed out that resources for endovascular treatment are still scarce and that community hospitals swiftly need to establish diagnostic and selection algorithms as well as communication and transportation pathways for eligible patients </w:t>
      </w:r>
      <w:r>
        <w:fldChar w:fldCharType="begin"/>
      </w:r>
      <w:r>
        <w:instrText>ADDIN EN.CITE.DATA</w:instrText>
      </w:r>
      <w:r>
        <w:fldChar w:fldCharType="separate"/>
      </w:r>
      <w:bookmarkStart w:id="27" w:name="__Fieldmark__631_1292349258"/>
      <w:bookmarkStart w:id="28" w:name="__Fieldmark__630_1292349258"/>
      <w:bookmarkEnd w:id="27"/>
      <w:r>
        <w:rPr>
          <w:rFonts w:ascii="Verdana" w:hAnsi="Verdana" w:cs="Verdana"/>
        </w:rPr>
        <w:t>(17)</w:t>
      </w:r>
      <w:r>
        <w:fldChar w:fldCharType="end"/>
      </w:r>
      <w:bookmarkEnd w:id="28"/>
      <w:r>
        <w:rPr>
          <w:rFonts w:ascii="Verdana" w:hAnsi="Verdana" w:cs="Verdana"/>
        </w:rPr>
        <w:t xml:space="preserve">. In this setting, e-ASPECTS might be a valuable tool especially for those referring hospitals, since expert assessment of NCCT imaging or even advanced perfusion CT imaging is rarely available 24/7. </w:t>
      </w:r>
    </w:p>
    <w:p w14:paraId="0205BE39" w14:textId="77777777" w:rsidR="00AB40CB" w:rsidRDefault="005A3A00">
      <w:pPr>
        <w:spacing w:line="360" w:lineRule="auto"/>
        <w:jc w:val="both"/>
        <w:rPr>
          <w:rFonts w:ascii="Verdana" w:hAnsi="Verdana" w:cs="Verdana"/>
        </w:rPr>
      </w:pPr>
      <w:r>
        <w:rPr>
          <w:rFonts w:ascii="Verdana" w:hAnsi="Verdana" w:cs="Verdana"/>
        </w:rPr>
        <w:t xml:space="preserve">The strengths of this study are the multicentric design, which meant that NCCTs were acquired with various CT </w:t>
      </w:r>
      <w:r>
        <w:rPr>
          <w:rFonts w:ascii="Verdana" w:hAnsi="Verdana" w:cs="Verdana"/>
        </w:rPr>
        <w:lastRenderedPageBreak/>
        <w:t xml:space="preserve">scanners indicating generalisation of the results. A limitation is surely that the ground truth was based on the assessment of both the baseline and the follow up CT scan by the core imaging lab and not on expeditious MRI or perfusion CT imaging; however that should not hamper the overall comparison between human NRAD scorers and e-ASPECTS, as any potential bias would affect equally human NRAD scorers and e-ASPECTS. Although e-ASPECTS is CE-marked, careful assessment of each CT scan by the physician to rule out other pathologies and haemorrhage is still mandatory. It is not intended to replace the physician’s assessment of the scan but it can </w:t>
      </w:r>
      <w:r>
        <w:rPr>
          <w:rFonts w:ascii="Verdana" w:hAnsi="Verdana" w:cs="Verdana"/>
        </w:rPr>
        <w:lastRenderedPageBreak/>
        <w:t>be a valuable second opinion and confirmation of the own interpretation on expert level.</w:t>
      </w:r>
    </w:p>
    <w:p w14:paraId="315F4947" w14:textId="77777777" w:rsidR="00AB40CB" w:rsidRDefault="00AB40CB">
      <w:pPr>
        <w:spacing w:line="360" w:lineRule="auto"/>
        <w:jc w:val="both"/>
        <w:rPr>
          <w:rFonts w:ascii="Verdana" w:hAnsi="Verdana" w:cs="Verdana"/>
        </w:rPr>
      </w:pPr>
    </w:p>
    <w:p w14:paraId="2F8B07F5" w14:textId="77777777" w:rsidR="00AB40CB" w:rsidRDefault="005A3A00">
      <w:pPr>
        <w:spacing w:line="360" w:lineRule="auto"/>
        <w:jc w:val="both"/>
        <w:rPr>
          <w:rFonts w:ascii="Verdana" w:hAnsi="Verdana" w:cs="Verdana"/>
          <w:b/>
        </w:rPr>
      </w:pPr>
      <w:r>
        <w:rPr>
          <w:rFonts w:ascii="Verdana" w:hAnsi="Verdana" w:cs="Verdana"/>
          <w:b/>
        </w:rPr>
        <w:t>Conclusions</w:t>
      </w:r>
    </w:p>
    <w:p w14:paraId="03BD0059" w14:textId="77777777" w:rsidR="00AB40CB" w:rsidRDefault="00AB40CB">
      <w:pPr>
        <w:spacing w:line="360" w:lineRule="auto"/>
        <w:jc w:val="both"/>
        <w:rPr>
          <w:rFonts w:ascii="Verdana" w:hAnsi="Verdana" w:cs="Verdana"/>
          <w:b/>
        </w:rPr>
      </w:pPr>
    </w:p>
    <w:p w14:paraId="04C30E9B" w14:textId="77777777" w:rsidR="00AB40CB" w:rsidRDefault="005A3A00">
      <w:pPr>
        <w:spacing w:line="360" w:lineRule="auto"/>
        <w:jc w:val="both"/>
        <w:rPr>
          <w:rFonts w:ascii="Verdana" w:hAnsi="Verdana" w:cs="Verdana"/>
          <w:b/>
        </w:rPr>
      </w:pPr>
      <w:r>
        <w:rPr>
          <w:rFonts w:ascii="Verdana" w:hAnsi="Verdana" w:cs="Verdana"/>
        </w:rPr>
        <w:t xml:space="preserve">In this multicentre trial with 132 patients, e-ASPECTS was shown to be non-inferior to experienced neuroradiologists in applying the ASPECTS score to NCCTs of acute ischemic stroke patients.  </w:t>
      </w:r>
    </w:p>
    <w:p w14:paraId="4A141398" w14:textId="77777777" w:rsidR="00AB40CB" w:rsidRDefault="00AB40CB">
      <w:pPr>
        <w:spacing w:line="360" w:lineRule="auto"/>
        <w:jc w:val="both"/>
        <w:rPr>
          <w:rFonts w:ascii="Verdana" w:hAnsi="Verdana" w:cs="Verdana"/>
        </w:rPr>
      </w:pPr>
    </w:p>
    <w:p w14:paraId="7F408C66" w14:textId="77777777" w:rsidR="00AB40CB" w:rsidRDefault="00AB40CB">
      <w:pPr>
        <w:spacing w:line="360" w:lineRule="auto"/>
        <w:jc w:val="both"/>
        <w:rPr>
          <w:rFonts w:ascii="Verdana" w:hAnsi="Verdana" w:cs="Verdana"/>
        </w:rPr>
      </w:pPr>
    </w:p>
    <w:p w14:paraId="6A57319E" w14:textId="77777777" w:rsidR="00AB40CB" w:rsidRDefault="005A3A00">
      <w:pPr>
        <w:spacing w:line="360" w:lineRule="auto"/>
        <w:jc w:val="both"/>
        <w:rPr>
          <w:rFonts w:ascii="Verdana" w:hAnsi="Verdana" w:cs="Verdana"/>
        </w:rPr>
      </w:pPr>
      <w:r>
        <w:rPr>
          <w:rFonts w:ascii="Verdana" w:hAnsi="Verdana" w:cs="Verdana"/>
          <w:b/>
        </w:rPr>
        <w:t>Acknowledgements</w:t>
      </w:r>
    </w:p>
    <w:p w14:paraId="2E177150" w14:textId="77777777" w:rsidR="00AB40CB" w:rsidRDefault="005A3A00">
      <w:pPr>
        <w:spacing w:line="360" w:lineRule="auto"/>
        <w:jc w:val="both"/>
        <w:rPr>
          <w:rFonts w:ascii="Verdana" w:hAnsi="Verdana" w:cs="Verdana"/>
        </w:rPr>
      </w:pPr>
      <w:r>
        <w:rPr>
          <w:rFonts w:ascii="Verdana" w:hAnsi="Verdana" w:cs="Verdana"/>
        </w:rPr>
        <w:lastRenderedPageBreak/>
        <w:t>The authors would like to express their gratefulness to Nicole Mueller (study nurse),</w:t>
      </w:r>
      <w:r>
        <w:rPr>
          <w:rFonts w:ascii="Verdana" w:hAnsi="Verdana" w:cs="Verdana"/>
          <w:vertAlign w:val="superscript"/>
        </w:rPr>
        <w:t xml:space="preserve"> </w:t>
      </w:r>
      <w:r>
        <w:rPr>
          <w:rFonts w:ascii="Verdana" w:hAnsi="Verdana" w:cs="Verdana"/>
          <w:lang w:val="en-US"/>
        </w:rPr>
        <w:t>Kim Wilde (study nurse)</w:t>
      </w:r>
      <w:r>
        <w:rPr>
          <w:rFonts w:ascii="Verdana" w:hAnsi="Verdana" w:cs="Verdana"/>
          <w:vertAlign w:val="superscript"/>
          <w:lang w:val="en-US"/>
        </w:rPr>
        <w:t xml:space="preserve"> </w:t>
      </w:r>
      <w:r>
        <w:rPr>
          <w:rFonts w:ascii="Verdana" w:hAnsi="Verdana" w:cs="Verdana"/>
          <w:lang w:val="en-US"/>
        </w:rPr>
        <w:t xml:space="preserve">and Oliver Anderson (Trial coordinator). </w:t>
      </w:r>
      <w:r>
        <w:rPr>
          <w:rFonts w:ascii="Verdana" w:hAnsi="Verdana" w:cs="Verdana"/>
        </w:rPr>
        <w:t>Elizabeth A. Warburton</w:t>
      </w:r>
      <w:r>
        <w:rPr>
          <w:rFonts w:ascii="Verdana" w:hAnsi="Verdana" w:cs="Verdana"/>
          <w:vertAlign w:val="superscript"/>
        </w:rPr>
        <w:t xml:space="preserve"> </w:t>
      </w:r>
      <w:r>
        <w:rPr>
          <w:rFonts w:ascii="Verdana" w:hAnsi="Verdana" w:cs="Verdana"/>
        </w:rPr>
        <w:t xml:space="preserve">received support from the NIHR BRC. </w:t>
      </w:r>
    </w:p>
    <w:p w14:paraId="5462C7A7" w14:textId="77777777" w:rsidR="00AB40CB" w:rsidRDefault="00AB40CB">
      <w:pPr>
        <w:spacing w:line="360" w:lineRule="auto"/>
        <w:jc w:val="both"/>
        <w:rPr>
          <w:rFonts w:ascii="Verdana" w:hAnsi="Verdana" w:cs="Verdana"/>
        </w:rPr>
      </w:pPr>
    </w:p>
    <w:p w14:paraId="6C923758" w14:textId="77777777" w:rsidR="00AB40CB" w:rsidRDefault="005A3A00">
      <w:pPr>
        <w:spacing w:line="360" w:lineRule="auto"/>
        <w:jc w:val="both"/>
        <w:rPr>
          <w:rFonts w:ascii="Verdana" w:hAnsi="Verdana" w:cs="Verdana"/>
        </w:rPr>
      </w:pPr>
      <w:r>
        <w:rPr>
          <w:rFonts w:ascii="Verdana" w:hAnsi="Verdana" w:cs="Verdana"/>
          <w:b/>
        </w:rPr>
        <w:t xml:space="preserve">Source of Funding </w:t>
      </w:r>
    </w:p>
    <w:p w14:paraId="40621777" w14:textId="77777777" w:rsidR="00AB40CB" w:rsidRDefault="005A3A00">
      <w:pPr>
        <w:spacing w:line="360" w:lineRule="auto"/>
        <w:jc w:val="both"/>
        <w:rPr>
          <w:rFonts w:ascii="Verdana" w:hAnsi="Verdana" w:cs="Verdana"/>
        </w:rPr>
      </w:pPr>
      <w:r>
        <w:rPr>
          <w:rFonts w:ascii="Verdana" w:hAnsi="Verdana" w:cs="Verdana"/>
        </w:rPr>
        <w:t>This study was funded by Brainomix Ltd and sponsored by the</w:t>
      </w:r>
      <w:r>
        <w:rPr>
          <w:rFonts w:ascii="Verdana" w:hAnsi="Verdana" w:cs="Verdana"/>
          <w:lang w:val="en-AU"/>
        </w:rPr>
        <w:t xml:space="preserve"> </w:t>
      </w:r>
      <w:bookmarkStart w:id="29" w:name="__DdeLink__1894_1292349258"/>
      <w:r>
        <w:rPr>
          <w:rFonts w:ascii="Verdana" w:hAnsi="Verdana" w:cs="Verdana"/>
          <w:lang w:val="en-AU"/>
        </w:rPr>
        <w:t>Anglia Ruskin University Higher Education Corporation</w:t>
      </w:r>
      <w:bookmarkEnd w:id="29"/>
      <w:r>
        <w:rPr>
          <w:rFonts w:ascii="Verdana" w:hAnsi="Verdana" w:cs="Verdana"/>
        </w:rPr>
        <w:t>.</w:t>
      </w:r>
    </w:p>
    <w:p w14:paraId="0E2B0AAC" w14:textId="77777777" w:rsidR="00AB40CB" w:rsidRDefault="00AB40CB">
      <w:pPr>
        <w:spacing w:line="360" w:lineRule="auto"/>
        <w:jc w:val="both"/>
        <w:rPr>
          <w:rFonts w:ascii="Verdana" w:hAnsi="Verdana" w:cs="Verdana"/>
          <w:b/>
        </w:rPr>
      </w:pPr>
    </w:p>
    <w:p w14:paraId="2445252E" w14:textId="77777777" w:rsidR="00AB40CB" w:rsidRDefault="005A3A00">
      <w:pPr>
        <w:spacing w:line="360" w:lineRule="auto"/>
        <w:jc w:val="both"/>
        <w:rPr>
          <w:rFonts w:ascii="Verdana" w:hAnsi="Verdana" w:cs="Verdana"/>
        </w:rPr>
      </w:pPr>
      <w:r>
        <w:rPr>
          <w:rFonts w:ascii="Verdana" w:hAnsi="Verdana" w:cs="Verdana"/>
          <w:b/>
        </w:rPr>
        <w:t>Disclosures</w:t>
      </w:r>
    </w:p>
    <w:p w14:paraId="0BB00E23" w14:textId="77777777" w:rsidR="00AB40CB" w:rsidRDefault="005A3A00">
      <w:pPr>
        <w:spacing w:line="360" w:lineRule="auto"/>
        <w:jc w:val="both"/>
        <w:rPr>
          <w:rFonts w:ascii="Verdana" w:hAnsi="Verdana" w:cs="Verdana"/>
        </w:rPr>
      </w:pPr>
      <w:r>
        <w:rPr>
          <w:rFonts w:ascii="Verdana" w:hAnsi="Verdana" w:cs="Verdana"/>
        </w:rPr>
        <w:lastRenderedPageBreak/>
        <w:t>IQG, MP and AMB are co-founders of Brainomix Ltd. EG and OJ are employees of Brainomix. SN has received travel expenses and consulting fees from Brainomix. SG and Medical Imaging</w:t>
      </w:r>
      <w:r>
        <w:rPr>
          <w:rFonts w:ascii="Verdana" w:hAnsi="Verdana" w:cs="Verdana"/>
          <w:lang w:val="en-US"/>
        </w:rPr>
        <w:t xml:space="preserve"> Heidelberg GmbH were</w:t>
      </w:r>
      <w:r>
        <w:rPr>
          <w:rFonts w:ascii="Verdana" w:hAnsi="Verdana" w:cs="Verdana"/>
        </w:rPr>
        <w:t xml:space="preserve"> contracted for this study. All other authors declare no conflict of interest. </w:t>
      </w:r>
    </w:p>
    <w:p w14:paraId="7C1AFF92" w14:textId="77777777" w:rsidR="00AB40CB" w:rsidRDefault="00AB40CB">
      <w:pPr>
        <w:spacing w:line="360" w:lineRule="auto"/>
        <w:jc w:val="both"/>
        <w:rPr>
          <w:rFonts w:ascii="Verdana" w:hAnsi="Verdana" w:cs="Verdana"/>
        </w:rPr>
      </w:pPr>
    </w:p>
    <w:p w14:paraId="32CB8059" w14:textId="77777777" w:rsidR="00AB40CB" w:rsidRDefault="00AB40CB">
      <w:pPr>
        <w:spacing w:line="360" w:lineRule="auto"/>
        <w:jc w:val="both"/>
        <w:rPr>
          <w:rFonts w:ascii="Verdana" w:hAnsi="Verdana" w:cs="Verdana"/>
          <w:b/>
        </w:rPr>
      </w:pPr>
    </w:p>
    <w:p w14:paraId="440796FF" w14:textId="77777777" w:rsidR="00AB40CB" w:rsidRDefault="00AB40CB">
      <w:pPr>
        <w:spacing w:line="360" w:lineRule="auto"/>
        <w:jc w:val="both"/>
        <w:rPr>
          <w:rFonts w:ascii="Verdana" w:hAnsi="Verdana" w:cs="Verdana"/>
        </w:rPr>
      </w:pPr>
    </w:p>
    <w:p w14:paraId="7238851B" w14:textId="77777777" w:rsidR="00AB40CB" w:rsidRDefault="00AB40CB">
      <w:pPr>
        <w:spacing w:line="360" w:lineRule="auto"/>
        <w:jc w:val="both"/>
        <w:rPr>
          <w:rFonts w:ascii="Verdana" w:hAnsi="Verdana" w:cs="Verdana"/>
        </w:rPr>
      </w:pPr>
    </w:p>
    <w:p w14:paraId="7D576028" w14:textId="77777777" w:rsidR="00AB40CB" w:rsidRDefault="00AB40CB">
      <w:pPr>
        <w:spacing w:line="360" w:lineRule="auto"/>
        <w:jc w:val="center"/>
        <w:rPr>
          <w:rFonts w:ascii="Verdana" w:hAnsi="Verdana" w:cs="Verdana"/>
          <w:vertAlign w:val="superscript"/>
          <w:lang w:val="en-US"/>
        </w:rPr>
      </w:pPr>
    </w:p>
    <w:p w14:paraId="1C10C868" w14:textId="77777777" w:rsidR="00AB40CB" w:rsidRDefault="00AB40CB">
      <w:pPr>
        <w:spacing w:line="360" w:lineRule="auto"/>
        <w:jc w:val="both"/>
        <w:rPr>
          <w:rFonts w:ascii="Verdana" w:hAnsi="Verdana" w:cs="Verdana"/>
          <w:vertAlign w:val="superscript"/>
          <w:lang w:val="en-US"/>
        </w:rPr>
      </w:pPr>
    </w:p>
    <w:p w14:paraId="4AE50A95" w14:textId="77777777" w:rsidR="00AB40CB" w:rsidRDefault="005A3A00">
      <w:pPr>
        <w:spacing w:line="360" w:lineRule="auto"/>
        <w:jc w:val="both"/>
        <w:rPr>
          <w:rFonts w:ascii="Verdana" w:hAnsi="Verdana"/>
        </w:rPr>
      </w:pPr>
      <w:r>
        <w:rPr>
          <w:rFonts w:ascii="Verdana" w:hAnsi="Verdana"/>
          <w:b/>
        </w:rPr>
        <w:lastRenderedPageBreak/>
        <w:t xml:space="preserve">Figure 1: </w:t>
      </w:r>
      <w:r>
        <w:rPr>
          <w:rFonts w:ascii="Verdana" w:hAnsi="Verdana"/>
          <w:bCs/>
        </w:rPr>
        <w:t>Receiver-operating characteristic (ROC) curves for e-ASPECTS and performance of NRADs.</w:t>
      </w:r>
      <w:r>
        <w:rPr>
          <w:rFonts w:ascii="Verdana" w:hAnsi="Verdana"/>
        </w:rPr>
        <w:t xml:space="preserve"> (</w:t>
      </w:r>
      <w:r>
        <w:rPr>
          <w:rFonts w:ascii="Verdana" w:hAnsi="Verdana"/>
          <w:bCs/>
        </w:rPr>
        <w:t>A</w:t>
      </w:r>
      <w:r>
        <w:rPr>
          <w:rFonts w:ascii="Verdana" w:hAnsi="Verdana"/>
        </w:rPr>
        <w:t>). ROC curve for ASPECTS on region-based analysis (20 regions) for e-ASPECTS (red dashed line) and performance of NRADs (up-pointing blue triangles). (</w:t>
      </w:r>
      <w:r>
        <w:rPr>
          <w:rFonts w:ascii="Verdana" w:hAnsi="Verdana"/>
          <w:bCs/>
        </w:rPr>
        <w:t>B</w:t>
      </w:r>
      <w:r>
        <w:rPr>
          <w:rFonts w:ascii="Verdana" w:hAnsi="Verdana"/>
        </w:rPr>
        <w:t>). ROC curve for ASPECTS score-based analysis for e-ASPECTS (red dashed line) and performance of NRADs. (</w:t>
      </w:r>
      <w:r>
        <w:rPr>
          <w:rFonts w:ascii="Verdana" w:hAnsi="Verdana"/>
          <w:bCs/>
        </w:rPr>
        <w:t>C</w:t>
      </w:r>
      <w:r>
        <w:rPr>
          <w:rFonts w:ascii="Verdana" w:hAnsi="Verdana"/>
        </w:rPr>
        <w:t>)</w:t>
      </w:r>
      <w:r>
        <w:rPr>
          <w:rFonts w:ascii="Verdana" w:hAnsi="Verdana"/>
          <w:bCs/>
        </w:rPr>
        <w:t>.</w:t>
      </w:r>
      <w:r>
        <w:rPr>
          <w:rFonts w:ascii="Verdana" w:hAnsi="Verdana"/>
        </w:rPr>
        <w:t xml:space="preserve"> ROC curve associated to eligibility for endovascular treatment (ASPECTS&gt;5) as determined by e-ASPECTS (red dashed line) and classification by NRADs (blue). OP#4: operating point for e-ASPECTS. Grey dashed diagonals represent the line of no-discrimination associated to random guess.</w:t>
      </w:r>
    </w:p>
    <w:p w14:paraId="4FD3D6F0" w14:textId="77777777" w:rsidR="00AB40CB" w:rsidRDefault="00AB40CB">
      <w:pPr>
        <w:spacing w:line="360" w:lineRule="auto"/>
        <w:jc w:val="both"/>
        <w:rPr>
          <w:rFonts w:ascii="Verdana" w:hAnsi="Verdana"/>
        </w:rPr>
      </w:pPr>
    </w:p>
    <w:p w14:paraId="0CE982BE" w14:textId="77777777" w:rsidR="00AB40CB" w:rsidRDefault="005A3A00">
      <w:pPr>
        <w:spacing w:line="360" w:lineRule="auto"/>
        <w:jc w:val="both"/>
        <w:rPr>
          <w:rFonts w:ascii="Verdana" w:hAnsi="Verdana" w:cs="Verdana"/>
        </w:rPr>
      </w:pPr>
      <w:r>
        <w:rPr>
          <w:rFonts w:ascii="Verdana" w:hAnsi="Verdana" w:cs="Verdana"/>
          <w:b/>
        </w:rPr>
        <w:t xml:space="preserve">Figure 2: </w:t>
      </w:r>
      <w:r>
        <w:rPr>
          <w:rStyle w:val="Emphasis"/>
          <w:rFonts w:ascii="Verdana" w:hAnsi="Verdana" w:cs="Verdana"/>
          <w:b/>
          <w:bCs/>
          <w:i w:val="0"/>
          <w:iCs w:val="0"/>
        </w:rPr>
        <w:t xml:space="preserve">Bland-Altman plots and associated histograms of score error. </w:t>
      </w:r>
      <w:r>
        <w:rPr>
          <w:rStyle w:val="Emphasis"/>
          <w:rFonts w:ascii="Verdana" w:hAnsi="Verdana" w:cs="Verdana"/>
          <w:i w:val="0"/>
          <w:iCs w:val="0"/>
        </w:rPr>
        <w:t xml:space="preserve">Bland-Altman plots (left panel) with </w:t>
      </w:r>
      <w:r>
        <w:rPr>
          <w:rFonts w:ascii="Verdana" w:hAnsi="Verdana" w:cs="Verdana"/>
          <w:lang w:val="en-US"/>
        </w:rPr>
        <w:t>mean score error</w:t>
      </w:r>
      <w:r>
        <w:rPr>
          <w:rStyle w:val="Emphasis"/>
          <w:rFonts w:ascii="Verdana" w:hAnsi="Verdana" w:cs="Verdana"/>
          <w:i w:val="0"/>
          <w:iCs w:val="0"/>
        </w:rPr>
        <w:t xml:space="preserve"> (grey dashed line) and histograms (right panel) of score error for e-ASPECTS (OP#4) (</w:t>
      </w:r>
      <w:r>
        <w:rPr>
          <w:rStyle w:val="Emphasis"/>
          <w:rFonts w:ascii="Verdana" w:hAnsi="Verdana" w:cs="Verdana"/>
          <w:b/>
          <w:bCs/>
          <w:i w:val="0"/>
          <w:iCs w:val="0"/>
        </w:rPr>
        <w:t>A</w:t>
      </w:r>
      <w:r>
        <w:rPr>
          <w:rStyle w:val="Emphasis"/>
          <w:rFonts w:ascii="Verdana" w:hAnsi="Verdana" w:cs="Verdana"/>
          <w:i w:val="0"/>
          <w:iCs w:val="0"/>
        </w:rPr>
        <w:t>) and NRADs (</w:t>
      </w:r>
      <w:r>
        <w:rPr>
          <w:rStyle w:val="Emphasis"/>
          <w:rFonts w:ascii="Verdana" w:hAnsi="Verdana" w:cs="Verdana"/>
          <w:b/>
          <w:bCs/>
          <w:i w:val="0"/>
          <w:iCs w:val="0"/>
        </w:rPr>
        <w:t>B</w:t>
      </w:r>
      <w:r>
        <w:rPr>
          <w:rStyle w:val="Emphasis"/>
          <w:rFonts w:ascii="Verdana" w:hAnsi="Verdana" w:cs="Verdana"/>
          <w:i w:val="0"/>
          <w:iCs w:val="0"/>
        </w:rPr>
        <w:t xml:space="preserve">) </w:t>
      </w:r>
    </w:p>
    <w:p w14:paraId="7549666C" w14:textId="77777777" w:rsidR="00AB40CB" w:rsidRDefault="00AB40CB">
      <w:pPr>
        <w:spacing w:line="360" w:lineRule="auto"/>
        <w:jc w:val="both"/>
        <w:rPr>
          <w:rFonts w:ascii="Verdana" w:hAnsi="Verdana"/>
          <w:b/>
          <w:lang w:val="en-US"/>
        </w:rPr>
      </w:pPr>
    </w:p>
    <w:p w14:paraId="1BEB2E4E" w14:textId="77777777" w:rsidR="00AB40CB" w:rsidRDefault="005A3A00">
      <w:pPr>
        <w:suppressAutoHyphens w:val="0"/>
        <w:rPr>
          <w:rFonts w:ascii="Verdana" w:hAnsi="Verdana"/>
          <w:b/>
          <w:lang w:val="en-US"/>
        </w:rPr>
      </w:pPr>
      <w:r>
        <w:br w:type="page"/>
      </w:r>
    </w:p>
    <w:p w14:paraId="285C1D8F" w14:textId="77777777" w:rsidR="00AB40CB" w:rsidRDefault="005A3A00">
      <w:pPr>
        <w:spacing w:line="360" w:lineRule="auto"/>
        <w:jc w:val="both"/>
        <w:rPr>
          <w:rFonts w:ascii="Verdana" w:hAnsi="Verdana" w:cs="Verdana"/>
        </w:rPr>
      </w:pPr>
      <w:r>
        <w:rPr>
          <w:rFonts w:ascii="Verdana" w:hAnsi="Verdana"/>
          <w:b/>
          <w:lang w:val="en-US"/>
        </w:rPr>
        <w:lastRenderedPageBreak/>
        <w:t xml:space="preserve">Table 1: </w:t>
      </w:r>
      <w:r>
        <w:rPr>
          <w:rFonts w:ascii="Verdana" w:hAnsi="Verdana" w:cs="Verdana"/>
        </w:rPr>
        <w:t>Region-based scoring results of e-ASPECTS and the three NRADs. Sensitivities, specificities, accuracies and Matthews correlation coefficient (MCC) are given for all scorers and e-ASPECTS operating points (Fig. 1). Values are given for all regions and for the set of 4 regions at the ganglionic level (L, I, C, IC) and for the set of 6 cortical regions M1-M6.</w:t>
      </w:r>
    </w:p>
    <w:p w14:paraId="70E6CBC4" w14:textId="77777777" w:rsidR="00AB40CB" w:rsidRDefault="00AB40CB">
      <w:pPr>
        <w:spacing w:line="360" w:lineRule="auto"/>
        <w:jc w:val="both"/>
        <w:rPr>
          <w:rFonts w:ascii="Verdana" w:hAnsi="Verdana" w:cs="Verdana"/>
        </w:rPr>
      </w:pPr>
    </w:p>
    <w:tbl>
      <w:tblPr>
        <w:tblW w:w="9083" w:type="dxa"/>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000" w:firstRow="0" w:lastRow="0" w:firstColumn="0" w:lastColumn="0" w:noHBand="0" w:noVBand="0"/>
      </w:tblPr>
      <w:tblGrid>
        <w:gridCol w:w="849"/>
        <w:gridCol w:w="737"/>
        <w:gridCol w:w="737"/>
        <w:gridCol w:w="738"/>
        <w:gridCol w:w="787"/>
        <w:gridCol w:w="695"/>
        <w:gridCol w:w="737"/>
        <w:gridCol w:w="738"/>
        <w:gridCol w:w="737"/>
        <w:gridCol w:w="674"/>
        <w:gridCol w:w="782"/>
        <w:gridCol w:w="872"/>
      </w:tblGrid>
      <w:tr w:rsidR="00AB40CB" w14:paraId="459238EA" w14:textId="77777777">
        <w:trPr>
          <w:trHeight w:val="293"/>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61240FB8" w14:textId="77777777" w:rsidR="00AB40CB" w:rsidRDefault="00AB40CB">
            <w:pPr>
              <w:snapToGrid w:val="0"/>
              <w:rPr>
                <w:sz w:val="16"/>
                <w:szCs w:val="16"/>
                <w:lang w:val="en-US"/>
              </w:rPr>
            </w:pP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F7BE6E0" w14:textId="77777777" w:rsidR="00AB40CB" w:rsidRDefault="005A3A00">
            <w:pPr>
              <w:rPr>
                <w:sz w:val="16"/>
                <w:szCs w:val="16"/>
              </w:rPr>
            </w:pPr>
            <w:r>
              <w:rPr>
                <w:sz w:val="16"/>
                <w:szCs w:val="16"/>
              </w:rPr>
              <w:t>e-ASPECTS #1</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F5501D6" w14:textId="77777777" w:rsidR="00AB40CB" w:rsidRDefault="005A3A00">
            <w:pPr>
              <w:rPr>
                <w:sz w:val="16"/>
                <w:szCs w:val="16"/>
              </w:rPr>
            </w:pPr>
            <w:r>
              <w:rPr>
                <w:sz w:val="16"/>
                <w:szCs w:val="16"/>
              </w:rPr>
              <w:t>e-ASPECTS #2</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4B3415C8" w14:textId="77777777" w:rsidR="00AB40CB" w:rsidRDefault="005A3A00">
            <w:pPr>
              <w:rPr>
                <w:sz w:val="16"/>
                <w:szCs w:val="16"/>
              </w:rPr>
            </w:pPr>
            <w:r>
              <w:rPr>
                <w:sz w:val="16"/>
                <w:szCs w:val="16"/>
              </w:rPr>
              <w:t>e-ASPECTS #3</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2834657C" w14:textId="77777777" w:rsidR="00AB40CB" w:rsidRDefault="005A3A00">
            <w:pPr>
              <w:rPr>
                <w:sz w:val="16"/>
                <w:szCs w:val="16"/>
              </w:rPr>
            </w:pPr>
            <w:r>
              <w:rPr>
                <w:sz w:val="16"/>
                <w:szCs w:val="16"/>
              </w:rPr>
              <w:t>e-ASPECTS #4</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7D2618FD" w14:textId="77777777" w:rsidR="00AB40CB" w:rsidRDefault="005A3A00">
            <w:pPr>
              <w:rPr>
                <w:sz w:val="16"/>
                <w:szCs w:val="16"/>
              </w:rPr>
            </w:pPr>
            <w:r>
              <w:rPr>
                <w:sz w:val="16"/>
                <w:szCs w:val="16"/>
              </w:rPr>
              <w:t>e-ASPECTS #5</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3999A509" w14:textId="77777777" w:rsidR="00AB40CB" w:rsidRDefault="005A3A00">
            <w:pPr>
              <w:rPr>
                <w:sz w:val="16"/>
                <w:szCs w:val="16"/>
              </w:rPr>
            </w:pPr>
            <w:r>
              <w:rPr>
                <w:sz w:val="16"/>
                <w:szCs w:val="16"/>
              </w:rPr>
              <w:t>e-ASPECTS #6</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565D1F50" w14:textId="77777777" w:rsidR="00AB40CB" w:rsidRDefault="005A3A00">
            <w:pPr>
              <w:rPr>
                <w:sz w:val="16"/>
                <w:szCs w:val="16"/>
              </w:rPr>
            </w:pPr>
            <w:r>
              <w:rPr>
                <w:sz w:val="16"/>
                <w:szCs w:val="16"/>
              </w:rPr>
              <w:t>e-ASPECTS #7</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D87201F" w14:textId="77777777" w:rsidR="00AB40CB" w:rsidRDefault="005A3A00">
            <w:pPr>
              <w:rPr>
                <w:sz w:val="16"/>
                <w:szCs w:val="16"/>
              </w:rPr>
            </w:pPr>
            <w:r>
              <w:rPr>
                <w:sz w:val="16"/>
                <w:szCs w:val="16"/>
              </w:rPr>
              <w:t>e-ASPECTS #8</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53E819DB" w14:textId="77777777" w:rsidR="00AB40CB" w:rsidRDefault="005A3A00">
            <w:pPr>
              <w:rPr>
                <w:sz w:val="16"/>
                <w:szCs w:val="16"/>
              </w:rPr>
            </w:pPr>
            <w:r>
              <w:rPr>
                <w:sz w:val="16"/>
                <w:szCs w:val="16"/>
              </w:rPr>
              <w:t>NRAD #1</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0A34C32C" w14:textId="77777777" w:rsidR="00AB40CB" w:rsidRDefault="005A3A00">
            <w:pPr>
              <w:rPr>
                <w:sz w:val="16"/>
                <w:szCs w:val="16"/>
              </w:rPr>
            </w:pPr>
            <w:r>
              <w:rPr>
                <w:sz w:val="16"/>
                <w:szCs w:val="16"/>
              </w:rPr>
              <w:t>NRAD #2</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253035F2" w14:textId="77777777" w:rsidR="00AB40CB" w:rsidRDefault="005A3A00">
            <w:r>
              <w:rPr>
                <w:sz w:val="16"/>
                <w:szCs w:val="16"/>
              </w:rPr>
              <w:t>NRAD #3</w:t>
            </w:r>
          </w:p>
        </w:tc>
      </w:tr>
      <w:tr w:rsidR="00AB40CB" w14:paraId="2AAA2775"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159E4519" w14:textId="77777777" w:rsidR="00AB40CB" w:rsidRDefault="005A3A00">
            <w:pPr>
              <w:rPr>
                <w:sz w:val="16"/>
                <w:szCs w:val="16"/>
              </w:rPr>
            </w:pPr>
            <w:r>
              <w:rPr>
                <w:sz w:val="16"/>
                <w:szCs w:val="16"/>
              </w:rPr>
              <w:t xml:space="preserve">TP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3CD8C9F" w14:textId="77777777" w:rsidR="00AB40CB" w:rsidRDefault="005A3A00">
            <w:pPr>
              <w:rPr>
                <w:sz w:val="16"/>
                <w:szCs w:val="16"/>
              </w:rPr>
            </w:pPr>
            <w:r>
              <w:rPr>
                <w:sz w:val="16"/>
                <w:szCs w:val="16"/>
              </w:rPr>
              <w:t>66</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F98A6F9" w14:textId="77777777" w:rsidR="00AB40CB" w:rsidRDefault="005A3A00">
            <w:pPr>
              <w:rPr>
                <w:sz w:val="16"/>
                <w:szCs w:val="16"/>
              </w:rPr>
            </w:pPr>
            <w:r>
              <w:rPr>
                <w:sz w:val="16"/>
                <w:szCs w:val="16"/>
              </w:rPr>
              <w:t>73</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E4A7800" w14:textId="77777777" w:rsidR="00AB40CB" w:rsidRDefault="005A3A00">
            <w:pPr>
              <w:rPr>
                <w:sz w:val="16"/>
                <w:szCs w:val="16"/>
              </w:rPr>
            </w:pPr>
            <w:r>
              <w:rPr>
                <w:sz w:val="16"/>
                <w:szCs w:val="16"/>
              </w:rPr>
              <w:t>89</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59EA4DCC" w14:textId="77777777" w:rsidR="00AB40CB" w:rsidRDefault="005A3A00">
            <w:pPr>
              <w:rPr>
                <w:sz w:val="16"/>
                <w:szCs w:val="16"/>
              </w:rPr>
            </w:pPr>
            <w:r>
              <w:rPr>
                <w:sz w:val="16"/>
                <w:szCs w:val="16"/>
              </w:rPr>
              <w:t>132</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0CB774FD" w14:textId="77777777" w:rsidR="00AB40CB" w:rsidRDefault="005A3A00">
            <w:pPr>
              <w:rPr>
                <w:sz w:val="16"/>
                <w:szCs w:val="16"/>
              </w:rPr>
            </w:pPr>
            <w:r>
              <w:rPr>
                <w:sz w:val="16"/>
                <w:szCs w:val="16"/>
              </w:rPr>
              <w:t>137</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750FB445" w14:textId="77777777" w:rsidR="00AB40CB" w:rsidRDefault="005A3A00">
            <w:pPr>
              <w:rPr>
                <w:sz w:val="16"/>
                <w:szCs w:val="16"/>
              </w:rPr>
            </w:pPr>
            <w:r>
              <w:rPr>
                <w:sz w:val="16"/>
                <w:szCs w:val="16"/>
              </w:rPr>
              <w:t>158</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683BB44" w14:textId="77777777" w:rsidR="00AB40CB" w:rsidRDefault="005A3A00">
            <w:pPr>
              <w:rPr>
                <w:sz w:val="16"/>
                <w:szCs w:val="16"/>
              </w:rPr>
            </w:pPr>
            <w:r>
              <w:rPr>
                <w:sz w:val="16"/>
                <w:szCs w:val="16"/>
              </w:rPr>
              <w:t>179</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36B417D0" w14:textId="77777777" w:rsidR="00AB40CB" w:rsidRDefault="005A3A00">
            <w:pPr>
              <w:rPr>
                <w:sz w:val="16"/>
                <w:szCs w:val="16"/>
              </w:rPr>
            </w:pPr>
            <w:r>
              <w:rPr>
                <w:sz w:val="16"/>
                <w:szCs w:val="16"/>
              </w:rPr>
              <w:t>192</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360266FF" w14:textId="77777777" w:rsidR="00AB40CB" w:rsidRDefault="005A3A00">
            <w:pPr>
              <w:rPr>
                <w:sz w:val="16"/>
                <w:szCs w:val="16"/>
              </w:rPr>
            </w:pPr>
            <w:r>
              <w:rPr>
                <w:sz w:val="16"/>
                <w:szCs w:val="16"/>
              </w:rPr>
              <w:t>137</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153615B6" w14:textId="77777777" w:rsidR="00AB40CB" w:rsidRDefault="005A3A00">
            <w:pPr>
              <w:rPr>
                <w:sz w:val="16"/>
                <w:szCs w:val="16"/>
              </w:rPr>
            </w:pPr>
            <w:r>
              <w:rPr>
                <w:sz w:val="16"/>
                <w:szCs w:val="16"/>
              </w:rPr>
              <w:t>81</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56EBAF1F" w14:textId="77777777" w:rsidR="00AB40CB" w:rsidRDefault="005A3A00">
            <w:r>
              <w:rPr>
                <w:sz w:val="16"/>
                <w:szCs w:val="16"/>
              </w:rPr>
              <w:t>79</w:t>
            </w:r>
          </w:p>
        </w:tc>
      </w:tr>
      <w:tr w:rsidR="00AB40CB" w14:paraId="5C85DD28" w14:textId="77777777">
        <w:trPr>
          <w:trHeight w:val="293"/>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5CB87C42" w14:textId="77777777" w:rsidR="00AB40CB" w:rsidRDefault="005A3A00">
            <w:pPr>
              <w:rPr>
                <w:sz w:val="16"/>
                <w:szCs w:val="16"/>
              </w:rPr>
            </w:pPr>
            <w:r>
              <w:rPr>
                <w:sz w:val="16"/>
                <w:szCs w:val="16"/>
              </w:rPr>
              <w:t xml:space="preserve">TN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C83D821" w14:textId="77777777" w:rsidR="00AB40CB" w:rsidRDefault="005A3A00">
            <w:pPr>
              <w:rPr>
                <w:sz w:val="16"/>
                <w:szCs w:val="16"/>
              </w:rPr>
            </w:pPr>
            <w:r>
              <w:rPr>
                <w:sz w:val="16"/>
                <w:szCs w:val="16"/>
              </w:rPr>
              <w:t>2269</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59072FE5" w14:textId="77777777" w:rsidR="00AB40CB" w:rsidRDefault="005A3A00">
            <w:pPr>
              <w:rPr>
                <w:sz w:val="16"/>
                <w:szCs w:val="16"/>
              </w:rPr>
            </w:pPr>
            <w:r>
              <w:rPr>
                <w:sz w:val="16"/>
                <w:szCs w:val="16"/>
              </w:rPr>
              <w:t>2246</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3C55018" w14:textId="77777777" w:rsidR="00AB40CB" w:rsidRDefault="005A3A00">
            <w:pPr>
              <w:rPr>
                <w:sz w:val="16"/>
                <w:szCs w:val="16"/>
              </w:rPr>
            </w:pPr>
            <w:r>
              <w:rPr>
                <w:sz w:val="16"/>
                <w:szCs w:val="16"/>
              </w:rPr>
              <w:t>2226</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439E4B69" w14:textId="77777777" w:rsidR="00AB40CB" w:rsidRDefault="005A3A00">
            <w:pPr>
              <w:rPr>
                <w:sz w:val="16"/>
                <w:szCs w:val="16"/>
              </w:rPr>
            </w:pPr>
            <w:r>
              <w:rPr>
                <w:sz w:val="16"/>
                <w:szCs w:val="16"/>
              </w:rPr>
              <w:t>2163</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2ABFD8CE" w14:textId="77777777" w:rsidR="00AB40CB" w:rsidRDefault="005A3A00">
            <w:pPr>
              <w:rPr>
                <w:sz w:val="16"/>
                <w:szCs w:val="16"/>
              </w:rPr>
            </w:pPr>
            <w:r>
              <w:rPr>
                <w:sz w:val="16"/>
                <w:szCs w:val="16"/>
              </w:rPr>
              <w:t>2119</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1CED32A0" w14:textId="77777777" w:rsidR="00AB40CB" w:rsidRDefault="005A3A00">
            <w:pPr>
              <w:rPr>
                <w:sz w:val="16"/>
                <w:szCs w:val="16"/>
              </w:rPr>
            </w:pPr>
            <w:r>
              <w:rPr>
                <w:sz w:val="16"/>
                <w:szCs w:val="16"/>
              </w:rPr>
              <w:t>2053</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52BBEB28" w14:textId="77777777" w:rsidR="00AB40CB" w:rsidRDefault="005A3A00">
            <w:pPr>
              <w:rPr>
                <w:sz w:val="16"/>
                <w:szCs w:val="16"/>
              </w:rPr>
            </w:pPr>
            <w:r>
              <w:rPr>
                <w:sz w:val="16"/>
                <w:szCs w:val="16"/>
              </w:rPr>
              <w:t>1916</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E393EDE" w14:textId="77777777" w:rsidR="00AB40CB" w:rsidRDefault="005A3A00">
            <w:pPr>
              <w:rPr>
                <w:sz w:val="16"/>
                <w:szCs w:val="16"/>
              </w:rPr>
            </w:pPr>
            <w:r>
              <w:rPr>
                <w:sz w:val="16"/>
                <w:szCs w:val="16"/>
              </w:rPr>
              <w:t>1820</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452D7C40" w14:textId="77777777" w:rsidR="00AB40CB" w:rsidRDefault="005A3A00">
            <w:pPr>
              <w:rPr>
                <w:sz w:val="16"/>
                <w:szCs w:val="16"/>
              </w:rPr>
            </w:pPr>
            <w:r>
              <w:rPr>
                <w:sz w:val="16"/>
                <w:szCs w:val="16"/>
              </w:rPr>
              <w:t>2073</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7D048687" w14:textId="77777777" w:rsidR="00AB40CB" w:rsidRDefault="005A3A00">
            <w:pPr>
              <w:rPr>
                <w:sz w:val="16"/>
                <w:szCs w:val="16"/>
              </w:rPr>
            </w:pPr>
            <w:r>
              <w:rPr>
                <w:sz w:val="16"/>
                <w:szCs w:val="16"/>
              </w:rPr>
              <w:t>2254</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31A9DCBC" w14:textId="77777777" w:rsidR="00AB40CB" w:rsidRDefault="005A3A00">
            <w:r>
              <w:rPr>
                <w:sz w:val="16"/>
                <w:szCs w:val="16"/>
              </w:rPr>
              <w:t>2267</w:t>
            </w:r>
          </w:p>
        </w:tc>
      </w:tr>
      <w:tr w:rsidR="00AB40CB" w14:paraId="2456185B"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16821E9A" w14:textId="77777777" w:rsidR="00AB40CB" w:rsidRDefault="005A3A00">
            <w:pPr>
              <w:rPr>
                <w:sz w:val="16"/>
                <w:szCs w:val="16"/>
              </w:rPr>
            </w:pPr>
            <w:r>
              <w:rPr>
                <w:sz w:val="16"/>
                <w:szCs w:val="16"/>
              </w:rPr>
              <w:t xml:space="preserve">FP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18DCAFF9" w14:textId="77777777" w:rsidR="00AB40CB" w:rsidRDefault="005A3A00">
            <w:pPr>
              <w:rPr>
                <w:sz w:val="16"/>
                <w:szCs w:val="16"/>
              </w:rPr>
            </w:pPr>
            <w:r>
              <w:rPr>
                <w:sz w:val="16"/>
                <w:szCs w:val="16"/>
              </w:rPr>
              <w:t>68</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5579582" w14:textId="77777777" w:rsidR="00AB40CB" w:rsidRDefault="005A3A00">
            <w:pPr>
              <w:rPr>
                <w:sz w:val="16"/>
                <w:szCs w:val="16"/>
              </w:rPr>
            </w:pPr>
            <w:r>
              <w:rPr>
                <w:sz w:val="16"/>
                <w:szCs w:val="16"/>
              </w:rPr>
              <w:t>91</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6C0F82F3" w14:textId="77777777" w:rsidR="00AB40CB" w:rsidRDefault="005A3A00">
            <w:pPr>
              <w:rPr>
                <w:sz w:val="16"/>
                <w:szCs w:val="16"/>
              </w:rPr>
            </w:pPr>
            <w:r>
              <w:rPr>
                <w:sz w:val="16"/>
                <w:szCs w:val="16"/>
              </w:rPr>
              <w:t>111</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2A1FA59B" w14:textId="77777777" w:rsidR="00AB40CB" w:rsidRDefault="005A3A00">
            <w:pPr>
              <w:rPr>
                <w:sz w:val="16"/>
                <w:szCs w:val="16"/>
              </w:rPr>
            </w:pPr>
            <w:r>
              <w:rPr>
                <w:sz w:val="16"/>
                <w:szCs w:val="16"/>
              </w:rPr>
              <w:t>174</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1B20F291" w14:textId="77777777" w:rsidR="00AB40CB" w:rsidRDefault="005A3A00">
            <w:pPr>
              <w:rPr>
                <w:sz w:val="16"/>
                <w:szCs w:val="16"/>
              </w:rPr>
            </w:pPr>
            <w:r>
              <w:rPr>
                <w:sz w:val="16"/>
                <w:szCs w:val="16"/>
              </w:rPr>
              <w:t>218</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5A06748C" w14:textId="77777777" w:rsidR="00AB40CB" w:rsidRDefault="005A3A00">
            <w:pPr>
              <w:rPr>
                <w:sz w:val="16"/>
                <w:szCs w:val="16"/>
              </w:rPr>
            </w:pPr>
            <w:r>
              <w:rPr>
                <w:sz w:val="16"/>
                <w:szCs w:val="16"/>
              </w:rPr>
              <w:t>284</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44B210D3" w14:textId="77777777" w:rsidR="00AB40CB" w:rsidRDefault="005A3A00">
            <w:pPr>
              <w:rPr>
                <w:sz w:val="16"/>
                <w:szCs w:val="16"/>
              </w:rPr>
            </w:pPr>
            <w:r>
              <w:rPr>
                <w:sz w:val="16"/>
                <w:szCs w:val="16"/>
              </w:rPr>
              <w:t>421</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7E3C530E" w14:textId="77777777" w:rsidR="00AB40CB" w:rsidRDefault="005A3A00">
            <w:pPr>
              <w:rPr>
                <w:sz w:val="16"/>
                <w:szCs w:val="16"/>
              </w:rPr>
            </w:pPr>
            <w:r>
              <w:rPr>
                <w:sz w:val="16"/>
                <w:szCs w:val="16"/>
              </w:rPr>
              <w:t>517</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6B4B2935" w14:textId="77777777" w:rsidR="00AB40CB" w:rsidRDefault="005A3A00">
            <w:pPr>
              <w:rPr>
                <w:sz w:val="16"/>
                <w:szCs w:val="16"/>
              </w:rPr>
            </w:pPr>
            <w:r>
              <w:rPr>
                <w:sz w:val="16"/>
                <w:szCs w:val="16"/>
              </w:rPr>
              <w:t>264</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3D78D076" w14:textId="77777777" w:rsidR="00AB40CB" w:rsidRDefault="005A3A00">
            <w:pPr>
              <w:rPr>
                <w:sz w:val="16"/>
                <w:szCs w:val="16"/>
              </w:rPr>
            </w:pPr>
            <w:r>
              <w:rPr>
                <w:sz w:val="16"/>
                <w:szCs w:val="16"/>
              </w:rPr>
              <w:t>83</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5EE22298" w14:textId="77777777" w:rsidR="00AB40CB" w:rsidRDefault="005A3A00">
            <w:r>
              <w:rPr>
                <w:sz w:val="16"/>
                <w:szCs w:val="16"/>
              </w:rPr>
              <w:t>70</w:t>
            </w:r>
          </w:p>
        </w:tc>
      </w:tr>
      <w:tr w:rsidR="00AB40CB" w14:paraId="0A81CD09"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15F12D8F" w14:textId="77777777" w:rsidR="00AB40CB" w:rsidRDefault="005A3A00">
            <w:pPr>
              <w:rPr>
                <w:sz w:val="16"/>
                <w:szCs w:val="16"/>
              </w:rPr>
            </w:pPr>
            <w:r>
              <w:rPr>
                <w:sz w:val="16"/>
                <w:szCs w:val="16"/>
              </w:rPr>
              <w:t xml:space="preserve">FN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606D79E6" w14:textId="77777777" w:rsidR="00AB40CB" w:rsidRDefault="005A3A00">
            <w:pPr>
              <w:rPr>
                <w:sz w:val="16"/>
                <w:szCs w:val="16"/>
              </w:rPr>
            </w:pPr>
            <w:r>
              <w:rPr>
                <w:sz w:val="16"/>
                <w:szCs w:val="16"/>
              </w:rPr>
              <w:t>237</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2EA5A2C" w14:textId="77777777" w:rsidR="00AB40CB" w:rsidRDefault="005A3A00">
            <w:pPr>
              <w:rPr>
                <w:sz w:val="16"/>
                <w:szCs w:val="16"/>
              </w:rPr>
            </w:pPr>
            <w:r>
              <w:rPr>
                <w:sz w:val="16"/>
                <w:szCs w:val="16"/>
              </w:rPr>
              <w:t>230</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53924038" w14:textId="77777777" w:rsidR="00AB40CB" w:rsidRDefault="005A3A00">
            <w:pPr>
              <w:rPr>
                <w:sz w:val="16"/>
                <w:szCs w:val="16"/>
              </w:rPr>
            </w:pPr>
            <w:r>
              <w:rPr>
                <w:sz w:val="16"/>
                <w:szCs w:val="16"/>
              </w:rPr>
              <w:t>214</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2CB69650" w14:textId="77777777" w:rsidR="00AB40CB" w:rsidRDefault="005A3A00">
            <w:pPr>
              <w:rPr>
                <w:sz w:val="16"/>
                <w:szCs w:val="16"/>
              </w:rPr>
            </w:pPr>
            <w:r>
              <w:rPr>
                <w:sz w:val="16"/>
                <w:szCs w:val="16"/>
              </w:rPr>
              <w:t>171</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73B1391A" w14:textId="77777777" w:rsidR="00AB40CB" w:rsidRDefault="005A3A00">
            <w:pPr>
              <w:rPr>
                <w:sz w:val="16"/>
                <w:szCs w:val="16"/>
              </w:rPr>
            </w:pPr>
            <w:r>
              <w:rPr>
                <w:sz w:val="16"/>
                <w:szCs w:val="16"/>
              </w:rPr>
              <w:t>166</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70E88391" w14:textId="77777777" w:rsidR="00AB40CB" w:rsidRDefault="005A3A00">
            <w:pPr>
              <w:rPr>
                <w:sz w:val="16"/>
                <w:szCs w:val="16"/>
              </w:rPr>
            </w:pPr>
            <w:r>
              <w:rPr>
                <w:sz w:val="16"/>
                <w:szCs w:val="16"/>
              </w:rPr>
              <w:t>145</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30C4BE3" w14:textId="77777777" w:rsidR="00AB40CB" w:rsidRDefault="005A3A00">
            <w:pPr>
              <w:rPr>
                <w:sz w:val="16"/>
                <w:szCs w:val="16"/>
              </w:rPr>
            </w:pPr>
            <w:r>
              <w:rPr>
                <w:sz w:val="16"/>
                <w:szCs w:val="16"/>
              </w:rPr>
              <w:t>124</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9C800D5" w14:textId="77777777" w:rsidR="00AB40CB" w:rsidRDefault="005A3A00">
            <w:pPr>
              <w:rPr>
                <w:sz w:val="16"/>
                <w:szCs w:val="16"/>
              </w:rPr>
            </w:pPr>
            <w:r>
              <w:rPr>
                <w:sz w:val="16"/>
                <w:szCs w:val="16"/>
              </w:rPr>
              <w:t>111</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78D4BC26" w14:textId="77777777" w:rsidR="00AB40CB" w:rsidRDefault="005A3A00">
            <w:pPr>
              <w:rPr>
                <w:sz w:val="16"/>
                <w:szCs w:val="16"/>
              </w:rPr>
            </w:pPr>
            <w:r>
              <w:rPr>
                <w:sz w:val="16"/>
                <w:szCs w:val="16"/>
              </w:rPr>
              <w:t>166</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1442F6AB" w14:textId="77777777" w:rsidR="00AB40CB" w:rsidRDefault="005A3A00">
            <w:pPr>
              <w:rPr>
                <w:sz w:val="16"/>
                <w:szCs w:val="16"/>
              </w:rPr>
            </w:pPr>
            <w:r>
              <w:rPr>
                <w:sz w:val="16"/>
                <w:szCs w:val="16"/>
              </w:rPr>
              <w:t>222</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67FDB125" w14:textId="77777777" w:rsidR="00AB40CB" w:rsidRDefault="005A3A00">
            <w:r>
              <w:rPr>
                <w:sz w:val="16"/>
                <w:szCs w:val="16"/>
              </w:rPr>
              <w:t>224</w:t>
            </w:r>
          </w:p>
        </w:tc>
      </w:tr>
      <w:tr w:rsidR="00AB40CB" w14:paraId="0CC5322F"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30A377A9" w14:textId="77777777" w:rsidR="00AB40CB" w:rsidRDefault="005A3A00">
            <w:pPr>
              <w:rPr>
                <w:sz w:val="16"/>
                <w:szCs w:val="16"/>
              </w:rPr>
            </w:pPr>
            <w:r>
              <w:rPr>
                <w:sz w:val="16"/>
                <w:szCs w:val="16"/>
              </w:rPr>
              <w:t xml:space="preserve">Sensitivity </w:t>
            </w:r>
          </w:p>
          <w:p w14:paraId="0A325A60" w14:textId="77777777" w:rsidR="00AB40CB" w:rsidRDefault="005A3A00">
            <w:pPr>
              <w:rPr>
                <w:sz w:val="16"/>
                <w:szCs w:val="16"/>
              </w:rPr>
            </w:pPr>
            <w:r>
              <w:rPr>
                <w:sz w:val="16"/>
                <w:szCs w:val="16"/>
              </w:rPr>
              <w:t>(all regions)</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48C1CF65" w14:textId="77777777" w:rsidR="00AB40CB" w:rsidRDefault="005A3A00">
            <w:pPr>
              <w:rPr>
                <w:sz w:val="16"/>
                <w:szCs w:val="16"/>
              </w:rPr>
            </w:pPr>
            <w:r>
              <w:rPr>
                <w:sz w:val="16"/>
                <w:szCs w:val="16"/>
              </w:rPr>
              <w:t>21.78 %</w:t>
            </w:r>
            <w:r>
              <w:rPr>
                <w:sz w:val="16"/>
                <w:szCs w:val="16"/>
              </w:rPr>
              <w:br/>
              <w:t>(15.7, 27.8)</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E3E2A36" w14:textId="77777777" w:rsidR="00AB40CB" w:rsidRDefault="005A3A00">
            <w:pPr>
              <w:rPr>
                <w:sz w:val="16"/>
                <w:szCs w:val="16"/>
              </w:rPr>
            </w:pPr>
            <w:r>
              <w:rPr>
                <w:sz w:val="16"/>
                <w:szCs w:val="16"/>
              </w:rPr>
              <w:t xml:space="preserve"> 24.09 %</w:t>
            </w:r>
            <w:r>
              <w:rPr>
                <w:sz w:val="16"/>
                <w:szCs w:val="16"/>
              </w:rPr>
              <w:br/>
              <w:t>(18.2, 30.0)</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41E62F43" w14:textId="77777777" w:rsidR="00AB40CB" w:rsidRDefault="005A3A00">
            <w:pPr>
              <w:rPr>
                <w:sz w:val="16"/>
                <w:szCs w:val="16"/>
              </w:rPr>
            </w:pPr>
            <w:r>
              <w:rPr>
                <w:sz w:val="16"/>
                <w:szCs w:val="16"/>
              </w:rPr>
              <w:t xml:space="preserve"> 29.37 %</w:t>
            </w:r>
            <w:r>
              <w:rPr>
                <w:sz w:val="16"/>
                <w:szCs w:val="16"/>
              </w:rPr>
              <w:br/>
              <w:t>(23.3, 35.4)</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36AFE86B" w14:textId="77777777" w:rsidR="00AB40CB" w:rsidRDefault="005A3A00">
            <w:pPr>
              <w:rPr>
                <w:sz w:val="16"/>
                <w:szCs w:val="16"/>
              </w:rPr>
            </w:pPr>
            <w:r>
              <w:rPr>
                <w:sz w:val="16"/>
                <w:szCs w:val="16"/>
              </w:rPr>
              <w:t xml:space="preserve"> 43.56 %</w:t>
            </w:r>
            <w:r>
              <w:rPr>
                <w:sz w:val="16"/>
                <w:szCs w:val="16"/>
              </w:rPr>
              <w:br/>
              <w:t>(37.0, 50.1)</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15742ADD" w14:textId="77777777" w:rsidR="00AB40CB" w:rsidRDefault="005A3A00">
            <w:pPr>
              <w:rPr>
                <w:sz w:val="16"/>
                <w:szCs w:val="16"/>
              </w:rPr>
            </w:pPr>
            <w:r>
              <w:rPr>
                <w:sz w:val="16"/>
                <w:szCs w:val="16"/>
              </w:rPr>
              <w:t xml:space="preserve"> 45.21 %</w:t>
            </w:r>
            <w:r>
              <w:rPr>
                <w:sz w:val="16"/>
                <w:szCs w:val="16"/>
              </w:rPr>
              <w:br/>
              <w:t>(38.8, 51.7)</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49D1988" w14:textId="77777777" w:rsidR="00AB40CB" w:rsidRDefault="005A3A00">
            <w:pPr>
              <w:rPr>
                <w:sz w:val="16"/>
                <w:szCs w:val="16"/>
              </w:rPr>
            </w:pPr>
            <w:r>
              <w:rPr>
                <w:sz w:val="16"/>
                <w:szCs w:val="16"/>
              </w:rPr>
              <w:t xml:space="preserve"> 52.15 %</w:t>
            </w:r>
            <w:r>
              <w:rPr>
                <w:sz w:val="16"/>
                <w:szCs w:val="16"/>
              </w:rPr>
              <w:br/>
              <w:t>(45.5, 58.8)</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9E9478E" w14:textId="77777777" w:rsidR="00AB40CB" w:rsidRDefault="005A3A00">
            <w:pPr>
              <w:rPr>
                <w:sz w:val="16"/>
                <w:szCs w:val="16"/>
              </w:rPr>
            </w:pPr>
            <w:r>
              <w:rPr>
                <w:sz w:val="16"/>
                <w:szCs w:val="16"/>
              </w:rPr>
              <w:t xml:space="preserve"> 59.08 %</w:t>
            </w:r>
            <w:r>
              <w:rPr>
                <w:sz w:val="16"/>
                <w:szCs w:val="16"/>
              </w:rPr>
              <w:br/>
              <w:t>(52.6, 65.5)</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56AE18F" w14:textId="77777777" w:rsidR="00AB40CB" w:rsidRDefault="005A3A00">
            <w:pPr>
              <w:rPr>
                <w:sz w:val="16"/>
                <w:szCs w:val="16"/>
              </w:rPr>
            </w:pPr>
            <w:r>
              <w:rPr>
                <w:sz w:val="16"/>
                <w:szCs w:val="16"/>
              </w:rPr>
              <w:t xml:space="preserve"> 63.37 %</w:t>
            </w:r>
            <w:r>
              <w:rPr>
                <w:sz w:val="16"/>
                <w:szCs w:val="16"/>
              </w:rPr>
              <w:br/>
              <w:t>(56.6, 70.2)</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305C1606" w14:textId="77777777" w:rsidR="00AB40CB" w:rsidRDefault="005A3A00">
            <w:pPr>
              <w:rPr>
                <w:sz w:val="16"/>
                <w:szCs w:val="16"/>
              </w:rPr>
            </w:pPr>
            <w:r>
              <w:rPr>
                <w:sz w:val="16"/>
                <w:szCs w:val="16"/>
              </w:rPr>
              <w:t xml:space="preserve"> 45.21 %</w:t>
            </w:r>
            <w:r>
              <w:rPr>
                <w:sz w:val="16"/>
                <w:szCs w:val="16"/>
              </w:rPr>
              <w:br/>
              <w:t>(38.0, 52.4)</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57C5AD4F" w14:textId="77777777" w:rsidR="00AB40CB" w:rsidRDefault="005A3A00">
            <w:pPr>
              <w:rPr>
                <w:sz w:val="16"/>
                <w:szCs w:val="16"/>
              </w:rPr>
            </w:pPr>
            <w:r>
              <w:rPr>
                <w:sz w:val="16"/>
                <w:szCs w:val="16"/>
              </w:rPr>
              <w:t xml:space="preserve"> 26.73 %</w:t>
            </w:r>
            <w:r>
              <w:rPr>
                <w:sz w:val="16"/>
                <w:szCs w:val="16"/>
              </w:rPr>
              <w:br/>
              <w:t>(20.9, 32.6)</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55969454" w14:textId="77777777" w:rsidR="00AB40CB" w:rsidRDefault="005A3A00">
            <w:r>
              <w:rPr>
                <w:sz w:val="16"/>
                <w:szCs w:val="16"/>
              </w:rPr>
              <w:t xml:space="preserve"> 26.07 %</w:t>
            </w:r>
            <w:r>
              <w:rPr>
                <w:sz w:val="16"/>
                <w:szCs w:val="16"/>
              </w:rPr>
              <w:br/>
              <w:t>(20.5, 31.7)</w:t>
            </w:r>
          </w:p>
        </w:tc>
      </w:tr>
      <w:tr w:rsidR="00AB40CB" w14:paraId="6CAAEEE9"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0422FC7C" w14:textId="77777777" w:rsidR="00AB40CB" w:rsidRDefault="005A3A00">
            <w:pPr>
              <w:rPr>
                <w:sz w:val="16"/>
                <w:szCs w:val="16"/>
              </w:rPr>
            </w:pPr>
            <w:r>
              <w:rPr>
                <w:sz w:val="16"/>
                <w:szCs w:val="16"/>
              </w:rPr>
              <w:t xml:space="preserve">Specificity </w:t>
            </w:r>
          </w:p>
          <w:p w14:paraId="4D3CD87E" w14:textId="77777777" w:rsidR="00AB40CB" w:rsidRDefault="005A3A00">
            <w:pPr>
              <w:rPr>
                <w:sz w:val="16"/>
                <w:szCs w:val="16"/>
              </w:rPr>
            </w:pPr>
            <w:r>
              <w:rPr>
                <w:sz w:val="16"/>
                <w:szCs w:val="16"/>
              </w:rPr>
              <w:t>(all regions)</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24A4380" w14:textId="77777777" w:rsidR="00AB40CB" w:rsidRDefault="005A3A00">
            <w:pPr>
              <w:rPr>
                <w:sz w:val="16"/>
                <w:szCs w:val="16"/>
              </w:rPr>
            </w:pPr>
            <w:r>
              <w:rPr>
                <w:sz w:val="16"/>
                <w:szCs w:val="16"/>
              </w:rPr>
              <w:t>97.09 %</w:t>
            </w:r>
            <w:r>
              <w:rPr>
                <w:sz w:val="16"/>
                <w:szCs w:val="16"/>
              </w:rPr>
              <w:br/>
              <w:t>(96.2, 98.0)</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60C444A" w14:textId="77777777" w:rsidR="00AB40CB" w:rsidRDefault="005A3A00">
            <w:pPr>
              <w:rPr>
                <w:sz w:val="16"/>
                <w:szCs w:val="16"/>
              </w:rPr>
            </w:pPr>
            <w:r>
              <w:rPr>
                <w:sz w:val="16"/>
                <w:szCs w:val="16"/>
              </w:rPr>
              <w:t xml:space="preserve"> 96.11 %</w:t>
            </w:r>
            <w:r>
              <w:rPr>
                <w:sz w:val="16"/>
                <w:szCs w:val="16"/>
              </w:rPr>
              <w:br/>
              <w:t>(95.2, 97.0)</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FA4ACF6" w14:textId="77777777" w:rsidR="00AB40CB" w:rsidRDefault="005A3A00">
            <w:pPr>
              <w:rPr>
                <w:sz w:val="16"/>
                <w:szCs w:val="16"/>
              </w:rPr>
            </w:pPr>
            <w:r>
              <w:rPr>
                <w:sz w:val="16"/>
                <w:szCs w:val="16"/>
              </w:rPr>
              <w:t xml:space="preserve"> 95.25 %</w:t>
            </w:r>
            <w:r>
              <w:rPr>
                <w:sz w:val="16"/>
                <w:szCs w:val="16"/>
              </w:rPr>
              <w:br/>
              <w:t>(94.2, 96.3)</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6B8C50A7" w14:textId="77777777" w:rsidR="00AB40CB" w:rsidRDefault="005A3A00">
            <w:pPr>
              <w:rPr>
                <w:sz w:val="16"/>
                <w:szCs w:val="16"/>
              </w:rPr>
            </w:pPr>
            <w:r>
              <w:rPr>
                <w:sz w:val="16"/>
                <w:szCs w:val="16"/>
              </w:rPr>
              <w:t xml:space="preserve"> 92.55 %</w:t>
            </w:r>
            <w:r>
              <w:rPr>
                <w:sz w:val="16"/>
                <w:szCs w:val="16"/>
              </w:rPr>
              <w:br/>
              <w:t>(91.3, 93.8)</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00FEF71B" w14:textId="77777777" w:rsidR="00AB40CB" w:rsidRDefault="005A3A00">
            <w:pPr>
              <w:rPr>
                <w:sz w:val="16"/>
                <w:szCs w:val="16"/>
              </w:rPr>
            </w:pPr>
            <w:r>
              <w:rPr>
                <w:sz w:val="16"/>
                <w:szCs w:val="16"/>
              </w:rPr>
              <w:t xml:space="preserve"> 90.67 %</w:t>
            </w:r>
            <w:r>
              <w:rPr>
                <w:sz w:val="16"/>
                <w:szCs w:val="16"/>
              </w:rPr>
              <w:br/>
              <w:t>(89.3, 92.1)</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505A7198" w14:textId="77777777" w:rsidR="00AB40CB" w:rsidRDefault="005A3A00">
            <w:pPr>
              <w:rPr>
                <w:sz w:val="16"/>
                <w:szCs w:val="16"/>
              </w:rPr>
            </w:pPr>
            <w:r>
              <w:rPr>
                <w:sz w:val="16"/>
                <w:szCs w:val="16"/>
              </w:rPr>
              <w:t xml:space="preserve"> 87.85 %</w:t>
            </w:r>
            <w:r>
              <w:rPr>
                <w:sz w:val="16"/>
                <w:szCs w:val="16"/>
              </w:rPr>
              <w:br/>
              <w:t>(86.4, 89.3)</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8C4A332" w14:textId="77777777" w:rsidR="00AB40CB" w:rsidRDefault="005A3A00">
            <w:pPr>
              <w:rPr>
                <w:sz w:val="16"/>
                <w:szCs w:val="16"/>
              </w:rPr>
            </w:pPr>
            <w:r>
              <w:rPr>
                <w:sz w:val="16"/>
                <w:szCs w:val="16"/>
              </w:rPr>
              <w:t xml:space="preserve"> 81.99 %</w:t>
            </w:r>
            <w:r>
              <w:rPr>
                <w:sz w:val="16"/>
                <w:szCs w:val="16"/>
              </w:rPr>
              <w:br/>
              <w:t>(80.4, 83.5)</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AB58556" w14:textId="77777777" w:rsidR="00AB40CB" w:rsidRDefault="005A3A00">
            <w:pPr>
              <w:rPr>
                <w:sz w:val="16"/>
                <w:szCs w:val="16"/>
              </w:rPr>
            </w:pPr>
            <w:r>
              <w:rPr>
                <w:sz w:val="16"/>
                <w:szCs w:val="16"/>
              </w:rPr>
              <w:t xml:space="preserve"> 77.88 %</w:t>
            </w:r>
            <w:r>
              <w:rPr>
                <w:sz w:val="16"/>
                <w:szCs w:val="16"/>
              </w:rPr>
              <w:br/>
              <w:t>(76.3, 79.4)</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50C91BB8" w14:textId="77777777" w:rsidR="00AB40CB" w:rsidRDefault="005A3A00">
            <w:pPr>
              <w:rPr>
                <w:sz w:val="16"/>
                <w:szCs w:val="16"/>
              </w:rPr>
            </w:pPr>
            <w:r>
              <w:rPr>
                <w:sz w:val="16"/>
                <w:szCs w:val="16"/>
              </w:rPr>
              <w:t xml:space="preserve"> 88.70 %</w:t>
            </w:r>
            <w:r>
              <w:rPr>
                <w:sz w:val="16"/>
                <w:szCs w:val="16"/>
              </w:rPr>
              <w:br/>
              <w:t>(87.1, 90.3)</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4E3935C3" w14:textId="77777777" w:rsidR="00AB40CB" w:rsidRDefault="005A3A00">
            <w:pPr>
              <w:rPr>
                <w:sz w:val="16"/>
                <w:szCs w:val="16"/>
              </w:rPr>
            </w:pPr>
            <w:r>
              <w:rPr>
                <w:sz w:val="16"/>
                <w:szCs w:val="16"/>
              </w:rPr>
              <w:t xml:space="preserve"> 96.45 %</w:t>
            </w:r>
            <w:r>
              <w:rPr>
                <w:sz w:val="16"/>
                <w:szCs w:val="16"/>
              </w:rPr>
              <w:br/>
              <w:t>(95.3, 97.6)</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03D06478" w14:textId="77777777" w:rsidR="00AB40CB" w:rsidRDefault="005A3A00">
            <w:r>
              <w:rPr>
                <w:sz w:val="16"/>
                <w:szCs w:val="16"/>
              </w:rPr>
              <w:t xml:space="preserve"> 97.00 %</w:t>
            </w:r>
            <w:r>
              <w:rPr>
                <w:sz w:val="16"/>
                <w:szCs w:val="16"/>
              </w:rPr>
              <w:br/>
              <w:t>(95.9, 98.1)</w:t>
            </w:r>
          </w:p>
        </w:tc>
      </w:tr>
      <w:tr w:rsidR="00AB40CB" w14:paraId="39300F3C"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749C5DFF" w14:textId="77777777" w:rsidR="00AB40CB" w:rsidRDefault="005A3A00">
            <w:pPr>
              <w:rPr>
                <w:sz w:val="16"/>
                <w:szCs w:val="16"/>
              </w:rPr>
            </w:pPr>
            <w:r>
              <w:rPr>
                <w:sz w:val="16"/>
                <w:szCs w:val="16"/>
              </w:rPr>
              <w:t>Sensitivity</w:t>
            </w:r>
            <w:r>
              <w:rPr>
                <w:sz w:val="16"/>
                <w:szCs w:val="16"/>
              </w:rPr>
              <w:br/>
              <w:t>GEE</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DCEFB7F" w14:textId="77777777" w:rsidR="00AB40CB" w:rsidRDefault="005A3A00">
            <w:pPr>
              <w:rPr>
                <w:sz w:val="16"/>
                <w:szCs w:val="16"/>
              </w:rPr>
            </w:pPr>
            <w:r>
              <w:rPr>
                <w:sz w:val="16"/>
                <w:szCs w:val="16"/>
              </w:rPr>
              <w:t>20.79 %</w:t>
            </w:r>
            <w:r>
              <w:rPr>
                <w:sz w:val="16"/>
                <w:szCs w:val="16"/>
              </w:rPr>
              <w:br/>
              <w:t>(15.0, 26.6)</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7892F45A" w14:textId="77777777" w:rsidR="00AB40CB" w:rsidRDefault="005A3A00">
            <w:pPr>
              <w:rPr>
                <w:sz w:val="16"/>
                <w:szCs w:val="16"/>
              </w:rPr>
            </w:pPr>
            <w:r>
              <w:rPr>
                <w:sz w:val="16"/>
                <w:szCs w:val="16"/>
              </w:rPr>
              <w:t>23.21 %</w:t>
            </w:r>
            <w:r>
              <w:rPr>
                <w:sz w:val="16"/>
                <w:szCs w:val="16"/>
              </w:rPr>
              <w:br/>
              <w:t>(17.5, 28.9)</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8B509E5" w14:textId="77777777" w:rsidR="00AB40CB" w:rsidRDefault="005A3A00">
            <w:pPr>
              <w:rPr>
                <w:sz w:val="16"/>
                <w:szCs w:val="16"/>
              </w:rPr>
            </w:pPr>
            <w:r>
              <w:rPr>
                <w:sz w:val="16"/>
                <w:szCs w:val="16"/>
              </w:rPr>
              <w:t>28.59 %</w:t>
            </w:r>
            <w:r>
              <w:rPr>
                <w:sz w:val="16"/>
                <w:szCs w:val="16"/>
              </w:rPr>
              <w:br/>
              <w:t>(22.6, 34.6)</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144970EF" w14:textId="77777777" w:rsidR="00AB40CB" w:rsidRDefault="005A3A00">
            <w:pPr>
              <w:rPr>
                <w:sz w:val="16"/>
                <w:szCs w:val="16"/>
              </w:rPr>
            </w:pPr>
            <w:r>
              <w:rPr>
                <w:sz w:val="16"/>
                <w:szCs w:val="16"/>
              </w:rPr>
              <w:t>42.01 %</w:t>
            </w:r>
            <w:r>
              <w:rPr>
                <w:sz w:val="16"/>
                <w:szCs w:val="16"/>
              </w:rPr>
              <w:br/>
              <w:t>(35.5, 48.5)</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607E3306" w14:textId="77777777" w:rsidR="00AB40CB" w:rsidRDefault="005A3A00">
            <w:pPr>
              <w:rPr>
                <w:sz w:val="16"/>
                <w:szCs w:val="16"/>
              </w:rPr>
            </w:pPr>
            <w:r>
              <w:rPr>
                <w:sz w:val="16"/>
                <w:szCs w:val="16"/>
              </w:rPr>
              <w:t>43.93 %</w:t>
            </w:r>
            <w:r>
              <w:rPr>
                <w:sz w:val="16"/>
                <w:szCs w:val="16"/>
              </w:rPr>
              <w:br/>
              <w:t>(37.4, 50.5)</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47861D7" w14:textId="77777777" w:rsidR="00AB40CB" w:rsidRDefault="005A3A00">
            <w:pPr>
              <w:rPr>
                <w:sz w:val="16"/>
                <w:szCs w:val="16"/>
              </w:rPr>
            </w:pPr>
            <w:r>
              <w:rPr>
                <w:sz w:val="16"/>
                <w:szCs w:val="16"/>
              </w:rPr>
              <w:t>50.32 %</w:t>
            </w:r>
            <w:r>
              <w:rPr>
                <w:sz w:val="16"/>
                <w:szCs w:val="16"/>
              </w:rPr>
              <w:br/>
              <w:t>(43.6, 57.1)</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94E6E30" w14:textId="77777777" w:rsidR="00AB40CB" w:rsidRDefault="005A3A00">
            <w:pPr>
              <w:rPr>
                <w:sz w:val="16"/>
                <w:szCs w:val="16"/>
              </w:rPr>
            </w:pPr>
            <w:r>
              <w:rPr>
                <w:sz w:val="16"/>
                <w:szCs w:val="16"/>
              </w:rPr>
              <w:t>57.04 %</w:t>
            </w:r>
            <w:r>
              <w:rPr>
                <w:sz w:val="16"/>
                <w:szCs w:val="16"/>
              </w:rPr>
              <w:br/>
              <w:t>(50.4, 63.7)</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50E615A8" w14:textId="77777777" w:rsidR="00AB40CB" w:rsidRDefault="005A3A00">
            <w:pPr>
              <w:rPr>
                <w:sz w:val="16"/>
                <w:szCs w:val="16"/>
              </w:rPr>
            </w:pPr>
            <w:r>
              <w:rPr>
                <w:sz w:val="16"/>
                <w:szCs w:val="16"/>
              </w:rPr>
              <w:t>60.85 %</w:t>
            </w:r>
            <w:r>
              <w:rPr>
                <w:sz w:val="16"/>
                <w:szCs w:val="16"/>
              </w:rPr>
              <w:br/>
              <w:t>(53.8, 67.9)</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25D9AF5D" w14:textId="77777777" w:rsidR="00AB40CB" w:rsidRDefault="005A3A00">
            <w:pPr>
              <w:rPr>
                <w:sz w:val="16"/>
                <w:szCs w:val="16"/>
              </w:rPr>
            </w:pPr>
            <w:r>
              <w:rPr>
                <w:sz w:val="16"/>
                <w:szCs w:val="16"/>
              </w:rPr>
              <w:t>44.02 %</w:t>
            </w:r>
            <w:r>
              <w:rPr>
                <w:sz w:val="16"/>
                <w:szCs w:val="16"/>
              </w:rPr>
              <w:br/>
              <w:t>(36.7, 51.3)</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2B295AC1" w14:textId="77777777" w:rsidR="00AB40CB" w:rsidRDefault="005A3A00">
            <w:pPr>
              <w:rPr>
                <w:sz w:val="16"/>
                <w:szCs w:val="16"/>
              </w:rPr>
            </w:pPr>
            <w:r>
              <w:rPr>
                <w:sz w:val="16"/>
                <w:szCs w:val="16"/>
              </w:rPr>
              <w:t>25.70 %</w:t>
            </w:r>
            <w:r>
              <w:rPr>
                <w:sz w:val="16"/>
                <w:szCs w:val="16"/>
              </w:rPr>
              <w:br/>
              <w:t>(19.9, 31.5)</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6C8B5B07" w14:textId="77777777" w:rsidR="00AB40CB" w:rsidRDefault="005A3A00">
            <w:r>
              <w:rPr>
                <w:sz w:val="16"/>
                <w:szCs w:val="16"/>
              </w:rPr>
              <w:t>25.46 %</w:t>
            </w:r>
            <w:r>
              <w:rPr>
                <w:sz w:val="16"/>
                <w:szCs w:val="16"/>
              </w:rPr>
              <w:br/>
              <w:t>(20.0, 31.0)</w:t>
            </w:r>
          </w:p>
        </w:tc>
      </w:tr>
      <w:tr w:rsidR="00AB40CB" w14:paraId="12AFB2B7"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03C535A9" w14:textId="77777777" w:rsidR="00AB40CB" w:rsidRDefault="005A3A00">
            <w:pPr>
              <w:rPr>
                <w:sz w:val="16"/>
                <w:szCs w:val="16"/>
              </w:rPr>
            </w:pPr>
            <w:r>
              <w:rPr>
                <w:sz w:val="16"/>
                <w:szCs w:val="16"/>
              </w:rPr>
              <w:lastRenderedPageBreak/>
              <w:t>Specificity</w:t>
            </w:r>
            <w:r>
              <w:rPr>
                <w:sz w:val="16"/>
                <w:szCs w:val="16"/>
              </w:rPr>
              <w:br/>
              <w:t>GEE</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FA84519" w14:textId="77777777" w:rsidR="00AB40CB" w:rsidRDefault="005A3A00">
            <w:pPr>
              <w:rPr>
                <w:sz w:val="16"/>
                <w:szCs w:val="16"/>
              </w:rPr>
            </w:pPr>
            <w:r>
              <w:rPr>
                <w:sz w:val="16"/>
                <w:szCs w:val="16"/>
              </w:rPr>
              <w:t>97.05 %</w:t>
            </w:r>
            <w:r>
              <w:rPr>
                <w:sz w:val="16"/>
                <w:szCs w:val="16"/>
              </w:rPr>
              <w:br/>
              <w:t>(96.2, 97.9)</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356FAC78" w14:textId="77777777" w:rsidR="00AB40CB" w:rsidRDefault="005A3A00">
            <w:pPr>
              <w:rPr>
                <w:sz w:val="16"/>
                <w:szCs w:val="16"/>
              </w:rPr>
            </w:pPr>
            <w:r>
              <w:rPr>
                <w:sz w:val="16"/>
                <w:szCs w:val="16"/>
              </w:rPr>
              <w:t>96.08 %</w:t>
            </w:r>
            <w:r>
              <w:rPr>
                <w:sz w:val="16"/>
                <w:szCs w:val="16"/>
              </w:rPr>
              <w:br/>
              <w:t>(95.1, 97.0)</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18385003" w14:textId="77777777" w:rsidR="00AB40CB" w:rsidRDefault="005A3A00">
            <w:pPr>
              <w:rPr>
                <w:sz w:val="16"/>
                <w:szCs w:val="16"/>
              </w:rPr>
            </w:pPr>
            <w:r>
              <w:rPr>
                <w:sz w:val="16"/>
                <w:szCs w:val="16"/>
              </w:rPr>
              <w:t>95.22 %</w:t>
            </w:r>
            <w:r>
              <w:rPr>
                <w:sz w:val="16"/>
                <w:szCs w:val="16"/>
              </w:rPr>
              <w:br/>
              <w:t>(94.2, 96.3)</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43624374" w14:textId="77777777" w:rsidR="00AB40CB" w:rsidRDefault="005A3A00">
            <w:pPr>
              <w:rPr>
                <w:sz w:val="16"/>
                <w:szCs w:val="16"/>
              </w:rPr>
            </w:pPr>
            <w:r>
              <w:rPr>
                <w:sz w:val="16"/>
                <w:szCs w:val="16"/>
              </w:rPr>
              <w:t>92.53 %</w:t>
            </w:r>
            <w:r>
              <w:rPr>
                <w:sz w:val="16"/>
                <w:szCs w:val="16"/>
              </w:rPr>
              <w:br/>
              <w:t>(91.3, 93.8)</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2BC2941B" w14:textId="77777777" w:rsidR="00AB40CB" w:rsidRDefault="005A3A00">
            <w:pPr>
              <w:rPr>
                <w:sz w:val="16"/>
                <w:szCs w:val="16"/>
              </w:rPr>
            </w:pPr>
            <w:r>
              <w:rPr>
                <w:sz w:val="16"/>
                <w:szCs w:val="16"/>
              </w:rPr>
              <w:t>90.67 %</w:t>
            </w:r>
            <w:r>
              <w:rPr>
                <w:sz w:val="16"/>
                <w:szCs w:val="16"/>
              </w:rPr>
              <w:br/>
              <w:t>(89.3, 92.1)</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2B896EA" w14:textId="77777777" w:rsidR="00AB40CB" w:rsidRDefault="005A3A00">
            <w:pPr>
              <w:rPr>
                <w:sz w:val="16"/>
                <w:szCs w:val="16"/>
              </w:rPr>
            </w:pPr>
            <w:r>
              <w:rPr>
                <w:sz w:val="16"/>
                <w:szCs w:val="16"/>
              </w:rPr>
              <w:t>87.8 %</w:t>
            </w:r>
            <w:r>
              <w:rPr>
                <w:sz w:val="16"/>
                <w:szCs w:val="16"/>
              </w:rPr>
              <w:br/>
              <w:t>(86.4, 89.3)</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5E82774E" w14:textId="77777777" w:rsidR="00AB40CB" w:rsidRDefault="005A3A00">
            <w:pPr>
              <w:rPr>
                <w:sz w:val="16"/>
                <w:szCs w:val="16"/>
              </w:rPr>
            </w:pPr>
            <w:r>
              <w:rPr>
                <w:sz w:val="16"/>
                <w:szCs w:val="16"/>
              </w:rPr>
              <w:t>81.99 %</w:t>
            </w:r>
            <w:r>
              <w:rPr>
                <w:sz w:val="16"/>
                <w:szCs w:val="16"/>
              </w:rPr>
              <w:br/>
              <w:t>(80.4, 83.5)</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E27E58B" w14:textId="77777777" w:rsidR="00AB40CB" w:rsidRDefault="005A3A00">
            <w:pPr>
              <w:rPr>
                <w:sz w:val="16"/>
                <w:szCs w:val="16"/>
              </w:rPr>
            </w:pPr>
            <w:r>
              <w:rPr>
                <w:sz w:val="16"/>
                <w:szCs w:val="16"/>
              </w:rPr>
              <w:t>77.85 %</w:t>
            </w:r>
            <w:r>
              <w:rPr>
                <w:sz w:val="16"/>
                <w:szCs w:val="16"/>
              </w:rPr>
              <w:br/>
              <w:t>(76.3, 79.4)</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6B9DE926" w14:textId="77777777" w:rsidR="00AB40CB" w:rsidRDefault="005A3A00">
            <w:pPr>
              <w:rPr>
                <w:sz w:val="16"/>
                <w:szCs w:val="16"/>
              </w:rPr>
            </w:pPr>
            <w:r>
              <w:rPr>
                <w:sz w:val="16"/>
                <w:szCs w:val="16"/>
              </w:rPr>
              <w:t>88.72 %</w:t>
            </w:r>
            <w:r>
              <w:rPr>
                <w:sz w:val="16"/>
                <w:szCs w:val="16"/>
              </w:rPr>
              <w:br/>
              <w:t>(87.2, 90.3)</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240646F9" w14:textId="77777777" w:rsidR="00AB40CB" w:rsidRDefault="005A3A00">
            <w:pPr>
              <w:rPr>
                <w:sz w:val="16"/>
                <w:szCs w:val="16"/>
              </w:rPr>
            </w:pPr>
            <w:r>
              <w:rPr>
                <w:sz w:val="16"/>
                <w:szCs w:val="16"/>
              </w:rPr>
              <w:t>96.41 %</w:t>
            </w:r>
            <w:r>
              <w:rPr>
                <w:sz w:val="16"/>
                <w:szCs w:val="16"/>
              </w:rPr>
              <w:br/>
              <w:t>(96.3, 97.5)</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1FDD9527" w14:textId="77777777" w:rsidR="00AB40CB" w:rsidRDefault="005A3A00">
            <w:r>
              <w:rPr>
                <w:sz w:val="16"/>
                <w:szCs w:val="16"/>
              </w:rPr>
              <w:t>96.92 %</w:t>
            </w:r>
            <w:r>
              <w:rPr>
                <w:sz w:val="16"/>
                <w:szCs w:val="16"/>
              </w:rPr>
              <w:br/>
              <w:t>(95.8, 98.0)</w:t>
            </w:r>
          </w:p>
        </w:tc>
      </w:tr>
      <w:tr w:rsidR="00AB40CB" w14:paraId="300D8E75"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7967DD22" w14:textId="77777777" w:rsidR="00AB40CB" w:rsidRDefault="005A3A00">
            <w:pPr>
              <w:rPr>
                <w:sz w:val="16"/>
                <w:szCs w:val="16"/>
              </w:rPr>
            </w:pPr>
            <w:r>
              <w:rPr>
                <w:sz w:val="16"/>
                <w:szCs w:val="16"/>
              </w:rPr>
              <w:t xml:space="preserve">Accuracy </w:t>
            </w:r>
          </w:p>
          <w:p w14:paraId="209B6C92" w14:textId="77777777" w:rsidR="00AB40CB" w:rsidRDefault="005A3A00">
            <w:pPr>
              <w:rPr>
                <w:sz w:val="16"/>
                <w:szCs w:val="16"/>
              </w:rPr>
            </w:pPr>
            <w:r>
              <w:rPr>
                <w:sz w:val="16"/>
                <w:szCs w:val="16"/>
              </w:rPr>
              <w:t>(all regions)</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5A0E367" w14:textId="77777777" w:rsidR="00AB40CB" w:rsidRDefault="005A3A00">
            <w:pPr>
              <w:rPr>
                <w:sz w:val="16"/>
                <w:szCs w:val="16"/>
              </w:rPr>
            </w:pPr>
            <w:r>
              <w:rPr>
                <w:sz w:val="16"/>
                <w:szCs w:val="16"/>
              </w:rPr>
              <w:t>88.45 %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840890A" w14:textId="77777777" w:rsidR="00AB40CB" w:rsidRDefault="005A3A00">
            <w:pPr>
              <w:rPr>
                <w:sz w:val="16"/>
                <w:szCs w:val="16"/>
              </w:rPr>
            </w:pPr>
            <w:r>
              <w:rPr>
                <w:sz w:val="16"/>
                <w:szCs w:val="16"/>
              </w:rPr>
              <w:t xml:space="preserve"> 87.84 %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ED5F4F7" w14:textId="77777777" w:rsidR="00AB40CB" w:rsidRDefault="005A3A00">
            <w:pPr>
              <w:rPr>
                <w:sz w:val="16"/>
                <w:szCs w:val="16"/>
              </w:rPr>
            </w:pPr>
            <w:r>
              <w:rPr>
                <w:sz w:val="16"/>
                <w:szCs w:val="16"/>
              </w:rPr>
              <w:t xml:space="preserve"> 87.69 %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61236146" w14:textId="77777777" w:rsidR="00AB40CB" w:rsidRDefault="005A3A00">
            <w:pPr>
              <w:rPr>
                <w:sz w:val="16"/>
                <w:szCs w:val="16"/>
              </w:rPr>
            </w:pPr>
            <w:r>
              <w:rPr>
                <w:sz w:val="16"/>
                <w:szCs w:val="16"/>
              </w:rPr>
              <w:t xml:space="preserve"> 86.93 %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2557A774" w14:textId="77777777" w:rsidR="00AB40CB" w:rsidRDefault="005A3A00">
            <w:pPr>
              <w:rPr>
                <w:sz w:val="16"/>
                <w:szCs w:val="16"/>
              </w:rPr>
            </w:pPr>
            <w:r>
              <w:rPr>
                <w:sz w:val="16"/>
                <w:szCs w:val="16"/>
              </w:rPr>
              <w:t xml:space="preserve"> 85.45 %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EBFCBA2" w14:textId="77777777" w:rsidR="00AB40CB" w:rsidRDefault="005A3A00">
            <w:pPr>
              <w:rPr>
                <w:sz w:val="16"/>
                <w:szCs w:val="16"/>
              </w:rPr>
            </w:pPr>
            <w:r>
              <w:rPr>
                <w:sz w:val="16"/>
                <w:szCs w:val="16"/>
              </w:rPr>
              <w:t xml:space="preserve"> 83.75 %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EF3CC10" w14:textId="77777777" w:rsidR="00AB40CB" w:rsidRDefault="005A3A00">
            <w:pPr>
              <w:rPr>
                <w:sz w:val="16"/>
                <w:szCs w:val="16"/>
              </w:rPr>
            </w:pPr>
            <w:r>
              <w:rPr>
                <w:sz w:val="16"/>
                <w:szCs w:val="16"/>
              </w:rPr>
              <w:t xml:space="preserve"> 79.36 %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39E83CDB" w14:textId="77777777" w:rsidR="00AB40CB" w:rsidRDefault="005A3A00">
            <w:pPr>
              <w:rPr>
                <w:sz w:val="16"/>
                <w:szCs w:val="16"/>
              </w:rPr>
            </w:pPr>
            <w:r>
              <w:rPr>
                <w:sz w:val="16"/>
                <w:szCs w:val="16"/>
              </w:rPr>
              <w:t xml:space="preserve"> 76.21 %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1D737C7F" w14:textId="77777777" w:rsidR="00AB40CB" w:rsidRDefault="005A3A00">
            <w:pPr>
              <w:rPr>
                <w:sz w:val="16"/>
                <w:szCs w:val="16"/>
              </w:rPr>
            </w:pPr>
            <w:r>
              <w:rPr>
                <w:sz w:val="16"/>
                <w:szCs w:val="16"/>
              </w:rPr>
              <w:t xml:space="preserve"> 83.71 %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727BCCEE" w14:textId="77777777" w:rsidR="00AB40CB" w:rsidRDefault="005A3A00">
            <w:pPr>
              <w:rPr>
                <w:sz w:val="16"/>
                <w:szCs w:val="16"/>
              </w:rPr>
            </w:pPr>
            <w:r>
              <w:rPr>
                <w:sz w:val="16"/>
                <w:szCs w:val="16"/>
              </w:rPr>
              <w:t xml:space="preserve"> 88.45 %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1271BA87" w14:textId="77777777" w:rsidR="00AB40CB" w:rsidRDefault="005A3A00">
            <w:r>
              <w:rPr>
                <w:sz w:val="16"/>
                <w:szCs w:val="16"/>
              </w:rPr>
              <w:t xml:space="preserve"> 88.86 %</w:t>
            </w:r>
          </w:p>
        </w:tc>
      </w:tr>
      <w:tr w:rsidR="00AB40CB" w14:paraId="095F691F" w14:textId="77777777">
        <w:trPr>
          <w:trHeight w:val="277"/>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131EE7F0" w14:textId="77777777" w:rsidR="00AB40CB" w:rsidRDefault="005A3A00">
            <w:pPr>
              <w:rPr>
                <w:sz w:val="16"/>
                <w:szCs w:val="16"/>
                <w:lang w:val="en-US"/>
              </w:rPr>
            </w:pPr>
            <w:r>
              <w:rPr>
                <w:sz w:val="16"/>
                <w:szCs w:val="16"/>
                <w:lang w:val="en-US"/>
              </w:rPr>
              <w:t xml:space="preserve">Sensitivity </w:t>
            </w:r>
          </w:p>
          <w:p w14:paraId="23B495F7" w14:textId="77777777" w:rsidR="00AB40CB" w:rsidRDefault="005A3A00">
            <w:pPr>
              <w:rPr>
                <w:sz w:val="16"/>
                <w:szCs w:val="16"/>
              </w:rPr>
            </w:pPr>
            <w:r>
              <w:rPr>
                <w:sz w:val="16"/>
                <w:szCs w:val="16"/>
                <w:lang w:val="en-US"/>
              </w:rPr>
              <w:t>(L, I, C, IC)</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61E9EBE9" w14:textId="77777777" w:rsidR="00AB40CB" w:rsidRDefault="005A3A00">
            <w:pPr>
              <w:rPr>
                <w:sz w:val="16"/>
                <w:szCs w:val="16"/>
              </w:rPr>
            </w:pPr>
            <w:r>
              <w:rPr>
                <w:sz w:val="16"/>
                <w:szCs w:val="16"/>
              </w:rPr>
              <w:t>27.54 %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60C38E9" w14:textId="77777777" w:rsidR="00AB40CB" w:rsidRDefault="005A3A00">
            <w:pPr>
              <w:rPr>
                <w:sz w:val="16"/>
                <w:szCs w:val="16"/>
              </w:rPr>
            </w:pPr>
            <w:r>
              <w:rPr>
                <w:sz w:val="16"/>
                <w:szCs w:val="16"/>
              </w:rPr>
              <w:t xml:space="preserve"> 29.71 %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DF038BA" w14:textId="77777777" w:rsidR="00AB40CB" w:rsidRDefault="005A3A00">
            <w:pPr>
              <w:rPr>
                <w:sz w:val="16"/>
                <w:szCs w:val="16"/>
              </w:rPr>
            </w:pPr>
            <w:r>
              <w:rPr>
                <w:sz w:val="16"/>
                <w:szCs w:val="16"/>
              </w:rPr>
              <w:t xml:space="preserve"> 37.68 %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03BD41F8" w14:textId="77777777" w:rsidR="00AB40CB" w:rsidRDefault="005A3A00">
            <w:pPr>
              <w:rPr>
                <w:sz w:val="16"/>
                <w:szCs w:val="16"/>
              </w:rPr>
            </w:pPr>
            <w:r>
              <w:rPr>
                <w:sz w:val="16"/>
                <w:szCs w:val="16"/>
              </w:rPr>
              <w:t xml:space="preserve"> 44.93 %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0E986717" w14:textId="77777777" w:rsidR="00AB40CB" w:rsidRDefault="005A3A00">
            <w:pPr>
              <w:rPr>
                <w:sz w:val="16"/>
                <w:szCs w:val="16"/>
              </w:rPr>
            </w:pPr>
            <w:r>
              <w:rPr>
                <w:sz w:val="16"/>
                <w:szCs w:val="16"/>
              </w:rPr>
              <w:t xml:space="preserve"> 44.93 %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7B7A657" w14:textId="77777777" w:rsidR="00AB40CB" w:rsidRDefault="005A3A00">
            <w:pPr>
              <w:rPr>
                <w:sz w:val="16"/>
                <w:szCs w:val="16"/>
              </w:rPr>
            </w:pPr>
            <w:r>
              <w:rPr>
                <w:sz w:val="16"/>
                <w:szCs w:val="16"/>
              </w:rPr>
              <w:t xml:space="preserve"> 47.83 %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B7507F0" w14:textId="77777777" w:rsidR="00AB40CB" w:rsidRDefault="005A3A00">
            <w:pPr>
              <w:rPr>
                <w:sz w:val="16"/>
                <w:szCs w:val="16"/>
              </w:rPr>
            </w:pPr>
            <w:r>
              <w:rPr>
                <w:sz w:val="16"/>
                <w:szCs w:val="16"/>
              </w:rPr>
              <w:t xml:space="preserve"> 50.00 %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3BE3BBC" w14:textId="77777777" w:rsidR="00AB40CB" w:rsidRDefault="005A3A00">
            <w:pPr>
              <w:rPr>
                <w:sz w:val="16"/>
                <w:szCs w:val="16"/>
              </w:rPr>
            </w:pPr>
            <w:r>
              <w:rPr>
                <w:sz w:val="16"/>
                <w:szCs w:val="16"/>
              </w:rPr>
              <w:t xml:space="preserve"> 53.62 %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740661F4" w14:textId="77777777" w:rsidR="00AB40CB" w:rsidRDefault="005A3A00">
            <w:pPr>
              <w:rPr>
                <w:sz w:val="16"/>
                <w:szCs w:val="16"/>
              </w:rPr>
            </w:pPr>
            <w:r>
              <w:rPr>
                <w:sz w:val="16"/>
                <w:szCs w:val="16"/>
              </w:rPr>
              <w:t xml:space="preserve"> 51.45 %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33E8B27F" w14:textId="77777777" w:rsidR="00AB40CB" w:rsidRDefault="005A3A00">
            <w:pPr>
              <w:rPr>
                <w:sz w:val="16"/>
                <w:szCs w:val="16"/>
              </w:rPr>
            </w:pPr>
            <w:r>
              <w:rPr>
                <w:sz w:val="16"/>
                <w:szCs w:val="16"/>
              </w:rPr>
              <w:t xml:space="preserve"> 41.30 %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01147880" w14:textId="77777777" w:rsidR="00AB40CB" w:rsidRDefault="005A3A00">
            <w:r>
              <w:rPr>
                <w:sz w:val="16"/>
                <w:szCs w:val="16"/>
              </w:rPr>
              <w:t xml:space="preserve"> 37.68 %</w:t>
            </w:r>
          </w:p>
        </w:tc>
      </w:tr>
      <w:tr w:rsidR="00AB40CB" w14:paraId="604F06FB" w14:textId="77777777">
        <w:trPr>
          <w:trHeight w:val="293"/>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2C507A98" w14:textId="77777777" w:rsidR="00AB40CB" w:rsidRDefault="005A3A00">
            <w:pPr>
              <w:rPr>
                <w:sz w:val="16"/>
                <w:szCs w:val="16"/>
                <w:lang w:val="en-US"/>
              </w:rPr>
            </w:pPr>
            <w:r>
              <w:rPr>
                <w:sz w:val="16"/>
                <w:szCs w:val="16"/>
                <w:lang w:val="en-US"/>
              </w:rPr>
              <w:t xml:space="preserve">Specificity </w:t>
            </w:r>
          </w:p>
          <w:p w14:paraId="267BDE44" w14:textId="77777777" w:rsidR="00AB40CB" w:rsidRDefault="005A3A00">
            <w:pPr>
              <w:rPr>
                <w:sz w:val="16"/>
                <w:szCs w:val="16"/>
              </w:rPr>
            </w:pPr>
            <w:r>
              <w:rPr>
                <w:sz w:val="16"/>
                <w:szCs w:val="16"/>
                <w:lang w:val="en-US"/>
              </w:rPr>
              <w:t>(L, I, C, IC)</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90AAC01" w14:textId="77777777" w:rsidR="00AB40CB" w:rsidRDefault="005A3A00">
            <w:pPr>
              <w:rPr>
                <w:sz w:val="16"/>
                <w:szCs w:val="16"/>
              </w:rPr>
            </w:pPr>
            <w:r>
              <w:rPr>
                <w:sz w:val="16"/>
                <w:szCs w:val="16"/>
              </w:rPr>
              <w:t>95.21 %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975ADFE" w14:textId="77777777" w:rsidR="00AB40CB" w:rsidRDefault="005A3A00">
            <w:pPr>
              <w:rPr>
                <w:sz w:val="16"/>
                <w:szCs w:val="16"/>
              </w:rPr>
            </w:pPr>
            <w:r>
              <w:rPr>
                <w:sz w:val="16"/>
                <w:szCs w:val="16"/>
              </w:rPr>
              <w:t xml:space="preserve"> 93.68 %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2A0C2AA" w14:textId="77777777" w:rsidR="00AB40CB" w:rsidRDefault="005A3A00">
            <w:pPr>
              <w:rPr>
                <w:sz w:val="16"/>
                <w:szCs w:val="16"/>
              </w:rPr>
            </w:pPr>
            <w:r>
              <w:rPr>
                <w:sz w:val="16"/>
                <w:szCs w:val="16"/>
              </w:rPr>
              <w:t xml:space="preserve"> 92.59 %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0C58C1FD" w14:textId="77777777" w:rsidR="00AB40CB" w:rsidRDefault="005A3A00">
            <w:pPr>
              <w:rPr>
                <w:sz w:val="16"/>
                <w:szCs w:val="16"/>
              </w:rPr>
            </w:pPr>
            <w:r>
              <w:rPr>
                <w:sz w:val="16"/>
                <w:szCs w:val="16"/>
              </w:rPr>
              <w:t xml:space="preserve"> 89.76 %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4416AC4D" w14:textId="77777777" w:rsidR="00AB40CB" w:rsidRDefault="005A3A00">
            <w:pPr>
              <w:rPr>
                <w:sz w:val="16"/>
                <w:szCs w:val="16"/>
              </w:rPr>
            </w:pPr>
            <w:r>
              <w:rPr>
                <w:sz w:val="16"/>
                <w:szCs w:val="16"/>
              </w:rPr>
              <w:t xml:space="preserve"> 89.87 %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34DCD1F3" w14:textId="77777777" w:rsidR="00AB40CB" w:rsidRDefault="005A3A00">
            <w:pPr>
              <w:rPr>
                <w:sz w:val="16"/>
                <w:szCs w:val="16"/>
              </w:rPr>
            </w:pPr>
            <w:r>
              <w:rPr>
                <w:sz w:val="16"/>
                <w:szCs w:val="16"/>
              </w:rPr>
              <w:t xml:space="preserve"> 87.58 %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166F382A" w14:textId="77777777" w:rsidR="00AB40CB" w:rsidRDefault="005A3A00">
            <w:pPr>
              <w:rPr>
                <w:sz w:val="16"/>
                <w:szCs w:val="16"/>
              </w:rPr>
            </w:pPr>
            <w:r>
              <w:rPr>
                <w:sz w:val="16"/>
                <w:szCs w:val="16"/>
              </w:rPr>
              <w:t xml:space="preserve"> 82.24 %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3CA516A" w14:textId="77777777" w:rsidR="00AB40CB" w:rsidRDefault="005A3A00">
            <w:pPr>
              <w:rPr>
                <w:sz w:val="16"/>
                <w:szCs w:val="16"/>
              </w:rPr>
            </w:pPr>
            <w:r>
              <w:rPr>
                <w:sz w:val="16"/>
                <w:szCs w:val="16"/>
              </w:rPr>
              <w:t xml:space="preserve"> 80.94 %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43A22527" w14:textId="77777777" w:rsidR="00AB40CB" w:rsidRDefault="005A3A00">
            <w:pPr>
              <w:rPr>
                <w:sz w:val="16"/>
                <w:szCs w:val="16"/>
              </w:rPr>
            </w:pPr>
            <w:r>
              <w:rPr>
                <w:sz w:val="16"/>
                <w:szCs w:val="16"/>
              </w:rPr>
              <w:t xml:space="preserve"> 86.60 %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3E78143F" w14:textId="77777777" w:rsidR="00AB40CB" w:rsidRDefault="005A3A00">
            <w:pPr>
              <w:rPr>
                <w:sz w:val="16"/>
                <w:szCs w:val="16"/>
              </w:rPr>
            </w:pPr>
            <w:r>
              <w:rPr>
                <w:sz w:val="16"/>
                <w:szCs w:val="16"/>
              </w:rPr>
              <w:t xml:space="preserve"> 94.01 %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1FAD8EE1" w14:textId="77777777" w:rsidR="00AB40CB" w:rsidRDefault="005A3A00">
            <w:r>
              <w:rPr>
                <w:sz w:val="16"/>
                <w:szCs w:val="16"/>
              </w:rPr>
              <w:t xml:space="preserve"> 95.21 %</w:t>
            </w:r>
          </w:p>
        </w:tc>
      </w:tr>
      <w:tr w:rsidR="00AB40CB" w14:paraId="5D68A8F4" w14:textId="77777777">
        <w:trPr>
          <w:trHeight w:val="277"/>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52CBC2B2" w14:textId="77777777" w:rsidR="00AB40CB" w:rsidRDefault="005A3A00">
            <w:pPr>
              <w:rPr>
                <w:sz w:val="16"/>
                <w:szCs w:val="16"/>
                <w:lang w:val="en-US"/>
              </w:rPr>
            </w:pPr>
            <w:r>
              <w:rPr>
                <w:sz w:val="16"/>
                <w:szCs w:val="16"/>
                <w:lang w:val="en-US"/>
              </w:rPr>
              <w:t>Accuracy</w:t>
            </w:r>
          </w:p>
          <w:p w14:paraId="6DF8F5A3" w14:textId="77777777" w:rsidR="00AB40CB" w:rsidRDefault="005A3A00">
            <w:pPr>
              <w:rPr>
                <w:sz w:val="16"/>
                <w:szCs w:val="16"/>
              </w:rPr>
            </w:pPr>
            <w:r>
              <w:rPr>
                <w:sz w:val="16"/>
                <w:szCs w:val="16"/>
                <w:lang w:val="en-US"/>
              </w:rPr>
              <w:t xml:space="preserve"> (L, I, C, IC)</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2F4594B" w14:textId="77777777" w:rsidR="00AB40CB" w:rsidRDefault="005A3A00">
            <w:pPr>
              <w:rPr>
                <w:sz w:val="16"/>
                <w:szCs w:val="16"/>
              </w:rPr>
            </w:pPr>
            <w:r>
              <w:rPr>
                <w:sz w:val="16"/>
                <w:szCs w:val="16"/>
              </w:rPr>
              <w:t>86.36 %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73123516" w14:textId="77777777" w:rsidR="00AB40CB" w:rsidRDefault="005A3A00">
            <w:pPr>
              <w:rPr>
                <w:sz w:val="16"/>
                <w:szCs w:val="16"/>
              </w:rPr>
            </w:pPr>
            <w:r>
              <w:rPr>
                <w:sz w:val="16"/>
                <w:szCs w:val="16"/>
              </w:rPr>
              <w:t xml:space="preserve"> 85.32 %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1C8B7898" w14:textId="77777777" w:rsidR="00AB40CB" w:rsidRDefault="005A3A00">
            <w:pPr>
              <w:rPr>
                <w:sz w:val="16"/>
                <w:szCs w:val="16"/>
              </w:rPr>
            </w:pPr>
            <w:r>
              <w:rPr>
                <w:sz w:val="16"/>
                <w:szCs w:val="16"/>
              </w:rPr>
              <w:t xml:space="preserve"> 85.42 %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2D9E237B" w14:textId="77777777" w:rsidR="00AB40CB" w:rsidRDefault="005A3A00">
            <w:pPr>
              <w:rPr>
                <w:sz w:val="16"/>
                <w:szCs w:val="16"/>
              </w:rPr>
            </w:pPr>
            <w:r>
              <w:rPr>
                <w:sz w:val="16"/>
                <w:szCs w:val="16"/>
              </w:rPr>
              <w:t xml:space="preserve"> 83.90 %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26C3EB5E" w14:textId="77777777" w:rsidR="00AB40CB" w:rsidRDefault="005A3A00">
            <w:pPr>
              <w:rPr>
                <w:sz w:val="16"/>
                <w:szCs w:val="16"/>
              </w:rPr>
            </w:pPr>
            <w:r>
              <w:rPr>
                <w:sz w:val="16"/>
                <w:szCs w:val="16"/>
              </w:rPr>
              <w:t xml:space="preserve"> 84.00 %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5294C24" w14:textId="77777777" w:rsidR="00AB40CB" w:rsidRDefault="005A3A00">
            <w:pPr>
              <w:rPr>
                <w:sz w:val="16"/>
                <w:szCs w:val="16"/>
              </w:rPr>
            </w:pPr>
            <w:r>
              <w:rPr>
                <w:sz w:val="16"/>
                <w:szCs w:val="16"/>
              </w:rPr>
              <w:t xml:space="preserve"> 82.39 %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5C5AD67F" w14:textId="77777777" w:rsidR="00AB40CB" w:rsidRDefault="005A3A00">
            <w:pPr>
              <w:rPr>
                <w:sz w:val="16"/>
                <w:szCs w:val="16"/>
              </w:rPr>
            </w:pPr>
            <w:r>
              <w:rPr>
                <w:sz w:val="16"/>
                <w:szCs w:val="16"/>
              </w:rPr>
              <w:t xml:space="preserve"> 78.03 %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3E3A2AD" w14:textId="77777777" w:rsidR="00AB40CB" w:rsidRDefault="005A3A00">
            <w:pPr>
              <w:rPr>
                <w:sz w:val="16"/>
                <w:szCs w:val="16"/>
              </w:rPr>
            </w:pPr>
            <w:r>
              <w:rPr>
                <w:sz w:val="16"/>
                <w:szCs w:val="16"/>
              </w:rPr>
              <w:t xml:space="preserve"> 77.37 %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6EE486D5" w14:textId="77777777" w:rsidR="00AB40CB" w:rsidRDefault="005A3A00">
            <w:pPr>
              <w:rPr>
                <w:sz w:val="16"/>
                <w:szCs w:val="16"/>
              </w:rPr>
            </w:pPr>
            <w:r>
              <w:rPr>
                <w:sz w:val="16"/>
                <w:szCs w:val="16"/>
              </w:rPr>
              <w:t xml:space="preserve"> 82.01 %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50159E3A" w14:textId="77777777" w:rsidR="00AB40CB" w:rsidRDefault="005A3A00">
            <w:pPr>
              <w:rPr>
                <w:sz w:val="16"/>
                <w:szCs w:val="16"/>
              </w:rPr>
            </w:pPr>
            <w:r>
              <w:rPr>
                <w:sz w:val="16"/>
                <w:szCs w:val="16"/>
              </w:rPr>
              <w:t xml:space="preserve"> 87.12 %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6863F2DB" w14:textId="77777777" w:rsidR="00AB40CB" w:rsidRDefault="005A3A00">
            <w:r>
              <w:rPr>
                <w:sz w:val="16"/>
                <w:szCs w:val="16"/>
              </w:rPr>
              <w:t xml:space="preserve"> 87.69 %</w:t>
            </w:r>
          </w:p>
        </w:tc>
      </w:tr>
      <w:tr w:rsidR="00AB40CB" w14:paraId="3D74AF13"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132679FA" w14:textId="77777777" w:rsidR="00AB40CB" w:rsidRDefault="005A3A00">
            <w:pPr>
              <w:rPr>
                <w:sz w:val="16"/>
                <w:szCs w:val="16"/>
              </w:rPr>
            </w:pPr>
            <w:r>
              <w:rPr>
                <w:sz w:val="16"/>
                <w:szCs w:val="16"/>
              </w:rPr>
              <w:t xml:space="preserve">Sensitivity </w:t>
            </w:r>
          </w:p>
          <w:p w14:paraId="46221D6C" w14:textId="77777777" w:rsidR="00AB40CB" w:rsidRDefault="005A3A00">
            <w:pPr>
              <w:rPr>
                <w:sz w:val="16"/>
                <w:szCs w:val="16"/>
              </w:rPr>
            </w:pPr>
            <w:r>
              <w:rPr>
                <w:sz w:val="16"/>
                <w:szCs w:val="16"/>
              </w:rPr>
              <w:t>(M1-6)</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5CF9B84" w14:textId="77777777" w:rsidR="00AB40CB" w:rsidRDefault="005A3A00">
            <w:pPr>
              <w:rPr>
                <w:sz w:val="16"/>
                <w:szCs w:val="16"/>
              </w:rPr>
            </w:pPr>
            <w:r>
              <w:rPr>
                <w:sz w:val="16"/>
                <w:szCs w:val="16"/>
              </w:rPr>
              <w:t>16.97 %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88DE448" w14:textId="77777777" w:rsidR="00AB40CB" w:rsidRDefault="005A3A00">
            <w:pPr>
              <w:rPr>
                <w:sz w:val="16"/>
                <w:szCs w:val="16"/>
              </w:rPr>
            </w:pPr>
            <w:r>
              <w:rPr>
                <w:sz w:val="16"/>
                <w:szCs w:val="16"/>
              </w:rPr>
              <w:t xml:space="preserve"> 19.39 %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667B6303" w14:textId="77777777" w:rsidR="00AB40CB" w:rsidRDefault="005A3A00">
            <w:pPr>
              <w:rPr>
                <w:sz w:val="16"/>
                <w:szCs w:val="16"/>
              </w:rPr>
            </w:pPr>
            <w:r>
              <w:rPr>
                <w:sz w:val="16"/>
                <w:szCs w:val="16"/>
              </w:rPr>
              <w:t xml:space="preserve"> 22.42 %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26926786" w14:textId="77777777" w:rsidR="00AB40CB" w:rsidRDefault="005A3A00">
            <w:pPr>
              <w:rPr>
                <w:sz w:val="16"/>
                <w:szCs w:val="16"/>
              </w:rPr>
            </w:pPr>
            <w:r>
              <w:rPr>
                <w:sz w:val="16"/>
                <w:szCs w:val="16"/>
              </w:rPr>
              <w:t xml:space="preserve"> 42.42 %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599A35B4" w14:textId="77777777" w:rsidR="00AB40CB" w:rsidRDefault="005A3A00">
            <w:pPr>
              <w:rPr>
                <w:sz w:val="16"/>
                <w:szCs w:val="16"/>
              </w:rPr>
            </w:pPr>
            <w:r>
              <w:rPr>
                <w:sz w:val="16"/>
                <w:szCs w:val="16"/>
              </w:rPr>
              <w:t xml:space="preserve"> 45.45 %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C0B12CF" w14:textId="77777777" w:rsidR="00AB40CB" w:rsidRDefault="005A3A00">
            <w:pPr>
              <w:rPr>
                <w:sz w:val="16"/>
                <w:szCs w:val="16"/>
              </w:rPr>
            </w:pPr>
            <w:r>
              <w:rPr>
                <w:sz w:val="16"/>
                <w:szCs w:val="16"/>
              </w:rPr>
              <w:t xml:space="preserve"> 55.76 %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1FDD4F91" w14:textId="77777777" w:rsidR="00AB40CB" w:rsidRDefault="005A3A00">
            <w:pPr>
              <w:rPr>
                <w:sz w:val="16"/>
                <w:szCs w:val="16"/>
              </w:rPr>
            </w:pPr>
            <w:r>
              <w:rPr>
                <w:sz w:val="16"/>
                <w:szCs w:val="16"/>
              </w:rPr>
              <w:t xml:space="preserve"> 66.67 %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8422247" w14:textId="77777777" w:rsidR="00AB40CB" w:rsidRDefault="005A3A00">
            <w:pPr>
              <w:rPr>
                <w:sz w:val="16"/>
                <w:szCs w:val="16"/>
              </w:rPr>
            </w:pPr>
            <w:r>
              <w:rPr>
                <w:sz w:val="16"/>
                <w:szCs w:val="16"/>
              </w:rPr>
              <w:t xml:space="preserve"> 71.52 %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6C29C4E6" w14:textId="77777777" w:rsidR="00AB40CB" w:rsidRDefault="005A3A00">
            <w:pPr>
              <w:rPr>
                <w:sz w:val="16"/>
                <w:szCs w:val="16"/>
              </w:rPr>
            </w:pPr>
            <w:r>
              <w:rPr>
                <w:sz w:val="16"/>
                <w:szCs w:val="16"/>
              </w:rPr>
              <w:t xml:space="preserve"> 40.00 %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197393DC" w14:textId="77777777" w:rsidR="00AB40CB" w:rsidRDefault="005A3A00">
            <w:pPr>
              <w:rPr>
                <w:sz w:val="16"/>
                <w:szCs w:val="16"/>
              </w:rPr>
            </w:pPr>
            <w:r>
              <w:rPr>
                <w:sz w:val="16"/>
                <w:szCs w:val="16"/>
              </w:rPr>
              <w:t xml:space="preserve"> 14.55 %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01FC0C68" w14:textId="77777777" w:rsidR="00AB40CB" w:rsidRDefault="005A3A00">
            <w:r>
              <w:rPr>
                <w:sz w:val="16"/>
                <w:szCs w:val="16"/>
              </w:rPr>
              <w:t xml:space="preserve"> 16.36 %</w:t>
            </w:r>
          </w:p>
        </w:tc>
      </w:tr>
      <w:tr w:rsidR="00AB40CB" w14:paraId="5A40935B"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406D35B6" w14:textId="77777777" w:rsidR="00AB40CB" w:rsidRDefault="005A3A00">
            <w:pPr>
              <w:rPr>
                <w:sz w:val="16"/>
                <w:szCs w:val="16"/>
              </w:rPr>
            </w:pPr>
            <w:r>
              <w:rPr>
                <w:sz w:val="16"/>
                <w:szCs w:val="16"/>
              </w:rPr>
              <w:t xml:space="preserve">Specificity </w:t>
            </w:r>
          </w:p>
          <w:p w14:paraId="38B24E60" w14:textId="77777777" w:rsidR="00AB40CB" w:rsidRDefault="005A3A00">
            <w:pPr>
              <w:rPr>
                <w:sz w:val="16"/>
                <w:szCs w:val="16"/>
              </w:rPr>
            </w:pPr>
            <w:r>
              <w:rPr>
                <w:sz w:val="16"/>
                <w:szCs w:val="16"/>
              </w:rPr>
              <w:t>(M1-6)</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B7588C0" w14:textId="77777777" w:rsidR="00AB40CB" w:rsidRDefault="005A3A00">
            <w:pPr>
              <w:rPr>
                <w:sz w:val="16"/>
                <w:szCs w:val="16"/>
              </w:rPr>
            </w:pPr>
            <w:r>
              <w:rPr>
                <w:sz w:val="16"/>
                <w:szCs w:val="16"/>
              </w:rPr>
              <w:t>98.31 %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570BF95A" w14:textId="77777777" w:rsidR="00AB40CB" w:rsidRDefault="005A3A00">
            <w:pPr>
              <w:rPr>
                <w:sz w:val="16"/>
                <w:szCs w:val="16"/>
              </w:rPr>
            </w:pPr>
            <w:r>
              <w:rPr>
                <w:sz w:val="16"/>
                <w:szCs w:val="16"/>
              </w:rPr>
              <w:t xml:space="preserve"> 97.67 %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169D61A" w14:textId="77777777" w:rsidR="00AB40CB" w:rsidRDefault="005A3A00">
            <w:pPr>
              <w:rPr>
                <w:sz w:val="16"/>
                <w:szCs w:val="16"/>
              </w:rPr>
            </w:pPr>
            <w:r>
              <w:rPr>
                <w:sz w:val="16"/>
                <w:szCs w:val="16"/>
              </w:rPr>
              <w:t xml:space="preserve"> 96.97 %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54476635" w14:textId="77777777" w:rsidR="00AB40CB" w:rsidRDefault="005A3A00">
            <w:pPr>
              <w:rPr>
                <w:sz w:val="16"/>
                <w:szCs w:val="16"/>
              </w:rPr>
            </w:pPr>
            <w:r>
              <w:rPr>
                <w:sz w:val="16"/>
                <w:szCs w:val="16"/>
              </w:rPr>
              <w:t xml:space="preserve"> 94.36 %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5228D306" w14:textId="77777777" w:rsidR="00AB40CB" w:rsidRDefault="005A3A00">
            <w:pPr>
              <w:rPr>
                <w:sz w:val="16"/>
                <w:szCs w:val="16"/>
              </w:rPr>
            </w:pPr>
            <w:r>
              <w:rPr>
                <w:sz w:val="16"/>
                <w:szCs w:val="16"/>
              </w:rPr>
              <w:t xml:space="preserve"> 91.19 %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3347556" w14:textId="77777777" w:rsidR="00AB40CB" w:rsidRDefault="005A3A00">
            <w:pPr>
              <w:rPr>
                <w:sz w:val="16"/>
                <w:szCs w:val="16"/>
              </w:rPr>
            </w:pPr>
            <w:r>
              <w:rPr>
                <w:sz w:val="16"/>
                <w:szCs w:val="16"/>
              </w:rPr>
              <w:t xml:space="preserve"> 88.02 %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E8603CA" w14:textId="77777777" w:rsidR="00AB40CB" w:rsidRDefault="005A3A00">
            <w:pPr>
              <w:rPr>
                <w:sz w:val="16"/>
                <w:szCs w:val="16"/>
              </w:rPr>
            </w:pPr>
            <w:r>
              <w:rPr>
                <w:sz w:val="16"/>
                <w:szCs w:val="16"/>
              </w:rPr>
              <w:t xml:space="preserve"> 81.82 %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464C21EB" w14:textId="77777777" w:rsidR="00AB40CB" w:rsidRDefault="005A3A00">
            <w:pPr>
              <w:rPr>
                <w:sz w:val="16"/>
                <w:szCs w:val="16"/>
              </w:rPr>
            </w:pPr>
            <w:r>
              <w:rPr>
                <w:sz w:val="16"/>
                <w:szCs w:val="16"/>
              </w:rPr>
              <w:t xml:space="preserve"> 75.90 %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71BE146D" w14:textId="77777777" w:rsidR="00AB40CB" w:rsidRDefault="005A3A00">
            <w:pPr>
              <w:rPr>
                <w:sz w:val="16"/>
                <w:szCs w:val="16"/>
              </w:rPr>
            </w:pPr>
            <w:r>
              <w:rPr>
                <w:sz w:val="16"/>
                <w:szCs w:val="16"/>
              </w:rPr>
              <w:t xml:space="preserve"> 90.06 %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2422948F" w14:textId="77777777" w:rsidR="00AB40CB" w:rsidRDefault="005A3A00">
            <w:pPr>
              <w:rPr>
                <w:sz w:val="16"/>
                <w:szCs w:val="16"/>
              </w:rPr>
            </w:pPr>
            <w:r>
              <w:rPr>
                <w:sz w:val="16"/>
                <w:szCs w:val="16"/>
              </w:rPr>
              <w:t xml:space="preserve"> 98.03 %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5DA9E845" w14:textId="77777777" w:rsidR="00AB40CB" w:rsidRDefault="005A3A00">
            <w:r>
              <w:rPr>
                <w:sz w:val="16"/>
                <w:szCs w:val="16"/>
              </w:rPr>
              <w:t xml:space="preserve"> 98.17 %</w:t>
            </w:r>
          </w:p>
        </w:tc>
      </w:tr>
      <w:tr w:rsidR="00AB40CB" w14:paraId="4856CD89" w14:textId="77777777">
        <w:trPr>
          <w:trHeight w:val="293"/>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7A61E04C" w14:textId="77777777" w:rsidR="00AB40CB" w:rsidRDefault="005A3A00">
            <w:pPr>
              <w:rPr>
                <w:sz w:val="16"/>
                <w:szCs w:val="16"/>
              </w:rPr>
            </w:pPr>
            <w:r>
              <w:rPr>
                <w:sz w:val="16"/>
                <w:szCs w:val="16"/>
              </w:rPr>
              <w:t xml:space="preserve">Accuracy </w:t>
            </w:r>
          </w:p>
          <w:p w14:paraId="17E6C670" w14:textId="77777777" w:rsidR="00AB40CB" w:rsidRDefault="005A3A00">
            <w:pPr>
              <w:rPr>
                <w:sz w:val="16"/>
                <w:szCs w:val="16"/>
              </w:rPr>
            </w:pPr>
            <w:r>
              <w:rPr>
                <w:sz w:val="16"/>
                <w:szCs w:val="16"/>
              </w:rPr>
              <w:t>(M1-6)</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B576FDD" w14:textId="77777777" w:rsidR="00AB40CB" w:rsidRDefault="005A3A00">
            <w:pPr>
              <w:rPr>
                <w:sz w:val="16"/>
                <w:szCs w:val="16"/>
              </w:rPr>
            </w:pPr>
            <w:r>
              <w:rPr>
                <w:sz w:val="16"/>
                <w:szCs w:val="16"/>
              </w:rPr>
              <w:t>89.84 %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346B151A" w14:textId="77777777" w:rsidR="00AB40CB" w:rsidRDefault="005A3A00">
            <w:pPr>
              <w:rPr>
                <w:sz w:val="16"/>
                <w:szCs w:val="16"/>
              </w:rPr>
            </w:pPr>
            <w:r>
              <w:rPr>
                <w:sz w:val="16"/>
                <w:szCs w:val="16"/>
              </w:rPr>
              <w:t xml:space="preserve"> 89.52 %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0B15598B" w14:textId="77777777" w:rsidR="00AB40CB" w:rsidRDefault="005A3A00">
            <w:pPr>
              <w:rPr>
                <w:sz w:val="16"/>
                <w:szCs w:val="16"/>
              </w:rPr>
            </w:pPr>
            <w:r>
              <w:rPr>
                <w:sz w:val="16"/>
                <w:szCs w:val="16"/>
              </w:rPr>
              <w:t xml:space="preserve"> 89.20 %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4D18EDD5" w14:textId="77777777" w:rsidR="00AB40CB" w:rsidRDefault="005A3A00">
            <w:pPr>
              <w:rPr>
                <w:sz w:val="16"/>
                <w:szCs w:val="16"/>
              </w:rPr>
            </w:pPr>
            <w:r>
              <w:rPr>
                <w:sz w:val="16"/>
                <w:szCs w:val="16"/>
              </w:rPr>
              <w:t xml:space="preserve"> 88.95 %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5068D108" w14:textId="77777777" w:rsidR="00AB40CB" w:rsidRDefault="005A3A00">
            <w:pPr>
              <w:rPr>
                <w:sz w:val="16"/>
                <w:szCs w:val="16"/>
              </w:rPr>
            </w:pPr>
            <w:r>
              <w:rPr>
                <w:sz w:val="16"/>
                <w:szCs w:val="16"/>
              </w:rPr>
              <w:t xml:space="preserve"> 86.43 %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027F2C6" w14:textId="77777777" w:rsidR="00AB40CB" w:rsidRDefault="005A3A00">
            <w:pPr>
              <w:rPr>
                <w:sz w:val="16"/>
                <w:szCs w:val="16"/>
              </w:rPr>
            </w:pPr>
            <w:r>
              <w:rPr>
                <w:sz w:val="16"/>
                <w:szCs w:val="16"/>
              </w:rPr>
              <w:t xml:space="preserve"> 84.66 %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7999215" w14:textId="77777777" w:rsidR="00AB40CB" w:rsidRDefault="005A3A00">
            <w:pPr>
              <w:rPr>
                <w:sz w:val="16"/>
                <w:szCs w:val="16"/>
              </w:rPr>
            </w:pPr>
            <w:r>
              <w:rPr>
                <w:sz w:val="16"/>
                <w:szCs w:val="16"/>
              </w:rPr>
              <w:t xml:space="preserve"> 80.24 %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59862F01" w14:textId="77777777" w:rsidR="00AB40CB" w:rsidRDefault="005A3A00">
            <w:pPr>
              <w:rPr>
                <w:sz w:val="16"/>
                <w:szCs w:val="16"/>
              </w:rPr>
            </w:pPr>
            <w:r>
              <w:rPr>
                <w:sz w:val="16"/>
                <w:szCs w:val="16"/>
              </w:rPr>
              <w:t xml:space="preserve"> 75.44 %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0BC6317A" w14:textId="77777777" w:rsidR="00AB40CB" w:rsidRDefault="005A3A00">
            <w:pPr>
              <w:rPr>
                <w:sz w:val="16"/>
                <w:szCs w:val="16"/>
              </w:rPr>
            </w:pPr>
            <w:r>
              <w:rPr>
                <w:sz w:val="16"/>
                <w:szCs w:val="16"/>
              </w:rPr>
              <w:t xml:space="preserve"> 84.85 %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4D64CF50" w14:textId="77777777" w:rsidR="00AB40CB" w:rsidRDefault="005A3A00">
            <w:pPr>
              <w:rPr>
                <w:sz w:val="16"/>
                <w:szCs w:val="16"/>
              </w:rPr>
            </w:pPr>
            <w:r>
              <w:rPr>
                <w:sz w:val="16"/>
                <w:szCs w:val="16"/>
              </w:rPr>
              <w:t xml:space="preserve"> 89.33 %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2F722088" w14:textId="77777777" w:rsidR="00AB40CB" w:rsidRDefault="005A3A00">
            <w:r>
              <w:rPr>
                <w:sz w:val="16"/>
                <w:szCs w:val="16"/>
              </w:rPr>
              <w:t xml:space="preserve"> 89.65 %</w:t>
            </w:r>
          </w:p>
        </w:tc>
      </w:tr>
      <w:tr w:rsidR="00AB40CB" w14:paraId="74AADF81"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4517C93A" w14:textId="77777777" w:rsidR="00AB40CB" w:rsidRDefault="005A3A00">
            <w:pPr>
              <w:rPr>
                <w:sz w:val="16"/>
                <w:szCs w:val="16"/>
              </w:rPr>
            </w:pPr>
            <w:r>
              <w:rPr>
                <w:sz w:val="16"/>
                <w:szCs w:val="16"/>
              </w:rPr>
              <w:t>Matthews Correlation Coefficient</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C8F8259" w14:textId="77777777" w:rsidR="00AB40CB" w:rsidRDefault="005A3A00">
            <w:pPr>
              <w:rPr>
                <w:sz w:val="16"/>
                <w:szCs w:val="16"/>
              </w:rPr>
            </w:pPr>
            <w:r>
              <w:rPr>
                <w:sz w:val="16"/>
                <w:szCs w:val="16"/>
              </w:rPr>
              <w:t>0.27</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88866B9" w14:textId="77777777" w:rsidR="00AB40CB" w:rsidRDefault="005A3A00">
            <w:pPr>
              <w:rPr>
                <w:sz w:val="16"/>
                <w:szCs w:val="16"/>
              </w:rPr>
            </w:pPr>
            <w:r>
              <w:rPr>
                <w:sz w:val="16"/>
                <w:szCs w:val="16"/>
              </w:rPr>
              <w:t>0.27</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53D9B19B" w14:textId="77777777" w:rsidR="00AB40CB" w:rsidRDefault="005A3A00">
            <w:pPr>
              <w:rPr>
                <w:sz w:val="16"/>
                <w:szCs w:val="16"/>
              </w:rPr>
            </w:pPr>
            <w:r>
              <w:rPr>
                <w:sz w:val="16"/>
                <w:szCs w:val="16"/>
              </w:rPr>
              <w:t>0.3</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617F5E73" w14:textId="77777777" w:rsidR="00AB40CB" w:rsidRDefault="005A3A00">
            <w:pPr>
              <w:rPr>
                <w:sz w:val="16"/>
                <w:szCs w:val="16"/>
              </w:rPr>
            </w:pPr>
            <w:r>
              <w:rPr>
                <w:sz w:val="16"/>
                <w:szCs w:val="16"/>
              </w:rPr>
              <w:t>0.36</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6E574521" w14:textId="77777777" w:rsidR="00AB40CB" w:rsidRDefault="005A3A00">
            <w:pPr>
              <w:rPr>
                <w:sz w:val="16"/>
                <w:szCs w:val="16"/>
              </w:rPr>
            </w:pPr>
            <w:r>
              <w:rPr>
                <w:sz w:val="16"/>
                <w:szCs w:val="16"/>
              </w:rPr>
              <w:t>0.34</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2503FDA6" w14:textId="77777777" w:rsidR="00AB40CB" w:rsidRDefault="005A3A00">
            <w:pPr>
              <w:rPr>
                <w:sz w:val="16"/>
                <w:szCs w:val="16"/>
              </w:rPr>
            </w:pPr>
            <w:r>
              <w:rPr>
                <w:sz w:val="16"/>
                <w:szCs w:val="16"/>
              </w:rPr>
              <w:t>0.34</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5268A1F" w14:textId="77777777" w:rsidR="00AB40CB" w:rsidRDefault="005A3A00">
            <w:pPr>
              <w:rPr>
                <w:sz w:val="16"/>
                <w:szCs w:val="16"/>
              </w:rPr>
            </w:pPr>
            <w:r>
              <w:rPr>
                <w:sz w:val="16"/>
                <w:szCs w:val="16"/>
              </w:rPr>
              <w:t>0.31</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528D7F4F" w14:textId="77777777" w:rsidR="00AB40CB" w:rsidRDefault="005A3A00">
            <w:pPr>
              <w:rPr>
                <w:sz w:val="16"/>
                <w:szCs w:val="16"/>
              </w:rPr>
            </w:pPr>
            <w:r>
              <w:rPr>
                <w:sz w:val="16"/>
                <w:szCs w:val="16"/>
              </w:rPr>
              <w:t>0.3</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1959CE72" w14:textId="77777777" w:rsidR="00AB40CB" w:rsidRDefault="005A3A00">
            <w:pPr>
              <w:rPr>
                <w:sz w:val="16"/>
                <w:szCs w:val="16"/>
              </w:rPr>
            </w:pPr>
            <w:r>
              <w:rPr>
                <w:sz w:val="16"/>
                <w:szCs w:val="16"/>
              </w:rPr>
              <w:t>0.3</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2551AF9A" w14:textId="77777777" w:rsidR="00AB40CB" w:rsidRDefault="005A3A00">
            <w:pPr>
              <w:rPr>
                <w:sz w:val="16"/>
                <w:szCs w:val="16"/>
              </w:rPr>
            </w:pPr>
            <w:r>
              <w:rPr>
                <w:sz w:val="16"/>
                <w:szCs w:val="16"/>
              </w:rPr>
              <w:t>0.31</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49CA65A9" w14:textId="77777777" w:rsidR="00AB40CB" w:rsidRDefault="005A3A00">
            <w:r>
              <w:rPr>
                <w:sz w:val="16"/>
                <w:szCs w:val="16"/>
              </w:rPr>
              <w:t>0.32</w:t>
            </w:r>
          </w:p>
        </w:tc>
      </w:tr>
      <w:tr w:rsidR="00AB40CB" w14:paraId="2CABD40D"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5A4D5345" w14:textId="77777777" w:rsidR="00AB40CB" w:rsidRDefault="005A3A00">
            <w:pPr>
              <w:rPr>
                <w:sz w:val="16"/>
                <w:szCs w:val="16"/>
              </w:rPr>
            </w:pPr>
            <w:r>
              <w:rPr>
                <w:sz w:val="16"/>
                <w:szCs w:val="16"/>
              </w:rPr>
              <w:t>MCC</w:t>
            </w:r>
          </w:p>
          <w:p w14:paraId="63805E33" w14:textId="77777777" w:rsidR="00AB40CB" w:rsidRDefault="005A3A00">
            <w:pPr>
              <w:rPr>
                <w:sz w:val="16"/>
                <w:szCs w:val="16"/>
              </w:rPr>
            </w:pPr>
            <w:r>
              <w:rPr>
                <w:sz w:val="16"/>
                <w:szCs w:val="16"/>
              </w:rPr>
              <w:t>(L, I, C, IC)</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4EAAA617" w14:textId="77777777" w:rsidR="00AB40CB" w:rsidRDefault="005A3A00">
            <w:pPr>
              <w:rPr>
                <w:sz w:val="16"/>
                <w:szCs w:val="16"/>
              </w:rPr>
            </w:pPr>
            <w:r>
              <w:rPr>
                <w:sz w:val="16"/>
                <w:szCs w:val="16"/>
              </w:rPr>
              <w:t>0.29</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3B298DA" w14:textId="77777777" w:rsidR="00AB40CB" w:rsidRDefault="005A3A00">
            <w:pPr>
              <w:rPr>
                <w:sz w:val="16"/>
                <w:szCs w:val="16"/>
              </w:rPr>
            </w:pPr>
            <w:r>
              <w:rPr>
                <w:sz w:val="16"/>
                <w:szCs w:val="16"/>
              </w:rPr>
              <w:t>0.27</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759E8429" w14:textId="77777777" w:rsidR="00AB40CB" w:rsidRDefault="005A3A00">
            <w:pPr>
              <w:rPr>
                <w:sz w:val="16"/>
                <w:szCs w:val="16"/>
              </w:rPr>
            </w:pPr>
            <w:r>
              <w:rPr>
                <w:sz w:val="16"/>
                <w:szCs w:val="16"/>
              </w:rPr>
              <w:t>0.32</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5D411619" w14:textId="77777777" w:rsidR="00AB40CB" w:rsidRDefault="005A3A00">
            <w:pPr>
              <w:rPr>
                <w:sz w:val="16"/>
                <w:szCs w:val="16"/>
              </w:rPr>
            </w:pPr>
            <w:r>
              <w:rPr>
                <w:sz w:val="16"/>
                <w:szCs w:val="16"/>
              </w:rPr>
              <w:t xml:space="preserve">0.33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24F9AB01" w14:textId="77777777" w:rsidR="00AB40CB" w:rsidRDefault="005A3A00">
            <w:pPr>
              <w:rPr>
                <w:sz w:val="16"/>
                <w:szCs w:val="16"/>
              </w:rPr>
            </w:pPr>
            <w:r>
              <w:rPr>
                <w:sz w:val="16"/>
                <w:szCs w:val="16"/>
              </w:rPr>
              <w:t xml:space="preserve">0.33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19220AC0" w14:textId="77777777" w:rsidR="00AB40CB" w:rsidRDefault="005A3A00">
            <w:pPr>
              <w:rPr>
                <w:sz w:val="16"/>
                <w:szCs w:val="16"/>
              </w:rPr>
            </w:pPr>
            <w:r>
              <w:rPr>
                <w:sz w:val="16"/>
                <w:szCs w:val="16"/>
              </w:rPr>
              <w:t>0.32</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4A0322DE" w14:textId="77777777" w:rsidR="00AB40CB" w:rsidRDefault="005A3A00">
            <w:pPr>
              <w:rPr>
                <w:sz w:val="16"/>
                <w:szCs w:val="16"/>
              </w:rPr>
            </w:pPr>
            <w:r>
              <w:rPr>
                <w:sz w:val="16"/>
                <w:szCs w:val="16"/>
              </w:rPr>
              <w:t xml:space="preserve"> 0.26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755D848C" w14:textId="77777777" w:rsidR="00AB40CB" w:rsidRDefault="005A3A00">
            <w:pPr>
              <w:rPr>
                <w:sz w:val="16"/>
                <w:szCs w:val="16"/>
              </w:rPr>
            </w:pPr>
            <w:r>
              <w:rPr>
                <w:sz w:val="16"/>
                <w:szCs w:val="16"/>
              </w:rPr>
              <w:t xml:space="preserve">0.27 </w:t>
            </w: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1FB2F043" w14:textId="77777777" w:rsidR="00AB40CB" w:rsidRDefault="005A3A00">
            <w:pPr>
              <w:rPr>
                <w:sz w:val="16"/>
                <w:szCs w:val="16"/>
              </w:rPr>
            </w:pPr>
            <w:r>
              <w:rPr>
                <w:sz w:val="16"/>
                <w:szCs w:val="16"/>
              </w:rPr>
              <w:t xml:space="preserve">0.33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2EB8087E" w14:textId="77777777" w:rsidR="00AB40CB" w:rsidRDefault="005A3A00">
            <w:pPr>
              <w:rPr>
                <w:sz w:val="16"/>
                <w:szCs w:val="16"/>
              </w:rPr>
            </w:pPr>
            <w:r>
              <w:rPr>
                <w:sz w:val="16"/>
                <w:szCs w:val="16"/>
              </w:rPr>
              <w:t xml:space="preserve">0.39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652A8E8E" w14:textId="77777777" w:rsidR="00AB40CB" w:rsidRDefault="005A3A00">
            <w:r>
              <w:rPr>
                <w:sz w:val="16"/>
                <w:szCs w:val="16"/>
              </w:rPr>
              <w:t>0.39</w:t>
            </w:r>
          </w:p>
        </w:tc>
      </w:tr>
      <w:tr w:rsidR="00AB40CB" w14:paraId="66340108" w14:textId="77777777">
        <w:trPr>
          <w:trHeight w:val="256"/>
        </w:trPr>
        <w:tc>
          <w:tcPr>
            <w:tcW w:w="850" w:type="dxa"/>
            <w:tcBorders>
              <w:top w:val="single" w:sz="4" w:space="0" w:color="000001"/>
              <w:left w:val="single" w:sz="4" w:space="0" w:color="000001"/>
              <w:bottom w:val="single" w:sz="4" w:space="0" w:color="000001"/>
            </w:tcBorders>
            <w:shd w:val="clear" w:color="auto" w:fill="auto"/>
            <w:tcMar>
              <w:left w:w="-5" w:type="dxa"/>
            </w:tcMar>
            <w:vAlign w:val="bottom"/>
          </w:tcPr>
          <w:p w14:paraId="56F2B0DE" w14:textId="77777777" w:rsidR="00AB40CB" w:rsidRDefault="005A3A00">
            <w:pPr>
              <w:rPr>
                <w:sz w:val="16"/>
                <w:szCs w:val="16"/>
              </w:rPr>
            </w:pPr>
            <w:r>
              <w:rPr>
                <w:sz w:val="16"/>
                <w:szCs w:val="16"/>
              </w:rPr>
              <w:t>MCC</w:t>
            </w:r>
          </w:p>
          <w:p w14:paraId="37780CB1" w14:textId="77777777" w:rsidR="00AB40CB" w:rsidRDefault="005A3A00">
            <w:pPr>
              <w:rPr>
                <w:sz w:val="16"/>
                <w:szCs w:val="16"/>
              </w:rPr>
            </w:pPr>
            <w:r>
              <w:rPr>
                <w:sz w:val="16"/>
                <w:szCs w:val="16"/>
              </w:rPr>
              <w:t>(M1-6)</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138BA630" w14:textId="77777777" w:rsidR="00AB40CB" w:rsidRDefault="005A3A00">
            <w:pPr>
              <w:rPr>
                <w:sz w:val="16"/>
                <w:szCs w:val="16"/>
              </w:rPr>
            </w:pPr>
            <w:r>
              <w:rPr>
                <w:sz w:val="16"/>
                <w:szCs w:val="16"/>
              </w:rPr>
              <w:t xml:space="preserve">0.26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6F7348A4" w14:textId="77777777" w:rsidR="00AB40CB" w:rsidRDefault="005A3A00">
            <w:pPr>
              <w:rPr>
                <w:sz w:val="16"/>
                <w:szCs w:val="16"/>
              </w:rPr>
            </w:pPr>
            <w:r>
              <w:rPr>
                <w:sz w:val="16"/>
                <w:szCs w:val="16"/>
              </w:rPr>
              <w:t xml:space="preserve">0.26 </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34B6A72D" w14:textId="77777777" w:rsidR="00AB40CB" w:rsidRDefault="005A3A00">
            <w:pPr>
              <w:rPr>
                <w:sz w:val="16"/>
                <w:szCs w:val="16"/>
              </w:rPr>
            </w:pPr>
            <w:r>
              <w:rPr>
                <w:sz w:val="16"/>
                <w:szCs w:val="16"/>
              </w:rPr>
              <w:t xml:space="preserve">0.27 </w:t>
            </w:r>
          </w:p>
        </w:tc>
        <w:tc>
          <w:tcPr>
            <w:tcW w:w="787" w:type="dxa"/>
            <w:tcBorders>
              <w:top w:val="single" w:sz="4" w:space="0" w:color="000001"/>
              <w:left w:val="single" w:sz="4" w:space="0" w:color="000001"/>
              <w:bottom w:val="single" w:sz="4" w:space="0" w:color="000001"/>
            </w:tcBorders>
            <w:shd w:val="clear" w:color="auto" w:fill="auto"/>
            <w:tcMar>
              <w:left w:w="-5" w:type="dxa"/>
            </w:tcMar>
            <w:vAlign w:val="bottom"/>
          </w:tcPr>
          <w:p w14:paraId="5E383CE4" w14:textId="77777777" w:rsidR="00AB40CB" w:rsidRDefault="005A3A00">
            <w:pPr>
              <w:rPr>
                <w:sz w:val="16"/>
                <w:szCs w:val="16"/>
              </w:rPr>
            </w:pPr>
            <w:r>
              <w:rPr>
                <w:sz w:val="16"/>
                <w:szCs w:val="16"/>
              </w:rPr>
              <w:t xml:space="preserve">0.38 </w:t>
            </w:r>
          </w:p>
        </w:tc>
        <w:tc>
          <w:tcPr>
            <w:tcW w:w="688" w:type="dxa"/>
            <w:tcBorders>
              <w:top w:val="single" w:sz="4" w:space="0" w:color="000001"/>
              <w:left w:val="single" w:sz="4" w:space="0" w:color="000001"/>
              <w:bottom w:val="single" w:sz="4" w:space="0" w:color="000001"/>
            </w:tcBorders>
            <w:shd w:val="clear" w:color="auto" w:fill="auto"/>
            <w:tcMar>
              <w:left w:w="-5" w:type="dxa"/>
            </w:tcMar>
            <w:vAlign w:val="bottom"/>
          </w:tcPr>
          <w:p w14:paraId="2E84E4F9" w14:textId="77777777" w:rsidR="00AB40CB" w:rsidRDefault="005A3A00">
            <w:pPr>
              <w:rPr>
                <w:sz w:val="16"/>
                <w:szCs w:val="16"/>
              </w:rPr>
            </w:pPr>
            <w:r>
              <w:rPr>
                <w:sz w:val="16"/>
                <w:szCs w:val="16"/>
              </w:rPr>
              <w:t xml:space="preserve">0.34 </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3B50FEBF" w14:textId="77777777" w:rsidR="00AB40CB" w:rsidRDefault="005A3A00">
            <w:pPr>
              <w:rPr>
                <w:sz w:val="16"/>
                <w:szCs w:val="16"/>
              </w:rPr>
            </w:pPr>
            <w:r>
              <w:rPr>
                <w:sz w:val="16"/>
                <w:szCs w:val="16"/>
              </w:rPr>
              <w:t>0.36</w:t>
            </w:r>
          </w:p>
        </w:tc>
        <w:tc>
          <w:tcPr>
            <w:tcW w:w="738" w:type="dxa"/>
            <w:tcBorders>
              <w:top w:val="single" w:sz="4" w:space="0" w:color="000001"/>
              <w:left w:val="single" w:sz="4" w:space="0" w:color="000001"/>
              <w:bottom w:val="single" w:sz="4" w:space="0" w:color="000001"/>
            </w:tcBorders>
            <w:shd w:val="clear" w:color="auto" w:fill="auto"/>
            <w:tcMar>
              <w:left w:w="-5" w:type="dxa"/>
            </w:tcMar>
            <w:vAlign w:val="bottom"/>
          </w:tcPr>
          <w:p w14:paraId="2D49BA82" w14:textId="77777777" w:rsidR="00AB40CB" w:rsidRDefault="005A3A00">
            <w:pPr>
              <w:rPr>
                <w:sz w:val="16"/>
                <w:szCs w:val="16"/>
              </w:rPr>
            </w:pPr>
            <w:r>
              <w:rPr>
                <w:sz w:val="16"/>
                <w:szCs w:val="16"/>
              </w:rPr>
              <w:t xml:space="preserve"> 0.35</w:t>
            </w:r>
          </w:p>
        </w:tc>
        <w:tc>
          <w:tcPr>
            <w:tcW w:w="737" w:type="dxa"/>
            <w:tcBorders>
              <w:top w:val="single" w:sz="4" w:space="0" w:color="000001"/>
              <w:left w:val="single" w:sz="4" w:space="0" w:color="000001"/>
              <w:bottom w:val="single" w:sz="4" w:space="0" w:color="000001"/>
            </w:tcBorders>
            <w:shd w:val="clear" w:color="auto" w:fill="auto"/>
            <w:tcMar>
              <w:left w:w="-5" w:type="dxa"/>
            </w:tcMar>
            <w:vAlign w:val="bottom"/>
          </w:tcPr>
          <w:p w14:paraId="0084CDE5" w14:textId="77777777" w:rsidR="00AB40CB" w:rsidRDefault="005A3A00">
            <w:pPr>
              <w:rPr>
                <w:sz w:val="16"/>
                <w:szCs w:val="16"/>
              </w:rPr>
            </w:pPr>
            <w:r>
              <w:rPr>
                <w:sz w:val="16"/>
                <w:szCs w:val="16"/>
              </w:rPr>
              <w:t xml:space="preserve"> 0.32</w:t>
            </w:r>
          </w:p>
          <w:p w14:paraId="01DB744E" w14:textId="77777777" w:rsidR="00AB40CB" w:rsidRDefault="00AB40CB">
            <w:pPr>
              <w:rPr>
                <w:sz w:val="16"/>
                <w:szCs w:val="16"/>
              </w:rPr>
            </w:pPr>
          </w:p>
        </w:tc>
        <w:tc>
          <w:tcPr>
            <w:tcW w:w="675" w:type="dxa"/>
            <w:tcBorders>
              <w:top w:val="single" w:sz="4" w:space="0" w:color="000001"/>
              <w:left w:val="single" w:sz="4" w:space="0" w:color="000001"/>
              <w:bottom w:val="single" w:sz="4" w:space="0" w:color="000001"/>
            </w:tcBorders>
            <w:shd w:val="clear" w:color="auto" w:fill="auto"/>
            <w:tcMar>
              <w:left w:w="-5" w:type="dxa"/>
            </w:tcMar>
            <w:vAlign w:val="bottom"/>
          </w:tcPr>
          <w:p w14:paraId="5B098AF5" w14:textId="77777777" w:rsidR="00AB40CB" w:rsidRDefault="005A3A00">
            <w:pPr>
              <w:rPr>
                <w:sz w:val="16"/>
                <w:szCs w:val="16"/>
              </w:rPr>
            </w:pPr>
            <w:r>
              <w:rPr>
                <w:sz w:val="16"/>
                <w:szCs w:val="16"/>
              </w:rPr>
              <w:t xml:space="preserve">0.27 </w:t>
            </w:r>
          </w:p>
        </w:tc>
        <w:tc>
          <w:tcPr>
            <w:tcW w:w="783" w:type="dxa"/>
            <w:tcBorders>
              <w:top w:val="single" w:sz="4" w:space="0" w:color="000001"/>
              <w:left w:val="single" w:sz="4" w:space="0" w:color="000001"/>
              <w:bottom w:val="single" w:sz="4" w:space="0" w:color="000001"/>
            </w:tcBorders>
            <w:shd w:val="clear" w:color="auto" w:fill="auto"/>
            <w:tcMar>
              <w:left w:w="-5" w:type="dxa"/>
            </w:tcMar>
            <w:vAlign w:val="bottom"/>
          </w:tcPr>
          <w:p w14:paraId="1824CE4E" w14:textId="77777777" w:rsidR="00AB40CB" w:rsidRDefault="005A3A00">
            <w:pPr>
              <w:rPr>
                <w:sz w:val="16"/>
                <w:szCs w:val="16"/>
              </w:rPr>
            </w:pPr>
            <w:r>
              <w:rPr>
                <w:sz w:val="16"/>
                <w:szCs w:val="16"/>
              </w:rPr>
              <w:t xml:space="preserve">0.22 </w:t>
            </w:r>
          </w:p>
        </w:tc>
        <w:tc>
          <w:tcPr>
            <w:tcW w:w="87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bottom"/>
          </w:tcPr>
          <w:p w14:paraId="570B43C7" w14:textId="77777777" w:rsidR="00AB40CB" w:rsidRDefault="005A3A00">
            <w:r>
              <w:rPr>
                <w:sz w:val="16"/>
                <w:szCs w:val="16"/>
              </w:rPr>
              <w:t>0.25</w:t>
            </w:r>
          </w:p>
        </w:tc>
      </w:tr>
    </w:tbl>
    <w:p w14:paraId="741884A4" w14:textId="77777777" w:rsidR="00AB40CB" w:rsidRDefault="00AB40CB">
      <w:pPr>
        <w:tabs>
          <w:tab w:val="left" w:pos="6264"/>
        </w:tabs>
        <w:spacing w:line="360" w:lineRule="auto"/>
        <w:rPr>
          <w:rFonts w:ascii="Verdana" w:hAnsi="Verdana"/>
          <w:b/>
          <w:lang w:val="en-US"/>
        </w:rPr>
      </w:pPr>
    </w:p>
    <w:p w14:paraId="6BA587A1" w14:textId="77777777" w:rsidR="00AB40CB" w:rsidRDefault="005A3A00">
      <w:pPr>
        <w:suppressAutoHyphens w:val="0"/>
        <w:rPr>
          <w:rFonts w:ascii="Verdana" w:hAnsi="Verdana"/>
          <w:b/>
          <w:lang w:val="en-US"/>
        </w:rPr>
      </w:pPr>
      <w:r>
        <w:br w:type="page"/>
      </w:r>
    </w:p>
    <w:p w14:paraId="485115A9" w14:textId="77777777" w:rsidR="00AB40CB" w:rsidRDefault="005A3A00">
      <w:pPr>
        <w:tabs>
          <w:tab w:val="left" w:pos="6264"/>
        </w:tabs>
        <w:spacing w:line="360" w:lineRule="auto"/>
        <w:rPr>
          <w:rFonts w:ascii="Verdana" w:hAnsi="Verdana"/>
          <w:b/>
        </w:rPr>
      </w:pPr>
      <w:r>
        <w:rPr>
          <w:rFonts w:ascii="Verdana" w:hAnsi="Verdana"/>
          <w:b/>
          <w:lang w:val="en-US"/>
        </w:rPr>
        <w:lastRenderedPageBreak/>
        <w:t xml:space="preserve">Table 2: </w:t>
      </w:r>
      <w:r>
        <w:rPr>
          <w:rFonts w:ascii="Verdana" w:hAnsi="Verdana"/>
          <w:lang w:val="en-US"/>
        </w:rPr>
        <w:t>Summary statistics with CI and t-values and p-values for e-ASPECTS #OP4 and #OP5.</w:t>
      </w:r>
      <w:r>
        <w:rPr>
          <w:rFonts w:ascii="Verdana" w:hAnsi="Verdana"/>
          <w:b/>
        </w:rPr>
        <w:tab/>
      </w:r>
    </w:p>
    <w:p w14:paraId="69B8DD11" w14:textId="77777777" w:rsidR="00AB40CB" w:rsidRDefault="00AB40CB">
      <w:pPr>
        <w:spacing w:line="360" w:lineRule="auto"/>
        <w:jc w:val="both"/>
        <w:rPr>
          <w:rFonts w:ascii="Verdana" w:hAnsi="Verdana" w:cs="Verdana"/>
        </w:rPr>
      </w:pPr>
    </w:p>
    <w:tbl>
      <w:tblPr>
        <w:tblW w:w="9126" w:type="dxa"/>
        <w:tblInd w:w="55" w:type="dxa"/>
        <w:tblBorders>
          <w:top w:val="single" w:sz="2" w:space="0" w:color="000001"/>
          <w:left w:val="single" w:sz="2" w:space="0" w:color="000001"/>
          <w:bottom w:val="single" w:sz="2" w:space="0" w:color="000001"/>
          <w:insideH w:val="single" w:sz="2" w:space="0" w:color="000001"/>
        </w:tblBorders>
        <w:tblCellMar>
          <w:top w:w="55" w:type="dxa"/>
          <w:left w:w="54" w:type="dxa"/>
          <w:bottom w:w="55" w:type="dxa"/>
          <w:right w:w="55" w:type="dxa"/>
        </w:tblCellMar>
        <w:tblLook w:val="0000" w:firstRow="0" w:lastRow="0" w:firstColumn="0" w:lastColumn="0" w:noHBand="0" w:noVBand="0"/>
      </w:tblPr>
      <w:tblGrid>
        <w:gridCol w:w="1425"/>
        <w:gridCol w:w="1627"/>
        <w:gridCol w:w="1183"/>
        <w:gridCol w:w="1662"/>
        <w:gridCol w:w="1005"/>
        <w:gridCol w:w="1199"/>
        <w:gridCol w:w="1025"/>
      </w:tblGrid>
      <w:tr w:rsidR="005A3A00" w14:paraId="5EA980ED" w14:textId="77777777" w:rsidTr="005A3A00">
        <w:tc>
          <w:tcPr>
            <w:tcW w:w="1425" w:type="dxa"/>
            <w:tcBorders>
              <w:top w:val="single" w:sz="2" w:space="0" w:color="000001"/>
              <w:left w:val="single" w:sz="2" w:space="0" w:color="000001"/>
              <w:bottom w:val="single" w:sz="2" w:space="0" w:color="000001"/>
            </w:tcBorders>
            <w:shd w:val="clear" w:color="auto" w:fill="auto"/>
            <w:tcMar>
              <w:left w:w="54" w:type="dxa"/>
            </w:tcMar>
          </w:tcPr>
          <w:p w14:paraId="7405CBDC" w14:textId="77777777" w:rsidR="005A3A00" w:rsidRDefault="005A3A00">
            <w:pPr>
              <w:snapToGrid w:val="0"/>
              <w:jc w:val="center"/>
              <w:rPr>
                <w:lang w:val="en-US"/>
              </w:rPr>
            </w:pPr>
          </w:p>
        </w:tc>
        <w:tc>
          <w:tcPr>
            <w:tcW w:w="1627" w:type="dxa"/>
            <w:tcBorders>
              <w:top w:val="single" w:sz="2" w:space="0" w:color="000001"/>
              <w:left w:val="single" w:sz="2" w:space="0" w:color="000001"/>
              <w:bottom w:val="single" w:sz="2" w:space="0" w:color="000001"/>
            </w:tcBorders>
            <w:shd w:val="clear" w:color="auto" w:fill="auto"/>
            <w:tcMar>
              <w:left w:w="54" w:type="dxa"/>
            </w:tcMar>
          </w:tcPr>
          <w:p w14:paraId="1D6AAC56" w14:textId="506CA40B" w:rsidR="005A3A00" w:rsidRDefault="005A3A00" w:rsidP="004728BC">
            <w:pPr>
              <w:jc w:val="center"/>
              <w:rPr>
                <w:lang w:val="en-US"/>
              </w:rPr>
            </w:pPr>
            <w:r>
              <w:rPr>
                <w:lang w:val="en-US"/>
              </w:rPr>
              <w:t xml:space="preserve">Difference in sensitivities </w:t>
            </w:r>
          </w:p>
        </w:tc>
        <w:tc>
          <w:tcPr>
            <w:tcW w:w="1183" w:type="dxa"/>
            <w:tcBorders>
              <w:top w:val="single" w:sz="2" w:space="0" w:color="000001"/>
              <w:left w:val="single" w:sz="2" w:space="0" w:color="000001"/>
              <w:bottom w:val="single" w:sz="2" w:space="0" w:color="000001"/>
              <w:right w:val="single" w:sz="2" w:space="0" w:color="000001"/>
            </w:tcBorders>
          </w:tcPr>
          <w:p w14:paraId="20622AFF" w14:textId="77777777" w:rsidR="005A3A00" w:rsidRPr="00EB6175" w:rsidRDefault="005A3A00">
            <w:pPr>
              <w:jc w:val="center"/>
              <w:rPr>
                <w:highlight w:val="yellow"/>
                <w:lang w:val="en-US"/>
              </w:rPr>
            </w:pPr>
            <w:r w:rsidRPr="00EB6175">
              <w:rPr>
                <w:highlight w:val="yellow"/>
                <w:lang w:val="en-US"/>
              </w:rPr>
              <w:t>95% CI</w:t>
            </w:r>
          </w:p>
        </w:tc>
        <w:tc>
          <w:tcPr>
            <w:tcW w:w="1662" w:type="dxa"/>
            <w:tcBorders>
              <w:top w:val="single" w:sz="2" w:space="0" w:color="000001"/>
              <w:left w:val="single" w:sz="2" w:space="0" w:color="000001"/>
              <w:bottom w:val="single" w:sz="2" w:space="0" w:color="000001"/>
            </w:tcBorders>
            <w:shd w:val="clear" w:color="auto" w:fill="auto"/>
            <w:tcMar>
              <w:left w:w="54" w:type="dxa"/>
            </w:tcMar>
          </w:tcPr>
          <w:p w14:paraId="7118449D" w14:textId="72DE19FA" w:rsidR="005A3A00" w:rsidRPr="004728BC" w:rsidRDefault="005A3A00" w:rsidP="004728BC">
            <w:pPr>
              <w:jc w:val="center"/>
              <w:rPr>
                <w:lang w:val="en-US"/>
              </w:rPr>
            </w:pPr>
            <w:r w:rsidRPr="004728BC">
              <w:rPr>
                <w:lang w:val="en-US"/>
              </w:rPr>
              <w:t xml:space="preserve">Difference in specificities </w:t>
            </w:r>
          </w:p>
        </w:tc>
        <w:tc>
          <w:tcPr>
            <w:tcW w:w="1005" w:type="dxa"/>
            <w:tcBorders>
              <w:top w:val="single" w:sz="2" w:space="0" w:color="000001"/>
              <w:left w:val="single" w:sz="2" w:space="0" w:color="000001"/>
              <w:bottom w:val="single" w:sz="2" w:space="0" w:color="000001"/>
              <w:right w:val="single" w:sz="2" w:space="0" w:color="000001"/>
            </w:tcBorders>
          </w:tcPr>
          <w:p w14:paraId="4B0D1BEB" w14:textId="77777777" w:rsidR="005A3A00" w:rsidRPr="004728BC" w:rsidRDefault="005A3A00">
            <w:pPr>
              <w:jc w:val="center"/>
              <w:rPr>
                <w:lang w:val="en-US"/>
              </w:rPr>
            </w:pPr>
            <w:r w:rsidRPr="004728BC">
              <w:rPr>
                <w:lang w:val="en-US"/>
              </w:rPr>
              <w:t>95% CI</w:t>
            </w:r>
          </w:p>
        </w:tc>
        <w:tc>
          <w:tcPr>
            <w:tcW w:w="1199" w:type="dxa"/>
            <w:tcBorders>
              <w:top w:val="single" w:sz="2" w:space="0" w:color="000001"/>
              <w:left w:val="single" w:sz="2" w:space="0" w:color="000001"/>
              <w:bottom w:val="single" w:sz="2" w:space="0" w:color="000001"/>
            </w:tcBorders>
            <w:shd w:val="clear" w:color="auto" w:fill="auto"/>
            <w:tcMar>
              <w:left w:w="54" w:type="dxa"/>
            </w:tcMar>
          </w:tcPr>
          <w:p w14:paraId="50F4DAF7" w14:textId="77777777" w:rsidR="005A3A00" w:rsidRPr="004728BC" w:rsidRDefault="005A3A00">
            <w:pPr>
              <w:jc w:val="center"/>
              <w:rPr>
                <w:lang w:val="en-US"/>
              </w:rPr>
            </w:pPr>
            <w:r w:rsidRPr="004728BC">
              <w:rPr>
                <w:lang w:val="en-US"/>
              </w:rPr>
              <w:t>T statistic for non-inferiority</w:t>
            </w:r>
          </w:p>
        </w:tc>
        <w:tc>
          <w:tcPr>
            <w:tcW w:w="1025"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5C811257" w14:textId="77777777" w:rsidR="005A3A00" w:rsidRPr="004728BC" w:rsidRDefault="005A3A00">
            <w:pPr>
              <w:jc w:val="center"/>
            </w:pPr>
            <w:r w:rsidRPr="004728BC">
              <w:rPr>
                <w:lang w:val="en-US"/>
              </w:rPr>
              <w:t>P-value for non-inferiority</w:t>
            </w:r>
          </w:p>
        </w:tc>
      </w:tr>
      <w:tr w:rsidR="005A3A00" w14:paraId="15410D1A" w14:textId="77777777" w:rsidTr="005A3A00">
        <w:tc>
          <w:tcPr>
            <w:tcW w:w="1425" w:type="dxa"/>
            <w:tcBorders>
              <w:left w:val="single" w:sz="2" w:space="0" w:color="000001"/>
              <w:bottom w:val="single" w:sz="2" w:space="0" w:color="000001"/>
            </w:tcBorders>
            <w:shd w:val="clear" w:color="auto" w:fill="auto"/>
            <w:tcMar>
              <w:left w:w="54" w:type="dxa"/>
            </w:tcMar>
          </w:tcPr>
          <w:p w14:paraId="27C3DE77" w14:textId="77777777" w:rsidR="005A3A00" w:rsidRDefault="005A3A00">
            <w:pPr>
              <w:jc w:val="center"/>
            </w:pPr>
            <w:r>
              <w:rPr>
                <w:lang w:val="en-US"/>
              </w:rPr>
              <w:t xml:space="preserve">OP#4 - </w:t>
            </w:r>
            <w:r>
              <w:t>NRAD#1</w:t>
            </w:r>
          </w:p>
        </w:tc>
        <w:tc>
          <w:tcPr>
            <w:tcW w:w="1627" w:type="dxa"/>
            <w:tcBorders>
              <w:left w:val="single" w:sz="2" w:space="0" w:color="000001"/>
              <w:bottom w:val="single" w:sz="2" w:space="0" w:color="000001"/>
            </w:tcBorders>
            <w:shd w:val="clear" w:color="auto" w:fill="auto"/>
            <w:tcMar>
              <w:left w:w="54" w:type="dxa"/>
            </w:tcMar>
          </w:tcPr>
          <w:p w14:paraId="203A30F5" w14:textId="77777777" w:rsidR="005A3A00" w:rsidRDefault="005A3A00">
            <w:pPr>
              <w:jc w:val="center"/>
            </w:pPr>
            <w:r>
              <w:t>-0.0165</w:t>
            </w:r>
          </w:p>
          <w:p w14:paraId="7374E38B" w14:textId="4D977FCF" w:rsidR="005A3A00" w:rsidRDefault="005A3A00">
            <w:pPr>
              <w:jc w:val="center"/>
            </w:pPr>
          </w:p>
        </w:tc>
        <w:tc>
          <w:tcPr>
            <w:tcW w:w="1183" w:type="dxa"/>
            <w:tcBorders>
              <w:left w:val="single" w:sz="2" w:space="0" w:color="000001"/>
              <w:bottom w:val="single" w:sz="2" w:space="0" w:color="000001"/>
              <w:right w:val="single" w:sz="2" w:space="0" w:color="000001"/>
            </w:tcBorders>
          </w:tcPr>
          <w:p w14:paraId="664A42B4" w14:textId="77777777" w:rsidR="005A3A00" w:rsidRPr="00EB6175" w:rsidRDefault="005A3A00">
            <w:pPr>
              <w:jc w:val="center"/>
              <w:rPr>
                <w:highlight w:val="yellow"/>
              </w:rPr>
            </w:pPr>
            <w:r w:rsidRPr="00EB6175">
              <w:rPr>
                <w:highlight w:val="yellow"/>
              </w:rPr>
              <w:t>(-0.0765, 0.0435)</w:t>
            </w:r>
          </w:p>
        </w:tc>
        <w:tc>
          <w:tcPr>
            <w:tcW w:w="1662" w:type="dxa"/>
            <w:tcBorders>
              <w:left w:val="single" w:sz="2" w:space="0" w:color="000001"/>
              <w:bottom w:val="single" w:sz="2" w:space="0" w:color="000001"/>
            </w:tcBorders>
            <w:shd w:val="clear" w:color="auto" w:fill="auto"/>
            <w:tcMar>
              <w:left w:w="54" w:type="dxa"/>
            </w:tcMar>
          </w:tcPr>
          <w:p w14:paraId="49EDF34B" w14:textId="77777777" w:rsidR="005A3A00" w:rsidRPr="004728BC" w:rsidRDefault="005A3A00">
            <w:pPr>
              <w:jc w:val="center"/>
            </w:pPr>
            <w:r w:rsidRPr="004728BC">
              <w:t>0.0385</w:t>
            </w:r>
          </w:p>
          <w:p w14:paraId="489B6068" w14:textId="4B86DFE0" w:rsidR="005A3A00" w:rsidRPr="004728BC" w:rsidRDefault="005A3A00">
            <w:pPr>
              <w:jc w:val="center"/>
              <w:rPr>
                <w:lang w:val="en-US"/>
              </w:rPr>
            </w:pPr>
          </w:p>
        </w:tc>
        <w:tc>
          <w:tcPr>
            <w:tcW w:w="1005" w:type="dxa"/>
            <w:tcBorders>
              <w:left w:val="single" w:sz="2" w:space="0" w:color="000001"/>
              <w:bottom w:val="single" w:sz="2" w:space="0" w:color="000001"/>
              <w:right w:val="single" w:sz="2" w:space="0" w:color="000001"/>
            </w:tcBorders>
          </w:tcPr>
          <w:p w14:paraId="0BCE5FA9" w14:textId="77777777" w:rsidR="005A3A00" w:rsidRPr="00EB6175" w:rsidRDefault="005A3A00">
            <w:pPr>
              <w:jc w:val="center"/>
              <w:rPr>
                <w:highlight w:val="yellow"/>
                <w:lang w:val="en-US"/>
              </w:rPr>
            </w:pPr>
            <w:r w:rsidRPr="00EB6175">
              <w:rPr>
                <w:highlight w:val="yellow"/>
                <w:lang w:val="en-US"/>
              </w:rPr>
              <w:t>(0.0228, 0.0542)</w:t>
            </w:r>
          </w:p>
        </w:tc>
        <w:tc>
          <w:tcPr>
            <w:tcW w:w="1199" w:type="dxa"/>
            <w:tcBorders>
              <w:left w:val="single" w:sz="2" w:space="0" w:color="000001"/>
              <w:bottom w:val="single" w:sz="2" w:space="0" w:color="000001"/>
            </w:tcBorders>
            <w:shd w:val="clear" w:color="auto" w:fill="auto"/>
            <w:tcMar>
              <w:left w:w="54" w:type="dxa"/>
            </w:tcMar>
          </w:tcPr>
          <w:p w14:paraId="07387CC3" w14:textId="77777777" w:rsidR="005A3A00" w:rsidRPr="004728BC" w:rsidRDefault="005A3A00">
            <w:pPr>
              <w:jc w:val="center"/>
            </w:pPr>
            <w:r w:rsidRPr="004728BC">
              <w:rPr>
                <w:lang w:val="en-US"/>
              </w:rPr>
              <w:t>-</w:t>
            </w:r>
            <w:r w:rsidRPr="004728BC">
              <w:t>2.72</w:t>
            </w: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1D16F851" w14:textId="77777777" w:rsidR="005A3A00" w:rsidRPr="004728BC" w:rsidRDefault="005A3A00">
            <w:pPr>
              <w:jc w:val="center"/>
            </w:pPr>
            <w:r w:rsidRPr="004728BC">
              <w:t>0.003</w:t>
            </w:r>
          </w:p>
        </w:tc>
      </w:tr>
      <w:tr w:rsidR="005A3A00" w14:paraId="7A7324AC" w14:textId="77777777" w:rsidTr="005A3A00">
        <w:tc>
          <w:tcPr>
            <w:tcW w:w="1425" w:type="dxa"/>
            <w:tcBorders>
              <w:left w:val="single" w:sz="2" w:space="0" w:color="000001"/>
              <w:bottom w:val="single" w:sz="2" w:space="0" w:color="000001"/>
            </w:tcBorders>
            <w:shd w:val="clear" w:color="auto" w:fill="auto"/>
            <w:tcMar>
              <w:left w:w="54" w:type="dxa"/>
            </w:tcMar>
          </w:tcPr>
          <w:p w14:paraId="7BA05178" w14:textId="77777777" w:rsidR="005A3A00" w:rsidRDefault="005A3A00">
            <w:pPr>
              <w:jc w:val="center"/>
            </w:pPr>
            <w:r>
              <w:rPr>
                <w:lang w:val="en-US"/>
              </w:rPr>
              <w:t>GEE</w:t>
            </w:r>
          </w:p>
        </w:tc>
        <w:tc>
          <w:tcPr>
            <w:tcW w:w="1627" w:type="dxa"/>
            <w:tcBorders>
              <w:left w:val="single" w:sz="2" w:space="0" w:color="000001"/>
              <w:bottom w:val="single" w:sz="2" w:space="0" w:color="000001"/>
            </w:tcBorders>
            <w:shd w:val="clear" w:color="auto" w:fill="auto"/>
            <w:tcMar>
              <w:left w:w="54" w:type="dxa"/>
            </w:tcMar>
          </w:tcPr>
          <w:p w14:paraId="50625D2E" w14:textId="480F08EE" w:rsidR="005A3A00" w:rsidRDefault="005A3A00" w:rsidP="004728BC">
            <w:pPr>
              <w:jc w:val="center"/>
            </w:pPr>
            <w:r>
              <w:t>-0.0263</w:t>
            </w:r>
            <w:r>
              <w:br/>
            </w:r>
          </w:p>
        </w:tc>
        <w:tc>
          <w:tcPr>
            <w:tcW w:w="1183" w:type="dxa"/>
            <w:tcBorders>
              <w:left w:val="single" w:sz="2" w:space="0" w:color="000001"/>
              <w:bottom w:val="single" w:sz="2" w:space="0" w:color="000001"/>
              <w:right w:val="single" w:sz="2" w:space="0" w:color="000001"/>
            </w:tcBorders>
          </w:tcPr>
          <w:p w14:paraId="689D9FD3" w14:textId="77777777" w:rsidR="005A3A00" w:rsidRPr="00EB6175" w:rsidRDefault="005A3A00">
            <w:pPr>
              <w:jc w:val="center"/>
              <w:rPr>
                <w:highlight w:val="yellow"/>
              </w:rPr>
            </w:pPr>
            <w:r w:rsidRPr="00EB6175">
              <w:rPr>
                <w:highlight w:val="yellow"/>
              </w:rPr>
              <w:t>(-0.1235, 0.0710)</w:t>
            </w:r>
          </w:p>
        </w:tc>
        <w:tc>
          <w:tcPr>
            <w:tcW w:w="1662" w:type="dxa"/>
            <w:tcBorders>
              <w:left w:val="single" w:sz="2" w:space="0" w:color="000001"/>
              <w:bottom w:val="single" w:sz="2" w:space="0" w:color="000001"/>
            </w:tcBorders>
            <w:shd w:val="clear" w:color="auto" w:fill="auto"/>
            <w:tcMar>
              <w:left w:w="54" w:type="dxa"/>
            </w:tcMar>
          </w:tcPr>
          <w:p w14:paraId="020953FF" w14:textId="10477D17" w:rsidR="005A3A00" w:rsidRPr="004728BC" w:rsidRDefault="005A3A00" w:rsidP="004728BC">
            <w:pPr>
              <w:jc w:val="center"/>
              <w:rPr>
                <w:lang w:val="en-US"/>
              </w:rPr>
            </w:pPr>
            <w:r w:rsidRPr="004728BC">
              <w:t>0.0380</w:t>
            </w:r>
            <w:r w:rsidRPr="004728BC">
              <w:br/>
            </w:r>
          </w:p>
        </w:tc>
        <w:tc>
          <w:tcPr>
            <w:tcW w:w="1005" w:type="dxa"/>
            <w:tcBorders>
              <w:left w:val="single" w:sz="2" w:space="0" w:color="000001"/>
              <w:bottom w:val="single" w:sz="2" w:space="0" w:color="000001"/>
              <w:right w:val="single" w:sz="2" w:space="0" w:color="000001"/>
            </w:tcBorders>
          </w:tcPr>
          <w:p w14:paraId="3AE81828" w14:textId="77777777" w:rsidR="005A3A00" w:rsidRPr="00EB6175" w:rsidRDefault="005A3A00">
            <w:pPr>
              <w:snapToGrid w:val="0"/>
              <w:jc w:val="center"/>
              <w:rPr>
                <w:highlight w:val="yellow"/>
                <w:lang w:val="en-US"/>
              </w:rPr>
            </w:pPr>
            <w:r w:rsidRPr="00EB6175">
              <w:rPr>
                <w:highlight w:val="yellow"/>
                <w:lang w:val="en-US"/>
              </w:rPr>
              <w:t>(0.0180, 0.0581)</w:t>
            </w:r>
          </w:p>
        </w:tc>
        <w:tc>
          <w:tcPr>
            <w:tcW w:w="1199" w:type="dxa"/>
            <w:tcBorders>
              <w:left w:val="single" w:sz="2" w:space="0" w:color="000001"/>
              <w:bottom w:val="single" w:sz="2" w:space="0" w:color="000001"/>
            </w:tcBorders>
            <w:shd w:val="clear" w:color="auto" w:fill="auto"/>
            <w:tcMar>
              <w:left w:w="54" w:type="dxa"/>
            </w:tcMar>
          </w:tcPr>
          <w:p w14:paraId="74F38B0D" w14:textId="77777777" w:rsidR="005A3A00" w:rsidRPr="004728BC" w:rsidRDefault="005A3A00">
            <w:pPr>
              <w:snapToGrid w:val="0"/>
              <w:jc w:val="center"/>
              <w:rPr>
                <w:lang w:val="en-US"/>
              </w:rPr>
            </w:pP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3E2A5E5E" w14:textId="77777777" w:rsidR="005A3A00" w:rsidRPr="004728BC" w:rsidRDefault="005A3A00">
            <w:pPr>
              <w:snapToGrid w:val="0"/>
              <w:jc w:val="center"/>
            </w:pPr>
          </w:p>
        </w:tc>
      </w:tr>
      <w:tr w:rsidR="005A3A00" w14:paraId="4D881B22" w14:textId="77777777" w:rsidTr="005A3A00">
        <w:tc>
          <w:tcPr>
            <w:tcW w:w="1425" w:type="dxa"/>
            <w:tcBorders>
              <w:left w:val="single" w:sz="2" w:space="0" w:color="000001"/>
              <w:bottom w:val="single" w:sz="2" w:space="0" w:color="000001"/>
            </w:tcBorders>
            <w:shd w:val="clear" w:color="auto" w:fill="auto"/>
            <w:tcMar>
              <w:left w:w="54" w:type="dxa"/>
            </w:tcMar>
          </w:tcPr>
          <w:p w14:paraId="2E52C33C" w14:textId="77777777" w:rsidR="005A3A00" w:rsidRDefault="005A3A00">
            <w:pPr>
              <w:jc w:val="center"/>
            </w:pPr>
            <w:r>
              <w:t>OP#4 - NRAD#2</w:t>
            </w:r>
          </w:p>
        </w:tc>
        <w:tc>
          <w:tcPr>
            <w:tcW w:w="1627" w:type="dxa"/>
            <w:tcBorders>
              <w:left w:val="single" w:sz="2" w:space="0" w:color="000001"/>
              <w:bottom w:val="single" w:sz="2" w:space="0" w:color="000001"/>
            </w:tcBorders>
            <w:shd w:val="clear" w:color="auto" w:fill="auto"/>
            <w:tcMar>
              <w:left w:w="54" w:type="dxa"/>
            </w:tcMar>
          </w:tcPr>
          <w:p w14:paraId="3818AC3D" w14:textId="77777777" w:rsidR="005A3A00" w:rsidRDefault="005A3A00">
            <w:pPr>
              <w:jc w:val="center"/>
            </w:pPr>
            <w:r>
              <w:t xml:space="preserve">0.1683 </w:t>
            </w:r>
          </w:p>
          <w:p w14:paraId="25947907" w14:textId="03D67F69" w:rsidR="005A3A00" w:rsidRDefault="005A3A00">
            <w:pPr>
              <w:jc w:val="center"/>
            </w:pPr>
          </w:p>
        </w:tc>
        <w:tc>
          <w:tcPr>
            <w:tcW w:w="1183" w:type="dxa"/>
            <w:tcBorders>
              <w:left w:val="single" w:sz="2" w:space="0" w:color="000001"/>
              <w:bottom w:val="single" w:sz="2" w:space="0" w:color="000001"/>
              <w:right w:val="single" w:sz="2" w:space="0" w:color="000001"/>
            </w:tcBorders>
          </w:tcPr>
          <w:p w14:paraId="4BF3C55A" w14:textId="77777777" w:rsidR="005A3A00" w:rsidRPr="00EB6175" w:rsidRDefault="005A3A00">
            <w:pPr>
              <w:jc w:val="center"/>
              <w:rPr>
                <w:highlight w:val="yellow"/>
              </w:rPr>
            </w:pPr>
            <w:r w:rsidRPr="00EB6175">
              <w:rPr>
                <w:highlight w:val="yellow"/>
              </w:rPr>
              <w:t>(0.1120, 0.2246)</w:t>
            </w:r>
          </w:p>
        </w:tc>
        <w:tc>
          <w:tcPr>
            <w:tcW w:w="1662" w:type="dxa"/>
            <w:tcBorders>
              <w:left w:val="single" w:sz="2" w:space="0" w:color="000001"/>
              <w:bottom w:val="single" w:sz="2" w:space="0" w:color="000001"/>
            </w:tcBorders>
            <w:shd w:val="clear" w:color="auto" w:fill="auto"/>
            <w:tcMar>
              <w:left w:w="54" w:type="dxa"/>
            </w:tcMar>
          </w:tcPr>
          <w:p w14:paraId="61E6F64B" w14:textId="77777777" w:rsidR="005A3A00" w:rsidRPr="004728BC" w:rsidRDefault="005A3A00">
            <w:pPr>
              <w:jc w:val="center"/>
            </w:pPr>
            <w:r w:rsidRPr="004728BC">
              <w:t>-0.0389</w:t>
            </w:r>
          </w:p>
          <w:p w14:paraId="74838AF6" w14:textId="21969BF2" w:rsidR="005A3A00" w:rsidRPr="004728BC" w:rsidRDefault="005A3A00">
            <w:pPr>
              <w:jc w:val="center"/>
            </w:pPr>
          </w:p>
        </w:tc>
        <w:tc>
          <w:tcPr>
            <w:tcW w:w="1005" w:type="dxa"/>
            <w:tcBorders>
              <w:left w:val="single" w:sz="2" w:space="0" w:color="000001"/>
              <w:bottom w:val="single" w:sz="2" w:space="0" w:color="000001"/>
              <w:right w:val="single" w:sz="2" w:space="0" w:color="000001"/>
            </w:tcBorders>
          </w:tcPr>
          <w:p w14:paraId="7576F8E6" w14:textId="77777777" w:rsidR="005A3A00" w:rsidRPr="00EB6175" w:rsidRDefault="005A3A00">
            <w:pPr>
              <w:jc w:val="center"/>
              <w:rPr>
                <w:highlight w:val="yellow"/>
              </w:rPr>
            </w:pPr>
            <w:r w:rsidRPr="00EB6175">
              <w:rPr>
                <w:highlight w:val="yellow"/>
              </w:rPr>
              <w:t>(-0.0515, -0.0264)</w:t>
            </w:r>
          </w:p>
        </w:tc>
        <w:tc>
          <w:tcPr>
            <w:tcW w:w="1199" w:type="dxa"/>
            <w:tcBorders>
              <w:left w:val="single" w:sz="2" w:space="0" w:color="000001"/>
              <w:bottom w:val="single" w:sz="2" w:space="0" w:color="000001"/>
            </w:tcBorders>
            <w:shd w:val="clear" w:color="auto" w:fill="auto"/>
            <w:tcMar>
              <w:left w:w="54" w:type="dxa"/>
            </w:tcMar>
          </w:tcPr>
          <w:p w14:paraId="7037815E" w14:textId="77777777" w:rsidR="005A3A00" w:rsidRPr="004728BC" w:rsidRDefault="005A3A00">
            <w:pPr>
              <w:jc w:val="center"/>
            </w:pPr>
            <w:r w:rsidRPr="004728BC">
              <w:t>-8.19</w:t>
            </w: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1C6AF00E" w14:textId="77777777" w:rsidR="005A3A00" w:rsidRPr="004728BC" w:rsidRDefault="005A3A00">
            <w:pPr>
              <w:jc w:val="center"/>
            </w:pPr>
            <w:r w:rsidRPr="004728BC">
              <w:t>&lt;0.001</w:t>
            </w:r>
          </w:p>
        </w:tc>
      </w:tr>
      <w:tr w:rsidR="005A3A00" w14:paraId="482E9B68" w14:textId="77777777" w:rsidTr="005A3A00">
        <w:tc>
          <w:tcPr>
            <w:tcW w:w="1425" w:type="dxa"/>
            <w:tcBorders>
              <w:left w:val="single" w:sz="2" w:space="0" w:color="000001"/>
              <w:bottom w:val="single" w:sz="2" w:space="0" w:color="000001"/>
            </w:tcBorders>
            <w:shd w:val="clear" w:color="auto" w:fill="auto"/>
            <w:tcMar>
              <w:left w:w="54" w:type="dxa"/>
            </w:tcMar>
          </w:tcPr>
          <w:p w14:paraId="7985BD37" w14:textId="77777777" w:rsidR="005A3A00" w:rsidRDefault="005A3A00">
            <w:pPr>
              <w:jc w:val="center"/>
            </w:pPr>
            <w:r>
              <w:t>GEE</w:t>
            </w:r>
          </w:p>
        </w:tc>
        <w:tc>
          <w:tcPr>
            <w:tcW w:w="1627" w:type="dxa"/>
            <w:tcBorders>
              <w:left w:val="single" w:sz="2" w:space="0" w:color="000001"/>
              <w:bottom w:val="single" w:sz="2" w:space="0" w:color="000001"/>
            </w:tcBorders>
            <w:shd w:val="clear" w:color="auto" w:fill="auto"/>
            <w:tcMar>
              <w:left w:w="54" w:type="dxa"/>
            </w:tcMar>
          </w:tcPr>
          <w:p w14:paraId="1AB8ED54" w14:textId="56E296AA" w:rsidR="005A3A00" w:rsidRDefault="005A3A00" w:rsidP="004728BC">
            <w:pPr>
              <w:jc w:val="center"/>
            </w:pPr>
            <w:r>
              <w:t>0.1629</w:t>
            </w:r>
            <w:r>
              <w:br/>
            </w:r>
          </w:p>
        </w:tc>
        <w:tc>
          <w:tcPr>
            <w:tcW w:w="1183" w:type="dxa"/>
            <w:tcBorders>
              <w:left w:val="single" w:sz="2" w:space="0" w:color="000001"/>
              <w:bottom w:val="single" w:sz="2" w:space="0" w:color="000001"/>
              <w:right w:val="single" w:sz="2" w:space="0" w:color="000001"/>
            </w:tcBorders>
          </w:tcPr>
          <w:p w14:paraId="43757D37" w14:textId="77777777" w:rsidR="005A3A00" w:rsidRPr="00EB6175" w:rsidRDefault="005A3A00">
            <w:pPr>
              <w:jc w:val="center"/>
              <w:rPr>
                <w:highlight w:val="yellow"/>
              </w:rPr>
            </w:pPr>
            <w:r w:rsidRPr="00EB6175">
              <w:rPr>
                <w:highlight w:val="yellow"/>
              </w:rPr>
              <w:t>(0.0762, 0.2397)</w:t>
            </w:r>
          </w:p>
        </w:tc>
        <w:tc>
          <w:tcPr>
            <w:tcW w:w="1662" w:type="dxa"/>
            <w:tcBorders>
              <w:left w:val="single" w:sz="2" w:space="0" w:color="000001"/>
              <w:bottom w:val="single" w:sz="2" w:space="0" w:color="000001"/>
            </w:tcBorders>
            <w:shd w:val="clear" w:color="auto" w:fill="auto"/>
            <w:tcMar>
              <w:left w:w="54" w:type="dxa"/>
            </w:tcMar>
          </w:tcPr>
          <w:p w14:paraId="0D518EAF" w14:textId="29E95C6C" w:rsidR="005A3A00" w:rsidRPr="004728BC" w:rsidRDefault="005A3A00" w:rsidP="004728BC">
            <w:pPr>
              <w:jc w:val="center"/>
            </w:pPr>
            <w:r w:rsidRPr="004728BC">
              <w:t>-0.0391</w:t>
            </w:r>
            <w:r w:rsidRPr="004728BC">
              <w:br/>
            </w:r>
          </w:p>
        </w:tc>
        <w:tc>
          <w:tcPr>
            <w:tcW w:w="1005" w:type="dxa"/>
            <w:tcBorders>
              <w:left w:val="single" w:sz="2" w:space="0" w:color="000001"/>
              <w:bottom w:val="single" w:sz="2" w:space="0" w:color="000001"/>
              <w:right w:val="single" w:sz="2" w:space="0" w:color="000001"/>
            </w:tcBorders>
          </w:tcPr>
          <w:p w14:paraId="0CDB920A" w14:textId="77777777" w:rsidR="005A3A00" w:rsidRPr="00EB6175" w:rsidRDefault="005A3A00">
            <w:pPr>
              <w:snapToGrid w:val="0"/>
              <w:jc w:val="center"/>
              <w:rPr>
                <w:highlight w:val="yellow"/>
              </w:rPr>
            </w:pPr>
            <w:r w:rsidRPr="00EB6175">
              <w:rPr>
                <w:highlight w:val="yellow"/>
              </w:rPr>
              <w:t>(-0.0560, -0.0222)</w:t>
            </w:r>
          </w:p>
        </w:tc>
        <w:tc>
          <w:tcPr>
            <w:tcW w:w="1199" w:type="dxa"/>
            <w:tcBorders>
              <w:left w:val="single" w:sz="2" w:space="0" w:color="000001"/>
              <w:bottom w:val="single" w:sz="2" w:space="0" w:color="000001"/>
            </w:tcBorders>
            <w:shd w:val="clear" w:color="auto" w:fill="auto"/>
            <w:tcMar>
              <w:left w:w="54" w:type="dxa"/>
            </w:tcMar>
          </w:tcPr>
          <w:p w14:paraId="5E7E4187" w14:textId="77777777" w:rsidR="005A3A00" w:rsidRPr="004728BC" w:rsidRDefault="005A3A00">
            <w:pPr>
              <w:snapToGrid w:val="0"/>
              <w:jc w:val="center"/>
            </w:pP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2CA4C537" w14:textId="77777777" w:rsidR="005A3A00" w:rsidRPr="004728BC" w:rsidRDefault="005A3A00">
            <w:pPr>
              <w:snapToGrid w:val="0"/>
              <w:jc w:val="center"/>
            </w:pPr>
          </w:p>
        </w:tc>
      </w:tr>
      <w:tr w:rsidR="005A3A00" w14:paraId="33CEA2DF" w14:textId="77777777" w:rsidTr="005A3A00">
        <w:tc>
          <w:tcPr>
            <w:tcW w:w="1425" w:type="dxa"/>
            <w:tcBorders>
              <w:left w:val="single" w:sz="2" w:space="0" w:color="000001"/>
              <w:bottom w:val="single" w:sz="2" w:space="0" w:color="000001"/>
            </w:tcBorders>
            <w:shd w:val="clear" w:color="auto" w:fill="auto"/>
            <w:tcMar>
              <w:left w:w="54" w:type="dxa"/>
            </w:tcMar>
          </w:tcPr>
          <w:p w14:paraId="3F0CC91C" w14:textId="77777777" w:rsidR="005A3A00" w:rsidRDefault="005A3A00">
            <w:pPr>
              <w:jc w:val="center"/>
            </w:pPr>
            <w:r>
              <w:t>OP#4 - NRAD#3</w:t>
            </w:r>
          </w:p>
        </w:tc>
        <w:tc>
          <w:tcPr>
            <w:tcW w:w="1627" w:type="dxa"/>
            <w:tcBorders>
              <w:left w:val="single" w:sz="2" w:space="0" w:color="000001"/>
              <w:bottom w:val="single" w:sz="2" w:space="0" w:color="000001"/>
            </w:tcBorders>
            <w:shd w:val="clear" w:color="auto" w:fill="auto"/>
            <w:tcMar>
              <w:left w:w="54" w:type="dxa"/>
            </w:tcMar>
          </w:tcPr>
          <w:p w14:paraId="688C1953" w14:textId="77777777" w:rsidR="005A3A00" w:rsidRDefault="005A3A00">
            <w:pPr>
              <w:jc w:val="center"/>
            </w:pPr>
            <w:r>
              <w:t>0.1749175</w:t>
            </w:r>
          </w:p>
          <w:p w14:paraId="61B48368" w14:textId="4DBAE873" w:rsidR="005A3A00" w:rsidRDefault="005A3A00">
            <w:pPr>
              <w:jc w:val="center"/>
            </w:pPr>
          </w:p>
        </w:tc>
        <w:tc>
          <w:tcPr>
            <w:tcW w:w="1183" w:type="dxa"/>
            <w:tcBorders>
              <w:left w:val="single" w:sz="2" w:space="0" w:color="000001"/>
              <w:bottom w:val="single" w:sz="2" w:space="0" w:color="000001"/>
              <w:right w:val="single" w:sz="2" w:space="0" w:color="000001"/>
            </w:tcBorders>
          </w:tcPr>
          <w:p w14:paraId="65220917" w14:textId="77777777" w:rsidR="005A3A00" w:rsidRPr="00EB6175" w:rsidRDefault="00612F8E">
            <w:pPr>
              <w:jc w:val="center"/>
              <w:rPr>
                <w:highlight w:val="yellow"/>
              </w:rPr>
            </w:pPr>
            <w:r w:rsidRPr="00EB6175">
              <w:rPr>
                <w:highlight w:val="yellow"/>
              </w:rPr>
              <w:t>(0.1165, 0.2334)</w:t>
            </w:r>
          </w:p>
        </w:tc>
        <w:tc>
          <w:tcPr>
            <w:tcW w:w="1662" w:type="dxa"/>
            <w:tcBorders>
              <w:left w:val="single" w:sz="2" w:space="0" w:color="000001"/>
              <w:bottom w:val="single" w:sz="2" w:space="0" w:color="000001"/>
            </w:tcBorders>
            <w:shd w:val="clear" w:color="auto" w:fill="auto"/>
            <w:tcMar>
              <w:left w:w="54" w:type="dxa"/>
            </w:tcMar>
          </w:tcPr>
          <w:p w14:paraId="65C3AF2A" w14:textId="77777777" w:rsidR="005A3A00" w:rsidRPr="004728BC" w:rsidRDefault="005A3A00">
            <w:pPr>
              <w:jc w:val="center"/>
            </w:pPr>
            <w:r w:rsidRPr="004728BC">
              <w:t xml:space="preserve">-0.0445 </w:t>
            </w:r>
          </w:p>
          <w:p w14:paraId="1F23C91C" w14:textId="788B55FA" w:rsidR="005A3A00" w:rsidRPr="004728BC" w:rsidRDefault="005A3A00">
            <w:pPr>
              <w:jc w:val="center"/>
            </w:pPr>
          </w:p>
        </w:tc>
        <w:tc>
          <w:tcPr>
            <w:tcW w:w="1005" w:type="dxa"/>
            <w:tcBorders>
              <w:left w:val="single" w:sz="2" w:space="0" w:color="000001"/>
              <w:bottom w:val="single" w:sz="2" w:space="0" w:color="000001"/>
              <w:right w:val="single" w:sz="2" w:space="0" w:color="000001"/>
            </w:tcBorders>
          </w:tcPr>
          <w:p w14:paraId="3AE6EB66" w14:textId="77777777" w:rsidR="005A3A00" w:rsidRPr="00EB6175" w:rsidRDefault="00612F8E">
            <w:pPr>
              <w:jc w:val="center"/>
              <w:rPr>
                <w:highlight w:val="yellow"/>
              </w:rPr>
            </w:pPr>
            <w:r w:rsidRPr="00EB6175">
              <w:rPr>
                <w:highlight w:val="yellow"/>
              </w:rPr>
              <w:t>(-0.0560, -0.0330)</w:t>
            </w:r>
          </w:p>
        </w:tc>
        <w:tc>
          <w:tcPr>
            <w:tcW w:w="1199" w:type="dxa"/>
            <w:tcBorders>
              <w:left w:val="single" w:sz="2" w:space="0" w:color="000001"/>
              <w:bottom w:val="single" w:sz="2" w:space="0" w:color="000001"/>
            </w:tcBorders>
            <w:shd w:val="clear" w:color="auto" w:fill="auto"/>
            <w:tcMar>
              <w:left w:w="54" w:type="dxa"/>
            </w:tcMar>
          </w:tcPr>
          <w:p w14:paraId="47E172AF" w14:textId="77777777" w:rsidR="005A3A00" w:rsidRPr="004728BC" w:rsidRDefault="005A3A00">
            <w:pPr>
              <w:jc w:val="center"/>
            </w:pPr>
            <w:r w:rsidRPr="004728BC">
              <w:t>-8.05</w:t>
            </w: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2EF97A1E" w14:textId="77777777" w:rsidR="005A3A00" w:rsidRPr="004728BC" w:rsidRDefault="005A3A00">
            <w:pPr>
              <w:jc w:val="center"/>
            </w:pPr>
            <w:r w:rsidRPr="004728BC">
              <w:t>&lt;0.001</w:t>
            </w:r>
          </w:p>
        </w:tc>
      </w:tr>
      <w:tr w:rsidR="005A3A00" w14:paraId="2A5213C2" w14:textId="77777777" w:rsidTr="005A3A00">
        <w:tc>
          <w:tcPr>
            <w:tcW w:w="1425" w:type="dxa"/>
            <w:tcBorders>
              <w:left w:val="single" w:sz="2" w:space="0" w:color="000001"/>
              <w:bottom w:val="single" w:sz="2" w:space="0" w:color="000001"/>
            </w:tcBorders>
            <w:shd w:val="clear" w:color="auto" w:fill="auto"/>
            <w:tcMar>
              <w:left w:w="54" w:type="dxa"/>
            </w:tcMar>
          </w:tcPr>
          <w:p w14:paraId="194B13EA" w14:textId="77777777" w:rsidR="005A3A00" w:rsidRDefault="005A3A00">
            <w:pPr>
              <w:jc w:val="center"/>
            </w:pPr>
            <w:r>
              <w:t>GEE</w:t>
            </w:r>
          </w:p>
        </w:tc>
        <w:tc>
          <w:tcPr>
            <w:tcW w:w="1627" w:type="dxa"/>
            <w:tcBorders>
              <w:left w:val="single" w:sz="2" w:space="0" w:color="000001"/>
              <w:bottom w:val="single" w:sz="2" w:space="0" w:color="000001"/>
            </w:tcBorders>
            <w:shd w:val="clear" w:color="auto" w:fill="auto"/>
            <w:tcMar>
              <w:left w:w="54" w:type="dxa"/>
            </w:tcMar>
          </w:tcPr>
          <w:p w14:paraId="7047B5BF" w14:textId="167464D0" w:rsidR="005A3A00" w:rsidRDefault="005A3A00" w:rsidP="004728BC">
            <w:pPr>
              <w:jc w:val="center"/>
            </w:pPr>
            <w:r>
              <w:t>0.1679</w:t>
            </w:r>
            <w:r>
              <w:br/>
            </w:r>
          </w:p>
        </w:tc>
        <w:tc>
          <w:tcPr>
            <w:tcW w:w="1183" w:type="dxa"/>
            <w:tcBorders>
              <w:left w:val="single" w:sz="2" w:space="0" w:color="000001"/>
              <w:bottom w:val="single" w:sz="2" w:space="0" w:color="000001"/>
              <w:right w:val="single" w:sz="2" w:space="0" w:color="000001"/>
            </w:tcBorders>
          </w:tcPr>
          <w:p w14:paraId="0A145401" w14:textId="77777777" w:rsidR="005A3A00" w:rsidRPr="00EB6175" w:rsidRDefault="00612F8E">
            <w:pPr>
              <w:jc w:val="center"/>
              <w:rPr>
                <w:highlight w:val="yellow"/>
              </w:rPr>
            </w:pPr>
            <w:r w:rsidRPr="00EB6175">
              <w:rPr>
                <w:highlight w:val="yellow"/>
              </w:rPr>
              <w:t>(0.0831, 0.2527)</w:t>
            </w:r>
          </w:p>
        </w:tc>
        <w:tc>
          <w:tcPr>
            <w:tcW w:w="1662" w:type="dxa"/>
            <w:tcBorders>
              <w:left w:val="single" w:sz="2" w:space="0" w:color="000001"/>
              <w:bottom w:val="single" w:sz="2" w:space="0" w:color="000001"/>
            </w:tcBorders>
            <w:shd w:val="clear" w:color="auto" w:fill="auto"/>
            <w:tcMar>
              <w:left w:w="54" w:type="dxa"/>
            </w:tcMar>
          </w:tcPr>
          <w:p w14:paraId="48E76854" w14:textId="146E413F" w:rsidR="005A3A00" w:rsidRPr="004728BC" w:rsidRDefault="005A3A00" w:rsidP="004728BC">
            <w:pPr>
              <w:jc w:val="center"/>
            </w:pPr>
            <w:r w:rsidRPr="004728BC">
              <w:t>-0.0443</w:t>
            </w:r>
            <w:r w:rsidRPr="004728BC">
              <w:br/>
            </w:r>
          </w:p>
        </w:tc>
        <w:tc>
          <w:tcPr>
            <w:tcW w:w="1005" w:type="dxa"/>
            <w:tcBorders>
              <w:left w:val="single" w:sz="2" w:space="0" w:color="000001"/>
              <w:bottom w:val="single" w:sz="2" w:space="0" w:color="000001"/>
              <w:right w:val="single" w:sz="2" w:space="0" w:color="000001"/>
            </w:tcBorders>
          </w:tcPr>
          <w:p w14:paraId="709A40AB" w14:textId="77777777" w:rsidR="005A3A00" w:rsidRPr="00EB6175" w:rsidRDefault="00DE031C">
            <w:pPr>
              <w:snapToGrid w:val="0"/>
              <w:jc w:val="center"/>
              <w:rPr>
                <w:highlight w:val="yellow"/>
              </w:rPr>
            </w:pPr>
            <w:r w:rsidRPr="00EB6175">
              <w:rPr>
                <w:highlight w:val="yellow"/>
              </w:rPr>
              <w:t>(-0.0609, -0.0276)</w:t>
            </w:r>
          </w:p>
        </w:tc>
        <w:tc>
          <w:tcPr>
            <w:tcW w:w="1199" w:type="dxa"/>
            <w:tcBorders>
              <w:left w:val="single" w:sz="2" w:space="0" w:color="000001"/>
              <w:bottom w:val="single" w:sz="2" w:space="0" w:color="000001"/>
            </w:tcBorders>
            <w:shd w:val="clear" w:color="auto" w:fill="auto"/>
            <w:tcMar>
              <w:left w:w="54" w:type="dxa"/>
            </w:tcMar>
          </w:tcPr>
          <w:p w14:paraId="68AFDE60" w14:textId="77777777" w:rsidR="005A3A00" w:rsidRPr="004728BC" w:rsidRDefault="005A3A00">
            <w:pPr>
              <w:snapToGrid w:val="0"/>
              <w:jc w:val="center"/>
            </w:pP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3DF2E543" w14:textId="77777777" w:rsidR="005A3A00" w:rsidRPr="004728BC" w:rsidRDefault="005A3A00">
            <w:pPr>
              <w:snapToGrid w:val="0"/>
              <w:jc w:val="center"/>
            </w:pPr>
          </w:p>
        </w:tc>
      </w:tr>
      <w:tr w:rsidR="005A3A00" w14:paraId="2EE909AA" w14:textId="77777777" w:rsidTr="005A3A00">
        <w:tc>
          <w:tcPr>
            <w:tcW w:w="1425" w:type="dxa"/>
            <w:tcBorders>
              <w:left w:val="single" w:sz="2" w:space="0" w:color="000001"/>
              <w:bottom w:val="single" w:sz="2" w:space="0" w:color="000001"/>
            </w:tcBorders>
            <w:shd w:val="clear" w:color="auto" w:fill="auto"/>
            <w:tcMar>
              <w:left w:w="54" w:type="dxa"/>
            </w:tcMar>
          </w:tcPr>
          <w:p w14:paraId="29CCB9D7" w14:textId="77777777" w:rsidR="005A3A00" w:rsidRDefault="005A3A00">
            <w:pPr>
              <w:jc w:val="center"/>
            </w:pPr>
            <w:r>
              <w:t>OP#5 - NRAD#1</w:t>
            </w:r>
          </w:p>
        </w:tc>
        <w:tc>
          <w:tcPr>
            <w:tcW w:w="1627" w:type="dxa"/>
            <w:tcBorders>
              <w:left w:val="single" w:sz="2" w:space="0" w:color="000001"/>
              <w:bottom w:val="single" w:sz="2" w:space="0" w:color="000001"/>
            </w:tcBorders>
            <w:shd w:val="clear" w:color="auto" w:fill="auto"/>
            <w:tcMar>
              <w:left w:w="54" w:type="dxa"/>
            </w:tcMar>
          </w:tcPr>
          <w:p w14:paraId="2E024812" w14:textId="77777777" w:rsidR="005A3A00" w:rsidRDefault="005A3A00">
            <w:pPr>
              <w:jc w:val="center"/>
            </w:pPr>
            <w:r>
              <w:t>0</w:t>
            </w:r>
          </w:p>
          <w:p w14:paraId="2893A1A6" w14:textId="0A4C3BA9" w:rsidR="005A3A00" w:rsidRDefault="005A3A00">
            <w:pPr>
              <w:jc w:val="center"/>
            </w:pPr>
          </w:p>
        </w:tc>
        <w:tc>
          <w:tcPr>
            <w:tcW w:w="1183" w:type="dxa"/>
            <w:tcBorders>
              <w:left w:val="single" w:sz="2" w:space="0" w:color="000001"/>
              <w:bottom w:val="single" w:sz="2" w:space="0" w:color="000001"/>
              <w:right w:val="single" w:sz="2" w:space="0" w:color="000001"/>
            </w:tcBorders>
          </w:tcPr>
          <w:p w14:paraId="42AD1F3E" w14:textId="77777777" w:rsidR="005A3A00" w:rsidRPr="00EB6175" w:rsidRDefault="005A3A00">
            <w:pPr>
              <w:jc w:val="center"/>
              <w:rPr>
                <w:highlight w:val="yellow"/>
              </w:rPr>
            </w:pPr>
            <w:r w:rsidRPr="00EB6175">
              <w:rPr>
                <w:highlight w:val="yellow"/>
              </w:rPr>
              <w:t>(-0.0624, 0.0624)</w:t>
            </w:r>
          </w:p>
        </w:tc>
        <w:tc>
          <w:tcPr>
            <w:tcW w:w="1662" w:type="dxa"/>
            <w:tcBorders>
              <w:left w:val="single" w:sz="2" w:space="0" w:color="000001"/>
              <w:bottom w:val="single" w:sz="2" w:space="0" w:color="000001"/>
            </w:tcBorders>
            <w:shd w:val="clear" w:color="auto" w:fill="auto"/>
            <w:tcMar>
              <w:left w:w="54" w:type="dxa"/>
            </w:tcMar>
          </w:tcPr>
          <w:p w14:paraId="0694615F" w14:textId="77777777" w:rsidR="005A3A00" w:rsidRPr="004728BC" w:rsidRDefault="005A3A00">
            <w:pPr>
              <w:jc w:val="center"/>
            </w:pPr>
            <w:r w:rsidRPr="004728BC">
              <w:t>0.0197</w:t>
            </w:r>
          </w:p>
          <w:p w14:paraId="056836CF" w14:textId="64C9D73D" w:rsidR="005A3A00" w:rsidRPr="004728BC" w:rsidRDefault="005A3A00">
            <w:pPr>
              <w:jc w:val="center"/>
              <w:rPr>
                <w:lang w:val="en-US"/>
              </w:rPr>
            </w:pPr>
          </w:p>
        </w:tc>
        <w:tc>
          <w:tcPr>
            <w:tcW w:w="1005" w:type="dxa"/>
            <w:tcBorders>
              <w:left w:val="single" w:sz="2" w:space="0" w:color="000001"/>
              <w:bottom w:val="single" w:sz="2" w:space="0" w:color="000001"/>
              <w:right w:val="single" w:sz="2" w:space="0" w:color="000001"/>
            </w:tcBorders>
          </w:tcPr>
          <w:p w14:paraId="0A0B46A5" w14:textId="77777777" w:rsidR="005A3A00" w:rsidRPr="00EB6175" w:rsidRDefault="005A3A00">
            <w:pPr>
              <w:jc w:val="center"/>
              <w:rPr>
                <w:highlight w:val="yellow"/>
                <w:lang w:val="en-US"/>
              </w:rPr>
            </w:pPr>
            <w:r w:rsidRPr="00EB6175">
              <w:rPr>
                <w:highlight w:val="yellow"/>
                <w:lang w:val="en-US"/>
              </w:rPr>
              <w:t>(0.0024, 0.0370)</w:t>
            </w:r>
          </w:p>
        </w:tc>
        <w:tc>
          <w:tcPr>
            <w:tcW w:w="1199" w:type="dxa"/>
            <w:tcBorders>
              <w:left w:val="single" w:sz="2" w:space="0" w:color="000001"/>
              <w:bottom w:val="single" w:sz="2" w:space="0" w:color="000001"/>
            </w:tcBorders>
            <w:shd w:val="clear" w:color="auto" w:fill="auto"/>
            <w:tcMar>
              <w:left w:w="54" w:type="dxa"/>
            </w:tcMar>
          </w:tcPr>
          <w:p w14:paraId="6DA1D831" w14:textId="77777777" w:rsidR="005A3A00" w:rsidRPr="004728BC" w:rsidRDefault="005A3A00">
            <w:pPr>
              <w:jc w:val="center"/>
            </w:pPr>
            <w:r w:rsidRPr="004728BC">
              <w:rPr>
                <w:lang w:val="en-US"/>
              </w:rPr>
              <w:t>-3.29</w:t>
            </w: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74EFCF1A" w14:textId="77777777" w:rsidR="005A3A00" w:rsidRPr="004728BC" w:rsidRDefault="005A3A00">
            <w:pPr>
              <w:jc w:val="center"/>
            </w:pPr>
            <w:r w:rsidRPr="004728BC">
              <w:t>&lt;0.001</w:t>
            </w:r>
          </w:p>
        </w:tc>
      </w:tr>
      <w:tr w:rsidR="005A3A00" w14:paraId="0D13F27B" w14:textId="77777777" w:rsidTr="00011ED0">
        <w:tc>
          <w:tcPr>
            <w:tcW w:w="1425" w:type="dxa"/>
            <w:tcBorders>
              <w:left w:val="single" w:sz="2" w:space="0" w:color="000001"/>
              <w:bottom w:val="single" w:sz="2" w:space="0" w:color="000001"/>
            </w:tcBorders>
            <w:shd w:val="clear" w:color="auto" w:fill="auto"/>
            <w:tcMar>
              <w:left w:w="54" w:type="dxa"/>
            </w:tcMar>
          </w:tcPr>
          <w:p w14:paraId="3D2483EB" w14:textId="77777777" w:rsidR="005A3A00" w:rsidRDefault="005A3A00">
            <w:pPr>
              <w:jc w:val="center"/>
            </w:pPr>
            <w:r>
              <w:t>GEE</w:t>
            </w:r>
          </w:p>
        </w:tc>
        <w:tc>
          <w:tcPr>
            <w:tcW w:w="1627" w:type="dxa"/>
            <w:tcBorders>
              <w:left w:val="single" w:sz="2" w:space="0" w:color="000001"/>
              <w:bottom w:val="single" w:sz="2" w:space="0" w:color="000001"/>
            </w:tcBorders>
            <w:shd w:val="clear" w:color="auto" w:fill="FFFF00"/>
            <w:tcMar>
              <w:left w:w="54" w:type="dxa"/>
            </w:tcMar>
          </w:tcPr>
          <w:p w14:paraId="3CE59AF3" w14:textId="2999696F" w:rsidR="005A3A00" w:rsidRDefault="005A3A00" w:rsidP="004728BC">
            <w:pPr>
              <w:jc w:val="center"/>
            </w:pPr>
            <w:r>
              <w:t>-0.0078</w:t>
            </w:r>
            <w:r>
              <w:br/>
            </w:r>
          </w:p>
        </w:tc>
        <w:tc>
          <w:tcPr>
            <w:tcW w:w="1183" w:type="dxa"/>
            <w:tcBorders>
              <w:left w:val="single" w:sz="2" w:space="0" w:color="000001"/>
              <w:bottom w:val="single" w:sz="2" w:space="0" w:color="000001"/>
              <w:right w:val="single" w:sz="2" w:space="0" w:color="000001"/>
            </w:tcBorders>
            <w:shd w:val="clear" w:color="auto" w:fill="FFFF00"/>
          </w:tcPr>
          <w:p w14:paraId="4F76282E" w14:textId="77777777" w:rsidR="005A3A00" w:rsidRPr="00EB6175" w:rsidRDefault="005A3A00">
            <w:pPr>
              <w:jc w:val="center"/>
              <w:rPr>
                <w:highlight w:val="yellow"/>
              </w:rPr>
            </w:pPr>
            <w:r w:rsidRPr="00EB6175">
              <w:rPr>
                <w:highlight w:val="yellow"/>
              </w:rPr>
              <w:t>(-0.1056, 0.0901)</w:t>
            </w:r>
          </w:p>
        </w:tc>
        <w:tc>
          <w:tcPr>
            <w:tcW w:w="1662" w:type="dxa"/>
            <w:tcBorders>
              <w:left w:val="single" w:sz="2" w:space="0" w:color="000001"/>
              <w:bottom w:val="single" w:sz="2" w:space="0" w:color="000001"/>
            </w:tcBorders>
            <w:shd w:val="clear" w:color="auto" w:fill="FFFFFF" w:themeFill="background1"/>
            <w:tcMar>
              <w:left w:w="54" w:type="dxa"/>
            </w:tcMar>
          </w:tcPr>
          <w:p w14:paraId="02F046A1" w14:textId="2E5338B2" w:rsidR="005A3A00" w:rsidRPr="004728BC" w:rsidRDefault="005A3A00" w:rsidP="004728BC">
            <w:pPr>
              <w:jc w:val="center"/>
              <w:rPr>
                <w:lang w:val="en-US"/>
              </w:rPr>
            </w:pPr>
            <w:r w:rsidRPr="004728BC">
              <w:t>0.0195</w:t>
            </w:r>
            <w:r w:rsidRPr="004728BC">
              <w:br/>
            </w:r>
          </w:p>
        </w:tc>
        <w:tc>
          <w:tcPr>
            <w:tcW w:w="1005" w:type="dxa"/>
            <w:tcBorders>
              <w:left w:val="single" w:sz="2" w:space="0" w:color="000001"/>
              <w:bottom w:val="single" w:sz="2" w:space="0" w:color="000001"/>
              <w:right w:val="single" w:sz="2" w:space="0" w:color="000001"/>
            </w:tcBorders>
            <w:shd w:val="clear" w:color="auto" w:fill="FFFFFF" w:themeFill="background1"/>
          </w:tcPr>
          <w:p w14:paraId="56D240C4" w14:textId="77777777" w:rsidR="005A3A00" w:rsidRPr="00EB6175" w:rsidRDefault="005A3A00">
            <w:pPr>
              <w:snapToGrid w:val="0"/>
              <w:jc w:val="center"/>
              <w:rPr>
                <w:highlight w:val="yellow"/>
                <w:lang w:val="en-US"/>
              </w:rPr>
            </w:pPr>
            <w:r w:rsidRPr="00EB6175">
              <w:rPr>
                <w:highlight w:val="yellow"/>
                <w:lang w:val="en-US"/>
              </w:rPr>
              <w:t>(-0.0016, 0.0405)</w:t>
            </w:r>
          </w:p>
        </w:tc>
        <w:tc>
          <w:tcPr>
            <w:tcW w:w="1199" w:type="dxa"/>
            <w:tcBorders>
              <w:left w:val="single" w:sz="2" w:space="0" w:color="000001"/>
              <w:bottom w:val="single" w:sz="2" w:space="0" w:color="000001"/>
            </w:tcBorders>
            <w:shd w:val="clear" w:color="auto" w:fill="auto"/>
            <w:tcMar>
              <w:left w:w="54" w:type="dxa"/>
            </w:tcMar>
          </w:tcPr>
          <w:p w14:paraId="5B0B7479" w14:textId="77777777" w:rsidR="005A3A00" w:rsidRPr="004728BC" w:rsidRDefault="005A3A00">
            <w:pPr>
              <w:snapToGrid w:val="0"/>
              <w:jc w:val="center"/>
              <w:rPr>
                <w:lang w:val="en-US"/>
              </w:rPr>
            </w:pP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61802B8F" w14:textId="77777777" w:rsidR="005A3A00" w:rsidRPr="004728BC" w:rsidRDefault="005A3A00">
            <w:pPr>
              <w:snapToGrid w:val="0"/>
              <w:jc w:val="center"/>
            </w:pPr>
          </w:p>
        </w:tc>
      </w:tr>
      <w:tr w:rsidR="005A3A00" w14:paraId="6F18EECB" w14:textId="77777777" w:rsidTr="005A3A00">
        <w:tc>
          <w:tcPr>
            <w:tcW w:w="1425" w:type="dxa"/>
            <w:tcBorders>
              <w:left w:val="single" w:sz="2" w:space="0" w:color="000001"/>
              <w:bottom w:val="single" w:sz="2" w:space="0" w:color="000001"/>
            </w:tcBorders>
            <w:shd w:val="clear" w:color="auto" w:fill="auto"/>
            <w:tcMar>
              <w:left w:w="54" w:type="dxa"/>
            </w:tcMar>
          </w:tcPr>
          <w:p w14:paraId="514A10E1" w14:textId="77777777" w:rsidR="005A3A00" w:rsidRDefault="005A3A00">
            <w:pPr>
              <w:jc w:val="center"/>
            </w:pPr>
            <w:r>
              <w:t>OP5# - NRAD#2</w:t>
            </w:r>
          </w:p>
        </w:tc>
        <w:tc>
          <w:tcPr>
            <w:tcW w:w="1627" w:type="dxa"/>
            <w:tcBorders>
              <w:left w:val="single" w:sz="2" w:space="0" w:color="000001"/>
              <w:bottom w:val="single" w:sz="2" w:space="0" w:color="000001"/>
            </w:tcBorders>
            <w:shd w:val="clear" w:color="auto" w:fill="auto"/>
            <w:tcMar>
              <w:left w:w="54" w:type="dxa"/>
            </w:tcMar>
          </w:tcPr>
          <w:p w14:paraId="21766A6C" w14:textId="77777777" w:rsidR="005A3A00" w:rsidRDefault="005A3A00">
            <w:pPr>
              <w:jc w:val="center"/>
            </w:pPr>
            <w:r>
              <w:t xml:space="preserve">0.1848 </w:t>
            </w:r>
          </w:p>
          <w:p w14:paraId="56DD6D2D" w14:textId="7D6E9326" w:rsidR="005A3A00" w:rsidRDefault="005A3A00">
            <w:pPr>
              <w:jc w:val="center"/>
            </w:pPr>
          </w:p>
        </w:tc>
        <w:tc>
          <w:tcPr>
            <w:tcW w:w="1183" w:type="dxa"/>
            <w:tcBorders>
              <w:left w:val="single" w:sz="2" w:space="0" w:color="000001"/>
              <w:bottom w:val="single" w:sz="2" w:space="0" w:color="000001"/>
              <w:right w:val="single" w:sz="2" w:space="0" w:color="000001"/>
            </w:tcBorders>
          </w:tcPr>
          <w:p w14:paraId="07B23D2E" w14:textId="77777777" w:rsidR="005A3A00" w:rsidRPr="00EB6175" w:rsidRDefault="00612F8E">
            <w:pPr>
              <w:jc w:val="center"/>
              <w:rPr>
                <w:highlight w:val="yellow"/>
              </w:rPr>
            </w:pPr>
            <w:r w:rsidRPr="00EB6175">
              <w:rPr>
                <w:highlight w:val="yellow"/>
              </w:rPr>
              <w:t>(0.1251, 0.2445)</w:t>
            </w:r>
          </w:p>
        </w:tc>
        <w:tc>
          <w:tcPr>
            <w:tcW w:w="1662" w:type="dxa"/>
            <w:tcBorders>
              <w:left w:val="single" w:sz="2" w:space="0" w:color="000001"/>
              <w:bottom w:val="single" w:sz="2" w:space="0" w:color="000001"/>
            </w:tcBorders>
            <w:shd w:val="clear" w:color="auto" w:fill="auto"/>
            <w:tcMar>
              <w:left w:w="54" w:type="dxa"/>
            </w:tcMar>
          </w:tcPr>
          <w:p w14:paraId="5BE1BB6A" w14:textId="77777777" w:rsidR="005A3A00" w:rsidRPr="004728BC" w:rsidRDefault="005A3A00">
            <w:pPr>
              <w:jc w:val="center"/>
            </w:pPr>
            <w:r w:rsidRPr="004728BC">
              <w:t>-0.0578</w:t>
            </w:r>
          </w:p>
          <w:p w14:paraId="7DDFCA10" w14:textId="49B2CFF7" w:rsidR="005A3A00" w:rsidRPr="004728BC" w:rsidRDefault="005A3A00">
            <w:pPr>
              <w:jc w:val="center"/>
            </w:pPr>
          </w:p>
        </w:tc>
        <w:tc>
          <w:tcPr>
            <w:tcW w:w="1005" w:type="dxa"/>
            <w:tcBorders>
              <w:left w:val="single" w:sz="2" w:space="0" w:color="000001"/>
              <w:bottom w:val="single" w:sz="2" w:space="0" w:color="000001"/>
              <w:right w:val="single" w:sz="2" w:space="0" w:color="000001"/>
            </w:tcBorders>
          </w:tcPr>
          <w:p w14:paraId="0D57D1FC" w14:textId="77777777" w:rsidR="005A3A00" w:rsidRPr="00EB6175" w:rsidRDefault="00612F8E">
            <w:pPr>
              <w:jc w:val="center"/>
              <w:rPr>
                <w:highlight w:val="yellow"/>
              </w:rPr>
            </w:pPr>
            <w:r w:rsidRPr="00EB6175">
              <w:rPr>
                <w:highlight w:val="yellow"/>
              </w:rPr>
              <w:t>(-0.0717, -0.0439)</w:t>
            </w:r>
          </w:p>
        </w:tc>
        <w:tc>
          <w:tcPr>
            <w:tcW w:w="1199" w:type="dxa"/>
            <w:tcBorders>
              <w:left w:val="single" w:sz="2" w:space="0" w:color="000001"/>
              <w:bottom w:val="single" w:sz="2" w:space="0" w:color="000001"/>
            </w:tcBorders>
            <w:shd w:val="clear" w:color="auto" w:fill="auto"/>
            <w:tcMar>
              <w:left w:w="54" w:type="dxa"/>
            </w:tcMar>
          </w:tcPr>
          <w:p w14:paraId="7D1F61EC" w14:textId="77777777" w:rsidR="005A3A00" w:rsidRPr="004728BC" w:rsidRDefault="005A3A00">
            <w:pPr>
              <w:jc w:val="center"/>
            </w:pPr>
            <w:r w:rsidRPr="004728BC">
              <w:t>-5.99</w:t>
            </w: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37FC8F79" w14:textId="77777777" w:rsidR="005A3A00" w:rsidRPr="004728BC" w:rsidRDefault="005A3A00">
            <w:pPr>
              <w:jc w:val="center"/>
            </w:pPr>
            <w:r w:rsidRPr="004728BC">
              <w:t>&lt;0.001</w:t>
            </w:r>
          </w:p>
        </w:tc>
      </w:tr>
      <w:tr w:rsidR="005A3A00" w14:paraId="054A932F" w14:textId="77777777" w:rsidTr="005A3A00">
        <w:tc>
          <w:tcPr>
            <w:tcW w:w="1425" w:type="dxa"/>
            <w:tcBorders>
              <w:left w:val="single" w:sz="2" w:space="0" w:color="000001"/>
              <w:bottom w:val="single" w:sz="2" w:space="0" w:color="000001"/>
            </w:tcBorders>
            <w:shd w:val="clear" w:color="auto" w:fill="auto"/>
            <w:tcMar>
              <w:left w:w="54" w:type="dxa"/>
            </w:tcMar>
          </w:tcPr>
          <w:p w14:paraId="2A8DD9C8" w14:textId="77777777" w:rsidR="005A3A00" w:rsidRDefault="005A3A00">
            <w:pPr>
              <w:jc w:val="center"/>
            </w:pPr>
            <w:r>
              <w:t>GEE</w:t>
            </w:r>
          </w:p>
        </w:tc>
        <w:tc>
          <w:tcPr>
            <w:tcW w:w="1627" w:type="dxa"/>
            <w:tcBorders>
              <w:left w:val="single" w:sz="2" w:space="0" w:color="000001"/>
              <w:bottom w:val="single" w:sz="2" w:space="0" w:color="000001"/>
            </w:tcBorders>
            <w:shd w:val="clear" w:color="auto" w:fill="auto"/>
            <w:tcMar>
              <w:left w:w="54" w:type="dxa"/>
            </w:tcMar>
          </w:tcPr>
          <w:p w14:paraId="1EE8A733" w14:textId="1610121E" w:rsidR="005A3A00" w:rsidRDefault="005A3A00" w:rsidP="004728BC">
            <w:pPr>
              <w:jc w:val="center"/>
            </w:pPr>
            <w:r>
              <w:t>0.1810</w:t>
            </w:r>
            <w:r>
              <w:br/>
            </w:r>
          </w:p>
        </w:tc>
        <w:tc>
          <w:tcPr>
            <w:tcW w:w="1183" w:type="dxa"/>
            <w:tcBorders>
              <w:left w:val="single" w:sz="2" w:space="0" w:color="000001"/>
              <w:bottom w:val="single" w:sz="2" w:space="0" w:color="000001"/>
              <w:right w:val="single" w:sz="2" w:space="0" w:color="000001"/>
            </w:tcBorders>
          </w:tcPr>
          <w:p w14:paraId="5E630553" w14:textId="77777777" w:rsidR="005A3A00" w:rsidRPr="00EB6175" w:rsidRDefault="00612F8E">
            <w:pPr>
              <w:jc w:val="center"/>
              <w:rPr>
                <w:highlight w:val="yellow"/>
              </w:rPr>
            </w:pPr>
            <w:r w:rsidRPr="00EB6175">
              <w:rPr>
                <w:highlight w:val="yellow"/>
              </w:rPr>
              <w:t>(0.0937, 0.2682)</w:t>
            </w:r>
          </w:p>
        </w:tc>
        <w:tc>
          <w:tcPr>
            <w:tcW w:w="1662" w:type="dxa"/>
            <w:tcBorders>
              <w:left w:val="single" w:sz="2" w:space="0" w:color="000001"/>
              <w:bottom w:val="single" w:sz="2" w:space="0" w:color="000001"/>
            </w:tcBorders>
            <w:shd w:val="clear" w:color="auto" w:fill="auto"/>
            <w:tcMar>
              <w:left w:w="54" w:type="dxa"/>
            </w:tcMar>
          </w:tcPr>
          <w:p w14:paraId="17D02B07" w14:textId="6BE1259F" w:rsidR="005A3A00" w:rsidRPr="004728BC" w:rsidRDefault="005A3A00" w:rsidP="004728BC">
            <w:pPr>
              <w:jc w:val="center"/>
            </w:pPr>
            <w:r w:rsidRPr="004728BC">
              <w:t>-0.0575</w:t>
            </w:r>
            <w:r w:rsidRPr="004728BC">
              <w:br/>
            </w:r>
          </w:p>
        </w:tc>
        <w:tc>
          <w:tcPr>
            <w:tcW w:w="1005" w:type="dxa"/>
            <w:tcBorders>
              <w:left w:val="single" w:sz="2" w:space="0" w:color="000001"/>
              <w:bottom w:val="single" w:sz="2" w:space="0" w:color="000001"/>
              <w:right w:val="single" w:sz="2" w:space="0" w:color="000001"/>
            </w:tcBorders>
          </w:tcPr>
          <w:p w14:paraId="280F7845" w14:textId="77777777" w:rsidR="005A3A00" w:rsidRPr="00EB6175" w:rsidRDefault="00612F8E">
            <w:pPr>
              <w:snapToGrid w:val="0"/>
              <w:jc w:val="center"/>
              <w:rPr>
                <w:highlight w:val="yellow"/>
              </w:rPr>
            </w:pPr>
            <w:r w:rsidRPr="00EB6175">
              <w:rPr>
                <w:highlight w:val="yellow"/>
              </w:rPr>
              <w:t>(-0.0756, -0.0394)</w:t>
            </w:r>
          </w:p>
        </w:tc>
        <w:tc>
          <w:tcPr>
            <w:tcW w:w="1199" w:type="dxa"/>
            <w:tcBorders>
              <w:left w:val="single" w:sz="2" w:space="0" w:color="000001"/>
              <w:bottom w:val="single" w:sz="2" w:space="0" w:color="000001"/>
            </w:tcBorders>
            <w:shd w:val="clear" w:color="auto" w:fill="auto"/>
            <w:tcMar>
              <w:left w:w="54" w:type="dxa"/>
            </w:tcMar>
          </w:tcPr>
          <w:p w14:paraId="7485C8E7" w14:textId="77777777" w:rsidR="005A3A00" w:rsidRPr="004728BC" w:rsidRDefault="005A3A00">
            <w:pPr>
              <w:snapToGrid w:val="0"/>
              <w:jc w:val="center"/>
            </w:pPr>
          </w:p>
        </w:tc>
        <w:tc>
          <w:tcPr>
            <w:tcW w:w="1025" w:type="dxa"/>
            <w:tcBorders>
              <w:left w:val="single" w:sz="2" w:space="0" w:color="000001"/>
              <w:bottom w:val="single" w:sz="2" w:space="0" w:color="000001"/>
              <w:right w:val="single" w:sz="2" w:space="0" w:color="000001"/>
            </w:tcBorders>
            <w:shd w:val="clear" w:color="auto" w:fill="auto"/>
            <w:tcMar>
              <w:left w:w="54" w:type="dxa"/>
            </w:tcMar>
          </w:tcPr>
          <w:p w14:paraId="4B793DF4" w14:textId="77777777" w:rsidR="005A3A00" w:rsidRPr="004728BC" w:rsidRDefault="005A3A00">
            <w:pPr>
              <w:snapToGrid w:val="0"/>
              <w:jc w:val="center"/>
            </w:pPr>
          </w:p>
        </w:tc>
      </w:tr>
      <w:tr w:rsidR="005A3A00" w14:paraId="6A21B200" w14:textId="77777777" w:rsidTr="005A3A00">
        <w:tc>
          <w:tcPr>
            <w:tcW w:w="1425" w:type="dxa"/>
            <w:tcBorders>
              <w:top w:val="single" w:sz="2" w:space="0" w:color="000001"/>
              <w:left w:val="single" w:sz="2" w:space="0" w:color="000001"/>
              <w:bottom w:val="single" w:sz="4" w:space="0" w:color="000001"/>
            </w:tcBorders>
            <w:shd w:val="clear" w:color="auto" w:fill="auto"/>
            <w:tcMar>
              <w:left w:w="52" w:type="dxa"/>
            </w:tcMar>
          </w:tcPr>
          <w:p w14:paraId="18FD27E0" w14:textId="77777777" w:rsidR="005A3A00" w:rsidRDefault="005A3A00">
            <w:pPr>
              <w:jc w:val="center"/>
            </w:pPr>
            <w:r>
              <w:t>OP#5 - NRAD#3</w:t>
            </w:r>
          </w:p>
        </w:tc>
        <w:tc>
          <w:tcPr>
            <w:tcW w:w="1627" w:type="dxa"/>
            <w:tcBorders>
              <w:top w:val="single" w:sz="2" w:space="0" w:color="000001"/>
              <w:left w:val="single" w:sz="2" w:space="0" w:color="000001"/>
              <w:bottom w:val="single" w:sz="4" w:space="0" w:color="000001"/>
            </w:tcBorders>
            <w:shd w:val="clear" w:color="auto" w:fill="auto"/>
            <w:tcMar>
              <w:left w:w="52" w:type="dxa"/>
            </w:tcMar>
          </w:tcPr>
          <w:p w14:paraId="42EF7FE3" w14:textId="77777777" w:rsidR="005A3A00" w:rsidRDefault="005A3A00">
            <w:pPr>
              <w:jc w:val="center"/>
            </w:pPr>
            <w:r>
              <w:t xml:space="preserve">0.1914 </w:t>
            </w:r>
          </w:p>
          <w:p w14:paraId="7909F430" w14:textId="0193BF60" w:rsidR="005A3A00" w:rsidRDefault="005A3A00">
            <w:pPr>
              <w:jc w:val="center"/>
            </w:pPr>
          </w:p>
        </w:tc>
        <w:tc>
          <w:tcPr>
            <w:tcW w:w="1183" w:type="dxa"/>
            <w:tcBorders>
              <w:top w:val="single" w:sz="2" w:space="0" w:color="000001"/>
              <w:left w:val="single" w:sz="2" w:space="0" w:color="000001"/>
              <w:bottom w:val="single" w:sz="4" w:space="0" w:color="000001"/>
              <w:right w:val="single" w:sz="2" w:space="0" w:color="000001"/>
            </w:tcBorders>
          </w:tcPr>
          <w:p w14:paraId="0DE9D5A5" w14:textId="77777777" w:rsidR="005A3A00" w:rsidRPr="00EB6175" w:rsidRDefault="00DE031C">
            <w:pPr>
              <w:jc w:val="center"/>
              <w:rPr>
                <w:highlight w:val="yellow"/>
              </w:rPr>
            </w:pPr>
            <w:r w:rsidRPr="00EB6175">
              <w:rPr>
                <w:highlight w:val="yellow"/>
              </w:rPr>
              <w:t>(0.1312, 0.2516)</w:t>
            </w:r>
          </w:p>
        </w:tc>
        <w:tc>
          <w:tcPr>
            <w:tcW w:w="1662" w:type="dxa"/>
            <w:tcBorders>
              <w:top w:val="single" w:sz="2" w:space="0" w:color="000001"/>
              <w:left w:val="single" w:sz="2" w:space="0" w:color="000001"/>
              <w:bottom w:val="single" w:sz="4" w:space="0" w:color="000001"/>
            </w:tcBorders>
            <w:shd w:val="clear" w:color="auto" w:fill="auto"/>
            <w:tcMar>
              <w:left w:w="52" w:type="dxa"/>
            </w:tcMar>
          </w:tcPr>
          <w:p w14:paraId="5EB5C653" w14:textId="77777777" w:rsidR="005A3A00" w:rsidRPr="004728BC" w:rsidRDefault="005A3A00">
            <w:pPr>
              <w:jc w:val="center"/>
            </w:pPr>
            <w:r w:rsidRPr="004728BC">
              <w:t>-0.0633</w:t>
            </w:r>
          </w:p>
          <w:p w14:paraId="7E863E82" w14:textId="376D3E5F" w:rsidR="005A3A00" w:rsidRPr="004728BC" w:rsidRDefault="005A3A00">
            <w:pPr>
              <w:jc w:val="center"/>
            </w:pPr>
          </w:p>
        </w:tc>
        <w:tc>
          <w:tcPr>
            <w:tcW w:w="1005" w:type="dxa"/>
            <w:tcBorders>
              <w:top w:val="single" w:sz="2" w:space="0" w:color="000001"/>
              <w:left w:val="single" w:sz="2" w:space="0" w:color="000001"/>
              <w:bottom w:val="single" w:sz="4" w:space="0" w:color="000001"/>
              <w:right w:val="single" w:sz="2" w:space="0" w:color="000001"/>
            </w:tcBorders>
          </w:tcPr>
          <w:p w14:paraId="7F18F1B1" w14:textId="77777777" w:rsidR="005A3A00" w:rsidRPr="00EB6175" w:rsidRDefault="00DE031C">
            <w:pPr>
              <w:jc w:val="center"/>
              <w:rPr>
                <w:highlight w:val="yellow"/>
              </w:rPr>
            </w:pPr>
            <w:r w:rsidRPr="00EB6175">
              <w:rPr>
                <w:highlight w:val="yellow"/>
              </w:rPr>
              <w:t>(-0.0760, -0.0507)</w:t>
            </w:r>
          </w:p>
        </w:tc>
        <w:tc>
          <w:tcPr>
            <w:tcW w:w="1199" w:type="dxa"/>
            <w:tcBorders>
              <w:top w:val="single" w:sz="2" w:space="0" w:color="000001"/>
              <w:left w:val="single" w:sz="2" w:space="0" w:color="000001"/>
              <w:bottom w:val="single" w:sz="4" w:space="0" w:color="000001"/>
            </w:tcBorders>
            <w:shd w:val="clear" w:color="auto" w:fill="auto"/>
            <w:tcMar>
              <w:left w:w="52" w:type="dxa"/>
            </w:tcMar>
          </w:tcPr>
          <w:p w14:paraId="7AFD05DD" w14:textId="77777777" w:rsidR="005A3A00" w:rsidRPr="004728BC" w:rsidRDefault="005A3A00">
            <w:pPr>
              <w:jc w:val="center"/>
            </w:pPr>
            <w:r w:rsidRPr="004728BC">
              <w:t xml:space="preserve"> -5.41</w:t>
            </w:r>
          </w:p>
        </w:tc>
        <w:tc>
          <w:tcPr>
            <w:tcW w:w="1025" w:type="dxa"/>
            <w:tcBorders>
              <w:top w:val="single" w:sz="2" w:space="0" w:color="000001"/>
              <w:left w:val="single" w:sz="2" w:space="0" w:color="000001"/>
              <w:bottom w:val="single" w:sz="4" w:space="0" w:color="000001"/>
              <w:right w:val="single" w:sz="2" w:space="0" w:color="000001"/>
            </w:tcBorders>
            <w:shd w:val="clear" w:color="auto" w:fill="auto"/>
            <w:tcMar>
              <w:left w:w="52" w:type="dxa"/>
            </w:tcMar>
          </w:tcPr>
          <w:p w14:paraId="57D6E525" w14:textId="77777777" w:rsidR="005A3A00" w:rsidRPr="004728BC" w:rsidRDefault="005A3A00">
            <w:pPr>
              <w:jc w:val="center"/>
            </w:pPr>
            <w:r w:rsidRPr="004728BC">
              <w:t>&lt;0.001</w:t>
            </w:r>
          </w:p>
        </w:tc>
      </w:tr>
      <w:tr w:rsidR="005A3A00" w14:paraId="314328E7" w14:textId="77777777" w:rsidTr="005A3A00">
        <w:tc>
          <w:tcPr>
            <w:tcW w:w="1425" w:type="dxa"/>
            <w:tcBorders>
              <w:top w:val="single" w:sz="4" w:space="0" w:color="000001"/>
              <w:left w:val="single" w:sz="2" w:space="0" w:color="000001"/>
              <w:bottom w:val="single" w:sz="4" w:space="0" w:color="000001"/>
            </w:tcBorders>
            <w:shd w:val="clear" w:color="auto" w:fill="auto"/>
            <w:tcMar>
              <w:left w:w="54" w:type="dxa"/>
            </w:tcMar>
          </w:tcPr>
          <w:p w14:paraId="29B6A9FB" w14:textId="77777777" w:rsidR="005A3A00" w:rsidRDefault="005A3A00">
            <w:pPr>
              <w:jc w:val="center"/>
            </w:pPr>
            <w:r>
              <w:t>GEE</w:t>
            </w:r>
          </w:p>
        </w:tc>
        <w:tc>
          <w:tcPr>
            <w:tcW w:w="1627" w:type="dxa"/>
            <w:tcBorders>
              <w:top w:val="single" w:sz="4" w:space="0" w:color="000001"/>
              <w:left w:val="single" w:sz="2" w:space="0" w:color="000001"/>
              <w:bottom w:val="single" w:sz="4" w:space="0" w:color="000001"/>
            </w:tcBorders>
            <w:shd w:val="clear" w:color="auto" w:fill="auto"/>
            <w:tcMar>
              <w:left w:w="54" w:type="dxa"/>
            </w:tcMar>
          </w:tcPr>
          <w:p w14:paraId="5FA3BEF3" w14:textId="1C217B60" w:rsidR="005A3A00" w:rsidRDefault="005A3A00" w:rsidP="004728BC">
            <w:pPr>
              <w:jc w:val="center"/>
            </w:pPr>
            <w:r>
              <w:t>0.1859</w:t>
            </w:r>
            <w:r>
              <w:br/>
            </w:r>
          </w:p>
        </w:tc>
        <w:tc>
          <w:tcPr>
            <w:tcW w:w="1183" w:type="dxa"/>
            <w:tcBorders>
              <w:top w:val="single" w:sz="4" w:space="0" w:color="000001"/>
              <w:left w:val="single" w:sz="2" w:space="0" w:color="000001"/>
              <w:bottom w:val="single" w:sz="4" w:space="0" w:color="000001"/>
              <w:right w:val="single" w:sz="2" w:space="0" w:color="000001"/>
            </w:tcBorders>
          </w:tcPr>
          <w:p w14:paraId="27E15608" w14:textId="77777777" w:rsidR="005A3A00" w:rsidRPr="00EB6175" w:rsidRDefault="00DE031C">
            <w:pPr>
              <w:jc w:val="center"/>
              <w:rPr>
                <w:highlight w:val="yellow"/>
              </w:rPr>
            </w:pPr>
            <w:r w:rsidRPr="00EB6175">
              <w:rPr>
                <w:highlight w:val="yellow"/>
              </w:rPr>
              <w:t>(0.1007, 0.2712)</w:t>
            </w:r>
          </w:p>
        </w:tc>
        <w:tc>
          <w:tcPr>
            <w:tcW w:w="1662" w:type="dxa"/>
            <w:tcBorders>
              <w:top w:val="single" w:sz="4" w:space="0" w:color="000001"/>
              <w:left w:val="single" w:sz="2" w:space="0" w:color="000001"/>
              <w:bottom w:val="single" w:sz="4" w:space="0" w:color="000001"/>
            </w:tcBorders>
            <w:shd w:val="clear" w:color="auto" w:fill="auto"/>
            <w:tcMar>
              <w:left w:w="54" w:type="dxa"/>
            </w:tcMar>
          </w:tcPr>
          <w:p w14:paraId="0AAE3E03" w14:textId="74FE94DB" w:rsidR="005A3A00" w:rsidRPr="004728BC" w:rsidRDefault="005A3A00" w:rsidP="004728BC">
            <w:pPr>
              <w:jc w:val="center"/>
            </w:pPr>
            <w:r w:rsidRPr="004728BC">
              <w:t>-0.0627</w:t>
            </w:r>
            <w:r w:rsidRPr="004728BC">
              <w:br/>
            </w:r>
          </w:p>
        </w:tc>
        <w:tc>
          <w:tcPr>
            <w:tcW w:w="1005" w:type="dxa"/>
            <w:tcBorders>
              <w:top w:val="single" w:sz="4" w:space="0" w:color="000001"/>
              <w:left w:val="single" w:sz="2" w:space="0" w:color="000001"/>
              <w:bottom w:val="single" w:sz="4" w:space="0" w:color="000001"/>
              <w:right w:val="single" w:sz="2" w:space="0" w:color="000001"/>
            </w:tcBorders>
          </w:tcPr>
          <w:p w14:paraId="598DA90B" w14:textId="77777777" w:rsidR="005A3A00" w:rsidRPr="00EB6175" w:rsidRDefault="00DE031C">
            <w:pPr>
              <w:snapToGrid w:val="0"/>
              <w:jc w:val="center"/>
              <w:rPr>
                <w:highlight w:val="yellow"/>
              </w:rPr>
            </w:pPr>
            <w:r w:rsidRPr="00EB6175">
              <w:rPr>
                <w:highlight w:val="yellow"/>
              </w:rPr>
              <w:t>(-0.0806, -0.0448)</w:t>
            </w:r>
          </w:p>
        </w:tc>
        <w:tc>
          <w:tcPr>
            <w:tcW w:w="1199" w:type="dxa"/>
            <w:tcBorders>
              <w:top w:val="single" w:sz="4" w:space="0" w:color="000001"/>
              <w:left w:val="single" w:sz="2" w:space="0" w:color="000001"/>
              <w:bottom w:val="single" w:sz="4" w:space="0" w:color="000001"/>
            </w:tcBorders>
            <w:shd w:val="clear" w:color="auto" w:fill="auto"/>
            <w:tcMar>
              <w:left w:w="54" w:type="dxa"/>
            </w:tcMar>
          </w:tcPr>
          <w:p w14:paraId="2A9AEE6D" w14:textId="77777777" w:rsidR="005A3A00" w:rsidRPr="004728BC" w:rsidRDefault="005A3A00">
            <w:pPr>
              <w:snapToGrid w:val="0"/>
              <w:jc w:val="center"/>
            </w:pPr>
          </w:p>
        </w:tc>
        <w:tc>
          <w:tcPr>
            <w:tcW w:w="1025" w:type="dxa"/>
            <w:tcBorders>
              <w:top w:val="single" w:sz="4" w:space="0" w:color="000001"/>
              <w:left w:val="single" w:sz="2" w:space="0" w:color="000001"/>
              <w:bottom w:val="single" w:sz="4" w:space="0" w:color="000001"/>
              <w:right w:val="single" w:sz="2" w:space="0" w:color="000001"/>
            </w:tcBorders>
            <w:shd w:val="clear" w:color="auto" w:fill="auto"/>
            <w:tcMar>
              <w:left w:w="54" w:type="dxa"/>
            </w:tcMar>
          </w:tcPr>
          <w:p w14:paraId="14B9A6DD" w14:textId="77777777" w:rsidR="005A3A00" w:rsidRPr="004728BC" w:rsidRDefault="005A3A00">
            <w:pPr>
              <w:snapToGrid w:val="0"/>
              <w:jc w:val="center"/>
            </w:pPr>
          </w:p>
        </w:tc>
      </w:tr>
    </w:tbl>
    <w:p w14:paraId="7884FDBB" w14:textId="77777777" w:rsidR="00AB40CB" w:rsidRDefault="005A3A00">
      <w:pPr>
        <w:tabs>
          <w:tab w:val="left" w:pos="6264"/>
        </w:tabs>
        <w:rPr>
          <w:lang w:val="en-US"/>
        </w:rPr>
      </w:pPr>
      <w:r>
        <w:br w:type="page"/>
      </w:r>
    </w:p>
    <w:p w14:paraId="2106EAA4" w14:textId="77777777" w:rsidR="00AB40CB" w:rsidRDefault="005A3A00">
      <w:pPr>
        <w:spacing w:line="360" w:lineRule="auto"/>
        <w:jc w:val="both"/>
      </w:pPr>
      <w:r>
        <w:rPr>
          <w:rFonts w:ascii="Verdana" w:hAnsi="Verdana" w:cs="Verdana"/>
          <w:b/>
        </w:rPr>
        <w:lastRenderedPageBreak/>
        <w:t>References</w:t>
      </w:r>
    </w:p>
    <w:p w14:paraId="21646B39" w14:textId="77777777" w:rsidR="00AB40CB" w:rsidRDefault="00AB40CB"/>
    <w:p w14:paraId="247234CA" w14:textId="77777777" w:rsidR="00AB40CB" w:rsidRDefault="00AB40CB"/>
    <w:p w14:paraId="4C5FDD02" w14:textId="77777777" w:rsidR="00AB40CB" w:rsidRDefault="005A3A00">
      <w:pPr>
        <w:pStyle w:val="EndNoteBibliography"/>
        <w:spacing w:line="360" w:lineRule="auto"/>
      </w:pPr>
      <w:r>
        <w:fldChar w:fldCharType="begin"/>
      </w:r>
      <w:r w:rsidRPr="00B53765">
        <w:rPr>
          <w:lang w:val="de-DE"/>
        </w:rPr>
        <w:instrText>ADDIN EN.REFLIST</w:instrText>
      </w:r>
      <w:r>
        <w:fldChar w:fldCharType="separate"/>
      </w:r>
      <w:bookmarkStart w:id="30" w:name="__Fieldmark__1740_1292349258"/>
      <w:r w:rsidRPr="00B53765">
        <w:rPr>
          <w:rFonts w:ascii="Verdana" w:hAnsi="Verdana"/>
          <w:lang w:val="de-DE"/>
        </w:rPr>
        <w:t>1.</w:t>
      </w:r>
      <w:r w:rsidRPr="00B53765">
        <w:rPr>
          <w:rFonts w:ascii="Verdana" w:hAnsi="Verdana"/>
          <w:lang w:val="de-DE"/>
        </w:rPr>
        <w:tab/>
        <w:t xml:space="preserve">Barber PA, Demchuk AM, Zhang J, Buchan AM. </w:t>
      </w:r>
      <w:r>
        <w:rPr>
          <w:rFonts w:ascii="Verdana" w:hAnsi="Verdana"/>
        </w:rPr>
        <w:t>Validity and reliability of a quantitative computed tomography score in predicting outcome of hyperacute stroke before thrombolytic therapy. ASPECTS Study Group. Alberta Stroke Programme Early CT Score. Lancet. 2000;355(9216):1670-4.</w:t>
      </w:r>
      <w:bookmarkEnd w:id="30"/>
      <w:r>
        <w:fldChar w:fldCharType="end"/>
      </w:r>
    </w:p>
    <w:p w14:paraId="14AE7557" w14:textId="77777777" w:rsidR="00AB40CB" w:rsidRDefault="005A3A00">
      <w:pPr>
        <w:pStyle w:val="EndNoteBibliography"/>
        <w:spacing w:line="360" w:lineRule="auto"/>
        <w:rPr>
          <w:rFonts w:ascii="Verdana" w:hAnsi="Verdana"/>
        </w:rPr>
      </w:pPr>
      <w:r>
        <w:rPr>
          <w:rFonts w:ascii="Verdana" w:hAnsi="Verdana"/>
        </w:rPr>
        <w:t>2.</w:t>
      </w:r>
      <w:r>
        <w:rPr>
          <w:rFonts w:ascii="Verdana" w:hAnsi="Verdana"/>
        </w:rPr>
        <w:tab/>
        <w:t>Goyal M, Demchuk AM, Menon BK, Eesa M, Rempel JL, Thornton J, et al. Randomized assessment of rapid endovascular treatment of ischemic stroke. The New England journal of medicine. 2015;372(11):1019-30.</w:t>
      </w:r>
    </w:p>
    <w:p w14:paraId="03D83565" w14:textId="77777777" w:rsidR="00AB40CB" w:rsidRDefault="005A3A00">
      <w:pPr>
        <w:pStyle w:val="EndNoteBibliography"/>
        <w:spacing w:line="360" w:lineRule="auto"/>
        <w:rPr>
          <w:rFonts w:ascii="Verdana" w:hAnsi="Verdana"/>
        </w:rPr>
      </w:pPr>
      <w:r>
        <w:rPr>
          <w:rFonts w:ascii="Verdana" w:hAnsi="Verdana"/>
        </w:rPr>
        <w:lastRenderedPageBreak/>
        <w:t>3.</w:t>
      </w:r>
      <w:r>
        <w:rPr>
          <w:rFonts w:ascii="Verdana" w:hAnsi="Verdana"/>
        </w:rPr>
        <w:tab/>
        <w:t>Jovin TG, Chamorro A, Cobo E, de Miquel MA, Molina CA, Rovira A, et al. Thrombectomy within 8 hours after symptom onset in ischemic stroke. The New England journal of medicine. 2015;372(24):2296-306.</w:t>
      </w:r>
    </w:p>
    <w:p w14:paraId="18850C4E" w14:textId="77777777" w:rsidR="00AB40CB" w:rsidRDefault="005A3A00">
      <w:pPr>
        <w:pStyle w:val="EndNoteBibliography"/>
        <w:spacing w:line="360" w:lineRule="auto"/>
        <w:rPr>
          <w:rFonts w:ascii="Verdana" w:hAnsi="Verdana"/>
        </w:rPr>
      </w:pPr>
      <w:r>
        <w:rPr>
          <w:rFonts w:ascii="Verdana" w:hAnsi="Verdana"/>
        </w:rPr>
        <w:t>4.</w:t>
      </w:r>
      <w:r>
        <w:rPr>
          <w:rFonts w:ascii="Verdana" w:hAnsi="Verdana"/>
        </w:rPr>
        <w:tab/>
        <w:t>Saver JL, Goyal M, Bonafe A, Diener HC, Levy EI, Pereira VM, et al. Stent-retriever thrombectomy after intravenous t-PA vs. t-PA alone in stroke. The New England journal of medicine. 2015;372(24):2285-95.</w:t>
      </w:r>
    </w:p>
    <w:p w14:paraId="4335D10C" w14:textId="77777777" w:rsidR="00AB40CB" w:rsidRDefault="005A3A00">
      <w:pPr>
        <w:pStyle w:val="EndNoteBibliography"/>
        <w:spacing w:line="360" w:lineRule="auto"/>
        <w:rPr>
          <w:rFonts w:ascii="Verdana" w:hAnsi="Verdana"/>
        </w:rPr>
      </w:pPr>
      <w:r>
        <w:rPr>
          <w:rFonts w:ascii="Verdana" w:hAnsi="Verdana"/>
        </w:rPr>
        <w:t>5.</w:t>
      </w:r>
      <w:r>
        <w:rPr>
          <w:rFonts w:ascii="Verdana" w:hAnsi="Verdana"/>
        </w:rPr>
        <w:tab/>
        <w:t xml:space="preserve">Menon BK, Puetz V, Kochar P, Demchuk AM. ASPECTS and other neuroimaging scores in the triage and prediction of outcome in acute stroke patients. </w:t>
      </w:r>
      <w:r>
        <w:rPr>
          <w:rFonts w:ascii="Verdana" w:hAnsi="Verdana"/>
        </w:rPr>
        <w:lastRenderedPageBreak/>
        <w:t>Neuroimaging clinics of North America. 2011;21(2):407-23, xii.</w:t>
      </w:r>
    </w:p>
    <w:p w14:paraId="02A1827E" w14:textId="77777777" w:rsidR="00AB40CB" w:rsidRDefault="005A3A00">
      <w:pPr>
        <w:pStyle w:val="EndNoteBibliography"/>
        <w:spacing w:line="360" w:lineRule="auto"/>
        <w:rPr>
          <w:rFonts w:ascii="Verdana" w:hAnsi="Verdana"/>
        </w:rPr>
      </w:pPr>
      <w:r>
        <w:rPr>
          <w:rFonts w:ascii="Verdana" w:hAnsi="Verdana"/>
        </w:rPr>
        <w:t>6.</w:t>
      </w:r>
      <w:r>
        <w:rPr>
          <w:rFonts w:ascii="Verdana" w:hAnsi="Verdana"/>
        </w:rPr>
        <w:tab/>
        <w:t>Menon BK, Smith EE, Modi J, Patel SK, Bhatia R, Watson TW, et al. Regional leptomeningeal score on CT angiography predicts clinical and imaging outcomes in patients with acute anterior circulation occlusions. AJNR American journal of neuroradiology. 2011;32(9):1640-5.</w:t>
      </w:r>
    </w:p>
    <w:p w14:paraId="0917DA0B" w14:textId="77777777" w:rsidR="00AB40CB" w:rsidRDefault="005A3A00">
      <w:pPr>
        <w:pStyle w:val="EndNoteBibliography"/>
        <w:spacing w:line="360" w:lineRule="auto"/>
        <w:rPr>
          <w:rFonts w:ascii="Verdana" w:hAnsi="Verdana"/>
        </w:rPr>
      </w:pPr>
      <w:r>
        <w:rPr>
          <w:rFonts w:ascii="Verdana" w:hAnsi="Verdana"/>
        </w:rPr>
        <w:t>7.</w:t>
      </w:r>
      <w:r>
        <w:rPr>
          <w:rFonts w:ascii="Verdana" w:hAnsi="Verdana"/>
        </w:rPr>
        <w:tab/>
        <w:t>Bentley P, Ganesalingam J, Carlton Jones AL, Mahady K, Epton S, Rinne P, et al. Prediction of stroke thrombolysis outcome using CT brain machine learning. Neuroimage Clin. 2014;4:635-40.</w:t>
      </w:r>
    </w:p>
    <w:p w14:paraId="7314894C" w14:textId="77777777" w:rsidR="00AB40CB" w:rsidRPr="00EB6175" w:rsidRDefault="005A3A00">
      <w:pPr>
        <w:pStyle w:val="EndNoteBibliography"/>
        <w:spacing w:line="360" w:lineRule="auto"/>
        <w:rPr>
          <w:rFonts w:ascii="Verdana" w:hAnsi="Verdana"/>
          <w:lang w:val="de-DE"/>
        </w:rPr>
      </w:pPr>
      <w:r>
        <w:rPr>
          <w:rFonts w:ascii="Verdana" w:hAnsi="Verdana"/>
        </w:rPr>
        <w:lastRenderedPageBreak/>
        <w:t>8.</w:t>
      </w:r>
      <w:r>
        <w:rPr>
          <w:rFonts w:ascii="Verdana" w:hAnsi="Verdana"/>
        </w:rPr>
        <w:tab/>
        <w:t xml:space="preserve">James Hampton-Till MH, Anna Luisa Kühn, , Oliver Anderson DS, Sharon Tysoe, Eric Greveson,, Michalis Papadakis IQG. Automated Quantification of Stroke damage on brain computed tomography scans: e-ASPECTS. </w:t>
      </w:r>
      <w:r w:rsidRPr="00EB6175">
        <w:rPr>
          <w:rFonts w:ascii="Verdana" w:hAnsi="Verdana"/>
          <w:lang w:val="de-DE"/>
        </w:rPr>
        <w:t>European Medical Journal. 2015;2015;3[1]:69-74.</w:t>
      </w:r>
    </w:p>
    <w:p w14:paraId="3D66716D" w14:textId="77777777" w:rsidR="00B81A94" w:rsidRDefault="005A3A00">
      <w:pPr>
        <w:pStyle w:val="EndNoteBibliography"/>
        <w:spacing w:line="360" w:lineRule="auto"/>
        <w:rPr>
          <w:rFonts w:ascii="Verdana" w:hAnsi="Verdana"/>
        </w:rPr>
      </w:pPr>
      <w:r w:rsidRPr="00B81A94">
        <w:rPr>
          <w:rFonts w:ascii="Verdana" w:hAnsi="Verdana"/>
          <w:lang w:val="de-DE"/>
        </w:rPr>
        <w:t>9.</w:t>
      </w:r>
      <w:r w:rsidRPr="00B81A94">
        <w:rPr>
          <w:rFonts w:ascii="Verdana" w:hAnsi="Verdana"/>
          <w:lang w:val="de-DE"/>
        </w:rPr>
        <w:tab/>
      </w:r>
      <w:r w:rsidR="00B81A94" w:rsidRPr="00B81A94">
        <w:rPr>
          <w:rFonts w:ascii="Verdana" w:hAnsi="Verdana"/>
          <w:lang w:val="de-DE"/>
        </w:rPr>
        <w:t xml:space="preserve">Herweh C., Ringleb P.A., Rauch G., Gerry S., Behrens L., Möhlenbruch M., et al. </w:t>
      </w:r>
      <w:r w:rsidR="00B81A94" w:rsidRPr="00B81A94">
        <w:rPr>
          <w:rFonts w:ascii="Verdana" w:hAnsi="Verdana"/>
          <w:lang w:val="en-US"/>
        </w:rPr>
        <w:t xml:space="preserve">Performance of e-ASPECTS software in comparison to that of stroke physicians on assessing CT scans of acute ischemic stroke patients. </w:t>
      </w:r>
      <w:r w:rsidR="00B81A94" w:rsidRPr="00B81A94">
        <w:rPr>
          <w:rFonts w:ascii="Verdana" w:hAnsi="Verdana"/>
        </w:rPr>
        <w:t>Int J Stroke. 2016 Jun;11(4):438-45.</w:t>
      </w:r>
    </w:p>
    <w:p w14:paraId="4DAD817C" w14:textId="1E1A2CDB" w:rsidR="00AB40CB" w:rsidRDefault="005A3A00">
      <w:pPr>
        <w:pStyle w:val="EndNoteBibliography"/>
        <w:spacing w:line="360" w:lineRule="auto"/>
        <w:rPr>
          <w:rFonts w:ascii="Verdana" w:hAnsi="Verdana"/>
        </w:rPr>
      </w:pPr>
      <w:r>
        <w:rPr>
          <w:rFonts w:ascii="Verdana" w:hAnsi="Verdana"/>
        </w:rPr>
        <w:lastRenderedPageBreak/>
        <w:t>10.</w:t>
      </w:r>
      <w:r>
        <w:rPr>
          <w:rFonts w:ascii="Verdana" w:hAnsi="Verdana"/>
        </w:rPr>
        <w:tab/>
        <w:t>Lu Y, Jin H, Genant HK. On the non-inferiority of a diagnostic test based on paired observations. Statistics in medicine. 2003;22(19):3029-44.</w:t>
      </w:r>
    </w:p>
    <w:p w14:paraId="144D4226" w14:textId="77777777" w:rsidR="00AB40CB" w:rsidRDefault="005A3A00">
      <w:pPr>
        <w:pStyle w:val="EndNoteBibliography"/>
        <w:spacing w:line="360" w:lineRule="auto"/>
        <w:rPr>
          <w:rFonts w:ascii="Verdana" w:hAnsi="Verdana"/>
        </w:rPr>
      </w:pPr>
      <w:r>
        <w:rPr>
          <w:rFonts w:ascii="Verdana" w:hAnsi="Verdana"/>
        </w:rPr>
        <w:t>11.</w:t>
      </w:r>
      <w:r>
        <w:rPr>
          <w:rFonts w:ascii="Verdana" w:hAnsi="Verdana"/>
        </w:rPr>
        <w:tab/>
        <w:t>Genders TS, Spronk S, Stijnen T, Steyerberg EW, Lesaffre E, Hunink MG. Methods for calculating sensitivity and specificity of clustered data: a tutorial. Radiology. 2012;265(3):910-6.</w:t>
      </w:r>
    </w:p>
    <w:p w14:paraId="72EF65F2" w14:textId="77777777" w:rsidR="00AB40CB" w:rsidRDefault="005A3A00">
      <w:pPr>
        <w:pStyle w:val="EndNoteBibliography"/>
        <w:spacing w:line="360" w:lineRule="auto"/>
        <w:rPr>
          <w:rFonts w:ascii="Verdana" w:hAnsi="Verdana"/>
        </w:rPr>
      </w:pPr>
      <w:r>
        <w:rPr>
          <w:rFonts w:ascii="Verdana" w:hAnsi="Verdana"/>
        </w:rPr>
        <w:t>12.</w:t>
      </w:r>
      <w:r>
        <w:rPr>
          <w:rFonts w:ascii="Verdana" w:hAnsi="Verdana"/>
        </w:rPr>
        <w:tab/>
        <w:t>Bonett D, Price R. Adjusted Wald Confidence Interval for a Difference of Binomial Proportions Based on Paired Data. Journal of Educational and Behavioural Statistics. 2012;37(No. 4):479-88.</w:t>
      </w:r>
    </w:p>
    <w:p w14:paraId="6526F351" w14:textId="77777777" w:rsidR="00AB40CB" w:rsidRDefault="005A3A00">
      <w:pPr>
        <w:pStyle w:val="EndNoteBibliography"/>
        <w:spacing w:line="360" w:lineRule="auto"/>
        <w:rPr>
          <w:rFonts w:ascii="Verdana" w:hAnsi="Verdana"/>
        </w:rPr>
      </w:pPr>
      <w:r>
        <w:rPr>
          <w:rFonts w:ascii="Verdana" w:hAnsi="Verdana"/>
        </w:rPr>
        <w:lastRenderedPageBreak/>
        <w:t>13.</w:t>
      </w:r>
      <w:r>
        <w:rPr>
          <w:rFonts w:ascii="Verdana" w:hAnsi="Verdana"/>
        </w:rPr>
        <w:tab/>
        <w:t>Campbell BC, Donnan GA, Lees KR, Hacke W, Khatri P, Hill MD, et al. Endovascular stent thrombectomy: the new standard of care for large vessel ischaemic stroke. The Lancet Neurology. 2015;14(8):846-54.</w:t>
      </w:r>
    </w:p>
    <w:p w14:paraId="225154C0" w14:textId="77777777" w:rsidR="00AB40CB" w:rsidRPr="00B53765" w:rsidRDefault="005A3A00">
      <w:pPr>
        <w:pStyle w:val="EndNoteBibliography"/>
        <w:spacing w:line="360" w:lineRule="auto"/>
        <w:rPr>
          <w:rFonts w:ascii="Verdana" w:hAnsi="Verdana"/>
          <w:lang w:val="de-DE"/>
        </w:rPr>
      </w:pPr>
      <w:r>
        <w:rPr>
          <w:rFonts w:ascii="Verdana" w:hAnsi="Verdana"/>
        </w:rPr>
        <w:t>14.</w:t>
      </w:r>
      <w:r>
        <w:rPr>
          <w:rFonts w:ascii="Verdana" w:hAnsi="Verdana"/>
        </w:rPr>
        <w:tab/>
        <w:t xml:space="preserve">Balami JS, Sutherland BA, Edmunds LD, Grunwald IQ, Neuhaus AA, Hadley G, et al. A systematic review and meta-analysis of randomized controlled trials of endovascular thrombectomy compared with best medical treatment for acute ischemic stroke. International journal of stroke : official journal of the International Stroke Society. </w:t>
      </w:r>
      <w:r w:rsidRPr="00B53765">
        <w:rPr>
          <w:rFonts w:ascii="Verdana" w:hAnsi="Verdana"/>
          <w:lang w:val="de-DE"/>
        </w:rPr>
        <w:t>2015.</w:t>
      </w:r>
    </w:p>
    <w:p w14:paraId="252D19ED" w14:textId="77777777" w:rsidR="00AB40CB" w:rsidRDefault="005A3A00">
      <w:pPr>
        <w:pStyle w:val="EndNoteBibliography"/>
        <w:spacing w:line="360" w:lineRule="auto"/>
        <w:rPr>
          <w:rFonts w:ascii="Verdana" w:hAnsi="Verdana"/>
        </w:rPr>
      </w:pPr>
      <w:r w:rsidRPr="00B53765">
        <w:rPr>
          <w:rFonts w:ascii="Verdana" w:hAnsi="Verdana"/>
          <w:lang w:val="de-DE"/>
        </w:rPr>
        <w:lastRenderedPageBreak/>
        <w:t>15.</w:t>
      </w:r>
      <w:r w:rsidRPr="00B53765">
        <w:rPr>
          <w:rFonts w:ascii="Verdana" w:hAnsi="Verdana"/>
          <w:lang w:val="de-DE"/>
        </w:rPr>
        <w:tab/>
        <w:t xml:space="preserve">Wahlgren N, Moreira T, Michel P, Steiner T, Jansen O, Cognard C, et al. </w:t>
      </w:r>
      <w:r>
        <w:rPr>
          <w:rFonts w:ascii="Verdana" w:hAnsi="Verdana"/>
        </w:rPr>
        <w:t>Mechanical thrombectomy in acute ischemic stroke: Consensus statement by ESO-Karolinska Stroke Update 2014/2015, supported by ESO, ESMINT, ESNR and EAN. International journal of stroke : official journal of the International Stroke Society. 2016;11(1):134-47.</w:t>
      </w:r>
    </w:p>
    <w:p w14:paraId="4E485A36" w14:textId="77777777" w:rsidR="00AB40CB" w:rsidRDefault="005A3A00">
      <w:pPr>
        <w:pStyle w:val="EndNoteBibliography"/>
        <w:spacing w:line="360" w:lineRule="auto"/>
        <w:rPr>
          <w:rFonts w:ascii="Verdana" w:hAnsi="Verdana"/>
        </w:rPr>
      </w:pPr>
      <w:r>
        <w:rPr>
          <w:rFonts w:ascii="Verdana" w:hAnsi="Verdana"/>
        </w:rPr>
        <w:t>16.</w:t>
      </w:r>
      <w:r>
        <w:rPr>
          <w:rFonts w:ascii="Verdana" w:hAnsi="Verdana"/>
        </w:rPr>
        <w:tab/>
        <w:t xml:space="preserve">Warach SJ, Luby M, Albers GW, Bammer R, Bivard A, Campbell BC, et al. Acute Stroke Imaging Research Roadmap III Imaging Selection and Outcomes in Acute Stroke Reperfusion Clinical Trials: Consensus </w:t>
      </w:r>
      <w:r>
        <w:rPr>
          <w:rFonts w:ascii="Verdana" w:hAnsi="Verdana"/>
        </w:rPr>
        <w:lastRenderedPageBreak/>
        <w:t xml:space="preserve">Recommendations and Further Research Priorities. Stroke </w:t>
      </w:r>
      <w:r w:rsidRPr="00B53765">
        <w:rPr>
          <w:rFonts w:ascii="Verdana" w:hAnsi="Verdana"/>
          <w:bCs/>
          <w:lang w:val="en-AU"/>
        </w:rPr>
        <w:t>2016;47:1389-1398</w:t>
      </w:r>
      <w:r>
        <w:rPr>
          <w:rFonts w:ascii="Verdana" w:hAnsi="Verdana"/>
        </w:rPr>
        <w:t>.</w:t>
      </w:r>
    </w:p>
    <w:p w14:paraId="48B99D89" w14:textId="77777777" w:rsidR="00AB40CB" w:rsidRDefault="005A3A00">
      <w:pPr>
        <w:pStyle w:val="EndNoteBibliography"/>
        <w:spacing w:line="360" w:lineRule="auto"/>
        <w:rPr>
          <w:rFonts w:ascii="Verdana" w:hAnsi="Verdana"/>
        </w:rPr>
      </w:pPr>
      <w:r>
        <w:rPr>
          <w:rFonts w:ascii="Verdana" w:hAnsi="Verdana"/>
        </w:rPr>
        <w:t>17.</w:t>
      </w:r>
      <w:r>
        <w:rPr>
          <w:rFonts w:ascii="Verdana" w:hAnsi="Verdana"/>
        </w:rPr>
        <w:tab/>
        <w:t>Grotta JC, Hacke W. Stroke Neurologist's Perspective on the New Endovascular Trials. Stroke; a journal of cerebral circulation. 2015;46(6):1447-52.</w:t>
      </w:r>
    </w:p>
    <w:p w14:paraId="13DD7B65" w14:textId="10E09356" w:rsidR="00AB40CB" w:rsidRDefault="00AB40CB">
      <w:pPr>
        <w:spacing w:line="360" w:lineRule="auto"/>
      </w:pPr>
    </w:p>
    <w:sectPr w:rsidR="00AB40CB">
      <w:footerReference w:type="default" r:id="rId7"/>
      <w:pgSz w:w="11906" w:h="16838"/>
      <w:pgMar w:top="1417" w:right="1417" w:bottom="1276" w:left="1417" w:header="0" w:footer="72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019EF" w14:textId="77777777" w:rsidR="008050A4" w:rsidRDefault="008050A4">
      <w:r>
        <w:separator/>
      </w:r>
    </w:p>
  </w:endnote>
  <w:endnote w:type="continuationSeparator" w:id="0">
    <w:p w14:paraId="7459BDE4" w14:textId="77777777" w:rsidR="008050A4" w:rsidRDefault="00805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1"/>
    <w:family w:val="roman"/>
    <w:pitch w:val="variable"/>
  </w:font>
  <w:font w:name="FreeSans">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yriad Pro SemiCond">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979A8" w14:textId="77777777" w:rsidR="00B53765" w:rsidRDefault="00B53765">
    <w:pPr>
      <w:pStyle w:val="Footer"/>
      <w:jc w:val="right"/>
    </w:pPr>
    <w:r>
      <w:fldChar w:fldCharType="begin"/>
    </w:r>
    <w:r>
      <w:instrText>PAGE</w:instrText>
    </w:r>
    <w:r>
      <w:fldChar w:fldCharType="separate"/>
    </w:r>
    <w:r w:rsidR="005022F1">
      <w:rPr>
        <w:noProof/>
      </w:rPr>
      <w:t>2</w:t>
    </w:r>
    <w:r>
      <w:fldChar w:fldCharType="end"/>
    </w:r>
  </w:p>
  <w:p w14:paraId="0D5CDE47" w14:textId="77777777" w:rsidR="00B53765" w:rsidRDefault="00B537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3D2C1" w14:textId="77777777" w:rsidR="008050A4" w:rsidRDefault="008050A4">
      <w:r>
        <w:separator/>
      </w:r>
    </w:p>
  </w:footnote>
  <w:footnote w:type="continuationSeparator" w:id="0">
    <w:p w14:paraId="22945A2D" w14:textId="77777777" w:rsidR="008050A4" w:rsidRDefault="00805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B40CB"/>
    <w:rsid w:val="00011ED0"/>
    <w:rsid w:val="000A1B1E"/>
    <w:rsid w:val="0017299C"/>
    <w:rsid w:val="0034760B"/>
    <w:rsid w:val="004728BC"/>
    <w:rsid w:val="005022F1"/>
    <w:rsid w:val="00570BC4"/>
    <w:rsid w:val="005A3A00"/>
    <w:rsid w:val="00612F8E"/>
    <w:rsid w:val="008050A4"/>
    <w:rsid w:val="00AB40CB"/>
    <w:rsid w:val="00B53765"/>
    <w:rsid w:val="00B81A94"/>
    <w:rsid w:val="00DE031C"/>
    <w:rsid w:val="00EA095D"/>
    <w:rsid w:val="00EB617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35404"/>
  <w15:docId w15:val="{6DFFC690-9DB2-45C1-B658-3AB47284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rPr>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Absatz-Standardschriftart2">
    <w:name w:val="Absatz-Standardschriftart2"/>
    <w:qFormat/>
  </w:style>
  <w:style w:type="character" w:customStyle="1" w:styleId="Absatz-Standardschriftart1">
    <w:name w:val="Absatz-Standardschriftart1"/>
    <w:qFormat/>
  </w:style>
  <w:style w:type="character" w:customStyle="1" w:styleId="Kommentarzeichen1">
    <w:name w:val="Kommentarzeichen1"/>
    <w:qFormat/>
    <w:rPr>
      <w:sz w:val="16"/>
      <w:szCs w:val="16"/>
    </w:rPr>
  </w:style>
  <w:style w:type="character" w:customStyle="1" w:styleId="InternetLink">
    <w:name w:val="Internet Link"/>
    <w:uiPriority w:val="99"/>
  </w:style>
  <w:style w:type="character" w:customStyle="1" w:styleId="EndNoteBibliographyTitleZchn">
    <w:name w:val="EndNote Bibliography Title Zchn"/>
    <w:qFormat/>
  </w:style>
  <w:style w:type="character" w:customStyle="1" w:styleId="EndNoteBibliographyZchn">
    <w:name w:val="EndNote Bibliography Zchn"/>
    <w:qFormat/>
  </w:style>
  <w:style w:type="character" w:styleId="Strong">
    <w:name w:val="Strong"/>
    <w:qFormat/>
    <w:rPr>
      <w:b/>
      <w:bCs/>
    </w:rPr>
  </w:style>
  <w:style w:type="character" w:styleId="Emphasis">
    <w:name w:val="Emphasis"/>
    <w:qFormat/>
    <w:rPr>
      <w:i/>
      <w:iCs/>
    </w:rPr>
  </w:style>
  <w:style w:type="character" w:customStyle="1" w:styleId="Kommentarzeichen2">
    <w:name w:val="Kommentarzeichen2"/>
    <w:qFormat/>
    <w:rPr>
      <w:sz w:val="16"/>
      <w:szCs w:val="16"/>
    </w:rPr>
  </w:style>
  <w:style w:type="character" w:customStyle="1" w:styleId="KommentartextZchn">
    <w:name w:val="Kommentartext Zchn"/>
    <w:qFormat/>
    <w:rPr>
      <w:rFonts w:eastAsia="MS Mincho"/>
      <w:lang w:eastAsia="ja-JP"/>
    </w:rPr>
  </w:style>
  <w:style w:type="character" w:customStyle="1" w:styleId="BalloonTextChar">
    <w:name w:val="Balloon Text Char"/>
    <w:link w:val="BalloonText"/>
    <w:uiPriority w:val="99"/>
    <w:semiHidden/>
    <w:qFormat/>
    <w:rsid w:val="00B76824"/>
    <w:rPr>
      <w:rFonts w:ascii="Lucida Grande" w:hAnsi="Lucida Grande" w:cs="Lucida Grande"/>
      <w:sz w:val="18"/>
      <w:szCs w:val="18"/>
    </w:rPr>
  </w:style>
  <w:style w:type="character" w:styleId="CommentReference">
    <w:name w:val="annotation reference"/>
    <w:uiPriority w:val="99"/>
    <w:semiHidden/>
    <w:unhideWhenUsed/>
    <w:qFormat/>
    <w:rsid w:val="007511E5"/>
    <w:rPr>
      <w:sz w:val="16"/>
      <w:szCs w:val="16"/>
    </w:rPr>
  </w:style>
  <w:style w:type="character" w:customStyle="1" w:styleId="CommentTextChar">
    <w:name w:val="Comment Text Char"/>
    <w:link w:val="CommentText"/>
    <w:uiPriority w:val="99"/>
    <w:semiHidden/>
    <w:qFormat/>
    <w:rsid w:val="007511E5"/>
    <w:rPr>
      <w:lang w:eastAsia="en-US"/>
    </w:rPr>
  </w:style>
  <w:style w:type="character" w:customStyle="1" w:styleId="CommentSubjectChar">
    <w:name w:val="Comment Subject Char"/>
    <w:link w:val="CommentSubject"/>
    <w:uiPriority w:val="99"/>
    <w:semiHidden/>
    <w:qFormat/>
    <w:rsid w:val="007511E5"/>
    <w:rPr>
      <w:b/>
      <w:bCs/>
      <w:lang w:eastAsia="en-US"/>
    </w:rPr>
  </w:style>
  <w:style w:type="character" w:customStyle="1" w:styleId="HeaderChar">
    <w:name w:val="Header Char"/>
    <w:link w:val="Header"/>
    <w:uiPriority w:val="99"/>
    <w:qFormat/>
    <w:rsid w:val="00FF7B97"/>
    <w:rPr>
      <w:lang w:eastAsia="en-US"/>
    </w:rPr>
  </w:style>
  <w:style w:type="character" w:customStyle="1" w:styleId="FooterChar">
    <w:name w:val="Footer Char"/>
    <w:link w:val="Footer"/>
    <w:uiPriority w:val="99"/>
    <w:qFormat/>
    <w:rsid w:val="00FF7B97"/>
    <w:rPr>
      <w:lang w:eastAsia="en-US"/>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paragraph" w:customStyle="1" w:styleId="Heading">
    <w:name w:val="Heading"/>
    <w:basedOn w:val="Normal"/>
    <w:next w:val="BodyText"/>
    <w:qFormat/>
    <w:pPr>
      <w:keepNext/>
      <w:spacing w:before="240" w:after="120"/>
    </w:p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style>
  <w:style w:type="paragraph" w:customStyle="1" w:styleId="Index">
    <w:name w:val="Index"/>
    <w:basedOn w:val="Normal"/>
    <w:qFormat/>
    <w:pPr>
      <w:suppressLineNumbers/>
    </w:pPr>
    <w:rPr>
      <w:rFonts w:cs="FreeSans"/>
    </w:rPr>
  </w:style>
  <w:style w:type="paragraph" w:customStyle="1" w:styleId="Beschriftung1">
    <w:name w:val="Beschriftung1"/>
    <w:basedOn w:val="Normal"/>
    <w:qFormat/>
    <w:pPr>
      <w:suppressLineNumbers/>
      <w:spacing w:before="120" w:after="120"/>
    </w:pPr>
  </w:style>
  <w:style w:type="paragraph" w:customStyle="1" w:styleId="Kommentartext1">
    <w:name w:val="Kommentartext1"/>
    <w:basedOn w:val="Normal"/>
    <w:qFormat/>
  </w:style>
  <w:style w:type="paragraph" w:customStyle="1" w:styleId="Kommentarthema1">
    <w:name w:val="Kommentarthema1"/>
    <w:basedOn w:val="Kommentartext1"/>
    <w:next w:val="Kommentartext1"/>
    <w:qFormat/>
    <w:rPr>
      <w:b/>
      <w:bCs/>
    </w:rPr>
  </w:style>
  <w:style w:type="paragraph" w:customStyle="1" w:styleId="Sprechblasentext1">
    <w:name w:val="Sprechblasentext1"/>
    <w:basedOn w:val="Normal"/>
    <w:qFormat/>
  </w:style>
  <w:style w:type="paragraph" w:customStyle="1" w:styleId="EndNoteBibliographyTitle">
    <w:name w:val="EndNote Bibliography Title"/>
    <w:basedOn w:val="Normal"/>
    <w:qFormat/>
    <w:pPr>
      <w:jc w:val="center"/>
    </w:pPr>
  </w:style>
  <w:style w:type="paragraph" w:customStyle="1" w:styleId="EndNoteBibliography">
    <w:name w:val="EndNote Bibliography"/>
    <w:basedOn w:val="Normal"/>
    <w:qFormat/>
    <w:pPr>
      <w:jc w:val="both"/>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Kommentartext2">
    <w:name w:val="Kommentartext2"/>
    <w:basedOn w:val="Normal"/>
    <w:qFormat/>
  </w:style>
  <w:style w:type="paragraph" w:customStyle="1" w:styleId="Default">
    <w:name w:val="Default"/>
    <w:qFormat/>
    <w:pPr>
      <w:suppressAutoHyphens/>
    </w:pPr>
    <w:rPr>
      <w:lang w:eastAsia="en-US"/>
    </w:rPr>
  </w:style>
  <w:style w:type="paragraph" w:customStyle="1" w:styleId="Pa0">
    <w:name w:val="Pa0"/>
    <w:basedOn w:val="Default"/>
    <w:next w:val="Default"/>
    <w:qFormat/>
    <w:pPr>
      <w:spacing w:line="171" w:lineRule="atLeast"/>
    </w:pPr>
  </w:style>
  <w:style w:type="paragraph" w:styleId="BalloonText">
    <w:name w:val="Balloon Text"/>
    <w:basedOn w:val="Normal"/>
    <w:link w:val="BalloonTextChar"/>
    <w:uiPriority w:val="99"/>
    <w:semiHidden/>
    <w:unhideWhenUsed/>
    <w:qFormat/>
    <w:rsid w:val="00B76824"/>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7511E5"/>
  </w:style>
  <w:style w:type="paragraph" w:styleId="CommentSubject">
    <w:name w:val="annotation subject"/>
    <w:basedOn w:val="CommentText"/>
    <w:link w:val="CommentSubjectChar"/>
    <w:uiPriority w:val="99"/>
    <w:semiHidden/>
    <w:unhideWhenUsed/>
    <w:qFormat/>
    <w:rsid w:val="007511E5"/>
    <w:rPr>
      <w:b/>
      <w:bCs/>
    </w:rPr>
  </w:style>
  <w:style w:type="paragraph" w:styleId="NormalWeb">
    <w:name w:val="Normal (Web)"/>
    <w:basedOn w:val="Normal"/>
    <w:uiPriority w:val="99"/>
    <w:semiHidden/>
    <w:unhideWhenUsed/>
    <w:qFormat/>
    <w:rsid w:val="007511E5"/>
    <w:pPr>
      <w:suppressAutoHyphens w:val="0"/>
      <w:spacing w:beforeAutospacing="1" w:afterAutospacing="1"/>
    </w:pPr>
    <w:rPr>
      <w:sz w:val="24"/>
      <w:szCs w:val="24"/>
      <w:lang w:eastAsia="en-GB"/>
    </w:rPr>
  </w:style>
  <w:style w:type="paragraph" w:styleId="Header">
    <w:name w:val="header"/>
    <w:basedOn w:val="Normal"/>
    <w:link w:val="HeaderChar"/>
    <w:uiPriority w:val="99"/>
    <w:unhideWhenUsed/>
    <w:rsid w:val="00FF7B97"/>
    <w:pPr>
      <w:tabs>
        <w:tab w:val="center" w:pos="4513"/>
        <w:tab w:val="right" w:pos="9026"/>
      </w:tabs>
    </w:pPr>
  </w:style>
  <w:style w:type="paragraph" w:styleId="Footer">
    <w:name w:val="footer"/>
    <w:basedOn w:val="Normal"/>
    <w:link w:val="FooterChar"/>
    <w:uiPriority w:val="99"/>
    <w:unhideWhenUsed/>
    <w:rsid w:val="00FF7B97"/>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grunwald@gmx.ne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31E87017</Template>
  <TotalTime>0</TotalTime>
  <Pages>14</Pages>
  <Words>5776</Words>
  <Characters>32927</Characters>
  <Application>Microsoft Office Word</Application>
  <DocSecurity>4</DocSecurity>
  <Lines>274</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Similar performance on ASPECT scoring between stroke experts and an automated algorithm prototype (e-ASPECTS) on CT scans</vt:lpstr>
      <vt:lpstr>Similar performance on ASPECT scoring between stroke experts and an automated algorithm prototype (e-ASPECTS) on CT scans</vt:lpstr>
    </vt:vector>
  </TitlesOfParts>
  <Company>Universitätsklinikum Heidelberg</Company>
  <LinksUpToDate>false</LinksUpToDate>
  <CharactersWithSpaces>38626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Similar performance on ASPECT scoring between stroke experts and an automated algorithm prototype (e-ASPECTS) on CT scans</dc:title>
  <dc:subject/>
  <dc:creator>nagelsimon</dc:creator>
  <dc:description/>
  <cp:lastModifiedBy>Walker, Ian</cp:lastModifiedBy>
  <cp:revision>2</cp:revision>
  <cp:lastPrinted>2015-11-16T13:27:00Z</cp:lastPrinted>
  <dcterms:created xsi:type="dcterms:W3CDTF">2017-02-02T16:23:00Z</dcterms:created>
  <dcterms:modified xsi:type="dcterms:W3CDTF">2017-02-02T16:23:00Z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Universitätsklinikum Heidelberg</vt:lpwstr>
  </property>
  <property fmtid="{D5CDD505-2E9C-101B-9397-08002B2CF9AE}" pid="4" name="DocSecurity">
    <vt:i4>0</vt:i4>
  </property>
  <property fmtid="{D5CDD505-2E9C-101B-9397-08002B2CF9AE}" pid="5" name="EN.InstantFormat">
    <vt:lpwstr>&lt;ENInstantFormat&gt;&lt;Enabled&gt;0&lt;/Enabled&gt;&lt;ScanUnformatted&gt;1&lt;/ScanUnformatted&gt;&lt;ScanChanges&gt;1&lt;/ScanChanges&gt;&lt;Suspended&gt;1&lt;/Suspended&gt;&lt;/ENInstantFormat&gt;</vt:lpwstr>
  </property>
  <property fmtid="{D5CDD505-2E9C-101B-9397-08002B2CF9AE}" pid="6" name="EN.Layout">
    <vt:lpwstr>&lt;ENLayout&gt;&lt;Style&gt;Stroke&lt;/Style&gt;&lt;LeftDelim&gt;{&lt;/LeftDelim&gt;&lt;RightDelim&gt;}&lt;/RightDelim&gt;&lt;FontName&gt;Times New Roman&lt;/FontName&gt;&lt;FontSize&gt;10&lt;/FontSize&gt;&lt;ReflistTitle&gt;&lt;/ReflistTitle&gt;&lt;StartingRefnum&gt;1&lt;/StartingRefnum&gt;&lt;FirstLineIndent&gt;0&lt;/FirstLineIndent&gt;&lt;HangingIndent&gt;7</vt:lpwstr>
  </property>
  <property fmtid="{D5CDD505-2E9C-101B-9397-08002B2CF9AE}" pid="7" name="EN.Libraries">
    <vt:lpwstr>&lt;Libraries&gt;&lt;item db-id="5prezesd7xvewlepxvnxdf9kz9vxwarz5xrv"&gt;Simons Stroke Bibliothek-Converted&lt;record-ids&gt;&lt;item&gt;2072&lt;/item&gt;&lt;item&gt;2195&lt;/item&gt;&lt;item&gt;2209&lt;/item&gt;&lt;item&gt;2356&lt;/item&gt;&lt;item&gt;2357&lt;/item&gt;&lt;item&gt;2358&lt;/item&gt;&lt;item&gt;2359&lt;/item&gt;&lt;item&gt;2377&lt;/item&gt;&lt;item&gt;2378&lt;</vt:lpwstr>
  </property>
  <property fmtid="{D5CDD505-2E9C-101B-9397-08002B2CF9AE}" pid="8" name="HyperlinksChanged">
    <vt:bool>false</vt:bool>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