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8539B12" w14:textId="77777777" w:rsidR="00416BC2" w:rsidRPr="006866DF" w:rsidRDefault="00416BC2" w:rsidP="00416BC2">
      <w:pPr>
        <w:rPr>
          <w:rFonts w:asciiTheme="majorHAnsi" w:hAnsiTheme="majorHAnsi"/>
          <w:sz w:val="32"/>
          <w:szCs w:val="32"/>
        </w:rPr>
      </w:pPr>
      <w:bookmarkStart w:id="0" w:name="_GoBack"/>
      <w:bookmarkEnd w:id="0"/>
      <w:r w:rsidRPr="006866DF">
        <w:rPr>
          <w:rFonts w:asciiTheme="majorHAnsi" w:hAnsiTheme="majorHAnsi"/>
          <w:sz w:val="32"/>
          <w:szCs w:val="32"/>
        </w:rPr>
        <w:t>Supplementary material</w:t>
      </w:r>
    </w:p>
    <w:p w14:paraId="5A70C067" w14:textId="77777777" w:rsidR="00416BC2" w:rsidRPr="006866DF" w:rsidRDefault="00416BC2" w:rsidP="00416BC2">
      <w:pPr>
        <w:rPr>
          <w:rFonts w:asciiTheme="majorHAnsi" w:hAnsiTheme="majorHAnsi"/>
        </w:rPr>
      </w:pPr>
    </w:p>
    <w:p w14:paraId="32921878" w14:textId="77777777" w:rsidR="00416BC2" w:rsidRPr="006866DF" w:rsidRDefault="00416BC2" w:rsidP="00416BC2">
      <w:pPr>
        <w:spacing w:line="480" w:lineRule="auto"/>
        <w:jc w:val="both"/>
        <w:rPr>
          <w:rFonts w:asciiTheme="majorHAnsi" w:hAnsiTheme="majorHAnsi"/>
          <w:b/>
          <w:bCs/>
          <w:iCs/>
          <w:sz w:val="28"/>
          <w:szCs w:val="28"/>
        </w:rPr>
      </w:pPr>
      <w:r w:rsidRPr="006866DF">
        <w:rPr>
          <w:rFonts w:asciiTheme="majorHAnsi" w:hAnsiTheme="majorHAnsi"/>
          <w:b/>
          <w:bCs/>
          <w:iCs/>
          <w:sz w:val="28"/>
          <w:szCs w:val="28"/>
        </w:rPr>
        <w:t>Transmission Electron Microscopy (TEM)</w:t>
      </w:r>
    </w:p>
    <w:p w14:paraId="29C18066" w14:textId="77777777" w:rsidR="00416BC2" w:rsidRPr="006866DF" w:rsidRDefault="00416BC2" w:rsidP="00416BC2">
      <w:pPr>
        <w:spacing w:line="480" w:lineRule="auto"/>
        <w:jc w:val="both"/>
        <w:rPr>
          <w:rFonts w:asciiTheme="majorHAnsi" w:hAnsiTheme="majorHAnsi"/>
        </w:rPr>
      </w:pPr>
      <w:r w:rsidRPr="006866DF">
        <w:rPr>
          <w:rFonts w:asciiTheme="majorHAnsi" w:hAnsiTheme="majorHAnsi"/>
        </w:rPr>
        <w:t xml:space="preserve">A drop of liposome dispersion was placed on carbon-coated copper grids (400 mesh) (TAAB Laboratories Equipment Ltd., UK), which was negatively stained with 1% </w:t>
      </w:r>
      <w:proofErr w:type="spellStart"/>
      <w:r w:rsidRPr="006866DF">
        <w:rPr>
          <w:rFonts w:asciiTheme="majorHAnsi" w:hAnsiTheme="majorHAnsi"/>
        </w:rPr>
        <w:t>phosphotungstic</w:t>
      </w:r>
      <w:proofErr w:type="spellEnd"/>
      <w:r w:rsidRPr="006866DF">
        <w:rPr>
          <w:rFonts w:asciiTheme="majorHAnsi" w:hAnsiTheme="majorHAnsi"/>
        </w:rPr>
        <w:t xml:space="preserve"> acid (PTA), and then viewed and photographed using TEM (Philips CM 120 Bio-Twin TEM, Philips Electron Optics BV, the Netherlands).</w:t>
      </w:r>
    </w:p>
    <w:p w14:paraId="7F67837F" w14:textId="77777777" w:rsidR="00416BC2" w:rsidRPr="006866DF" w:rsidRDefault="00416BC2" w:rsidP="00416BC2">
      <w:pPr>
        <w:pStyle w:val="EndNoteBibliography"/>
        <w:tabs>
          <w:tab w:val="left" w:pos="1093"/>
        </w:tabs>
        <w:spacing w:line="480" w:lineRule="auto"/>
        <w:rPr>
          <w:rFonts w:asciiTheme="majorHAnsi" w:hAnsiTheme="majorHAnsi"/>
          <w:lang w:bidi="ar-SY"/>
        </w:rPr>
      </w:pPr>
      <w:r w:rsidRPr="006866DF">
        <w:rPr>
          <w:rFonts w:asciiTheme="majorHAnsi" w:hAnsiTheme="majorHAnsi"/>
          <w:lang w:val="en-GB" w:eastAsia="en-GB"/>
        </w:rPr>
        <w:lastRenderedPageBreak/>
        <w:drawing>
          <wp:inline distT="0" distB="0" distL="0" distR="0" wp14:anchorId="2F57EF39" wp14:editId="5B812A5B">
            <wp:extent cx="2776787" cy="77724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7576" cy="777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2C930D" w14:textId="77777777" w:rsidR="00416BC2" w:rsidRPr="006866DF" w:rsidRDefault="00416BC2" w:rsidP="00416BC2">
      <w:pPr>
        <w:spacing w:line="480" w:lineRule="auto"/>
        <w:jc w:val="both"/>
        <w:rPr>
          <w:rFonts w:asciiTheme="majorHAnsi" w:hAnsiTheme="majorHAnsi"/>
          <w:b/>
          <w:bCs/>
          <w:iCs/>
        </w:rPr>
      </w:pPr>
      <w:r w:rsidRPr="006866DF">
        <w:rPr>
          <w:rFonts w:asciiTheme="majorHAnsi" w:hAnsiTheme="majorHAnsi"/>
          <w:b/>
          <w:iCs/>
        </w:rPr>
        <w:lastRenderedPageBreak/>
        <w:t>Fig</w:t>
      </w:r>
      <w:r w:rsidR="001156F9" w:rsidRPr="006866DF">
        <w:rPr>
          <w:rFonts w:asciiTheme="majorHAnsi" w:hAnsiTheme="majorHAnsi"/>
          <w:b/>
          <w:iCs/>
        </w:rPr>
        <w:t>ure</w:t>
      </w:r>
      <w:r w:rsidRPr="006866DF">
        <w:rPr>
          <w:rFonts w:asciiTheme="majorHAnsi" w:hAnsiTheme="majorHAnsi"/>
          <w:b/>
          <w:iCs/>
        </w:rPr>
        <w:t xml:space="preserve"> 1S.</w:t>
      </w:r>
      <w:r w:rsidRPr="006866DF">
        <w:rPr>
          <w:rFonts w:asciiTheme="majorHAnsi" w:hAnsiTheme="majorHAnsi"/>
          <w:b/>
          <w:i/>
        </w:rPr>
        <w:t xml:space="preserve"> </w:t>
      </w:r>
      <w:r w:rsidRPr="006866DF">
        <w:rPr>
          <w:rFonts w:asciiTheme="majorHAnsi" w:hAnsiTheme="majorHAnsi"/>
          <w:b/>
          <w:bCs/>
          <w:iCs/>
        </w:rPr>
        <w:t xml:space="preserve">TEM of (a) SPC: </w:t>
      </w:r>
      <w:proofErr w:type="spellStart"/>
      <w:r w:rsidRPr="006866DF">
        <w:rPr>
          <w:rFonts w:asciiTheme="majorHAnsi" w:hAnsiTheme="majorHAnsi"/>
          <w:b/>
          <w:bCs/>
          <w:iCs/>
        </w:rPr>
        <w:t>Chol</w:t>
      </w:r>
      <w:proofErr w:type="spellEnd"/>
      <w:r w:rsidRPr="006866DF">
        <w:rPr>
          <w:rFonts w:asciiTheme="majorHAnsi" w:hAnsiTheme="majorHAnsi"/>
          <w:b/>
          <w:bCs/>
          <w:iCs/>
        </w:rPr>
        <w:t xml:space="preserve"> (1:1) liposomes containing 1 mg/ml paclitaxel (b) HSPC: </w:t>
      </w:r>
      <w:proofErr w:type="spellStart"/>
      <w:r w:rsidRPr="006866DF">
        <w:rPr>
          <w:rFonts w:asciiTheme="majorHAnsi" w:hAnsiTheme="majorHAnsi"/>
          <w:b/>
          <w:bCs/>
          <w:iCs/>
        </w:rPr>
        <w:t>Chol</w:t>
      </w:r>
      <w:proofErr w:type="spellEnd"/>
      <w:r w:rsidRPr="006866DF">
        <w:rPr>
          <w:rFonts w:asciiTheme="majorHAnsi" w:hAnsiTheme="majorHAnsi"/>
          <w:b/>
          <w:bCs/>
          <w:iCs/>
        </w:rPr>
        <w:t xml:space="preserve"> (1:1) liposomes containing 1 mg/ml paclitaxel and (c) DPPC: </w:t>
      </w:r>
      <w:proofErr w:type="spellStart"/>
      <w:r w:rsidRPr="006866DF">
        <w:rPr>
          <w:rFonts w:asciiTheme="majorHAnsi" w:hAnsiTheme="majorHAnsi"/>
          <w:b/>
          <w:bCs/>
          <w:iCs/>
        </w:rPr>
        <w:t>Chol</w:t>
      </w:r>
      <w:proofErr w:type="spellEnd"/>
      <w:r w:rsidRPr="006866DF">
        <w:rPr>
          <w:rFonts w:asciiTheme="majorHAnsi" w:hAnsiTheme="majorHAnsi"/>
          <w:b/>
          <w:bCs/>
          <w:iCs/>
        </w:rPr>
        <w:t xml:space="preserve"> (1:1) liposomes containing 1 mg/ml paclitaxel, all after size reduction. </w:t>
      </w:r>
    </w:p>
    <w:p w14:paraId="6612338F" w14:textId="77777777" w:rsidR="00416BC2" w:rsidRPr="006866DF" w:rsidRDefault="00416BC2" w:rsidP="00416BC2">
      <w:pPr>
        <w:spacing w:line="480" w:lineRule="auto"/>
        <w:jc w:val="both"/>
        <w:rPr>
          <w:rFonts w:asciiTheme="majorHAnsi" w:hAnsiTheme="majorHAnsi"/>
          <w:b/>
          <w:sz w:val="28"/>
          <w:szCs w:val="28"/>
        </w:rPr>
      </w:pPr>
      <w:r w:rsidRPr="006866DF">
        <w:rPr>
          <w:rFonts w:asciiTheme="majorHAnsi" w:hAnsiTheme="majorHAnsi"/>
          <w:b/>
          <w:sz w:val="28"/>
          <w:szCs w:val="28"/>
        </w:rPr>
        <w:t xml:space="preserve">In vitro release of PX </w:t>
      </w:r>
    </w:p>
    <w:p w14:paraId="6350ECFC" w14:textId="77777777" w:rsidR="00416BC2" w:rsidRPr="006866DF" w:rsidRDefault="00416BC2" w:rsidP="00416BC2">
      <w:pPr>
        <w:spacing w:line="480" w:lineRule="auto"/>
        <w:jc w:val="both"/>
        <w:rPr>
          <w:rFonts w:asciiTheme="majorHAnsi" w:hAnsiTheme="majorHAnsi"/>
        </w:rPr>
      </w:pPr>
      <w:r w:rsidRPr="006866DF">
        <w:rPr>
          <w:rFonts w:asciiTheme="majorHAnsi" w:hAnsiTheme="majorHAnsi"/>
        </w:rPr>
        <w:t xml:space="preserve">The release of PX from liposomal formulations was investigated using dialysis. </w:t>
      </w:r>
      <w:r w:rsidRPr="006866DF">
        <w:rPr>
          <w:rFonts w:asciiTheme="majorHAnsi" w:hAnsiTheme="majorHAnsi"/>
          <w:color w:val="000000"/>
        </w:rPr>
        <w:t xml:space="preserve">Prior to assay, loaded </w:t>
      </w:r>
      <w:r w:rsidRPr="006866DF">
        <w:rPr>
          <w:rFonts w:asciiTheme="majorHAnsi" w:hAnsiTheme="majorHAnsi"/>
        </w:rPr>
        <w:t xml:space="preserve">liposomal formulations </w:t>
      </w:r>
      <w:r w:rsidRPr="006866DF">
        <w:rPr>
          <w:rFonts w:asciiTheme="majorHAnsi" w:hAnsiTheme="majorHAnsi"/>
          <w:color w:val="000000"/>
        </w:rPr>
        <w:t xml:space="preserve">of 1 mg/ml were filtered through a 0.4 µm sterile syringe filters to remove unloaded paclitaxel. Considering the loading efficiency (Fig 5), volumes of each </w:t>
      </w:r>
      <w:r w:rsidRPr="006866DF">
        <w:rPr>
          <w:rFonts w:asciiTheme="majorHAnsi" w:hAnsiTheme="majorHAnsi"/>
        </w:rPr>
        <w:t xml:space="preserve">liposomal formulation </w:t>
      </w:r>
      <w:r w:rsidRPr="006866DF">
        <w:rPr>
          <w:rFonts w:asciiTheme="majorHAnsi" w:hAnsiTheme="majorHAnsi"/>
          <w:color w:val="000000"/>
        </w:rPr>
        <w:t xml:space="preserve">containing 0.5 mg of a paclitaxel </w:t>
      </w:r>
      <w:r w:rsidRPr="006866DF">
        <w:rPr>
          <w:rFonts w:asciiTheme="majorHAnsi" w:hAnsiTheme="majorHAnsi"/>
        </w:rPr>
        <w:t xml:space="preserve">was placed in a dialysis tube (MWCO 3500) and tightly sealed. For free drug, 0.5 mg PX was dissolved in 1 ml of </w:t>
      </w:r>
      <w:proofErr w:type="spellStart"/>
      <w:r w:rsidRPr="006866DF">
        <w:rPr>
          <w:rFonts w:asciiTheme="majorHAnsi" w:hAnsiTheme="majorHAnsi"/>
        </w:rPr>
        <w:t>ethanol</w:t>
      </w:r>
      <w:proofErr w:type="gramStart"/>
      <w:r w:rsidRPr="006866DF">
        <w:rPr>
          <w:rFonts w:asciiTheme="majorHAnsi" w:hAnsiTheme="majorHAnsi"/>
        </w:rPr>
        <w:t>:water:tween</w:t>
      </w:r>
      <w:proofErr w:type="spellEnd"/>
      <w:proofErr w:type="gramEnd"/>
      <w:r w:rsidRPr="006866DF">
        <w:rPr>
          <w:rFonts w:asciiTheme="majorHAnsi" w:hAnsiTheme="majorHAnsi"/>
        </w:rPr>
        <w:t xml:space="preserve"> 80 (50:49.9:0.1%). Then, the dialysis tube was immersed in 50 ml (total volume) release medium </w:t>
      </w:r>
      <w:r w:rsidRPr="006866DF">
        <w:rPr>
          <w:rFonts w:asciiTheme="majorHAnsi" w:hAnsiTheme="majorHAnsi"/>
        </w:rPr>
        <w:lastRenderedPageBreak/>
        <w:t xml:space="preserve">(PBS (pH 7.4) containing 0.1% (v/v) Tween 80) and incubated with stirring in for 24 h at 37 </w:t>
      </w:r>
      <w:proofErr w:type="spellStart"/>
      <w:r w:rsidRPr="006866DF">
        <w:rPr>
          <w:rFonts w:asciiTheme="majorHAnsi" w:hAnsiTheme="majorHAnsi"/>
          <w:vertAlign w:val="superscript"/>
        </w:rPr>
        <w:t>o</w:t>
      </w:r>
      <w:r w:rsidRPr="006866DF">
        <w:rPr>
          <w:rFonts w:asciiTheme="majorHAnsi" w:hAnsiTheme="majorHAnsi"/>
        </w:rPr>
        <w:t>C.</w:t>
      </w:r>
      <w:proofErr w:type="spellEnd"/>
      <w:r w:rsidRPr="006866DF">
        <w:rPr>
          <w:rFonts w:asciiTheme="majorHAnsi" w:hAnsiTheme="majorHAnsi"/>
        </w:rPr>
        <w:t xml:space="preserve"> Samples (0.2 ml) were taken at time intervals from the release medium for 24 h, and replaced by a similar volume of fresh medium. The concentration of PX was determined by </w:t>
      </w:r>
      <w:proofErr w:type="spellStart"/>
      <w:r w:rsidRPr="006866DF">
        <w:rPr>
          <w:rFonts w:asciiTheme="majorHAnsi" w:hAnsiTheme="majorHAnsi"/>
          <w:bCs/>
        </w:rPr>
        <w:t>Dionex</w:t>
      </w:r>
      <w:proofErr w:type="spellEnd"/>
      <w:r w:rsidRPr="006866DF">
        <w:rPr>
          <w:rFonts w:asciiTheme="majorHAnsi" w:hAnsiTheme="majorHAnsi"/>
          <w:bCs/>
        </w:rPr>
        <w:t xml:space="preserve"> Ultimate 3000 UHPLC with </w:t>
      </w:r>
      <w:proofErr w:type="spellStart"/>
      <w:r w:rsidRPr="006866DF">
        <w:rPr>
          <w:rFonts w:asciiTheme="majorHAnsi" w:hAnsiTheme="majorHAnsi"/>
        </w:rPr>
        <w:t>BetaBasic</w:t>
      </w:r>
      <w:proofErr w:type="spellEnd"/>
      <w:r w:rsidRPr="006866DF">
        <w:rPr>
          <w:rFonts w:asciiTheme="majorHAnsi" w:hAnsiTheme="majorHAnsi"/>
        </w:rPr>
        <w:t xml:space="preserve"> column 18 particle size 5µm, pore size 150A, 150mm L x 4.6mm I.D. Mobile phase; acetonitrile: </w:t>
      </w:r>
      <w:proofErr w:type="spellStart"/>
      <w:r w:rsidRPr="006866DF">
        <w:rPr>
          <w:rFonts w:asciiTheme="majorHAnsi" w:hAnsiTheme="majorHAnsi"/>
        </w:rPr>
        <w:t>water:methanol</w:t>
      </w:r>
      <w:proofErr w:type="spellEnd"/>
      <w:r w:rsidRPr="006866DF">
        <w:rPr>
          <w:rFonts w:asciiTheme="majorHAnsi" w:hAnsiTheme="majorHAnsi"/>
        </w:rPr>
        <w:t xml:space="preserve"> (55:45:5) at wavelength 227nm, retention time was 5.6 min.  </w:t>
      </w:r>
    </w:p>
    <w:p w14:paraId="32A058F0" w14:textId="77777777" w:rsidR="00416BC2" w:rsidRPr="006866DF" w:rsidRDefault="00416BC2" w:rsidP="00416BC2">
      <w:pPr>
        <w:spacing w:line="480" w:lineRule="auto"/>
        <w:jc w:val="both"/>
        <w:rPr>
          <w:rFonts w:asciiTheme="majorHAnsi" w:hAnsiTheme="majorHAnsi"/>
        </w:rPr>
      </w:pPr>
      <w:r w:rsidRPr="006866DF">
        <w:rPr>
          <w:rFonts w:asciiTheme="majorHAnsi" w:hAnsiTheme="majorHAnsi"/>
          <w:noProof/>
          <w:lang w:eastAsia="en-GB"/>
        </w:rPr>
        <w:drawing>
          <wp:inline distT="0" distB="0" distL="0" distR="0" wp14:anchorId="0542DE4C" wp14:editId="7156B909">
            <wp:extent cx="4332915" cy="2806583"/>
            <wp:effectExtent l="0" t="0" r="1079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1" t="2727" b="2099"/>
                    <a:stretch/>
                  </pic:blipFill>
                  <pic:spPr bwMode="auto">
                    <a:xfrm>
                      <a:off x="0" y="0"/>
                      <a:ext cx="4335537" cy="2808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/>
                      </a:ext>
                    </a:extLst>
                  </pic:spPr>
                </pic:pic>
              </a:graphicData>
            </a:graphic>
          </wp:inline>
        </w:drawing>
      </w:r>
      <w:r w:rsidRPr="006866DF" w:rsidDel="001B0089">
        <w:rPr>
          <w:rFonts w:asciiTheme="majorHAnsi" w:hAnsiTheme="majorHAnsi"/>
        </w:rPr>
        <w:t xml:space="preserve"> </w:t>
      </w:r>
    </w:p>
    <w:p w14:paraId="4C80BD6A" w14:textId="77777777" w:rsidR="00416BC2" w:rsidRPr="006866DF" w:rsidRDefault="00416BC2" w:rsidP="00416BC2">
      <w:pPr>
        <w:spacing w:line="480" w:lineRule="auto"/>
        <w:jc w:val="both"/>
        <w:rPr>
          <w:rFonts w:asciiTheme="majorHAnsi" w:hAnsiTheme="majorHAnsi"/>
        </w:rPr>
      </w:pPr>
    </w:p>
    <w:p w14:paraId="01EF5744" w14:textId="77777777" w:rsidR="00BB573C" w:rsidRPr="006866DF" w:rsidRDefault="00416BC2" w:rsidP="00416BC2">
      <w:pPr>
        <w:spacing w:line="480" w:lineRule="auto"/>
        <w:jc w:val="both"/>
        <w:rPr>
          <w:rFonts w:asciiTheme="majorHAnsi" w:hAnsiTheme="majorHAnsi"/>
          <w:b/>
        </w:rPr>
      </w:pPr>
      <w:r w:rsidRPr="006866DF">
        <w:rPr>
          <w:rFonts w:asciiTheme="majorHAnsi" w:hAnsiTheme="majorHAnsi"/>
          <w:b/>
        </w:rPr>
        <w:lastRenderedPageBreak/>
        <w:t>Fig</w:t>
      </w:r>
      <w:r w:rsidR="001156F9" w:rsidRPr="006866DF">
        <w:rPr>
          <w:rFonts w:asciiTheme="majorHAnsi" w:hAnsiTheme="majorHAnsi"/>
          <w:b/>
        </w:rPr>
        <w:t>ure</w:t>
      </w:r>
      <w:r w:rsidRPr="006866DF">
        <w:rPr>
          <w:rFonts w:asciiTheme="majorHAnsi" w:hAnsiTheme="majorHAnsi"/>
          <w:b/>
        </w:rPr>
        <w:t xml:space="preserve"> 2S. The release profiles of PX form liposomes.</w:t>
      </w:r>
    </w:p>
    <w:p w14:paraId="55F37151" w14:textId="77777777" w:rsidR="00F76CAB" w:rsidRPr="006866DF" w:rsidRDefault="00F76CAB" w:rsidP="00F76CAB">
      <w:pPr>
        <w:spacing w:line="480" w:lineRule="auto"/>
        <w:jc w:val="both"/>
        <w:rPr>
          <w:rFonts w:asciiTheme="majorHAnsi" w:hAnsiTheme="majorHAnsi"/>
          <w:b/>
          <w:sz w:val="28"/>
          <w:szCs w:val="28"/>
        </w:rPr>
      </w:pPr>
      <w:r w:rsidRPr="006866DF">
        <w:rPr>
          <w:rFonts w:asciiTheme="majorHAnsi" w:hAnsiTheme="majorHAnsi"/>
          <w:b/>
          <w:sz w:val="28"/>
          <w:szCs w:val="28"/>
        </w:rPr>
        <w:t>Preliminary Stability studies</w:t>
      </w:r>
    </w:p>
    <w:p w14:paraId="2A0F1901" w14:textId="77777777" w:rsidR="00732E9E" w:rsidRPr="006866DF" w:rsidRDefault="00F76CAB" w:rsidP="00732E9E">
      <w:pPr>
        <w:spacing w:line="480" w:lineRule="auto"/>
        <w:jc w:val="both"/>
        <w:rPr>
          <w:rFonts w:asciiTheme="majorHAnsi" w:hAnsiTheme="majorHAnsi"/>
        </w:rPr>
      </w:pPr>
      <w:r w:rsidRPr="006866DF">
        <w:rPr>
          <w:rFonts w:asciiTheme="majorHAnsi" w:hAnsiTheme="majorHAnsi"/>
        </w:rPr>
        <w:t xml:space="preserve">The lipid phase (phospholipid: </w:t>
      </w:r>
      <w:proofErr w:type="spellStart"/>
      <w:r w:rsidRPr="006866DF">
        <w:rPr>
          <w:rFonts w:asciiTheme="majorHAnsi" w:hAnsiTheme="majorHAnsi"/>
        </w:rPr>
        <w:t>Chol</w:t>
      </w:r>
      <w:proofErr w:type="spellEnd"/>
      <w:r w:rsidRPr="006866DF">
        <w:rPr>
          <w:rFonts w:asciiTheme="majorHAnsi" w:hAnsiTheme="majorHAnsi"/>
        </w:rPr>
        <w:t xml:space="preserve">, 1:1 mole ratio) (50 mg) was dissolved in absolute ethanol (75 </w:t>
      </w:r>
      <w:proofErr w:type="spellStart"/>
      <w:r w:rsidRPr="006866DF">
        <w:rPr>
          <w:rFonts w:asciiTheme="majorHAnsi" w:hAnsiTheme="majorHAnsi" w:cs="Lucida Grande"/>
          <w:color w:val="000000"/>
        </w:rPr>
        <w:t>μl</w:t>
      </w:r>
      <w:proofErr w:type="spellEnd"/>
      <w:r w:rsidRPr="006866DF">
        <w:rPr>
          <w:rFonts w:asciiTheme="majorHAnsi" w:hAnsiTheme="majorHAnsi"/>
        </w:rPr>
        <w:t>) at 70°C (water bath) for 1 min within a 15 ml glass vial. Aqueous (water) phase (10 ml), significantly above the T</w:t>
      </w:r>
      <w:r w:rsidRPr="006866DF">
        <w:rPr>
          <w:rFonts w:asciiTheme="majorHAnsi" w:hAnsiTheme="majorHAnsi"/>
          <w:vertAlign w:val="subscript"/>
        </w:rPr>
        <w:t>m</w:t>
      </w:r>
      <w:r w:rsidRPr="006866DF">
        <w:rPr>
          <w:rFonts w:asciiTheme="majorHAnsi" w:hAnsiTheme="majorHAnsi"/>
        </w:rPr>
        <w:t xml:space="preserve"> of the lipid was added immediately to avoid lipid phase solidification. Liposomes were generated upon vigorous hand shaking and vortex mixing (</w:t>
      </w:r>
      <w:proofErr w:type="spellStart"/>
      <w:r w:rsidRPr="006866DF">
        <w:rPr>
          <w:rFonts w:asciiTheme="majorHAnsi" w:hAnsiTheme="majorHAnsi"/>
        </w:rPr>
        <w:t>Fisons</w:t>
      </w:r>
      <w:proofErr w:type="spellEnd"/>
      <w:r w:rsidRPr="006866DF">
        <w:rPr>
          <w:rFonts w:asciiTheme="majorHAnsi" w:hAnsiTheme="majorHAnsi"/>
        </w:rPr>
        <w:t xml:space="preserve"> </w:t>
      </w:r>
      <w:proofErr w:type="spellStart"/>
      <w:r w:rsidRPr="006866DF">
        <w:rPr>
          <w:rFonts w:asciiTheme="majorHAnsi" w:hAnsiTheme="majorHAnsi"/>
        </w:rPr>
        <w:t>Whirlimixer</w:t>
      </w:r>
      <w:proofErr w:type="spellEnd"/>
      <w:r w:rsidRPr="006866DF">
        <w:rPr>
          <w:rFonts w:asciiTheme="majorHAnsi" w:hAnsiTheme="majorHAnsi"/>
        </w:rPr>
        <w:t>, UK) for 4 min. Liposomal formulations were then kept for annealing above the T</w:t>
      </w:r>
      <w:r w:rsidRPr="006866DF">
        <w:rPr>
          <w:rFonts w:asciiTheme="majorHAnsi" w:hAnsiTheme="majorHAnsi"/>
          <w:vertAlign w:val="subscript"/>
        </w:rPr>
        <w:t>m</w:t>
      </w:r>
      <w:r w:rsidRPr="006866DF">
        <w:rPr>
          <w:rFonts w:asciiTheme="majorHAnsi" w:hAnsiTheme="majorHAnsi"/>
        </w:rPr>
        <w:t xml:space="preserve"> of the lipids for 2 h. Then, formulations </w:t>
      </w:r>
      <w:r w:rsidR="001156F9" w:rsidRPr="006866DF">
        <w:rPr>
          <w:rFonts w:asciiTheme="majorHAnsi" w:hAnsiTheme="majorHAnsi"/>
        </w:rPr>
        <w:t xml:space="preserve">flushed with nitrogen gas and </w:t>
      </w:r>
      <w:r w:rsidRPr="006866DF">
        <w:rPr>
          <w:rFonts w:asciiTheme="majorHAnsi" w:hAnsiTheme="majorHAnsi"/>
        </w:rPr>
        <w:t>stored in the fridge (4</w:t>
      </w:r>
      <w:r w:rsidR="005E2472" w:rsidRPr="006866DF">
        <w:rPr>
          <w:rFonts w:asciiTheme="majorHAnsi" w:hAnsiTheme="majorHAnsi"/>
        </w:rPr>
        <w:t xml:space="preserve">°C ±1) for 1 week. </w:t>
      </w:r>
      <w:r w:rsidR="001156F9" w:rsidRPr="006866DF">
        <w:rPr>
          <w:rFonts w:asciiTheme="majorHAnsi" w:hAnsiTheme="majorHAnsi"/>
        </w:rPr>
        <w:t xml:space="preserve">Samples were taken </w:t>
      </w:r>
      <w:r w:rsidRPr="006866DF">
        <w:rPr>
          <w:rFonts w:asciiTheme="majorHAnsi" w:hAnsiTheme="majorHAnsi"/>
        </w:rPr>
        <w:t>every day (7 days) for size and zeta potential measurements</w:t>
      </w:r>
      <w:r w:rsidR="00732E9E" w:rsidRPr="006866DF">
        <w:rPr>
          <w:rFonts w:asciiTheme="majorHAnsi" w:hAnsiTheme="majorHAnsi"/>
        </w:rPr>
        <w:t xml:space="preserve">. The measurements were performed using the Malvern </w:t>
      </w:r>
      <w:proofErr w:type="spellStart"/>
      <w:r w:rsidR="00732E9E" w:rsidRPr="006866DF">
        <w:rPr>
          <w:rFonts w:asciiTheme="majorHAnsi" w:hAnsiTheme="majorHAnsi"/>
        </w:rPr>
        <w:t>Mastersizer</w:t>
      </w:r>
      <w:proofErr w:type="spellEnd"/>
      <w:r w:rsidR="00732E9E" w:rsidRPr="006866DF">
        <w:rPr>
          <w:rFonts w:asciiTheme="majorHAnsi" w:hAnsiTheme="majorHAnsi"/>
        </w:rPr>
        <w:t xml:space="preserve"> 2000 (Malvern instruments Ltd., UK). This was carried out by addition of 70 </w:t>
      </w:r>
      <w:r w:rsidR="00732E9E" w:rsidRPr="006866DF">
        <w:rPr>
          <w:rFonts w:asciiTheme="majorHAnsi" w:hAnsiTheme="majorHAnsi"/>
        </w:rPr>
        <w:lastRenderedPageBreak/>
        <w:t xml:space="preserve">ml of deionised water to the cone dispersion unit (Hydro2000 SM, UK) of the instrument. Size and size distribution were presented as the volume median diameter (VMD) (50% undersize) and Span respectively. Span = (90% undersize – 10% undersize) / VMD. </w:t>
      </w:r>
    </w:p>
    <w:p w14:paraId="553D6013" w14:textId="01B1A0AD" w:rsidR="006C52A1" w:rsidRPr="006866DF" w:rsidRDefault="006C52A1" w:rsidP="006C52A1">
      <w:pPr>
        <w:rPr>
          <w:rFonts w:asciiTheme="majorHAnsi" w:hAnsiTheme="majorHAnsi"/>
        </w:rPr>
      </w:pPr>
      <w:r w:rsidRPr="006866DF">
        <w:rPr>
          <w:rFonts w:asciiTheme="majorHAnsi" w:hAnsiTheme="majorHAnsi"/>
        </w:rPr>
        <w:t>(a)</w:t>
      </w:r>
    </w:p>
    <w:p w14:paraId="2E9B8A20" w14:textId="77777777" w:rsidR="006C52A1" w:rsidRPr="006866DF" w:rsidRDefault="006C52A1" w:rsidP="006C52A1">
      <w:pPr>
        <w:widowControl w:val="0"/>
        <w:autoSpaceDE w:val="0"/>
        <w:autoSpaceDN w:val="0"/>
        <w:adjustRightInd w:val="0"/>
        <w:rPr>
          <w:rFonts w:asciiTheme="majorHAnsi" w:hAnsiTheme="majorHAnsi" w:cs="Calibri"/>
        </w:rPr>
      </w:pPr>
    </w:p>
    <w:p w14:paraId="200EC392" w14:textId="77777777" w:rsidR="006C52A1" w:rsidRPr="006866DF" w:rsidRDefault="006C52A1" w:rsidP="006C52A1">
      <w:pPr>
        <w:widowControl w:val="0"/>
        <w:autoSpaceDE w:val="0"/>
        <w:autoSpaceDN w:val="0"/>
        <w:adjustRightInd w:val="0"/>
        <w:rPr>
          <w:rFonts w:asciiTheme="majorHAnsi" w:hAnsiTheme="majorHAnsi" w:cs="Calibri"/>
        </w:rPr>
      </w:pPr>
      <w:r w:rsidRPr="006866DF">
        <w:rPr>
          <w:rFonts w:asciiTheme="majorHAnsi" w:hAnsiTheme="majorHAnsi" w:cs="Calibri"/>
          <w:noProof/>
          <w:lang w:eastAsia="en-GB"/>
        </w:rPr>
        <w:drawing>
          <wp:inline distT="0" distB="0" distL="0" distR="0" wp14:anchorId="387A74C8" wp14:editId="4CDEFC7D">
            <wp:extent cx="5810793" cy="3030924"/>
            <wp:effectExtent l="0" t="0" r="635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5680" cy="3033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7178A0" w14:textId="77777777" w:rsidR="006C52A1" w:rsidRPr="006866DF" w:rsidRDefault="006C52A1" w:rsidP="006C52A1">
      <w:pPr>
        <w:widowControl w:val="0"/>
        <w:autoSpaceDE w:val="0"/>
        <w:autoSpaceDN w:val="0"/>
        <w:adjustRightInd w:val="0"/>
        <w:rPr>
          <w:rFonts w:asciiTheme="majorHAnsi" w:hAnsiTheme="majorHAnsi" w:cs="Calibri"/>
        </w:rPr>
      </w:pPr>
      <w:r w:rsidRPr="006866DF">
        <w:rPr>
          <w:rFonts w:asciiTheme="majorHAnsi" w:hAnsiTheme="majorHAnsi" w:cs="Calibri"/>
        </w:rPr>
        <w:t> </w:t>
      </w:r>
    </w:p>
    <w:p w14:paraId="292D81FF" w14:textId="77777777" w:rsidR="006C52A1" w:rsidRPr="006866DF" w:rsidRDefault="006C52A1" w:rsidP="006C52A1">
      <w:pPr>
        <w:widowControl w:val="0"/>
        <w:autoSpaceDE w:val="0"/>
        <w:autoSpaceDN w:val="0"/>
        <w:adjustRightInd w:val="0"/>
        <w:rPr>
          <w:rFonts w:asciiTheme="majorHAnsi" w:hAnsiTheme="majorHAnsi" w:cs="Calibri"/>
        </w:rPr>
      </w:pPr>
      <w:r w:rsidRPr="006866DF">
        <w:rPr>
          <w:rFonts w:asciiTheme="majorHAnsi" w:hAnsiTheme="majorHAnsi" w:cs="Calibri"/>
        </w:rPr>
        <w:t>(b) </w:t>
      </w:r>
    </w:p>
    <w:p w14:paraId="51E0CE74" w14:textId="77777777" w:rsidR="006C52A1" w:rsidRPr="006866DF" w:rsidRDefault="006C52A1" w:rsidP="006C52A1">
      <w:pPr>
        <w:widowControl w:val="0"/>
        <w:autoSpaceDE w:val="0"/>
        <w:autoSpaceDN w:val="0"/>
        <w:adjustRightInd w:val="0"/>
        <w:rPr>
          <w:rFonts w:asciiTheme="majorHAnsi" w:hAnsiTheme="majorHAnsi" w:cs="Calibri"/>
        </w:rPr>
      </w:pPr>
      <w:r w:rsidRPr="006866DF">
        <w:rPr>
          <w:rFonts w:asciiTheme="majorHAnsi" w:hAnsiTheme="majorHAnsi" w:cs="Calibri"/>
          <w:noProof/>
          <w:lang w:eastAsia="en-GB"/>
        </w:rPr>
        <w:lastRenderedPageBreak/>
        <w:drawing>
          <wp:inline distT="0" distB="0" distL="0" distR="0" wp14:anchorId="21892D77" wp14:editId="26A1F0D8">
            <wp:extent cx="5513705" cy="2202004"/>
            <wp:effectExtent l="0" t="0" r="0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3705" cy="2202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5D2889" w14:textId="77777777" w:rsidR="006C52A1" w:rsidRPr="006866DF" w:rsidRDefault="006C52A1" w:rsidP="006C52A1">
      <w:pPr>
        <w:widowControl w:val="0"/>
        <w:autoSpaceDE w:val="0"/>
        <w:autoSpaceDN w:val="0"/>
        <w:adjustRightInd w:val="0"/>
        <w:rPr>
          <w:rFonts w:asciiTheme="majorHAnsi" w:hAnsiTheme="majorHAnsi" w:cs="Calibri"/>
        </w:rPr>
      </w:pPr>
    </w:p>
    <w:p w14:paraId="68E8D4ED" w14:textId="77777777" w:rsidR="006C52A1" w:rsidRPr="006866DF" w:rsidRDefault="006C52A1" w:rsidP="006C52A1">
      <w:pPr>
        <w:widowControl w:val="0"/>
        <w:autoSpaceDE w:val="0"/>
        <w:autoSpaceDN w:val="0"/>
        <w:adjustRightInd w:val="0"/>
        <w:rPr>
          <w:rFonts w:asciiTheme="majorHAnsi" w:hAnsiTheme="majorHAnsi" w:cs="Calibri"/>
        </w:rPr>
      </w:pPr>
    </w:p>
    <w:p w14:paraId="473D7B0A" w14:textId="77777777" w:rsidR="006C52A1" w:rsidRPr="006866DF" w:rsidRDefault="006C52A1" w:rsidP="006C52A1">
      <w:pPr>
        <w:widowControl w:val="0"/>
        <w:autoSpaceDE w:val="0"/>
        <w:autoSpaceDN w:val="0"/>
        <w:adjustRightInd w:val="0"/>
        <w:rPr>
          <w:rFonts w:asciiTheme="majorHAnsi" w:hAnsiTheme="majorHAnsi" w:cs="Calibri"/>
        </w:rPr>
      </w:pPr>
    </w:p>
    <w:p w14:paraId="1CA5FA8A" w14:textId="77777777" w:rsidR="006C52A1" w:rsidRPr="006866DF" w:rsidRDefault="006C52A1" w:rsidP="006C52A1">
      <w:pPr>
        <w:widowControl w:val="0"/>
        <w:autoSpaceDE w:val="0"/>
        <w:autoSpaceDN w:val="0"/>
        <w:adjustRightInd w:val="0"/>
        <w:rPr>
          <w:rFonts w:asciiTheme="majorHAnsi" w:hAnsiTheme="majorHAnsi" w:cs="Calibri"/>
        </w:rPr>
      </w:pPr>
    </w:p>
    <w:p w14:paraId="268933AF" w14:textId="77777777" w:rsidR="006C52A1" w:rsidRPr="006866DF" w:rsidRDefault="006C52A1" w:rsidP="006C52A1">
      <w:pPr>
        <w:widowControl w:val="0"/>
        <w:autoSpaceDE w:val="0"/>
        <w:autoSpaceDN w:val="0"/>
        <w:adjustRightInd w:val="0"/>
        <w:rPr>
          <w:rFonts w:asciiTheme="majorHAnsi" w:hAnsiTheme="majorHAnsi" w:cs="Calibri"/>
        </w:rPr>
      </w:pPr>
    </w:p>
    <w:p w14:paraId="78909936" w14:textId="77777777" w:rsidR="006C52A1" w:rsidRPr="006866DF" w:rsidRDefault="006C52A1" w:rsidP="006C52A1">
      <w:pPr>
        <w:widowControl w:val="0"/>
        <w:autoSpaceDE w:val="0"/>
        <w:autoSpaceDN w:val="0"/>
        <w:adjustRightInd w:val="0"/>
        <w:rPr>
          <w:rFonts w:asciiTheme="majorHAnsi" w:hAnsiTheme="majorHAnsi" w:cs="Calibri"/>
        </w:rPr>
      </w:pPr>
    </w:p>
    <w:p w14:paraId="5E52A83F" w14:textId="77777777" w:rsidR="006C52A1" w:rsidRPr="006866DF" w:rsidRDefault="006C52A1" w:rsidP="006C52A1">
      <w:pPr>
        <w:widowControl w:val="0"/>
        <w:autoSpaceDE w:val="0"/>
        <w:autoSpaceDN w:val="0"/>
        <w:adjustRightInd w:val="0"/>
        <w:rPr>
          <w:rFonts w:asciiTheme="majorHAnsi" w:hAnsiTheme="majorHAnsi" w:cs="Calibri"/>
        </w:rPr>
      </w:pPr>
    </w:p>
    <w:p w14:paraId="240D6E00" w14:textId="77777777" w:rsidR="006C52A1" w:rsidRPr="006866DF" w:rsidRDefault="006C52A1" w:rsidP="006C52A1">
      <w:pPr>
        <w:widowControl w:val="0"/>
        <w:autoSpaceDE w:val="0"/>
        <w:autoSpaceDN w:val="0"/>
        <w:adjustRightInd w:val="0"/>
        <w:rPr>
          <w:rFonts w:asciiTheme="majorHAnsi" w:hAnsiTheme="majorHAnsi" w:cs="Calibri"/>
        </w:rPr>
      </w:pPr>
    </w:p>
    <w:p w14:paraId="3241CC2B" w14:textId="77777777" w:rsidR="006C52A1" w:rsidRPr="006866DF" w:rsidRDefault="006C52A1" w:rsidP="006C52A1">
      <w:pPr>
        <w:widowControl w:val="0"/>
        <w:autoSpaceDE w:val="0"/>
        <w:autoSpaceDN w:val="0"/>
        <w:adjustRightInd w:val="0"/>
        <w:rPr>
          <w:rFonts w:asciiTheme="majorHAnsi" w:hAnsiTheme="majorHAnsi" w:cs="Calibri"/>
        </w:rPr>
      </w:pPr>
    </w:p>
    <w:p w14:paraId="2142631E" w14:textId="77777777" w:rsidR="006C52A1" w:rsidRPr="006866DF" w:rsidRDefault="006C52A1" w:rsidP="006C52A1">
      <w:pPr>
        <w:widowControl w:val="0"/>
        <w:autoSpaceDE w:val="0"/>
        <w:autoSpaceDN w:val="0"/>
        <w:adjustRightInd w:val="0"/>
        <w:rPr>
          <w:rFonts w:asciiTheme="majorHAnsi" w:hAnsiTheme="majorHAnsi" w:cs="Calibri"/>
        </w:rPr>
      </w:pPr>
    </w:p>
    <w:p w14:paraId="0AE1330B" w14:textId="77777777" w:rsidR="006C52A1" w:rsidRPr="006866DF" w:rsidRDefault="006C52A1" w:rsidP="006C52A1">
      <w:pPr>
        <w:widowControl w:val="0"/>
        <w:autoSpaceDE w:val="0"/>
        <w:autoSpaceDN w:val="0"/>
        <w:adjustRightInd w:val="0"/>
        <w:rPr>
          <w:rFonts w:asciiTheme="majorHAnsi" w:hAnsiTheme="majorHAnsi" w:cs="Calibri"/>
        </w:rPr>
      </w:pPr>
    </w:p>
    <w:p w14:paraId="7C6FE8DC" w14:textId="77777777" w:rsidR="006C52A1" w:rsidRPr="006866DF" w:rsidRDefault="006C52A1" w:rsidP="006C52A1">
      <w:pPr>
        <w:widowControl w:val="0"/>
        <w:autoSpaceDE w:val="0"/>
        <w:autoSpaceDN w:val="0"/>
        <w:adjustRightInd w:val="0"/>
        <w:rPr>
          <w:rFonts w:asciiTheme="majorHAnsi" w:hAnsiTheme="majorHAnsi" w:cs="Calibri"/>
        </w:rPr>
      </w:pPr>
      <w:r w:rsidRPr="006866DF">
        <w:rPr>
          <w:rFonts w:asciiTheme="majorHAnsi" w:hAnsiTheme="majorHAnsi" w:cs="Calibri"/>
        </w:rPr>
        <w:t>(c)</w:t>
      </w:r>
    </w:p>
    <w:p w14:paraId="6C454524" w14:textId="77777777" w:rsidR="006C52A1" w:rsidRPr="006866DF" w:rsidRDefault="006C52A1" w:rsidP="006C52A1">
      <w:pPr>
        <w:rPr>
          <w:rFonts w:asciiTheme="majorHAnsi" w:hAnsiTheme="majorHAnsi"/>
        </w:rPr>
      </w:pPr>
      <w:r w:rsidRPr="006866DF">
        <w:rPr>
          <w:rFonts w:asciiTheme="majorHAnsi" w:hAnsiTheme="majorHAnsi" w:cs="Calibri"/>
          <w:noProof/>
          <w:lang w:eastAsia="en-GB"/>
        </w:rPr>
        <w:drawing>
          <wp:inline distT="0" distB="0" distL="0" distR="0" wp14:anchorId="2DA1544E" wp14:editId="212BF2E7">
            <wp:extent cx="5612867" cy="2679825"/>
            <wp:effectExtent l="0" t="0" r="0" b="127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76" b="5845"/>
                    <a:stretch/>
                  </pic:blipFill>
                  <pic:spPr bwMode="auto">
                    <a:xfrm>
                      <a:off x="0" y="0"/>
                      <a:ext cx="5613400" cy="268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4F114F" w14:textId="16EA0002" w:rsidR="001156F9" w:rsidRPr="006866DF" w:rsidRDefault="001156F9" w:rsidP="00732E9E">
      <w:pPr>
        <w:spacing w:line="480" w:lineRule="auto"/>
        <w:jc w:val="both"/>
        <w:rPr>
          <w:rFonts w:asciiTheme="majorHAnsi" w:hAnsiTheme="majorHAnsi"/>
        </w:rPr>
      </w:pPr>
    </w:p>
    <w:p w14:paraId="2E125518" w14:textId="7CF9F495" w:rsidR="006C52A1" w:rsidRPr="006866DF" w:rsidRDefault="006C52A1" w:rsidP="006C52A1">
      <w:pPr>
        <w:spacing w:line="480" w:lineRule="auto"/>
        <w:jc w:val="both"/>
        <w:rPr>
          <w:rFonts w:asciiTheme="majorHAnsi" w:hAnsiTheme="majorHAnsi"/>
          <w:b/>
          <w:bCs/>
        </w:rPr>
      </w:pPr>
      <w:r w:rsidRPr="006866DF">
        <w:rPr>
          <w:rFonts w:asciiTheme="majorHAnsi" w:hAnsiTheme="majorHAnsi"/>
          <w:b/>
          <w:bCs/>
        </w:rPr>
        <w:lastRenderedPageBreak/>
        <w:t>Figure 3S</w:t>
      </w:r>
      <w:r w:rsidR="00052933" w:rsidRPr="006866DF">
        <w:rPr>
          <w:rFonts w:asciiTheme="majorHAnsi" w:hAnsiTheme="majorHAnsi"/>
          <w:b/>
          <w:bCs/>
        </w:rPr>
        <w:t xml:space="preserve">. </w:t>
      </w:r>
      <w:r w:rsidRPr="006866DF">
        <w:rPr>
          <w:rFonts w:asciiTheme="majorHAnsi" w:hAnsiTheme="majorHAnsi"/>
          <w:b/>
          <w:bCs/>
        </w:rPr>
        <w:t>T</w:t>
      </w:r>
      <w:r w:rsidR="00052933" w:rsidRPr="006866DF">
        <w:rPr>
          <w:rFonts w:asciiTheme="majorHAnsi" w:hAnsiTheme="majorHAnsi"/>
          <w:b/>
          <w:bCs/>
        </w:rPr>
        <w:t>he s</w:t>
      </w:r>
      <w:r w:rsidRPr="006866DF">
        <w:rPr>
          <w:rFonts w:asciiTheme="majorHAnsi" w:hAnsiTheme="majorHAnsi"/>
          <w:b/>
          <w:bCs/>
        </w:rPr>
        <w:t>ize</w:t>
      </w:r>
      <w:r w:rsidR="00052933" w:rsidRPr="006866DF">
        <w:rPr>
          <w:rFonts w:asciiTheme="majorHAnsi" w:hAnsiTheme="majorHAnsi"/>
          <w:b/>
          <w:bCs/>
        </w:rPr>
        <w:t xml:space="preserve"> (a), s</w:t>
      </w:r>
      <w:r w:rsidRPr="006866DF">
        <w:rPr>
          <w:rFonts w:asciiTheme="majorHAnsi" w:hAnsiTheme="majorHAnsi"/>
          <w:b/>
          <w:bCs/>
        </w:rPr>
        <w:t>pan</w:t>
      </w:r>
      <w:r w:rsidR="00052933" w:rsidRPr="006866DF">
        <w:rPr>
          <w:rFonts w:asciiTheme="majorHAnsi" w:hAnsiTheme="majorHAnsi"/>
          <w:b/>
          <w:bCs/>
        </w:rPr>
        <w:t xml:space="preserve"> (b) and z</w:t>
      </w:r>
      <w:r w:rsidRPr="006866DF">
        <w:rPr>
          <w:rFonts w:asciiTheme="majorHAnsi" w:hAnsiTheme="majorHAnsi"/>
          <w:b/>
          <w:bCs/>
        </w:rPr>
        <w:t>eta potential</w:t>
      </w:r>
      <w:r w:rsidR="00052933" w:rsidRPr="006866DF">
        <w:rPr>
          <w:rFonts w:asciiTheme="majorHAnsi" w:hAnsiTheme="majorHAnsi"/>
          <w:b/>
          <w:bCs/>
        </w:rPr>
        <w:t xml:space="preserve"> (c)</w:t>
      </w:r>
      <w:r w:rsidRPr="006866DF">
        <w:rPr>
          <w:rFonts w:asciiTheme="majorHAnsi" w:hAnsiTheme="majorHAnsi"/>
          <w:b/>
          <w:bCs/>
        </w:rPr>
        <w:t xml:space="preserve"> of DPPC-liposomal formulations during 7 days of storage at 4 C</w:t>
      </w:r>
      <w:r w:rsidRPr="006866DF">
        <w:rPr>
          <w:rFonts w:asciiTheme="majorHAnsi" w:hAnsiTheme="majorHAnsi"/>
          <w:b/>
          <w:bCs/>
          <w:vertAlign w:val="superscript"/>
        </w:rPr>
        <w:t>o</w:t>
      </w:r>
      <w:r w:rsidRPr="006866DF">
        <w:rPr>
          <w:rFonts w:asciiTheme="majorHAnsi" w:hAnsiTheme="majorHAnsi"/>
          <w:b/>
          <w:bCs/>
        </w:rPr>
        <w:t xml:space="preserve"> </w:t>
      </w:r>
      <w:r w:rsidRPr="006866DF">
        <w:rPr>
          <w:rFonts w:asciiTheme="majorHAnsi" w:hAnsiTheme="majorHAnsi"/>
          <w:b/>
          <w:bCs/>
        </w:rPr>
        <w:sym w:font="Symbol" w:char="F0B1"/>
      </w:r>
      <w:r w:rsidRPr="006866DF">
        <w:rPr>
          <w:rFonts w:asciiTheme="majorHAnsi" w:hAnsiTheme="majorHAnsi"/>
          <w:b/>
          <w:bCs/>
        </w:rPr>
        <w:t xml:space="preserve">1. </w:t>
      </w:r>
    </w:p>
    <w:sectPr w:rsidR="006C52A1" w:rsidRPr="006866DF" w:rsidSect="00C45446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6BC2"/>
    <w:rsid w:val="00052933"/>
    <w:rsid w:val="001156F9"/>
    <w:rsid w:val="003156AC"/>
    <w:rsid w:val="00416BC2"/>
    <w:rsid w:val="005E2472"/>
    <w:rsid w:val="006866DF"/>
    <w:rsid w:val="006C52A1"/>
    <w:rsid w:val="00732E9E"/>
    <w:rsid w:val="008217C0"/>
    <w:rsid w:val="00987C88"/>
    <w:rsid w:val="00BB573C"/>
    <w:rsid w:val="00C45446"/>
    <w:rsid w:val="00F76C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F765E12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16BC2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NoteBibliography">
    <w:name w:val="EndNote Bibliography"/>
    <w:basedOn w:val="Normal"/>
    <w:link w:val="EndNoteBibliographyChar"/>
    <w:rsid w:val="00416BC2"/>
    <w:pPr>
      <w:spacing w:line="360" w:lineRule="auto"/>
      <w:jc w:val="both"/>
    </w:pPr>
    <w:rPr>
      <w:noProof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416BC2"/>
    <w:rPr>
      <w:rFonts w:ascii="Times New Roman" w:eastAsia="Times New Roman" w:hAnsi="Times New Roman" w:cs="Times New Roman"/>
      <w:noProof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16BC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16BC2"/>
    <w:rPr>
      <w:rFonts w:ascii="Lucida Grande" w:eastAsia="Times New Roman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4932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AE7C223C</Template>
  <TotalTime>0</TotalTime>
  <Pages>6</Pages>
  <Words>442</Words>
  <Characters>2524</Characters>
  <Application>Microsoft Office Word</Application>
  <DocSecurity>4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 Mohammad Najlah</dc:creator>
  <cp:keywords/>
  <dc:description/>
  <cp:lastModifiedBy>Walker, Ian</cp:lastModifiedBy>
  <cp:revision>2</cp:revision>
  <dcterms:created xsi:type="dcterms:W3CDTF">2016-11-14T11:13:00Z</dcterms:created>
  <dcterms:modified xsi:type="dcterms:W3CDTF">2016-11-14T11:13:00Z</dcterms:modified>
</cp:coreProperties>
</file>